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pct20" w:color="auto" w:fill="FFFFFF"/>
        <w:spacing w:line="300" w:lineRule="atLeast"/>
        <w:jc w:val="center"/>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Jin   Mao   Partners</w:t>
      </w:r>
    </w:p>
    <w:p>
      <w:pPr>
        <w:shd w:val="pct20" w:color="auto" w:fill="FFFFFF"/>
        <w:spacing w:line="300" w:lineRule="atLeast"/>
        <w:jc w:val="center"/>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金 茂 凯 德 律 师 事 务 所</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13F,Hong Kong New World Tower,No.300 Huaihai Zhong Rd,Shanghai,200021,P.R.C.</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中国上海淮海中路300号香港新世界大厦13楼邮编：200021</w:t>
      </w:r>
    </w:p>
    <w:p>
      <w:pPr>
        <w:spacing w:line="360" w:lineRule="auto"/>
        <w:jc w:val="center"/>
        <w:rPr>
          <w:rFonts w:hint="eastAsia" w:ascii="仿宋_GB2312" w:hAnsi="仿宋_GB2312" w:eastAsia="仿宋_GB2312" w:cs="仿宋_GB2312"/>
          <w:b/>
          <w:color w:val="000000" w:themeColor="text1"/>
          <w:sz w:val="32"/>
          <w:szCs w:val="32"/>
          <w14:textFill>
            <w14:solidFill>
              <w14:schemeClr w14:val="tx1"/>
            </w14:solidFill>
          </w14:textFill>
        </w:rPr>
      </w:pPr>
    </w:p>
    <w:p>
      <w:pPr>
        <w:spacing w:line="360" w:lineRule="auto"/>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上海金茂凯德律师事务所</w:t>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b/>
          <w:color w:val="000000" w:themeColor="text1"/>
          <w:sz w:val="32"/>
          <w:szCs w:val="32"/>
          <w14:textFill>
            <w14:solidFill>
              <w14:schemeClr w14:val="tx1"/>
            </w14:solidFill>
          </w14:textFill>
        </w:rPr>
        <w:t xml:space="preserve">关于关于巴西国家破产对中国出口商主要影响之备忘录 </w:t>
      </w:r>
    </w:p>
    <w:p>
      <w:pPr>
        <w:spacing w:line="360" w:lineRule="auto"/>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敬启者：</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上海金茂凯德律师事务所（以下简称“本所”）接受</w:t>
      </w:r>
      <w:r>
        <w:rPr>
          <w:rFonts w:hint="eastAsia" w:ascii="仿宋_GB2312" w:hAnsi="仿宋_GB2312" w:eastAsia="仿宋_GB2312" w:cs="仿宋_GB2312"/>
          <w:sz w:val="32"/>
          <w:szCs w:val="32"/>
          <w:lang w:val="en-US" w:eastAsia="zh-CN"/>
        </w:rPr>
        <w:t>贵方询问</w:t>
      </w:r>
      <w:r>
        <w:rPr>
          <w:rFonts w:hint="eastAsia" w:ascii="仿宋_GB2312" w:hAnsi="仿宋_GB2312" w:eastAsia="仿宋_GB2312" w:cs="仿宋_GB2312"/>
          <w:sz w:val="32"/>
          <w:szCs w:val="32"/>
        </w:rPr>
        <w:t>，就巴西国家破产对中国出口商影响之相关问题出具本备忘录。</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国家破产定义</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国家破产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概念最早由是国际货币基金组织提出。2001年11月，国际货币基金组织(IMF)第一执行副总裁安妮库鲁依格在华盛顿演讲中指出：“如某国认定自身已处于无法偿还贷款的困境，就应有一种机制保护债务国，使其在一定期限内避开与债权国的法律纠纷，通过谈判实现债务重组。”依据国际货币基金组织目前对“国家破产”的观点，“国家破产”指一国的金融财政收入不足以支付其进口商品所必需的外汇，或是其主权债务大于其GDP。</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应注意的是，国家破产与企业破产存在根本不同。后者通过破产程序依据企业实际资产情况对所有可偿还的负债进行清偿，往往存在部分债务人债务得不到全额清偿的现象；国家破产则主要是信用破产，该破产机制主要保障债务国恢复经济发展并增强偿债能力，并不代表国家宣布破产后即免除其主权债务，更不意味着作为具体商事主体的该国企业直接豁免企业债务。</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国家破产机制原则及警示作用</w:t>
      </w: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依据</w:t>
      </w:r>
      <w:r>
        <w:rPr>
          <w:rFonts w:hint="eastAsia" w:ascii="仿宋_GB2312" w:hAnsi="仿宋_GB2312" w:eastAsia="仿宋_GB2312" w:cs="仿宋_GB2312"/>
          <w:sz w:val="32"/>
          <w:szCs w:val="32"/>
          <w:lang w:val="en-US" w:eastAsia="zh-CN"/>
        </w:rPr>
        <w:t>国际货币基金组织(IMF)第一执行副总裁安妮库鲁依格在2002年布雷顿森林委员会年会上对国家破产机制的进一步解释。该机制有四个原则：第一，债权人不能通过向本国法院起诉的方式要求债务国偿还债务；第二，债务国与债权人就债务重组问题进行谈判时坚持平等公平原则；第三，鼓励债务国继续向原债权国借贷；第四，解决债务的协议条件相对宽松，是由绝大多数债权国一致通过而非全体债权国通过。</w:t>
      </w: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国家破产机制原则是允许债务国以较为宽松的条件对其主权债务开展清偿，与市场主体企业负债并无直接关系。但“破产”本身释放了对该国经济状况及该国企业贸易运行持续性、稳定性、合规性的警示信号。</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影响及对策简析</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目前伴随巴西“国家破产”的是其市场经济和财政情况的困境，贵方作为向巴西开展出口业务的出口商，一般情况下可能面临的主要风险包括：</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因巴西货币大幅贬值造成的进口商不履行合同风险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巴西雷亚尔</w:t>
      </w:r>
      <w:r>
        <w:rPr>
          <w:rFonts w:hint="eastAsia" w:ascii="仿宋_GB2312" w:hAnsi="仿宋_GB2312" w:eastAsia="仿宋_GB2312" w:cs="仿宋_GB2312"/>
          <w:sz w:val="32"/>
          <w:szCs w:val="32"/>
          <w:lang w:val="en-US" w:eastAsia="zh-CN"/>
        </w:rPr>
        <w:t>对美元</w:t>
      </w:r>
      <w:r>
        <w:rPr>
          <w:rFonts w:hint="eastAsia" w:ascii="仿宋_GB2312" w:hAnsi="仿宋_GB2312" w:eastAsia="仿宋_GB2312" w:cs="仿宋_GB2312"/>
          <w:sz w:val="32"/>
          <w:szCs w:val="32"/>
        </w:rPr>
        <w:t>汇率</w:t>
      </w:r>
      <w:r>
        <w:rPr>
          <w:rFonts w:hint="eastAsia" w:ascii="仿宋_GB2312" w:hAnsi="仿宋_GB2312" w:eastAsia="仿宋_GB2312" w:cs="仿宋_GB2312"/>
          <w:sz w:val="32"/>
          <w:szCs w:val="32"/>
          <w:lang w:val="en-US" w:eastAsia="zh-CN"/>
        </w:rPr>
        <w:t>大幅度下跌</w:t>
      </w:r>
      <w:r>
        <w:rPr>
          <w:rFonts w:hint="eastAsia" w:ascii="仿宋_GB2312" w:hAnsi="仿宋_GB2312" w:eastAsia="仿宋_GB2312" w:cs="仿宋_GB2312"/>
          <w:sz w:val="32"/>
          <w:szCs w:val="32"/>
        </w:rPr>
        <w:t>。从2020年1月1日开始，1美元兑雷亚尔汇率为4.0196，5月13日</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5.9297，12月28日</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5.2401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目前处于5.3581左右。同时，我国人民币对美元汇率持续坚挺，目前维持在6.5左右。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作为巴西进口商，由于本国货币大幅贬值，其进口成本会大幅上升（需要更多本国货币支付货物对价），不排除部分巴西进口商不按约定支付出口商货款的可能性。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巴西海关清关提货机制对出口商存在一定风险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i w:val="0"/>
          <w:caps w:val="0"/>
          <w:spacing w:val="0"/>
          <w:sz w:val="32"/>
          <w:szCs w:val="32"/>
          <w:shd w:val="clear"/>
        </w:rPr>
      </w:pPr>
      <w:r>
        <w:rPr>
          <w:rFonts w:hint="eastAsia" w:ascii="仿宋_GB2312" w:hAnsi="仿宋_GB2312" w:eastAsia="仿宋_GB2312" w:cs="仿宋_GB2312"/>
          <w:sz w:val="32"/>
          <w:szCs w:val="32"/>
          <w:lang w:val="en-US" w:eastAsia="zh-CN"/>
        </w:rPr>
        <w:t>2013年5月6日起，巴西财政部执行1356号令，该法令修改了2006年10月2日发布的680号法令条款，特别新增了“无需正本提单即可提货”的相关规定。据相关部门解释，该规定旨在提高货物清关速度。巴西采取</w:t>
      </w:r>
      <w:r>
        <w:rPr>
          <w:rFonts w:hint="eastAsia" w:ascii="仿宋_GB2312" w:hAnsi="仿宋_GB2312" w:eastAsia="仿宋_GB2312" w:cs="仿宋_GB2312"/>
          <w:i w:val="0"/>
          <w:caps w:val="0"/>
          <w:spacing w:val="0"/>
          <w:sz w:val="32"/>
          <w:szCs w:val="32"/>
          <w:shd w:val="clear"/>
        </w:rPr>
        <w:t>清关</w:t>
      </w:r>
      <w:r>
        <w:rPr>
          <w:rFonts w:hint="eastAsia" w:ascii="仿宋_GB2312" w:hAnsi="仿宋_GB2312" w:eastAsia="仿宋_GB2312" w:cs="仿宋_GB2312"/>
          <w:i w:val="0"/>
          <w:caps w:val="0"/>
          <w:spacing w:val="0"/>
          <w:sz w:val="32"/>
          <w:szCs w:val="32"/>
          <w:shd w:val="clear"/>
          <w:lang w:val="en-US" w:eastAsia="zh-CN"/>
        </w:rPr>
        <w:t>在前</w:t>
      </w:r>
      <w:r>
        <w:rPr>
          <w:rFonts w:hint="eastAsia" w:ascii="仿宋_GB2312" w:hAnsi="仿宋_GB2312" w:eastAsia="仿宋_GB2312" w:cs="仿宋_GB2312"/>
          <w:i w:val="0"/>
          <w:caps w:val="0"/>
          <w:spacing w:val="0"/>
          <w:sz w:val="32"/>
          <w:szCs w:val="32"/>
          <w:shd w:val="clear"/>
        </w:rPr>
        <w:t>、提货</w:t>
      </w:r>
      <w:r>
        <w:rPr>
          <w:rFonts w:hint="eastAsia" w:ascii="仿宋_GB2312" w:hAnsi="仿宋_GB2312" w:eastAsia="仿宋_GB2312" w:cs="仿宋_GB2312"/>
          <w:i w:val="0"/>
          <w:caps w:val="0"/>
          <w:spacing w:val="0"/>
          <w:sz w:val="32"/>
          <w:szCs w:val="32"/>
          <w:shd w:val="clear"/>
          <w:lang w:val="en-US" w:eastAsia="zh-CN"/>
        </w:rPr>
        <w:t>在后</w:t>
      </w:r>
      <w:r>
        <w:rPr>
          <w:rFonts w:hint="eastAsia" w:ascii="仿宋_GB2312" w:hAnsi="仿宋_GB2312" w:eastAsia="仿宋_GB2312" w:cs="仿宋_GB2312"/>
          <w:i w:val="0"/>
          <w:caps w:val="0"/>
          <w:spacing w:val="0"/>
          <w:sz w:val="32"/>
          <w:szCs w:val="32"/>
          <w:shd w:val="clear"/>
        </w:rPr>
        <w:t>的程序。</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i w:val="0"/>
          <w:caps w:val="0"/>
          <w:spacing w:val="0"/>
          <w:sz w:val="32"/>
          <w:szCs w:val="32"/>
          <w:shd w:val="clear"/>
          <w:lang w:val="en-US" w:eastAsia="zh-CN"/>
        </w:rPr>
      </w:pPr>
      <w:r>
        <w:rPr>
          <w:rFonts w:hint="eastAsia" w:ascii="仿宋_GB2312" w:hAnsi="仿宋_GB2312" w:eastAsia="仿宋_GB2312" w:cs="仿宋_GB2312"/>
          <w:i w:val="0"/>
          <w:caps w:val="0"/>
          <w:spacing w:val="0"/>
          <w:sz w:val="32"/>
          <w:szCs w:val="32"/>
          <w:shd w:val="clear"/>
          <w:lang w:val="en-US" w:eastAsia="zh-CN"/>
        </w:rPr>
        <w:t>依据商务部公平贸易局《关于巴西无正本提单提货的新规说明》，进口方（收货人）或货代需拿正本提单</w:t>
      </w:r>
      <w:r>
        <w:rPr>
          <w:rFonts w:hint="eastAsia" w:ascii="仿宋_GB2312" w:hAnsi="仿宋_GB2312" w:eastAsia="仿宋_GB2312" w:cs="仿宋_GB2312"/>
          <w:i w:val="0"/>
          <w:caps w:val="0"/>
          <w:spacing w:val="0"/>
          <w:sz w:val="32"/>
          <w:szCs w:val="32"/>
          <w:shd w:val="clear"/>
        </w:rPr>
        <w:t>，去</w:t>
      </w:r>
      <w:r>
        <w:rPr>
          <w:rFonts w:hint="eastAsia" w:ascii="仿宋_GB2312" w:hAnsi="仿宋_GB2312" w:eastAsia="仿宋_GB2312" w:cs="仿宋_GB2312"/>
          <w:i w:val="0"/>
          <w:caps w:val="0"/>
          <w:spacing w:val="0"/>
          <w:sz w:val="32"/>
          <w:szCs w:val="32"/>
          <w:shd w:val="clear"/>
          <w:lang w:val="en-US" w:eastAsia="zh-CN"/>
        </w:rPr>
        <w:t>船运</w:t>
      </w:r>
      <w:r>
        <w:rPr>
          <w:rFonts w:hint="eastAsia" w:ascii="仿宋_GB2312" w:hAnsi="仿宋_GB2312" w:eastAsia="仿宋_GB2312" w:cs="仿宋_GB2312"/>
          <w:i w:val="0"/>
          <w:caps w:val="0"/>
          <w:spacing w:val="0"/>
          <w:sz w:val="32"/>
          <w:szCs w:val="32"/>
          <w:shd w:val="clear"/>
        </w:rPr>
        <w:t>公司换取交货单（D/O-DELIVERY ORDER）</w:t>
      </w:r>
      <w:r>
        <w:rPr>
          <w:rFonts w:hint="eastAsia" w:ascii="仿宋_GB2312" w:hAnsi="仿宋_GB2312" w:eastAsia="仿宋_GB2312" w:cs="仿宋_GB2312"/>
          <w:i w:val="0"/>
          <w:caps w:val="0"/>
          <w:spacing w:val="0"/>
          <w:sz w:val="32"/>
          <w:szCs w:val="32"/>
          <w:shd w:val="clear"/>
          <w:lang w:val="en-US" w:eastAsia="zh-CN"/>
        </w:rPr>
        <w:t>进行</w:t>
      </w:r>
      <w:r>
        <w:rPr>
          <w:rFonts w:hint="eastAsia" w:ascii="仿宋_GB2312" w:hAnsi="仿宋_GB2312" w:eastAsia="仿宋_GB2312" w:cs="仿宋_GB2312"/>
          <w:i w:val="0"/>
          <w:caps w:val="0"/>
          <w:spacing w:val="0"/>
          <w:sz w:val="32"/>
          <w:szCs w:val="32"/>
          <w:shd w:val="clear"/>
        </w:rPr>
        <w:t>清关，清关完毕后</w:t>
      </w:r>
      <w:r>
        <w:rPr>
          <w:rFonts w:hint="eastAsia" w:ascii="仿宋_GB2312" w:hAnsi="仿宋_GB2312" w:eastAsia="仿宋_GB2312" w:cs="仿宋_GB2312"/>
          <w:i w:val="0"/>
          <w:caps w:val="0"/>
          <w:spacing w:val="0"/>
          <w:sz w:val="32"/>
          <w:szCs w:val="32"/>
          <w:shd w:val="clear"/>
          <w:lang w:val="en-US" w:eastAsia="zh-CN"/>
        </w:rPr>
        <w:t>直接</w:t>
      </w:r>
      <w:r>
        <w:rPr>
          <w:rFonts w:hint="eastAsia" w:ascii="仿宋_GB2312" w:hAnsi="仿宋_GB2312" w:eastAsia="仿宋_GB2312" w:cs="仿宋_GB2312"/>
          <w:i w:val="0"/>
          <w:caps w:val="0"/>
          <w:spacing w:val="0"/>
          <w:sz w:val="32"/>
          <w:szCs w:val="32"/>
          <w:shd w:val="clear"/>
        </w:rPr>
        <w:t>凭海关放行证明提货，无需</w:t>
      </w:r>
      <w:r>
        <w:rPr>
          <w:rFonts w:hint="eastAsia" w:ascii="仿宋_GB2312" w:hAnsi="仿宋_GB2312" w:eastAsia="仿宋_GB2312" w:cs="仿宋_GB2312"/>
          <w:i w:val="0"/>
          <w:caps w:val="0"/>
          <w:spacing w:val="0"/>
          <w:sz w:val="32"/>
          <w:szCs w:val="32"/>
          <w:shd w:val="clear"/>
          <w:lang w:val="en-US" w:eastAsia="zh-CN"/>
        </w:rPr>
        <w:t>再次</w:t>
      </w:r>
      <w:r>
        <w:rPr>
          <w:rFonts w:hint="eastAsia" w:ascii="仿宋_GB2312" w:hAnsi="仿宋_GB2312" w:eastAsia="仿宋_GB2312" w:cs="仿宋_GB2312"/>
          <w:i w:val="0"/>
          <w:caps w:val="0"/>
          <w:spacing w:val="0"/>
          <w:sz w:val="32"/>
          <w:szCs w:val="32"/>
          <w:shd w:val="clear"/>
        </w:rPr>
        <w:t>出示正本提单。海关</w:t>
      </w:r>
      <w:r>
        <w:rPr>
          <w:rFonts w:hint="eastAsia" w:ascii="仿宋_GB2312" w:hAnsi="仿宋_GB2312" w:eastAsia="仿宋_GB2312" w:cs="仿宋_GB2312"/>
          <w:i w:val="0"/>
          <w:caps w:val="0"/>
          <w:spacing w:val="0"/>
          <w:sz w:val="32"/>
          <w:szCs w:val="32"/>
          <w:shd w:val="clear"/>
          <w:lang w:val="en-US" w:eastAsia="zh-CN"/>
        </w:rPr>
        <w:t>仅监督</w:t>
      </w:r>
      <w:r>
        <w:rPr>
          <w:rFonts w:hint="eastAsia" w:ascii="仿宋_GB2312" w:hAnsi="仿宋_GB2312" w:eastAsia="仿宋_GB2312" w:cs="仿宋_GB2312"/>
          <w:i w:val="0"/>
          <w:caps w:val="0"/>
          <w:spacing w:val="0"/>
          <w:sz w:val="32"/>
          <w:szCs w:val="32"/>
          <w:shd w:val="clear"/>
        </w:rPr>
        <w:t>税收，不</w:t>
      </w:r>
      <w:r>
        <w:rPr>
          <w:rFonts w:hint="eastAsia" w:ascii="仿宋_GB2312" w:hAnsi="仿宋_GB2312" w:eastAsia="仿宋_GB2312" w:cs="仿宋_GB2312"/>
          <w:i w:val="0"/>
          <w:caps w:val="0"/>
          <w:spacing w:val="0"/>
          <w:sz w:val="32"/>
          <w:szCs w:val="32"/>
          <w:shd w:val="clear"/>
          <w:lang w:val="en-US" w:eastAsia="zh-CN"/>
        </w:rPr>
        <w:t>直接介入</w:t>
      </w:r>
      <w:r>
        <w:rPr>
          <w:rFonts w:hint="eastAsia" w:ascii="仿宋_GB2312" w:hAnsi="仿宋_GB2312" w:eastAsia="仿宋_GB2312" w:cs="仿宋_GB2312"/>
          <w:i w:val="0"/>
          <w:caps w:val="0"/>
          <w:spacing w:val="0"/>
          <w:sz w:val="32"/>
          <w:szCs w:val="32"/>
          <w:shd w:val="clear"/>
        </w:rPr>
        <w:t>物权交割。</w:t>
      </w:r>
      <w:r>
        <w:rPr>
          <w:rFonts w:hint="eastAsia" w:ascii="仿宋_GB2312" w:hAnsi="仿宋_GB2312" w:eastAsia="仿宋_GB2312" w:cs="仿宋_GB2312"/>
          <w:i w:val="0"/>
          <w:caps w:val="0"/>
          <w:spacing w:val="0"/>
          <w:sz w:val="32"/>
          <w:szCs w:val="32"/>
          <w:shd w:val="clear"/>
          <w:lang w:val="en-US" w:eastAsia="zh-CN"/>
        </w:rPr>
        <w:t>因此，在进口商与运输者勾结或者报关货物被巴西海关外贸系统SISCOMEX选择为绿色通道通关的情况下，存在未结汇情况下提走货物的风险。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i w:val="0"/>
          <w:caps w:val="0"/>
          <w:spacing w:val="0"/>
          <w:sz w:val="32"/>
          <w:szCs w:val="32"/>
          <w:shd w:val="clear"/>
          <w:lang w:val="en-US" w:eastAsia="zh-CN"/>
        </w:rPr>
      </w:pPr>
      <w:r>
        <w:rPr>
          <w:rFonts w:hint="eastAsia" w:ascii="仿宋_GB2312" w:hAnsi="仿宋_GB2312" w:eastAsia="仿宋_GB2312" w:cs="仿宋_GB2312"/>
          <w:i w:val="0"/>
          <w:caps w:val="0"/>
          <w:spacing w:val="0"/>
          <w:sz w:val="32"/>
          <w:szCs w:val="32"/>
          <w:shd w:val="clear"/>
          <w:lang w:val="en-US" w:eastAsia="zh-CN"/>
        </w:rPr>
        <w:t>除此之外，在货物于未结汇即被提走的情况下，出口商往往也会选择诉请承运人承担相应无单放货责任，其中可能涉及适用《最高人民法院关于审理无正本提单交付货物案件适用法律若干问题的规定》（以下简称“《规定》”）进行处理。该《规定》第二条明确：“承运人违反法律规定，无正本提单交付货物，损害正本提单持有人提单权利的，正本提单持有人可以要求承运人承担由此造成损失的民事责任。”但是，此《规定》第七条为承运人提供无单放货责任豁免，即：“承运人依照提单载明的卸货港所在地法律规定，必须将承运到港的货物交付给当地海关或者港口当局的，不承担无正本提单交付货物的民事责任。”如承运人能证明其按照巴西当地海关或者港口当局规定（包括上文所述</w:t>
      </w:r>
      <w:r>
        <w:rPr>
          <w:rFonts w:hint="eastAsia" w:ascii="仿宋_GB2312" w:hAnsi="仿宋_GB2312" w:eastAsia="仿宋_GB2312" w:cs="仿宋_GB2312"/>
          <w:sz w:val="32"/>
          <w:szCs w:val="32"/>
          <w:lang w:val="en-US" w:eastAsia="zh-CN"/>
        </w:rPr>
        <w:t>1356号令</w:t>
      </w:r>
      <w:r>
        <w:rPr>
          <w:rFonts w:hint="eastAsia" w:ascii="仿宋_GB2312" w:hAnsi="仿宋_GB2312" w:eastAsia="仿宋_GB2312" w:cs="仿宋_GB2312"/>
          <w:i w:val="0"/>
          <w:caps w:val="0"/>
          <w:spacing w:val="0"/>
          <w:sz w:val="32"/>
          <w:szCs w:val="32"/>
          <w:shd w:val="clear"/>
          <w:lang w:val="en-US" w:eastAsia="zh-CN"/>
        </w:rPr>
        <w:t>）进行无单放货，则承运人可能获得法律责任豁免保护，对出口商索赔诉请不利。</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根据上述分析，</w:t>
      </w:r>
      <w:r>
        <w:rPr>
          <w:rFonts w:hint="eastAsia" w:ascii="仿宋_GB2312" w:hAnsi="仿宋_GB2312" w:eastAsia="仿宋_GB2312" w:cs="仿宋_GB2312"/>
          <w:sz w:val="32"/>
          <w:szCs w:val="32"/>
          <w:lang w:val="en-US" w:eastAsia="zh-CN"/>
        </w:rPr>
        <w:t>初步</w:t>
      </w:r>
      <w:r>
        <w:rPr>
          <w:rFonts w:hint="eastAsia" w:ascii="仿宋_GB2312" w:hAnsi="仿宋_GB2312" w:eastAsia="仿宋_GB2312" w:cs="仿宋_GB2312"/>
          <w:sz w:val="32"/>
          <w:szCs w:val="32"/>
        </w:rPr>
        <w:t>建议</w:t>
      </w:r>
      <w:r>
        <w:rPr>
          <w:rFonts w:hint="eastAsia" w:ascii="仿宋_GB2312" w:hAnsi="仿宋_GB2312" w:eastAsia="仿宋_GB2312" w:cs="仿宋_GB2312"/>
          <w:sz w:val="32"/>
          <w:szCs w:val="32"/>
          <w:lang w:val="en-US" w:eastAsia="zh-CN"/>
        </w:rPr>
        <w:t>贵方采取三点风控措施。一是聘请专业机构对进口商实际情况开展财务及法律合规状况调查，确认交易伙伴实际经营情况，就该情况作出合理贸易调整安排；二是在具体进出口贸易中坚持完善合同约定，于合同中强调正本提单提货要求；三是考虑适当增强对进口商增信措施要求，更多地适用预付款制度或提高先款后货约定中预先支付货款的比例，尽量避免或降低因无单提货造成的损失。</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以上意见仅供贵方参考</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上海金茂凯德律师事务所</w:t>
      </w:r>
    </w:p>
    <w:p>
      <w:pPr>
        <w:keepNext w:val="0"/>
        <w:keepLines w:val="0"/>
        <w:pageBreakBefore w:val="0"/>
        <w:widowControl/>
        <w:kinsoku/>
        <w:wordWrap w:val="0"/>
        <w:overflowPunct/>
        <w:topLinePunct w:val="0"/>
        <w:autoSpaceDE/>
        <w:autoSpaceDN/>
        <w:bidi w:val="0"/>
        <w:adjustRightInd/>
        <w:snapToGrid/>
        <w:spacing w:line="360" w:lineRule="auto"/>
        <w:ind w:firstLine="640" w:firstLineChars="200"/>
        <w:jc w:val="right"/>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BE791"/>
    <w:multiLevelType w:val="singleLevel"/>
    <w:tmpl w:val="314BE791"/>
    <w:lvl w:ilvl="0" w:tentative="0">
      <w:start w:val="1"/>
      <w:numFmt w:val="chineseCounting"/>
      <w:suff w:val="nothing"/>
      <w:lvlText w:val="%1、"/>
      <w:lvlJc w:val="left"/>
      <w:rPr>
        <w:rFonts w:hint="eastAsia"/>
      </w:rPr>
    </w:lvl>
  </w:abstractNum>
  <w:abstractNum w:abstractNumId="1">
    <w:nsid w:val="3486450C"/>
    <w:multiLevelType w:val="singleLevel"/>
    <w:tmpl w:val="3486450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31680"/>
    <w:rsid w:val="000538CC"/>
    <w:rsid w:val="000A7124"/>
    <w:rsid w:val="000C71DF"/>
    <w:rsid w:val="000E3D64"/>
    <w:rsid w:val="000F3727"/>
    <w:rsid w:val="00136853"/>
    <w:rsid w:val="001368DA"/>
    <w:rsid w:val="001E05AD"/>
    <w:rsid w:val="00216DE9"/>
    <w:rsid w:val="00285BEE"/>
    <w:rsid w:val="002F1CEA"/>
    <w:rsid w:val="002F7570"/>
    <w:rsid w:val="00361B3D"/>
    <w:rsid w:val="003653E5"/>
    <w:rsid w:val="00396E9D"/>
    <w:rsid w:val="003F5066"/>
    <w:rsid w:val="004A2423"/>
    <w:rsid w:val="004E4B29"/>
    <w:rsid w:val="004E5C95"/>
    <w:rsid w:val="0050514E"/>
    <w:rsid w:val="00526E1B"/>
    <w:rsid w:val="005938F0"/>
    <w:rsid w:val="005B1227"/>
    <w:rsid w:val="005C06EA"/>
    <w:rsid w:val="005C64F8"/>
    <w:rsid w:val="00600ACA"/>
    <w:rsid w:val="0063386B"/>
    <w:rsid w:val="00650B44"/>
    <w:rsid w:val="006736F2"/>
    <w:rsid w:val="00694EA0"/>
    <w:rsid w:val="006A4ADC"/>
    <w:rsid w:val="00702C77"/>
    <w:rsid w:val="00736E8B"/>
    <w:rsid w:val="00761520"/>
    <w:rsid w:val="00787C3A"/>
    <w:rsid w:val="007C1FFC"/>
    <w:rsid w:val="007E3F71"/>
    <w:rsid w:val="008356C3"/>
    <w:rsid w:val="0086733D"/>
    <w:rsid w:val="008739D7"/>
    <w:rsid w:val="00894793"/>
    <w:rsid w:val="008E0C4D"/>
    <w:rsid w:val="008F5331"/>
    <w:rsid w:val="00992B32"/>
    <w:rsid w:val="00A013FD"/>
    <w:rsid w:val="00A85276"/>
    <w:rsid w:val="00AA691A"/>
    <w:rsid w:val="00B25D71"/>
    <w:rsid w:val="00BA259D"/>
    <w:rsid w:val="00CD3DE3"/>
    <w:rsid w:val="00CD72F3"/>
    <w:rsid w:val="00CF7D8D"/>
    <w:rsid w:val="00D33609"/>
    <w:rsid w:val="00DC7D3F"/>
    <w:rsid w:val="00DD0D91"/>
    <w:rsid w:val="00E56A7A"/>
    <w:rsid w:val="00E578F2"/>
    <w:rsid w:val="00E96CC5"/>
    <w:rsid w:val="00F03365"/>
    <w:rsid w:val="00F04094"/>
    <w:rsid w:val="00F8099F"/>
    <w:rsid w:val="00F8169B"/>
    <w:rsid w:val="00F969DD"/>
    <w:rsid w:val="00FE7663"/>
    <w:rsid w:val="06747DD8"/>
    <w:rsid w:val="074A36C2"/>
    <w:rsid w:val="08395C20"/>
    <w:rsid w:val="090D0BC7"/>
    <w:rsid w:val="094265EE"/>
    <w:rsid w:val="0B0D2E55"/>
    <w:rsid w:val="0D441BD3"/>
    <w:rsid w:val="0D6024C7"/>
    <w:rsid w:val="0E2F44FF"/>
    <w:rsid w:val="13772E84"/>
    <w:rsid w:val="14080200"/>
    <w:rsid w:val="14DB3F50"/>
    <w:rsid w:val="15AF1614"/>
    <w:rsid w:val="18896097"/>
    <w:rsid w:val="1CAD22EA"/>
    <w:rsid w:val="1D29734C"/>
    <w:rsid w:val="20D47186"/>
    <w:rsid w:val="215E7729"/>
    <w:rsid w:val="258F48D4"/>
    <w:rsid w:val="28392CB2"/>
    <w:rsid w:val="28783519"/>
    <w:rsid w:val="28F45B7B"/>
    <w:rsid w:val="2A1E7CE9"/>
    <w:rsid w:val="2BED35A5"/>
    <w:rsid w:val="2C090E1A"/>
    <w:rsid w:val="2D400627"/>
    <w:rsid w:val="30005C83"/>
    <w:rsid w:val="3012156F"/>
    <w:rsid w:val="32023D47"/>
    <w:rsid w:val="32906D5B"/>
    <w:rsid w:val="341728BE"/>
    <w:rsid w:val="3557486E"/>
    <w:rsid w:val="35AF6FAA"/>
    <w:rsid w:val="372B70BD"/>
    <w:rsid w:val="377E47EF"/>
    <w:rsid w:val="3825131B"/>
    <w:rsid w:val="3A5C0CA7"/>
    <w:rsid w:val="3CC4062B"/>
    <w:rsid w:val="3E0F1D2B"/>
    <w:rsid w:val="3E8927A4"/>
    <w:rsid w:val="3E901158"/>
    <w:rsid w:val="3E9B3D6E"/>
    <w:rsid w:val="3EE5626D"/>
    <w:rsid w:val="3FF639DC"/>
    <w:rsid w:val="43FC40C8"/>
    <w:rsid w:val="442C08E5"/>
    <w:rsid w:val="44512F9B"/>
    <w:rsid w:val="45BB2EA4"/>
    <w:rsid w:val="45CC1769"/>
    <w:rsid w:val="45D057FF"/>
    <w:rsid w:val="4A013CD1"/>
    <w:rsid w:val="4A9C4DBC"/>
    <w:rsid w:val="4AA92E2D"/>
    <w:rsid w:val="4ADC165C"/>
    <w:rsid w:val="4AF57B7E"/>
    <w:rsid w:val="4B6A1694"/>
    <w:rsid w:val="4BA07F1F"/>
    <w:rsid w:val="4DD53BCB"/>
    <w:rsid w:val="4E0205B5"/>
    <w:rsid w:val="52FB0E92"/>
    <w:rsid w:val="559605A2"/>
    <w:rsid w:val="55DE0E16"/>
    <w:rsid w:val="56375DED"/>
    <w:rsid w:val="57B34524"/>
    <w:rsid w:val="58581CE0"/>
    <w:rsid w:val="585E50BB"/>
    <w:rsid w:val="59974393"/>
    <w:rsid w:val="5A355AEC"/>
    <w:rsid w:val="5D063C0B"/>
    <w:rsid w:val="5DCB412E"/>
    <w:rsid w:val="5E174775"/>
    <w:rsid w:val="603A68F9"/>
    <w:rsid w:val="60DA3D74"/>
    <w:rsid w:val="626A76FE"/>
    <w:rsid w:val="63B2655B"/>
    <w:rsid w:val="64A6121E"/>
    <w:rsid w:val="65157EBC"/>
    <w:rsid w:val="66523002"/>
    <w:rsid w:val="688E5790"/>
    <w:rsid w:val="693D04CC"/>
    <w:rsid w:val="6A35373B"/>
    <w:rsid w:val="6C76407C"/>
    <w:rsid w:val="6C8878EE"/>
    <w:rsid w:val="71E82B54"/>
    <w:rsid w:val="72F92006"/>
    <w:rsid w:val="7571217C"/>
    <w:rsid w:val="75B16E30"/>
    <w:rsid w:val="76022BE1"/>
    <w:rsid w:val="769F7A16"/>
    <w:rsid w:val="77BD6295"/>
    <w:rsid w:val="78124585"/>
    <w:rsid w:val="7A99553D"/>
    <w:rsid w:val="7C731680"/>
    <w:rsid w:val="7CC20CDC"/>
    <w:rsid w:val="7D6470CC"/>
    <w:rsid w:val="7E721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3"/>
    <w:basedOn w:val="1"/>
    <w:next w:val="1"/>
    <w:semiHidden/>
    <w:unhideWhenUsed/>
    <w:qFormat/>
    <w:uiPriority w:val="0"/>
    <w:pPr>
      <w:outlineLvl w:val="2"/>
    </w:pPr>
    <w:rPr>
      <w:rFonts w:hint="eastAsia" w:ascii="宋体" w:hAnsi="宋体" w:eastAsia="宋体"/>
      <w:b/>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8"/>
    <w:semiHidden/>
    <w:unhideWhenUsed/>
    <w:qFormat/>
    <w:uiPriority w:val="0"/>
    <w:rPr>
      <w:sz w:val="18"/>
      <w:szCs w:val="18"/>
    </w:rPr>
  </w:style>
  <w:style w:type="paragraph" w:styleId="5">
    <w:name w:val="footer"/>
    <w:basedOn w:val="1"/>
    <w:qFormat/>
    <w:uiPriority w:val="99"/>
    <w:pPr>
      <w:widowControl w:val="0"/>
      <w:tabs>
        <w:tab w:val="center" w:pos="4153"/>
        <w:tab w:val="right" w:pos="8306"/>
      </w:tabs>
      <w:snapToGrid w:val="0"/>
    </w:pPr>
    <w:rPr>
      <w:rFonts w:ascii="Calibri" w:hAnsi="Calibri" w:eastAsia="宋体"/>
      <w:kern w:val="2"/>
      <w:sz w:val="18"/>
      <w:szCs w:val="18"/>
    </w:rPr>
  </w:style>
  <w:style w:type="paragraph" w:styleId="6">
    <w:name w:val="header"/>
    <w:basedOn w:val="1"/>
    <w:qFormat/>
    <w:uiPriority w:val="0"/>
    <w:pPr>
      <w:widowControl w:val="0"/>
      <w:pBdr>
        <w:bottom w:val="single" w:color="auto" w:sz="6" w:space="1"/>
      </w:pBdr>
      <w:tabs>
        <w:tab w:val="center" w:pos="4153"/>
        <w:tab w:val="right" w:pos="8306"/>
      </w:tabs>
      <w:snapToGrid w:val="0"/>
      <w:jc w:val="center"/>
    </w:pPr>
    <w:rPr>
      <w:rFonts w:ascii="Calibri" w:hAnsi="Calibri" w:eastAsia="宋体"/>
      <w:kern w:val="2"/>
      <w:sz w:val="18"/>
      <w:szCs w:val="18"/>
    </w:rPr>
  </w:style>
  <w:style w:type="paragraph" w:styleId="7">
    <w:name w:val="Normal (Web)"/>
    <w:basedOn w:val="1"/>
    <w:qFormat/>
    <w:uiPriority w:val="0"/>
    <w:pPr>
      <w:spacing w:beforeAutospacing="1" w:afterAutospacing="1"/>
    </w:pPr>
  </w:style>
  <w:style w:type="character" w:styleId="10">
    <w:name w:val="Strong"/>
    <w:basedOn w:val="9"/>
    <w:qFormat/>
    <w:uiPriority w:val="0"/>
    <w:rPr>
      <w:b/>
    </w:rPr>
  </w:style>
  <w:style w:type="character" w:styleId="11">
    <w:name w:val="page number"/>
    <w:basedOn w:val="9"/>
    <w:uiPriority w:val="0"/>
  </w:style>
  <w:style w:type="character" w:styleId="12">
    <w:name w:val="FollowedHyperlink"/>
    <w:basedOn w:val="9"/>
    <w:qFormat/>
    <w:uiPriority w:val="0"/>
    <w:rPr>
      <w:color w:val="333333"/>
      <w:u w:val="none"/>
    </w:rPr>
  </w:style>
  <w:style w:type="character" w:styleId="13">
    <w:name w:val="Emphasis"/>
    <w:basedOn w:val="9"/>
    <w:qFormat/>
    <w:uiPriority w:val="0"/>
    <w:rPr>
      <w:color w:val="CC0000"/>
    </w:rPr>
  </w:style>
  <w:style w:type="character" w:styleId="14">
    <w:name w:val="Hyperlink"/>
    <w:basedOn w:val="9"/>
    <w:qFormat/>
    <w:uiPriority w:val="0"/>
    <w:rPr>
      <w:color w:val="333333"/>
      <w:u w:val="none"/>
    </w:rPr>
  </w:style>
  <w:style w:type="character" w:styleId="15">
    <w:name w:val="HTML Cite"/>
    <w:basedOn w:val="9"/>
    <w:qFormat/>
    <w:uiPriority w:val="0"/>
    <w:rPr>
      <w:color w:val="008000"/>
    </w:rPr>
  </w:style>
  <w:style w:type="character" w:customStyle="1" w:styleId="16">
    <w:name w:val="hover8"/>
    <w:basedOn w:val="9"/>
    <w:uiPriority w:val="0"/>
    <w:rPr>
      <w:color w:val="0A6CBC"/>
    </w:rPr>
  </w:style>
  <w:style w:type="character" w:customStyle="1" w:styleId="17">
    <w:name w:val="hover7"/>
    <w:basedOn w:val="9"/>
    <w:qFormat/>
    <w:uiPriority w:val="0"/>
    <w:rPr>
      <w:color w:val="0A6CBC"/>
    </w:rPr>
  </w:style>
  <w:style w:type="character" w:customStyle="1" w:styleId="18">
    <w:name w:val="批注框文本 字符"/>
    <w:basedOn w:val="9"/>
    <w:link w:val="4"/>
    <w:semiHidden/>
    <w:qFormat/>
    <w:uiPriority w:val="0"/>
    <w:rPr>
      <w:rFonts w:eastAsiaTheme="minorEastAsia"/>
      <w:sz w:val="18"/>
      <w:szCs w:val="18"/>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915</Characters>
  <Lines>7</Lines>
  <Paragraphs>2</Paragraphs>
  <TotalTime>11</TotalTime>
  <ScaleCrop>false</ScaleCrop>
  <LinksUpToDate>false</LinksUpToDate>
  <CharactersWithSpaces>1073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2020-07-30T08:20:00Z</dcterms:created>
  <dc:creator>博文</dc:creator>
  <cp:lastModifiedBy>温凯传</cp:lastModifiedBy>
  <dcterms:modified xsi:type="dcterms:W3CDTF">2021-01-29T07:23:45Z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