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eastAsia="方正小标宋简体"/>
          <w:sz w:val="44"/>
          <w:szCs w:val="44"/>
        </w:rPr>
      </w:pPr>
      <w:bookmarkStart w:id="0" w:name="_Toc6143"/>
      <w:r>
        <w:rPr>
          <w:rFonts w:hint="eastAsia" w:ascii="方正小标宋简体" w:eastAsia="方正小标宋简体"/>
          <w:sz w:val="44"/>
          <w:szCs w:val="44"/>
        </w:rPr>
        <w:t>中国国际贸易促进委员会调解中心</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方正小标宋简体" w:eastAsia="方正小标宋简体"/>
          <w:sz w:val="44"/>
          <w:szCs w:val="44"/>
        </w:rPr>
      </w:pPr>
      <w:r>
        <w:rPr>
          <w:rFonts w:hint="eastAsia" w:ascii="方正小标宋简体" w:eastAsia="方正小标宋简体"/>
          <w:sz w:val="44"/>
          <w:szCs w:val="44"/>
        </w:rPr>
        <w:t>调解规则</w:t>
      </w:r>
    </w:p>
    <w:sdt>
      <w:sdtPr>
        <w:rPr>
          <w:rFonts w:ascii="Times New Roman" w:hAnsi="Times New Roman" w:eastAsia="仿宋_GB2312" w:cs="Times New Roman"/>
          <w:sz w:val="32"/>
          <w:lang w:val="zh-CN"/>
        </w:rPr>
        <w:id w:val="-1"/>
        <w:docPartObj>
          <w:docPartGallery w:val="Table of Contents"/>
          <w:docPartUnique/>
        </w:docPartObj>
      </w:sdtPr>
      <w:sdtEndPr>
        <w:rPr>
          <w:rFonts w:ascii="Times New Roman" w:hAnsi="Times New Roman" w:eastAsia="仿宋_GB2312" w:cs="Times New Roman"/>
          <w:b/>
          <w:bCs/>
          <w:sz w:val="28"/>
          <w:szCs w:val="28"/>
          <w:lang w:val="zh-CN"/>
        </w:rPr>
      </w:sdtEndPr>
      <w:sdtContent>
        <w:p>
          <w:pPr>
            <w:keepNext/>
            <w:keepLines/>
            <w:widowControl/>
            <w:spacing w:before="240" w:after="156" w:afterLines="50" w:line="259" w:lineRule="auto"/>
            <w:ind w:firstLine="640"/>
            <w:jc w:val="left"/>
            <w:rPr>
              <w:rFonts w:ascii="Times New Roman" w:hAnsi="Times New Roman" w:eastAsia="等线" w:cs="Times New Roman"/>
              <w:b/>
              <w:bCs/>
              <w:sz w:val="28"/>
              <w:szCs w:val="28"/>
            </w:rPr>
          </w:pPr>
          <w:r>
            <w:rPr>
              <w:rFonts w:hint="eastAsia" w:ascii="Times New Roman" w:hAnsi="Times New Roman" w:eastAsia="仿宋_GB2312" w:cs="Times New Roman"/>
              <w:sz w:val="32"/>
              <w:lang w:val="en-US" w:eastAsia="zh-CN"/>
            </w:rPr>
            <w:t xml:space="preserve">                    </w:t>
          </w:r>
          <w:r>
            <w:rPr>
              <w:rFonts w:ascii="Times New Roman" w:hAnsi="Times New Roman" w:eastAsia="等线" w:cs="Times New Roman"/>
              <w:b/>
              <w:bCs/>
              <w:sz w:val="28"/>
              <w:szCs w:val="28"/>
              <w:lang w:val="zh-CN"/>
            </w:rPr>
            <w:t>目录</w:t>
          </w:r>
        </w:p>
        <w:p>
          <w:pPr>
            <w:pStyle w:val="5"/>
            <w:ind w:left="0" w:leftChars="0" w:firstLine="0" w:firstLineChars="0"/>
            <w:rPr>
              <w14:ligatures w14:val="standardContextual"/>
            </w:rPr>
          </w:pPr>
          <w:r>
            <w:fldChar w:fldCharType="begin"/>
          </w:r>
          <w:r>
            <w:instrText xml:space="preserve"> TOC \o "1-3" \h \z \u </w:instrText>
          </w:r>
          <w:r>
            <w:fldChar w:fldCharType="separate"/>
          </w:r>
          <w:r>
            <w:fldChar w:fldCharType="begin"/>
          </w:r>
          <w:r>
            <w:instrText xml:space="preserve"> HYPERLINK \l "_Toc166059503" </w:instrText>
          </w:r>
          <w:r>
            <w:fldChar w:fldCharType="separate"/>
          </w:r>
          <w:r>
            <w:rPr>
              <w:rStyle w:val="9"/>
            </w:rPr>
            <w:t>第一章</w:t>
          </w:r>
          <w:r>
            <w:rPr>
              <w14:ligatures w14:val="standardContextual"/>
            </w:rPr>
            <w:tab/>
          </w:r>
          <w:r>
            <w:rPr>
              <w:rStyle w:val="9"/>
            </w:rPr>
            <w:t>总则</w:t>
          </w:r>
          <w:r>
            <w:tab/>
          </w:r>
          <w:r>
            <w:fldChar w:fldCharType="begin"/>
          </w:r>
          <w:r>
            <w:instrText xml:space="preserve"> PAGEREF _Toc166059503 \h </w:instrText>
          </w:r>
          <w:r>
            <w:fldChar w:fldCharType="separate"/>
          </w:r>
          <w:r>
            <w:t>3</w:t>
          </w:r>
          <w:r>
            <w:fldChar w:fldCharType="end"/>
          </w:r>
          <w:r>
            <w:fldChar w:fldCharType="end"/>
          </w:r>
        </w:p>
        <w:p>
          <w:pPr>
            <w:pStyle w:val="6"/>
            <w:rPr>
              <w:rFonts w:ascii="Times New Roman" w:hAnsi="Times New Roman" w:cs="Times New Roman"/>
              <w14:ligatures w14:val="standardContextual"/>
            </w:rPr>
          </w:pPr>
          <w:r>
            <w:fldChar w:fldCharType="begin"/>
          </w:r>
          <w:r>
            <w:instrText xml:space="preserve"> HYPERLINK \l "_Toc166059504" </w:instrText>
          </w:r>
          <w:r>
            <w:fldChar w:fldCharType="separate"/>
          </w:r>
          <w:r>
            <w:rPr>
              <w:rStyle w:val="9"/>
              <w:rFonts w:ascii="Times New Roman" w:hAnsi="Times New Roman" w:eastAsia="宋体" w:cs="Times New Roman"/>
              <w:sz w:val="28"/>
              <w:szCs w:val="28"/>
            </w:rPr>
            <w:t>第一条 调解中心</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_Toc166059504 \h </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r>
            <w:rPr>
              <w:rFonts w:ascii="Times New Roman" w:hAnsi="Times New Roman" w:cs="Times New Roman"/>
            </w:rPr>
            <w:fldChar w:fldCharType="end"/>
          </w:r>
        </w:p>
        <w:p>
          <w:pPr>
            <w:pStyle w:val="6"/>
            <w:rPr>
              <w:rFonts w:ascii="Times New Roman" w:hAnsi="Times New Roman" w:cs="Times New Roman"/>
              <w14:ligatures w14:val="standardContextual"/>
            </w:rPr>
          </w:pPr>
          <w:r>
            <w:fldChar w:fldCharType="begin"/>
          </w:r>
          <w:r>
            <w:instrText xml:space="preserve"> HYPERLINK \l "_Toc166059505" </w:instrText>
          </w:r>
          <w:r>
            <w:fldChar w:fldCharType="separate"/>
          </w:r>
          <w:r>
            <w:rPr>
              <w:rStyle w:val="9"/>
              <w:rFonts w:ascii="Times New Roman" w:hAnsi="Times New Roman" w:eastAsia="宋体" w:cs="Times New Roman"/>
              <w:sz w:val="28"/>
              <w:szCs w:val="28"/>
            </w:rPr>
            <w:t>第二条 受理范围</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_Toc166059505 \h </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r>
            <w:rPr>
              <w:rFonts w:ascii="Times New Roman" w:hAnsi="Times New Roman" w:cs="Times New Roman"/>
            </w:rPr>
            <w:fldChar w:fldCharType="end"/>
          </w:r>
        </w:p>
        <w:p>
          <w:pPr>
            <w:pStyle w:val="6"/>
            <w:rPr>
              <w:rFonts w:ascii="Times New Roman" w:hAnsi="Times New Roman" w:cs="Times New Roman"/>
              <w14:ligatures w14:val="standardContextual"/>
            </w:rPr>
          </w:pPr>
          <w:r>
            <w:fldChar w:fldCharType="begin"/>
          </w:r>
          <w:r>
            <w:instrText xml:space="preserve"> HYPERLINK \l "_Toc166059506" </w:instrText>
          </w:r>
          <w:r>
            <w:fldChar w:fldCharType="separate"/>
          </w:r>
          <w:r>
            <w:rPr>
              <w:rStyle w:val="9"/>
              <w:rFonts w:ascii="Times New Roman" w:hAnsi="Times New Roman" w:eastAsia="宋体" w:cs="Times New Roman"/>
              <w:sz w:val="28"/>
              <w:szCs w:val="28"/>
            </w:rPr>
            <w:t>第三条 调解与和解协议</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_Toc166059506 \h </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r>
            <w:rPr>
              <w:rFonts w:ascii="Times New Roman" w:hAnsi="Times New Roman" w:cs="Times New Roman"/>
            </w:rPr>
            <w:fldChar w:fldCharType="end"/>
          </w:r>
        </w:p>
        <w:p>
          <w:pPr>
            <w:pStyle w:val="6"/>
            <w:rPr>
              <w:rFonts w:ascii="Times New Roman" w:hAnsi="Times New Roman" w:cs="Times New Roman"/>
              <w14:ligatures w14:val="standardContextual"/>
            </w:rPr>
          </w:pPr>
          <w:r>
            <w:fldChar w:fldCharType="begin"/>
          </w:r>
          <w:r>
            <w:instrText xml:space="preserve"> HYPERLINK \l "_Toc166059507" </w:instrText>
          </w:r>
          <w:r>
            <w:fldChar w:fldCharType="separate"/>
          </w:r>
          <w:r>
            <w:rPr>
              <w:rStyle w:val="9"/>
              <w:rFonts w:ascii="Times New Roman" w:hAnsi="Times New Roman" w:eastAsia="宋体" w:cs="Times New Roman"/>
              <w:sz w:val="28"/>
              <w:szCs w:val="28"/>
            </w:rPr>
            <w:t>第四条 规则的适用</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_Toc166059507 \h </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r>
            <w:rPr>
              <w:rFonts w:ascii="Times New Roman" w:hAnsi="Times New Roman" w:cs="Times New Roman"/>
            </w:rPr>
            <w:fldChar w:fldCharType="end"/>
          </w:r>
        </w:p>
        <w:p>
          <w:pPr>
            <w:pStyle w:val="6"/>
            <w:rPr>
              <w:rFonts w:ascii="Times New Roman" w:hAnsi="Times New Roman" w:cs="Times New Roman"/>
              <w14:ligatures w14:val="standardContextual"/>
            </w:rPr>
          </w:pPr>
          <w:r>
            <w:fldChar w:fldCharType="begin"/>
          </w:r>
          <w:r>
            <w:instrText xml:space="preserve"> HYPERLINK \l "_Toc166059508" </w:instrText>
          </w:r>
          <w:r>
            <w:fldChar w:fldCharType="separate"/>
          </w:r>
          <w:r>
            <w:rPr>
              <w:rStyle w:val="9"/>
              <w:rFonts w:ascii="Times New Roman" w:hAnsi="Times New Roman" w:eastAsia="宋体" w:cs="Times New Roman"/>
              <w:sz w:val="28"/>
              <w:szCs w:val="28"/>
            </w:rPr>
            <w:t>第五条 调解原则</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_Toc166059508 \h </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r>
            <w:rPr>
              <w:rFonts w:ascii="Times New Roman" w:hAnsi="Times New Roman" w:cs="Times New Roman"/>
            </w:rPr>
            <w:fldChar w:fldCharType="end"/>
          </w:r>
        </w:p>
        <w:p>
          <w:pPr>
            <w:pStyle w:val="6"/>
            <w:rPr>
              <w:rFonts w:ascii="Times New Roman" w:hAnsi="Times New Roman" w:cs="Times New Roman"/>
              <w14:ligatures w14:val="standardContextual"/>
            </w:rPr>
          </w:pPr>
          <w:r>
            <w:fldChar w:fldCharType="begin"/>
          </w:r>
          <w:r>
            <w:instrText xml:space="preserve"> HYPERLINK \l "_Toc166059509" </w:instrText>
          </w:r>
          <w:r>
            <w:fldChar w:fldCharType="separate"/>
          </w:r>
          <w:r>
            <w:rPr>
              <w:rStyle w:val="9"/>
              <w:rFonts w:ascii="Times New Roman" w:hAnsi="Times New Roman" w:eastAsia="宋体" w:cs="Times New Roman"/>
              <w:sz w:val="28"/>
              <w:szCs w:val="28"/>
            </w:rPr>
            <w:t>第六条 善意调解与诚信合作</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_Toc166059509 \h </w:instrText>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r>
            <w:rPr>
              <w:rFonts w:ascii="Times New Roman" w:hAnsi="Times New Roman" w:cs="Times New Roman"/>
            </w:rPr>
            <w:fldChar w:fldCharType="end"/>
          </w:r>
        </w:p>
        <w:p>
          <w:pPr>
            <w:pStyle w:val="6"/>
            <w:rPr>
              <w:rFonts w:ascii="Times New Roman" w:hAnsi="Times New Roman" w:cs="Times New Roman"/>
              <w14:ligatures w14:val="standardContextual"/>
            </w:rPr>
          </w:pPr>
          <w:r>
            <w:fldChar w:fldCharType="begin"/>
          </w:r>
          <w:r>
            <w:instrText xml:space="preserve"> HYPERLINK \l "_Toc166059510" </w:instrText>
          </w:r>
          <w:r>
            <w:fldChar w:fldCharType="separate"/>
          </w:r>
          <w:r>
            <w:rPr>
              <w:rStyle w:val="9"/>
              <w:rFonts w:ascii="Times New Roman" w:hAnsi="Times New Roman" w:eastAsia="宋体" w:cs="Times New Roman"/>
              <w:sz w:val="28"/>
              <w:szCs w:val="28"/>
            </w:rPr>
            <w:t>第七条 委托与联合调解</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_Toc166059510 \h </w:instrText>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r>
            <w:rPr>
              <w:rFonts w:ascii="Times New Roman" w:hAnsi="Times New Roman" w:cs="Times New Roman"/>
            </w:rPr>
            <w:fldChar w:fldCharType="end"/>
          </w:r>
        </w:p>
        <w:p>
          <w:pPr>
            <w:pStyle w:val="5"/>
            <w:ind w:left="0" w:leftChars="0" w:firstLine="0"/>
            <w:rPr>
              <w14:ligatures w14:val="standardContextual"/>
            </w:rPr>
          </w:pPr>
          <w:r>
            <w:fldChar w:fldCharType="begin"/>
          </w:r>
          <w:r>
            <w:instrText xml:space="preserve"> HYPERLINK \l "_Toc166059511" </w:instrText>
          </w:r>
          <w:r>
            <w:fldChar w:fldCharType="separate"/>
          </w:r>
          <w:r>
            <w:rPr>
              <w:rStyle w:val="9"/>
            </w:rPr>
            <w:t>第二章 调解程序</w:t>
          </w:r>
          <w:r>
            <w:tab/>
          </w:r>
          <w:r>
            <w:fldChar w:fldCharType="begin"/>
          </w:r>
          <w:r>
            <w:instrText xml:space="preserve"> PAGEREF _Toc166059511 \h </w:instrText>
          </w:r>
          <w:r>
            <w:fldChar w:fldCharType="separate"/>
          </w:r>
          <w:r>
            <w:t>4</w:t>
          </w:r>
          <w:r>
            <w:fldChar w:fldCharType="end"/>
          </w:r>
          <w:r>
            <w:fldChar w:fldCharType="end"/>
          </w:r>
        </w:p>
        <w:p>
          <w:pPr>
            <w:pStyle w:val="5"/>
            <w:ind w:left="0" w:leftChars="0" w:firstLine="0" w:firstLineChars="0"/>
            <w:rPr>
              <w14:ligatures w14:val="standardContextual"/>
            </w:rPr>
          </w:pPr>
          <w:r>
            <w:fldChar w:fldCharType="begin"/>
          </w:r>
          <w:r>
            <w:instrText xml:space="preserve"> HYPERLINK \l "_Toc166059512" </w:instrText>
          </w:r>
          <w:r>
            <w:fldChar w:fldCharType="separate"/>
          </w:r>
          <w:r>
            <w:rPr>
              <w:rStyle w:val="9"/>
              <w:b w:val="0"/>
              <w:bCs w:val="0"/>
            </w:rPr>
            <w:t>第一节 调解的申请与受理</w:t>
          </w:r>
          <w:r>
            <w:tab/>
          </w:r>
          <w:r>
            <w:fldChar w:fldCharType="begin"/>
          </w:r>
          <w:r>
            <w:instrText xml:space="preserve"> PAGEREF _Toc166059512 \h </w:instrText>
          </w:r>
          <w:r>
            <w:fldChar w:fldCharType="separate"/>
          </w:r>
          <w:r>
            <w:t>4</w:t>
          </w:r>
          <w:r>
            <w:fldChar w:fldCharType="end"/>
          </w:r>
          <w:r>
            <w:fldChar w:fldCharType="end"/>
          </w:r>
        </w:p>
        <w:p>
          <w:pPr>
            <w:pStyle w:val="6"/>
            <w:rPr>
              <w:rFonts w:ascii="Times New Roman" w:hAnsi="Times New Roman" w:cs="Times New Roman"/>
              <w14:ligatures w14:val="standardContextual"/>
            </w:rPr>
          </w:pPr>
          <w:r>
            <w:fldChar w:fldCharType="begin"/>
          </w:r>
          <w:r>
            <w:instrText xml:space="preserve"> HYPERLINK \l "_Toc166059513" </w:instrText>
          </w:r>
          <w:r>
            <w:fldChar w:fldCharType="separate"/>
          </w:r>
          <w:r>
            <w:rPr>
              <w:rStyle w:val="9"/>
              <w:rFonts w:ascii="Times New Roman" w:hAnsi="Times New Roman" w:eastAsia="宋体" w:cs="Times New Roman"/>
              <w:sz w:val="28"/>
              <w:szCs w:val="28"/>
            </w:rPr>
            <w:t>第八条 申请调解</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_Toc166059513 \h </w:instrText>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r>
            <w:rPr>
              <w:rFonts w:ascii="Times New Roman" w:hAnsi="Times New Roman" w:cs="Times New Roman"/>
            </w:rPr>
            <w:fldChar w:fldCharType="end"/>
          </w:r>
        </w:p>
        <w:p>
          <w:pPr>
            <w:pStyle w:val="6"/>
            <w:rPr>
              <w:rFonts w:ascii="Times New Roman" w:hAnsi="Times New Roman" w:cs="Times New Roman"/>
              <w14:ligatures w14:val="standardContextual"/>
            </w:rPr>
          </w:pPr>
          <w:r>
            <w:fldChar w:fldCharType="begin"/>
          </w:r>
          <w:r>
            <w:instrText xml:space="preserve"> HYPERLINK \l "_Toc166059514" </w:instrText>
          </w:r>
          <w:r>
            <w:fldChar w:fldCharType="separate"/>
          </w:r>
          <w:r>
            <w:rPr>
              <w:rStyle w:val="9"/>
              <w:rFonts w:ascii="Times New Roman" w:hAnsi="Times New Roman" w:eastAsia="宋体" w:cs="Times New Roman"/>
              <w:sz w:val="28"/>
              <w:szCs w:val="28"/>
            </w:rPr>
            <w:t>第九条 案件的受理</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_Toc166059514 \h </w:instrText>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r>
            <w:rPr>
              <w:rFonts w:ascii="Times New Roman" w:hAnsi="Times New Roman" w:cs="Times New Roman"/>
            </w:rPr>
            <w:fldChar w:fldCharType="end"/>
          </w:r>
        </w:p>
        <w:p>
          <w:pPr>
            <w:pStyle w:val="6"/>
            <w:rPr>
              <w:rFonts w:ascii="Times New Roman" w:hAnsi="Times New Roman" w:cs="Times New Roman"/>
              <w14:ligatures w14:val="standardContextual"/>
            </w:rPr>
          </w:pPr>
          <w:r>
            <w:fldChar w:fldCharType="begin"/>
          </w:r>
          <w:r>
            <w:instrText xml:space="preserve"> HYPERLINK \l "_Toc166059515" </w:instrText>
          </w:r>
          <w:r>
            <w:fldChar w:fldCharType="separate"/>
          </w:r>
          <w:r>
            <w:rPr>
              <w:rStyle w:val="9"/>
              <w:rFonts w:ascii="Times New Roman" w:hAnsi="Times New Roman" w:eastAsia="宋体" w:cs="Times New Roman"/>
              <w:sz w:val="28"/>
              <w:szCs w:val="28"/>
            </w:rPr>
            <w:t>第十条 被申请</w:t>
          </w:r>
          <w:r>
            <w:rPr>
              <w:rStyle w:val="9"/>
              <w:rFonts w:hint="eastAsia" w:ascii="Times New Roman" w:hAnsi="Times New Roman" w:eastAsia="宋体" w:cs="Times New Roman"/>
              <w:sz w:val="28"/>
              <w:szCs w:val="28"/>
            </w:rPr>
            <w:t>人</w:t>
          </w:r>
          <w:r>
            <w:rPr>
              <w:rStyle w:val="9"/>
              <w:rFonts w:ascii="Times New Roman" w:hAnsi="Times New Roman" w:eastAsia="宋体" w:cs="Times New Roman"/>
              <w:sz w:val="28"/>
              <w:szCs w:val="28"/>
            </w:rPr>
            <w:t>调解意愿确认</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_Toc166059515 \h </w:instrText>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r>
            <w:rPr>
              <w:rFonts w:ascii="Times New Roman" w:hAnsi="Times New Roman" w:cs="Times New Roman"/>
            </w:rPr>
            <w:fldChar w:fldCharType="end"/>
          </w:r>
        </w:p>
        <w:p>
          <w:pPr>
            <w:pStyle w:val="6"/>
            <w:rPr>
              <w:rFonts w:ascii="Times New Roman" w:hAnsi="Times New Roman" w:cs="Times New Roman"/>
              <w14:ligatures w14:val="standardContextual"/>
            </w:rPr>
          </w:pPr>
          <w:r>
            <w:fldChar w:fldCharType="begin"/>
          </w:r>
          <w:r>
            <w:instrText xml:space="preserve"> HYPERLINK \l "_Toc166059516" </w:instrText>
          </w:r>
          <w:r>
            <w:fldChar w:fldCharType="separate"/>
          </w:r>
          <w:r>
            <w:rPr>
              <w:rStyle w:val="9"/>
              <w:rFonts w:ascii="Times New Roman" w:hAnsi="Times New Roman" w:eastAsia="宋体" w:cs="Times New Roman"/>
              <w:sz w:val="28"/>
              <w:szCs w:val="28"/>
            </w:rPr>
            <w:t>第十一条 调解材料份数与形式</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_Toc166059516 \h </w:instrText>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r>
            <w:rPr>
              <w:rFonts w:ascii="Times New Roman" w:hAnsi="Times New Roman" w:cs="Times New Roman"/>
            </w:rPr>
            <w:fldChar w:fldCharType="end"/>
          </w:r>
        </w:p>
        <w:p>
          <w:pPr>
            <w:pStyle w:val="6"/>
            <w:rPr>
              <w:rFonts w:ascii="Times New Roman" w:hAnsi="Times New Roman" w:cs="Times New Roman"/>
              <w14:ligatures w14:val="standardContextual"/>
            </w:rPr>
          </w:pPr>
          <w:r>
            <w:fldChar w:fldCharType="begin"/>
          </w:r>
          <w:r>
            <w:instrText xml:space="preserve"> HYPERLINK \l "_Toc166059517" </w:instrText>
          </w:r>
          <w:r>
            <w:fldChar w:fldCharType="separate"/>
          </w:r>
          <w:r>
            <w:rPr>
              <w:rStyle w:val="9"/>
              <w:rFonts w:ascii="Times New Roman" w:hAnsi="Times New Roman" w:eastAsia="宋体" w:cs="Times New Roman"/>
              <w:sz w:val="28"/>
              <w:szCs w:val="28"/>
            </w:rPr>
            <w:t>第十二条 调解费用的缴纳</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_Toc166059517 \h </w:instrText>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r>
            <w:rPr>
              <w:rFonts w:ascii="Times New Roman" w:hAnsi="Times New Roman" w:cs="Times New Roman"/>
            </w:rPr>
            <w:fldChar w:fldCharType="end"/>
          </w:r>
        </w:p>
        <w:p>
          <w:pPr>
            <w:pStyle w:val="6"/>
            <w:rPr>
              <w:rFonts w:ascii="Times New Roman" w:hAnsi="Times New Roman" w:cs="Times New Roman"/>
              <w14:ligatures w14:val="standardContextual"/>
            </w:rPr>
          </w:pPr>
          <w:r>
            <w:fldChar w:fldCharType="begin"/>
          </w:r>
          <w:r>
            <w:instrText xml:space="preserve"> HYPERLINK \l "_Toc166059518" </w:instrText>
          </w:r>
          <w:r>
            <w:fldChar w:fldCharType="separate"/>
          </w:r>
          <w:r>
            <w:rPr>
              <w:rStyle w:val="9"/>
              <w:rFonts w:ascii="Times New Roman" w:hAnsi="Times New Roman" w:eastAsia="宋体" w:cs="Times New Roman"/>
              <w:sz w:val="28"/>
              <w:szCs w:val="28"/>
            </w:rPr>
            <w:t>第十三条 未</w:t>
          </w:r>
          <w:r>
            <w:rPr>
              <w:rStyle w:val="9"/>
              <w:rFonts w:hint="eastAsia" w:ascii="Times New Roman" w:hAnsi="Times New Roman" w:eastAsia="宋体" w:cs="Times New Roman"/>
              <w:sz w:val="28"/>
              <w:szCs w:val="28"/>
            </w:rPr>
            <w:t>预缴</w:t>
          </w:r>
          <w:r>
            <w:rPr>
              <w:rStyle w:val="9"/>
              <w:rFonts w:ascii="Times New Roman" w:hAnsi="Times New Roman" w:eastAsia="宋体" w:cs="Times New Roman"/>
              <w:sz w:val="28"/>
              <w:szCs w:val="28"/>
            </w:rPr>
            <w:t>调解费用的处理</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_Toc166059518 \h </w:instrText>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r>
            <w:rPr>
              <w:rFonts w:ascii="Times New Roman" w:hAnsi="Times New Roman" w:cs="Times New Roman"/>
            </w:rPr>
            <w:fldChar w:fldCharType="end"/>
          </w:r>
        </w:p>
        <w:p>
          <w:pPr>
            <w:pStyle w:val="5"/>
            <w:ind w:left="0" w:leftChars="0" w:firstLine="0"/>
            <w:rPr>
              <w14:ligatures w14:val="standardContextual"/>
            </w:rPr>
          </w:pPr>
          <w:r>
            <w:fldChar w:fldCharType="begin"/>
          </w:r>
          <w:r>
            <w:instrText xml:space="preserve"> HYPERLINK \l "_Toc166059519" </w:instrText>
          </w:r>
          <w:r>
            <w:fldChar w:fldCharType="separate"/>
          </w:r>
          <w:r>
            <w:rPr>
              <w:rStyle w:val="9"/>
              <w:b w:val="0"/>
              <w:bCs w:val="0"/>
            </w:rPr>
            <w:t>第二节 调解员的确定</w:t>
          </w:r>
          <w:r>
            <w:tab/>
          </w:r>
          <w:r>
            <w:fldChar w:fldCharType="begin"/>
          </w:r>
          <w:r>
            <w:instrText xml:space="preserve"> PAGEREF _Toc166059519 \h </w:instrText>
          </w:r>
          <w:r>
            <w:fldChar w:fldCharType="separate"/>
          </w:r>
          <w:r>
            <w:t>6</w:t>
          </w:r>
          <w:r>
            <w:fldChar w:fldCharType="end"/>
          </w:r>
          <w:r>
            <w:fldChar w:fldCharType="end"/>
          </w:r>
        </w:p>
        <w:p>
          <w:pPr>
            <w:pStyle w:val="6"/>
            <w:rPr>
              <w:rFonts w:ascii="Times New Roman" w:hAnsi="Times New Roman" w:cs="Times New Roman"/>
              <w14:ligatures w14:val="standardContextual"/>
            </w:rPr>
          </w:pPr>
          <w:r>
            <w:fldChar w:fldCharType="begin"/>
          </w:r>
          <w:r>
            <w:instrText xml:space="preserve"> HYPERLINK \l "_Toc166059520" </w:instrText>
          </w:r>
          <w:r>
            <w:fldChar w:fldCharType="separate"/>
          </w:r>
          <w:r>
            <w:rPr>
              <w:rStyle w:val="9"/>
              <w:rFonts w:ascii="Times New Roman" w:hAnsi="Times New Roman" w:eastAsia="宋体" w:cs="Times New Roman"/>
              <w:sz w:val="28"/>
              <w:szCs w:val="28"/>
            </w:rPr>
            <w:t>第十四条 调解员的选定或指定</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_Toc166059520 \h </w:instrText>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r>
            <w:rPr>
              <w:rFonts w:ascii="Times New Roman" w:hAnsi="Times New Roman" w:cs="Times New Roman"/>
            </w:rPr>
            <w:fldChar w:fldCharType="end"/>
          </w:r>
        </w:p>
        <w:p>
          <w:pPr>
            <w:pStyle w:val="6"/>
            <w:rPr>
              <w:rFonts w:ascii="Times New Roman" w:hAnsi="Times New Roman" w:cs="Times New Roman"/>
              <w14:ligatures w14:val="standardContextual"/>
            </w:rPr>
          </w:pPr>
          <w:r>
            <w:fldChar w:fldCharType="begin"/>
          </w:r>
          <w:r>
            <w:instrText xml:space="preserve"> HYPERLINK \l "_Toc166059521" </w:instrText>
          </w:r>
          <w:r>
            <w:fldChar w:fldCharType="separate"/>
          </w:r>
          <w:r>
            <w:rPr>
              <w:rStyle w:val="9"/>
              <w:rFonts w:ascii="Times New Roman" w:hAnsi="Times New Roman" w:eastAsia="宋体" w:cs="Times New Roman"/>
              <w:sz w:val="28"/>
              <w:szCs w:val="28"/>
            </w:rPr>
            <w:t>第十五条 一名调解员的产生方式</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_Toc166059521 \h </w:instrText>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r>
            <w:rPr>
              <w:rFonts w:ascii="Times New Roman" w:hAnsi="Times New Roman" w:cs="Times New Roman"/>
            </w:rPr>
            <w:fldChar w:fldCharType="end"/>
          </w:r>
        </w:p>
        <w:p>
          <w:pPr>
            <w:pStyle w:val="6"/>
            <w:rPr>
              <w:rFonts w:ascii="Times New Roman" w:hAnsi="Times New Roman" w:cs="Times New Roman"/>
              <w14:ligatures w14:val="standardContextual"/>
            </w:rPr>
          </w:pPr>
          <w:r>
            <w:fldChar w:fldCharType="begin"/>
          </w:r>
          <w:r>
            <w:instrText xml:space="preserve"> HYPERLINK \l "_Toc166059522" </w:instrText>
          </w:r>
          <w:r>
            <w:fldChar w:fldCharType="separate"/>
          </w:r>
          <w:r>
            <w:rPr>
              <w:rStyle w:val="9"/>
              <w:rFonts w:ascii="Times New Roman" w:hAnsi="Times New Roman" w:eastAsia="宋体" w:cs="Times New Roman"/>
              <w:sz w:val="28"/>
              <w:szCs w:val="28"/>
            </w:rPr>
            <w:t>第十六条 多名调解员的产生方式</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_Toc166059522 \h </w:instrText>
          </w:r>
          <w:r>
            <w:rPr>
              <w:rFonts w:ascii="Times New Roman" w:hAnsi="Times New Roman" w:cs="Times New Roman"/>
            </w:rPr>
            <w:fldChar w:fldCharType="separate"/>
          </w:r>
          <w:r>
            <w:rPr>
              <w:rFonts w:ascii="Times New Roman" w:hAnsi="Times New Roman" w:cs="Times New Roman"/>
            </w:rPr>
            <w:t>7</w:t>
          </w:r>
          <w:r>
            <w:rPr>
              <w:rFonts w:ascii="Times New Roman" w:hAnsi="Times New Roman" w:cs="Times New Roman"/>
            </w:rPr>
            <w:fldChar w:fldCharType="end"/>
          </w:r>
          <w:r>
            <w:rPr>
              <w:rFonts w:ascii="Times New Roman" w:hAnsi="Times New Roman" w:cs="Times New Roman"/>
            </w:rPr>
            <w:fldChar w:fldCharType="end"/>
          </w:r>
        </w:p>
        <w:p>
          <w:pPr>
            <w:pStyle w:val="6"/>
            <w:rPr>
              <w:rFonts w:ascii="Times New Roman" w:hAnsi="Times New Roman" w:cs="Times New Roman"/>
              <w14:ligatures w14:val="standardContextual"/>
            </w:rPr>
          </w:pPr>
          <w:r>
            <w:fldChar w:fldCharType="begin"/>
          </w:r>
          <w:r>
            <w:instrText xml:space="preserve"> HYPERLINK \l "_Toc166059523" </w:instrText>
          </w:r>
          <w:r>
            <w:fldChar w:fldCharType="separate"/>
          </w:r>
          <w:r>
            <w:rPr>
              <w:rStyle w:val="9"/>
              <w:rFonts w:ascii="Times New Roman" w:hAnsi="Times New Roman" w:eastAsia="宋体" w:cs="Times New Roman"/>
              <w:sz w:val="28"/>
              <w:szCs w:val="28"/>
            </w:rPr>
            <w:t>第十七条 确定调解员的考虑因素</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_Toc166059523 \h </w:instrText>
          </w:r>
          <w:r>
            <w:rPr>
              <w:rFonts w:ascii="Times New Roman" w:hAnsi="Times New Roman" w:cs="Times New Roman"/>
            </w:rPr>
            <w:fldChar w:fldCharType="separate"/>
          </w:r>
          <w:r>
            <w:rPr>
              <w:rFonts w:ascii="Times New Roman" w:hAnsi="Times New Roman" w:cs="Times New Roman"/>
            </w:rPr>
            <w:t>7</w:t>
          </w:r>
          <w:r>
            <w:rPr>
              <w:rFonts w:ascii="Times New Roman" w:hAnsi="Times New Roman" w:cs="Times New Roman"/>
            </w:rPr>
            <w:fldChar w:fldCharType="end"/>
          </w:r>
          <w:r>
            <w:rPr>
              <w:rFonts w:ascii="Times New Roman" w:hAnsi="Times New Roman" w:cs="Times New Roman"/>
            </w:rPr>
            <w:fldChar w:fldCharType="end"/>
          </w:r>
        </w:p>
        <w:p>
          <w:pPr>
            <w:pStyle w:val="6"/>
            <w:rPr>
              <w:rFonts w:ascii="Times New Roman" w:hAnsi="Times New Roman" w:cs="Times New Roman"/>
              <w14:ligatures w14:val="standardContextual"/>
            </w:rPr>
          </w:pPr>
          <w:r>
            <w:fldChar w:fldCharType="begin"/>
          </w:r>
          <w:r>
            <w:instrText xml:space="preserve"> HYPERLINK \l "_Toc166059524" </w:instrText>
          </w:r>
          <w:r>
            <w:fldChar w:fldCharType="separate"/>
          </w:r>
          <w:r>
            <w:rPr>
              <w:rStyle w:val="9"/>
              <w:rFonts w:ascii="Times New Roman" w:hAnsi="Times New Roman" w:eastAsia="宋体" w:cs="Times New Roman"/>
              <w:sz w:val="28"/>
              <w:szCs w:val="28"/>
            </w:rPr>
            <w:t>第十八条 披露</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_Toc166059524 \h </w:instrText>
          </w:r>
          <w:r>
            <w:rPr>
              <w:rFonts w:ascii="Times New Roman" w:hAnsi="Times New Roman" w:cs="Times New Roman"/>
            </w:rPr>
            <w:fldChar w:fldCharType="separate"/>
          </w:r>
          <w:r>
            <w:rPr>
              <w:rFonts w:ascii="Times New Roman" w:hAnsi="Times New Roman" w:cs="Times New Roman"/>
            </w:rPr>
            <w:t>7</w:t>
          </w:r>
          <w:r>
            <w:rPr>
              <w:rFonts w:ascii="Times New Roman" w:hAnsi="Times New Roman" w:cs="Times New Roman"/>
            </w:rPr>
            <w:fldChar w:fldCharType="end"/>
          </w:r>
          <w:r>
            <w:rPr>
              <w:rFonts w:ascii="Times New Roman" w:hAnsi="Times New Roman" w:cs="Times New Roman"/>
            </w:rPr>
            <w:fldChar w:fldCharType="end"/>
          </w:r>
        </w:p>
        <w:p>
          <w:pPr>
            <w:pStyle w:val="6"/>
            <w:rPr>
              <w:rFonts w:ascii="Times New Roman" w:hAnsi="Times New Roman" w:cs="Times New Roman"/>
              <w14:ligatures w14:val="standardContextual"/>
            </w:rPr>
          </w:pPr>
          <w:r>
            <w:fldChar w:fldCharType="begin"/>
          </w:r>
          <w:r>
            <w:instrText xml:space="preserve"> HYPERLINK \l "_Toc166059525" </w:instrText>
          </w:r>
          <w:r>
            <w:fldChar w:fldCharType="separate"/>
          </w:r>
          <w:r>
            <w:rPr>
              <w:rStyle w:val="9"/>
              <w:rFonts w:ascii="Times New Roman" w:hAnsi="Times New Roman" w:eastAsia="宋体" w:cs="Times New Roman"/>
              <w:sz w:val="28"/>
              <w:szCs w:val="28"/>
            </w:rPr>
            <w:t>第十九条 当事人异议与调解员更换</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_Toc166059525 \h </w:instrText>
          </w:r>
          <w:r>
            <w:rPr>
              <w:rFonts w:ascii="Times New Roman" w:hAnsi="Times New Roman" w:cs="Times New Roman"/>
            </w:rPr>
            <w:fldChar w:fldCharType="separate"/>
          </w:r>
          <w:r>
            <w:rPr>
              <w:rFonts w:ascii="Times New Roman" w:hAnsi="Times New Roman" w:cs="Times New Roman"/>
            </w:rPr>
            <w:t>7</w:t>
          </w:r>
          <w:r>
            <w:rPr>
              <w:rFonts w:ascii="Times New Roman" w:hAnsi="Times New Roman" w:cs="Times New Roman"/>
            </w:rPr>
            <w:fldChar w:fldCharType="end"/>
          </w:r>
          <w:r>
            <w:rPr>
              <w:rFonts w:ascii="Times New Roman" w:hAnsi="Times New Roman" w:cs="Times New Roman"/>
            </w:rPr>
            <w:fldChar w:fldCharType="end"/>
          </w:r>
        </w:p>
        <w:p>
          <w:pPr>
            <w:pStyle w:val="6"/>
            <w:rPr>
              <w:rFonts w:ascii="Times New Roman" w:hAnsi="Times New Roman" w:cs="Times New Roman"/>
              <w14:ligatures w14:val="standardContextual"/>
            </w:rPr>
          </w:pPr>
          <w:r>
            <w:fldChar w:fldCharType="begin"/>
          </w:r>
          <w:r>
            <w:instrText xml:space="preserve"> HYPERLINK \l "_Toc166059526" </w:instrText>
          </w:r>
          <w:r>
            <w:fldChar w:fldCharType="separate"/>
          </w:r>
          <w:r>
            <w:rPr>
              <w:rStyle w:val="9"/>
              <w:rFonts w:ascii="Times New Roman" w:hAnsi="Times New Roman" w:eastAsia="宋体" w:cs="Times New Roman"/>
              <w:sz w:val="28"/>
              <w:szCs w:val="28"/>
            </w:rPr>
            <w:t>第二十条 调解员的退出</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_Toc166059526 \h </w:instrText>
          </w:r>
          <w:r>
            <w:rPr>
              <w:rFonts w:ascii="Times New Roman" w:hAnsi="Times New Roman" w:cs="Times New Roman"/>
            </w:rPr>
            <w:fldChar w:fldCharType="separate"/>
          </w:r>
          <w:r>
            <w:rPr>
              <w:rFonts w:ascii="Times New Roman" w:hAnsi="Times New Roman" w:cs="Times New Roman"/>
            </w:rPr>
            <w:t>8</w:t>
          </w:r>
          <w:r>
            <w:rPr>
              <w:rFonts w:ascii="Times New Roman" w:hAnsi="Times New Roman" w:cs="Times New Roman"/>
            </w:rPr>
            <w:fldChar w:fldCharType="end"/>
          </w:r>
          <w:r>
            <w:rPr>
              <w:rFonts w:ascii="Times New Roman" w:hAnsi="Times New Roman" w:cs="Times New Roman"/>
            </w:rPr>
            <w:fldChar w:fldCharType="end"/>
          </w:r>
        </w:p>
        <w:p>
          <w:pPr>
            <w:pStyle w:val="6"/>
            <w:rPr>
              <w:rFonts w:ascii="Times New Roman" w:hAnsi="Times New Roman" w:cs="Times New Roman"/>
              <w14:ligatures w14:val="standardContextual"/>
            </w:rPr>
          </w:pPr>
          <w:r>
            <w:fldChar w:fldCharType="begin"/>
          </w:r>
          <w:r>
            <w:instrText xml:space="preserve"> HYPERLINK \l "_Toc166059527" </w:instrText>
          </w:r>
          <w:r>
            <w:fldChar w:fldCharType="separate"/>
          </w:r>
          <w:r>
            <w:rPr>
              <w:rStyle w:val="9"/>
              <w:rFonts w:ascii="Times New Roman" w:hAnsi="Times New Roman" w:eastAsia="宋体" w:cs="Times New Roman"/>
              <w:sz w:val="28"/>
              <w:szCs w:val="28"/>
            </w:rPr>
            <w:t>第二十一条 调解程序的重新进行</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_Toc166059527 \h </w:instrText>
          </w:r>
          <w:r>
            <w:rPr>
              <w:rFonts w:ascii="Times New Roman" w:hAnsi="Times New Roman" w:cs="Times New Roman"/>
            </w:rPr>
            <w:fldChar w:fldCharType="separate"/>
          </w:r>
          <w:r>
            <w:rPr>
              <w:rFonts w:ascii="Times New Roman" w:hAnsi="Times New Roman" w:cs="Times New Roman"/>
            </w:rPr>
            <w:t>8</w:t>
          </w:r>
          <w:r>
            <w:rPr>
              <w:rFonts w:ascii="Times New Roman" w:hAnsi="Times New Roman" w:cs="Times New Roman"/>
            </w:rPr>
            <w:fldChar w:fldCharType="end"/>
          </w:r>
          <w:r>
            <w:rPr>
              <w:rFonts w:ascii="Times New Roman" w:hAnsi="Times New Roman" w:cs="Times New Roman"/>
            </w:rPr>
            <w:fldChar w:fldCharType="end"/>
          </w:r>
        </w:p>
        <w:p>
          <w:pPr>
            <w:pStyle w:val="5"/>
            <w:ind w:left="0" w:leftChars="0" w:firstLine="0"/>
            <w:rPr>
              <w14:ligatures w14:val="standardContextual"/>
            </w:rPr>
          </w:pPr>
          <w:r>
            <w:fldChar w:fldCharType="begin"/>
          </w:r>
          <w:r>
            <w:instrText xml:space="preserve"> HYPERLINK \l "_Toc166059528" </w:instrText>
          </w:r>
          <w:r>
            <w:fldChar w:fldCharType="separate"/>
          </w:r>
          <w:r>
            <w:rPr>
              <w:rStyle w:val="9"/>
              <w:b w:val="0"/>
              <w:bCs w:val="0"/>
            </w:rPr>
            <w:t>第三节 调解的进行</w:t>
          </w:r>
          <w:r>
            <w:tab/>
          </w:r>
          <w:r>
            <w:fldChar w:fldCharType="begin"/>
          </w:r>
          <w:r>
            <w:instrText xml:space="preserve"> PAGEREF _Toc166059528 \h </w:instrText>
          </w:r>
          <w:r>
            <w:fldChar w:fldCharType="separate"/>
          </w:r>
          <w:r>
            <w:t>8</w:t>
          </w:r>
          <w:r>
            <w:fldChar w:fldCharType="end"/>
          </w:r>
          <w:r>
            <w:fldChar w:fldCharType="end"/>
          </w:r>
        </w:p>
        <w:p>
          <w:pPr>
            <w:pStyle w:val="6"/>
            <w:rPr>
              <w:rFonts w:ascii="Times New Roman" w:hAnsi="Times New Roman" w:cs="Times New Roman"/>
              <w14:ligatures w14:val="standardContextual"/>
            </w:rPr>
          </w:pPr>
          <w:r>
            <w:fldChar w:fldCharType="begin"/>
          </w:r>
          <w:r>
            <w:instrText xml:space="preserve"> HYPERLINK \l "_Toc166059529" </w:instrText>
          </w:r>
          <w:r>
            <w:fldChar w:fldCharType="separate"/>
          </w:r>
          <w:r>
            <w:rPr>
              <w:rStyle w:val="9"/>
              <w:rFonts w:ascii="Times New Roman" w:hAnsi="Times New Roman" w:eastAsia="宋体" w:cs="Times New Roman"/>
              <w:sz w:val="28"/>
              <w:szCs w:val="28"/>
            </w:rPr>
            <w:t>第二十二条 调解会议与调解期限</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_Toc166059529 \h </w:instrText>
          </w:r>
          <w:r>
            <w:rPr>
              <w:rFonts w:ascii="Times New Roman" w:hAnsi="Times New Roman" w:cs="Times New Roman"/>
            </w:rPr>
            <w:fldChar w:fldCharType="separate"/>
          </w:r>
          <w:r>
            <w:rPr>
              <w:rFonts w:ascii="Times New Roman" w:hAnsi="Times New Roman" w:cs="Times New Roman"/>
            </w:rPr>
            <w:t>8</w:t>
          </w:r>
          <w:r>
            <w:rPr>
              <w:rFonts w:ascii="Times New Roman" w:hAnsi="Times New Roman" w:cs="Times New Roman"/>
            </w:rPr>
            <w:fldChar w:fldCharType="end"/>
          </w:r>
          <w:r>
            <w:rPr>
              <w:rFonts w:ascii="Times New Roman" w:hAnsi="Times New Roman" w:cs="Times New Roman"/>
            </w:rPr>
            <w:fldChar w:fldCharType="end"/>
          </w:r>
        </w:p>
        <w:p>
          <w:pPr>
            <w:pStyle w:val="6"/>
            <w:rPr>
              <w:rFonts w:ascii="Times New Roman" w:hAnsi="Times New Roman" w:cs="Times New Roman"/>
              <w14:ligatures w14:val="standardContextual"/>
            </w:rPr>
          </w:pPr>
          <w:r>
            <w:fldChar w:fldCharType="begin"/>
          </w:r>
          <w:r>
            <w:instrText xml:space="preserve"> HYPERLINK \l "_Toc166059530" </w:instrText>
          </w:r>
          <w:r>
            <w:fldChar w:fldCharType="separate"/>
          </w:r>
          <w:r>
            <w:rPr>
              <w:rStyle w:val="9"/>
              <w:rFonts w:ascii="Times New Roman" w:hAnsi="Times New Roman" w:eastAsia="宋体" w:cs="Times New Roman"/>
              <w:sz w:val="28"/>
              <w:szCs w:val="28"/>
            </w:rPr>
            <w:t>第二十三条 调解的方式</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_Toc166059530 \h </w:instrText>
          </w:r>
          <w:r>
            <w:rPr>
              <w:rFonts w:ascii="Times New Roman" w:hAnsi="Times New Roman" w:cs="Times New Roman"/>
            </w:rPr>
            <w:fldChar w:fldCharType="separate"/>
          </w:r>
          <w:r>
            <w:rPr>
              <w:rFonts w:ascii="Times New Roman" w:hAnsi="Times New Roman" w:cs="Times New Roman"/>
            </w:rPr>
            <w:t>8</w:t>
          </w:r>
          <w:r>
            <w:rPr>
              <w:rFonts w:ascii="Times New Roman" w:hAnsi="Times New Roman" w:cs="Times New Roman"/>
            </w:rPr>
            <w:fldChar w:fldCharType="end"/>
          </w:r>
          <w:r>
            <w:rPr>
              <w:rFonts w:ascii="Times New Roman" w:hAnsi="Times New Roman" w:cs="Times New Roman"/>
            </w:rPr>
            <w:fldChar w:fldCharType="end"/>
          </w:r>
        </w:p>
        <w:p>
          <w:pPr>
            <w:pStyle w:val="6"/>
            <w:rPr>
              <w:rFonts w:ascii="Times New Roman" w:hAnsi="Times New Roman" w:cs="Times New Roman"/>
              <w14:ligatures w14:val="standardContextual"/>
            </w:rPr>
          </w:pPr>
          <w:r>
            <w:fldChar w:fldCharType="begin"/>
          </w:r>
          <w:r>
            <w:instrText xml:space="preserve"> HYPERLINK \l "_Toc166059531" </w:instrText>
          </w:r>
          <w:r>
            <w:fldChar w:fldCharType="separate"/>
          </w:r>
          <w:r>
            <w:rPr>
              <w:rStyle w:val="9"/>
              <w:rFonts w:ascii="Times New Roman" w:hAnsi="Times New Roman" w:eastAsia="宋体" w:cs="Times New Roman"/>
              <w:sz w:val="28"/>
              <w:szCs w:val="28"/>
            </w:rPr>
            <w:t>第二十四条 调解员的义务</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_Toc166059531 \h </w:instrText>
          </w:r>
          <w:r>
            <w:rPr>
              <w:rFonts w:ascii="Times New Roman" w:hAnsi="Times New Roman" w:cs="Times New Roman"/>
            </w:rPr>
            <w:fldChar w:fldCharType="separate"/>
          </w:r>
          <w:r>
            <w:rPr>
              <w:rFonts w:ascii="Times New Roman" w:hAnsi="Times New Roman" w:cs="Times New Roman"/>
            </w:rPr>
            <w:t>9</w:t>
          </w:r>
          <w:r>
            <w:rPr>
              <w:rFonts w:ascii="Times New Roman" w:hAnsi="Times New Roman" w:cs="Times New Roman"/>
            </w:rPr>
            <w:fldChar w:fldCharType="end"/>
          </w:r>
          <w:r>
            <w:rPr>
              <w:rFonts w:ascii="Times New Roman" w:hAnsi="Times New Roman" w:cs="Times New Roman"/>
            </w:rPr>
            <w:fldChar w:fldCharType="end"/>
          </w:r>
        </w:p>
        <w:p>
          <w:pPr>
            <w:pStyle w:val="6"/>
            <w:rPr>
              <w:rFonts w:ascii="Times New Roman" w:hAnsi="Times New Roman" w:cs="Times New Roman"/>
              <w14:ligatures w14:val="standardContextual"/>
            </w:rPr>
          </w:pPr>
          <w:r>
            <w:fldChar w:fldCharType="begin"/>
          </w:r>
          <w:r>
            <w:instrText xml:space="preserve"> HYPERLINK \l "_Toc166059532" </w:instrText>
          </w:r>
          <w:r>
            <w:fldChar w:fldCharType="separate"/>
          </w:r>
          <w:r>
            <w:rPr>
              <w:rStyle w:val="9"/>
              <w:rFonts w:ascii="Times New Roman" w:hAnsi="Times New Roman" w:eastAsia="宋体" w:cs="Times New Roman"/>
              <w:sz w:val="28"/>
              <w:szCs w:val="28"/>
            </w:rPr>
            <w:t>第二十五条 调解地点</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_Toc166059532 \h </w:instrText>
          </w:r>
          <w:r>
            <w:rPr>
              <w:rFonts w:ascii="Times New Roman" w:hAnsi="Times New Roman" w:cs="Times New Roman"/>
            </w:rPr>
            <w:fldChar w:fldCharType="separate"/>
          </w:r>
          <w:r>
            <w:rPr>
              <w:rFonts w:ascii="Times New Roman" w:hAnsi="Times New Roman" w:cs="Times New Roman"/>
            </w:rPr>
            <w:t>9</w:t>
          </w:r>
          <w:r>
            <w:rPr>
              <w:rFonts w:ascii="Times New Roman" w:hAnsi="Times New Roman" w:cs="Times New Roman"/>
            </w:rPr>
            <w:fldChar w:fldCharType="end"/>
          </w:r>
          <w:r>
            <w:rPr>
              <w:rFonts w:ascii="Times New Roman" w:hAnsi="Times New Roman" w:cs="Times New Roman"/>
            </w:rPr>
            <w:fldChar w:fldCharType="end"/>
          </w:r>
        </w:p>
        <w:p>
          <w:pPr>
            <w:pStyle w:val="6"/>
            <w:rPr>
              <w:rFonts w:ascii="Times New Roman" w:hAnsi="Times New Roman" w:cs="Times New Roman"/>
              <w14:ligatures w14:val="standardContextual"/>
            </w:rPr>
          </w:pPr>
          <w:r>
            <w:fldChar w:fldCharType="begin"/>
          </w:r>
          <w:r>
            <w:instrText xml:space="preserve"> HYPERLINK \l "_Toc166059533" </w:instrText>
          </w:r>
          <w:r>
            <w:fldChar w:fldCharType="separate"/>
          </w:r>
          <w:r>
            <w:rPr>
              <w:rStyle w:val="9"/>
              <w:rFonts w:ascii="Times New Roman" w:hAnsi="Times New Roman" w:eastAsia="宋体" w:cs="Times New Roman"/>
              <w:sz w:val="28"/>
              <w:szCs w:val="28"/>
            </w:rPr>
            <w:t>第二十六条 调解语言</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_Toc166059533 \h </w:instrText>
          </w:r>
          <w:r>
            <w:rPr>
              <w:rFonts w:ascii="Times New Roman" w:hAnsi="Times New Roman" w:cs="Times New Roman"/>
            </w:rPr>
            <w:fldChar w:fldCharType="separate"/>
          </w:r>
          <w:r>
            <w:rPr>
              <w:rFonts w:ascii="Times New Roman" w:hAnsi="Times New Roman" w:cs="Times New Roman"/>
            </w:rPr>
            <w:t>9</w:t>
          </w:r>
          <w:r>
            <w:rPr>
              <w:rFonts w:ascii="Times New Roman" w:hAnsi="Times New Roman" w:cs="Times New Roman"/>
            </w:rPr>
            <w:fldChar w:fldCharType="end"/>
          </w:r>
          <w:r>
            <w:rPr>
              <w:rFonts w:ascii="Times New Roman" w:hAnsi="Times New Roman" w:cs="Times New Roman"/>
            </w:rPr>
            <w:fldChar w:fldCharType="end"/>
          </w:r>
        </w:p>
        <w:p>
          <w:pPr>
            <w:pStyle w:val="6"/>
            <w:rPr>
              <w:rFonts w:ascii="Times New Roman" w:hAnsi="Times New Roman" w:cs="Times New Roman"/>
              <w14:ligatures w14:val="standardContextual"/>
            </w:rPr>
          </w:pPr>
          <w:r>
            <w:fldChar w:fldCharType="begin"/>
          </w:r>
          <w:r>
            <w:instrText xml:space="preserve"> HYPERLINK \l "_Toc166059534" </w:instrText>
          </w:r>
          <w:r>
            <w:fldChar w:fldCharType="separate"/>
          </w:r>
          <w:r>
            <w:rPr>
              <w:rStyle w:val="9"/>
              <w:rFonts w:ascii="Times New Roman" w:hAnsi="Times New Roman" w:eastAsia="宋体" w:cs="Times New Roman"/>
              <w:sz w:val="28"/>
              <w:szCs w:val="28"/>
            </w:rPr>
            <w:t>第二十七条 保密</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_Toc166059534 \h </w:instrText>
          </w:r>
          <w:r>
            <w:rPr>
              <w:rFonts w:ascii="Times New Roman" w:hAnsi="Times New Roman" w:cs="Times New Roman"/>
            </w:rPr>
            <w:fldChar w:fldCharType="separate"/>
          </w:r>
          <w:r>
            <w:rPr>
              <w:rFonts w:ascii="Times New Roman" w:hAnsi="Times New Roman" w:cs="Times New Roman"/>
            </w:rPr>
            <w:t>9</w:t>
          </w:r>
          <w:r>
            <w:rPr>
              <w:rFonts w:ascii="Times New Roman" w:hAnsi="Times New Roman" w:cs="Times New Roman"/>
            </w:rPr>
            <w:fldChar w:fldCharType="end"/>
          </w:r>
          <w:r>
            <w:rPr>
              <w:rFonts w:ascii="Times New Roman" w:hAnsi="Times New Roman" w:cs="Times New Roman"/>
            </w:rPr>
            <w:fldChar w:fldCharType="end"/>
          </w:r>
        </w:p>
        <w:p>
          <w:pPr>
            <w:pStyle w:val="6"/>
            <w:rPr>
              <w:rFonts w:ascii="Times New Roman" w:hAnsi="Times New Roman" w:cs="Times New Roman"/>
              <w14:ligatures w14:val="standardContextual"/>
            </w:rPr>
          </w:pPr>
          <w:r>
            <w:fldChar w:fldCharType="begin"/>
          </w:r>
          <w:r>
            <w:instrText xml:space="preserve"> HYPERLINK \l "_Toc166059535" </w:instrText>
          </w:r>
          <w:r>
            <w:fldChar w:fldCharType="separate"/>
          </w:r>
          <w:r>
            <w:rPr>
              <w:rStyle w:val="9"/>
              <w:rFonts w:ascii="Times New Roman" w:hAnsi="Times New Roman" w:eastAsia="宋体" w:cs="Times New Roman"/>
              <w:sz w:val="28"/>
              <w:szCs w:val="28"/>
            </w:rPr>
            <w:t>第二十八条 和解协议的签署</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_Toc166059535 \h </w:instrText>
          </w:r>
          <w:r>
            <w:rPr>
              <w:rFonts w:ascii="Times New Roman" w:hAnsi="Times New Roman" w:cs="Times New Roman"/>
            </w:rPr>
            <w:fldChar w:fldCharType="separate"/>
          </w:r>
          <w:r>
            <w:rPr>
              <w:rFonts w:ascii="Times New Roman" w:hAnsi="Times New Roman" w:cs="Times New Roman"/>
            </w:rPr>
            <w:t>10</w:t>
          </w:r>
          <w:r>
            <w:rPr>
              <w:rFonts w:ascii="Times New Roman" w:hAnsi="Times New Roman" w:cs="Times New Roman"/>
            </w:rPr>
            <w:fldChar w:fldCharType="end"/>
          </w:r>
          <w:r>
            <w:rPr>
              <w:rFonts w:ascii="Times New Roman" w:hAnsi="Times New Roman" w:cs="Times New Roman"/>
            </w:rPr>
            <w:fldChar w:fldCharType="end"/>
          </w:r>
        </w:p>
        <w:p>
          <w:pPr>
            <w:pStyle w:val="6"/>
            <w:rPr>
              <w:rFonts w:ascii="Times New Roman" w:hAnsi="Times New Roman" w:cs="Times New Roman"/>
              <w14:ligatures w14:val="standardContextual"/>
            </w:rPr>
          </w:pPr>
          <w:r>
            <w:fldChar w:fldCharType="begin"/>
          </w:r>
          <w:r>
            <w:instrText xml:space="preserve"> HYPERLINK \l "_Toc166059536" </w:instrText>
          </w:r>
          <w:r>
            <w:fldChar w:fldCharType="separate"/>
          </w:r>
          <w:r>
            <w:rPr>
              <w:rStyle w:val="9"/>
              <w:rFonts w:ascii="Times New Roman" w:hAnsi="Times New Roman" w:eastAsia="宋体" w:cs="Times New Roman"/>
              <w:sz w:val="28"/>
              <w:szCs w:val="28"/>
            </w:rPr>
            <w:t>第二十九条 调解程序的终止</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_Toc166059536 \h </w:instrText>
          </w:r>
          <w:r>
            <w:rPr>
              <w:rFonts w:ascii="Times New Roman" w:hAnsi="Times New Roman" w:cs="Times New Roman"/>
            </w:rPr>
            <w:fldChar w:fldCharType="separate"/>
          </w:r>
          <w:r>
            <w:rPr>
              <w:rFonts w:ascii="Times New Roman" w:hAnsi="Times New Roman" w:cs="Times New Roman"/>
            </w:rPr>
            <w:t>10</w:t>
          </w:r>
          <w:r>
            <w:rPr>
              <w:rFonts w:ascii="Times New Roman" w:hAnsi="Times New Roman" w:cs="Times New Roman"/>
            </w:rPr>
            <w:fldChar w:fldCharType="end"/>
          </w:r>
          <w:r>
            <w:rPr>
              <w:rFonts w:ascii="Times New Roman" w:hAnsi="Times New Roman" w:cs="Times New Roman"/>
            </w:rPr>
            <w:fldChar w:fldCharType="end"/>
          </w:r>
        </w:p>
        <w:p>
          <w:pPr>
            <w:pStyle w:val="5"/>
            <w:ind w:left="0" w:leftChars="0" w:firstLine="0"/>
            <w:rPr>
              <w14:ligatures w14:val="standardContextual"/>
            </w:rPr>
          </w:pPr>
          <w:r>
            <w:fldChar w:fldCharType="begin"/>
          </w:r>
          <w:r>
            <w:instrText xml:space="preserve"> HYPERLINK \l "_Toc166059537" </w:instrText>
          </w:r>
          <w:r>
            <w:fldChar w:fldCharType="separate"/>
          </w:r>
          <w:r>
            <w:rPr>
              <w:rStyle w:val="9"/>
            </w:rPr>
            <w:t>第三章 调解与其他程序的衔接</w:t>
          </w:r>
          <w:r>
            <w:tab/>
          </w:r>
          <w:r>
            <w:fldChar w:fldCharType="begin"/>
          </w:r>
          <w:r>
            <w:instrText xml:space="preserve"> PAGEREF _Toc166059537 \h </w:instrText>
          </w:r>
          <w:r>
            <w:fldChar w:fldCharType="separate"/>
          </w:r>
          <w:r>
            <w:t>11</w:t>
          </w:r>
          <w:r>
            <w:fldChar w:fldCharType="end"/>
          </w:r>
          <w:r>
            <w:fldChar w:fldCharType="end"/>
          </w:r>
        </w:p>
        <w:p>
          <w:pPr>
            <w:pStyle w:val="6"/>
            <w:rPr>
              <w:rFonts w:ascii="Times New Roman" w:hAnsi="Times New Roman" w:cs="Times New Roman"/>
              <w14:ligatures w14:val="standardContextual"/>
            </w:rPr>
          </w:pPr>
          <w:r>
            <w:fldChar w:fldCharType="begin"/>
          </w:r>
          <w:r>
            <w:instrText xml:space="preserve"> HYPERLINK \l "_Toc166059538" </w:instrText>
          </w:r>
          <w:r>
            <w:fldChar w:fldCharType="separate"/>
          </w:r>
          <w:r>
            <w:rPr>
              <w:rStyle w:val="9"/>
              <w:rFonts w:ascii="Times New Roman" w:hAnsi="Times New Roman" w:eastAsia="宋体" w:cs="Times New Roman"/>
              <w:sz w:val="28"/>
              <w:szCs w:val="28"/>
            </w:rPr>
            <w:t>第三十条 和解协议的司法确认</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_Toc166059538 \h </w:instrText>
          </w:r>
          <w:r>
            <w:rPr>
              <w:rFonts w:ascii="Times New Roman" w:hAnsi="Times New Roman" w:cs="Times New Roman"/>
            </w:rPr>
            <w:fldChar w:fldCharType="separate"/>
          </w:r>
          <w:r>
            <w:rPr>
              <w:rFonts w:ascii="Times New Roman" w:hAnsi="Times New Roman" w:cs="Times New Roman"/>
            </w:rPr>
            <w:t>11</w:t>
          </w:r>
          <w:r>
            <w:rPr>
              <w:rFonts w:ascii="Times New Roman" w:hAnsi="Times New Roman" w:cs="Times New Roman"/>
            </w:rPr>
            <w:fldChar w:fldCharType="end"/>
          </w:r>
          <w:r>
            <w:rPr>
              <w:rFonts w:ascii="Times New Roman" w:hAnsi="Times New Roman" w:cs="Times New Roman"/>
            </w:rPr>
            <w:fldChar w:fldCharType="end"/>
          </w:r>
        </w:p>
        <w:p>
          <w:pPr>
            <w:pStyle w:val="6"/>
            <w:rPr>
              <w:rFonts w:ascii="Times New Roman" w:hAnsi="Times New Roman" w:cs="Times New Roman"/>
              <w14:ligatures w14:val="standardContextual"/>
            </w:rPr>
          </w:pPr>
          <w:r>
            <w:fldChar w:fldCharType="begin"/>
          </w:r>
          <w:r>
            <w:instrText xml:space="preserve"> HYPERLINK \l "_Toc166059539" </w:instrText>
          </w:r>
          <w:r>
            <w:fldChar w:fldCharType="separate"/>
          </w:r>
          <w:r>
            <w:rPr>
              <w:rStyle w:val="9"/>
              <w:rFonts w:ascii="Times New Roman" w:hAnsi="Times New Roman" w:eastAsia="宋体" w:cs="Times New Roman"/>
              <w:sz w:val="28"/>
              <w:szCs w:val="28"/>
            </w:rPr>
            <w:t>第三十一条 调解与仲裁或公证的衔接</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_Toc166059539 \h </w:instrText>
          </w:r>
          <w:r>
            <w:rPr>
              <w:rFonts w:ascii="Times New Roman" w:hAnsi="Times New Roman" w:cs="Times New Roman"/>
            </w:rPr>
            <w:fldChar w:fldCharType="separate"/>
          </w:r>
          <w:r>
            <w:rPr>
              <w:rFonts w:ascii="Times New Roman" w:hAnsi="Times New Roman" w:cs="Times New Roman"/>
            </w:rPr>
            <w:t>11</w:t>
          </w:r>
          <w:r>
            <w:rPr>
              <w:rFonts w:ascii="Times New Roman" w:hAnsi="Times New Roman" w:cs="Times New Roman"/>
            </w:rPr>
            <w:fldChar w:fldCharType="end"/>
          </w:r>
          <w:r>
            <w:rPr>
              <w:rFonts w:ascii="Times New Roman" w:hAnsi="Times New Roman" w:cs="Times New Roman"/>
            </w:rPr>
            <w:fldChar w:fldCharType="end"/>
          </w:r>
        </w:p>
        <w:p>
          <w:pPr>
            <w:pStyle w:val="6"/>
            <w:rPr>
              <w:rFonts w:ascii="Times New Roman" w:hAnsi="Times New Roman" w:cs="Times New Roman"/>
              <w14:ligatures w14:val="standardContextual"/>
            </w:rPr>
          </w:pPr>
          <w:r>
            <w:fldChar w:fldCharType="begin"/>
          </w:r>
          <w:r>
            <w:instrText xml:space="preserve"> HYPERLINK \l "_Toc166059540" </w:instrText>
          </w:r>
          <w:r>
            <w:fldChar w:fldCharType="separate"/>
          </w:r>
          <w:r>
            <w:rPr>
              <w:rStyle w:val="9"/>
              <w:rFonts w:ascii="Times New Roman" w:hAnsi="Times New Roman" w:eastAsia="宋体" w:cs="Times New Roman"/>
              <w:sz w:val="28"/>
              <w:szCs w:val="28"/>
            </w:rPr>
            <w:t>第三十二条 当事人在其他程序中的义务</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_Toc166059540 \h </w:instrText>
          </w:r>
          <w:r>
            <w:rPr>
              <w:rFonts w:ascii="Times New Roman" w:hAnsi="Times New Roman" w:cs="Times New Roman"/>
            </w:rPr>
            <w:fldChar w:fldCharType="separate"/>
          </w:r>
          <w:r>
            <w:rPr>
              <w:rFonts w:ascii="Times New Roman" w:hAnsi="Times New Roman" w:cs="Times New Roman"/>
            </w:rPr>
            <w:t>11</w:t>
          </w:r>
          <w:r>
            <w:rPr>
              <w:rFonts w:ascii="Times New Roman" w:hAnsi="Times New Roman" w:cs="Times New Roman"/>
            </w:rPr>
            <w:fldChar w:fldCharType="end"/>
          </w:r>
          <w:r>
            <w:rPr>
              <w:rFonts w:ascii="Times New Roman" w:hAnsi="Times New Roman" w:cs="Times New Roman"/>
            </w:rPr>
            <w:fldChar w:fldCharType="end"/>
          </w:r>
        </w:p>
        <w:p>
          <w:pPr>
            <w:pStyle w:val="6"/>
            <w:rPr>
              <w:rFonts w:ascii="Times New Roman" w:hAnsi="Times New Roman" w:cs="Times New Roman"/>
              <w14:ligatures w14:val="standardContextual"/>
            </w:rPr>
          </w:pPr>
          <w:r>
            <w:fldChar w:fldCharType="begin"/>
          </w:r>
          <w:r>
            <w:instrText xml:space="preserve"> HYPERLINK \l "_Toc166059541" </w:instrText>
          </w:r>
          <w:r>
            <w:fldChar w:fldCharType="separate"/>
          </w:r>
          <w:r>
            <w:rPr>
              <w:rStyle w:val="9"/>
              <w:rFonts w:ascii="Times New Roman" w:hAnsi="Times New Roman" w:eastAsia="宋体" w:cs="Times New Roman"/>
              <w:sz w:val="28"/>
              <w:szCs w:val="28"/>
            </w:rPr>
            <w:t>第三十三条 调解员在其他程序中的义务</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_Toc166059541 \h </w:instrText>
          </w:r>
          <w:r>
            <w:rPr>
              <w:rFonts w:ascii="Times New Roman" w:hAnsi="Times New Roman" w:cs="Times New Roman"/>
            </w:rPr>
            <w:fldChar w:fldCharType="separate"/>
          </w:r>
          <w:r>
            <w:rPr>
              <w:rFonts w:ascii="Times New Roman" w:hAnsi="Times New Roman" w:cs="Times New Roman"/>
            </w:rPr>
            <w:t>11</w:t>
          </w:r>
          <w:r>
            <w:rPr>
              <w:rFonts w:ascii="Times New Roman" w:hAnsi="Times New Roman" w:cs="Times New Roman"/>
            </w:rPr>
            <w:fldChar w:fldCharType="end"/>
          </w:r>
          <w:r>
            <w:rPr>
              <w:rFonts w:ascii="Times New Roman" w:hAnsi="Times New Roman" w:cs="Times New Roman"/>
            </w:rPr>
            <w:fldChar w:fldCharType="end"/>
          </w:r>
        </w:p>
        <w:p>
          <w:pPr>
            <w:pStyle w:val="6"/>
            <w:rPr>
              <w:rFonts w:ascii="Times New Roman" w:hAnsi="Times New Roman" w:cs="Times New Roman"/>
              <w14:ligatures w14:val="standardContextual"/>
            </w:rPr>
          </w:pPr>
          <w:r>
            <w:fldChar w:fldCharType="begin"/>
          </w:r>
          <w:r>
            <w:instrText xml:space="preserve"> HYPERLINK \l "_Toc166059542" </w:instrText>
          </w:r>
          <w:r>
            <w:fldChar w:fldCharType="separate"/>
          </w:r>
          <w:r>
            <w:rPr>
              <w:rStyle w:val="9"/>
              <w:rFonts w:ascii="Times New Roman" w:hAnsi="Times New Roman" w:eastAsia="宋体" w:cs="Times New Roman"/>
              <w:sz w:val="28"/>
              <w:szCs w:val="28"/>
            </w:rPr>
            <w:t>第三十四条 调解中心与调解员的责任豁免</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_Toc166059542 \h </w:instrText>
          </w:r>
          <w:r>
            <w:rPr>
              <w:rFonts w:ascii="Times New Roman" w:hAnsi="Times New Roman" w:cs="Times New Roman"/>
            </w:rPr>
            <w:fldChar w:fldCharType="separate"/>
          </w:r>
          <w:r>
            <w:rPr>
              <w:rFonts w:ascii="Times New Roman" w:hAnsi="Times New Roman" w:cs="Times New Roman"/>
            </w:rPr>
            <w:t>12</w:t>
          </w:r>
          <w:r>
            <w:rPr>
              <w:rFonts w:ascii="Times New Roman" w:hAnsi="Times New Roman" w:cs="Times New Roman"/>
            </w:rPr>
            <w:fldChar w:fldCharType="end"/>
          </w:r>
          <w:r>
            <w:rPr>
              <w:rFonts w:ascii="Times New Roman" w:hAnsi="Times New Roman" w:cs="Times New Roman"/>
            </w:rPr>
            <w:fldChar w:fldCharType="end"/>
          </w:r>
        </w:p>
        <w:p>
          <w:pPr>
            <w:pStyle w:val="6"/>
            <w:rPr>
              <w:rFonts w:ascii="Times New Roman" w:hAnsi="Times New Roman" w:cs="Times New Roman"/>
              <w14:ligatures w14:val="standardContextual"/>
            </w:rPr>
          </w:pPr>
          <w:r>
            <w:fldChar w:fldCharType="begin"/>
          </w:r>
          <w:r>
            <w:instrText xml:space="preserve"> HYPERLINK \l "_Toc166059543" </w:instrText>
          </w:r>
          <w:r>
            <w:fldChar w:fldCharType="separate"/>
          </w:r>
          <w:r>
            <w:rPr>
              <w:rStyle w:val="9"/>
              <w:rFonts w:ascii="Times New Roman" w:hAnsi="Times New Roman" w:eastAsia="宋体" w:cs="Times New Roman"/>
              <w:sz w:val="28"/>
              <w:szCs w:val="28"/>
            </w:rPr>
            <w:t>第三十五条 侵权责任豁免</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_Toc166059543 \h </w:instrText>
          </w:r>
          <w:r>
            <w:rPr>
              <w:rFonts w:ascii="Times New Roman" w:hAnsi="Times New Roman" w:cs="Times New Roman"/>
            </w:rPr>
            <w:fldChar w:fldCharType="separate"/>
          </w:r>
          <w:r>
            <w:rPr>
              <w:rFonts w:ascii="Times New Roman" w:hAnsi="Times New Roman" w:cs="Times New Roman"/>
            </w:rPr>
            <w:t>12</w:t>
          </w:r>
          <w:r>
            <w:rPr>
              <w:rFonts w:ascii="Times New Roman" w:hAnsi="Times New Roman" w:cs="Times New Roman"/>
            </w:rPr>
            <w:fldChar w:fldCharType="end"/>
          </w:r>
          <w:r>
            <w:rPr>
              <w:rFonts w:ascii="Times New Roman" w:hAnsi="Times New Roman" w:cs="Times New Roman"/>
            </w:rPr>
            <w:fldChar w:fldCharType="end"/>
          </w:r>
        </w:p>
        <w:p>
          <w:pPr>
            <w:pStyle w:val="6"/>
            <w:rPr>
              <w:rFonts w:ascii="Times New Roman" w:hAnsi="Times New Roman" w:cs="Times New Roman"/>
              <w14:ligatures w14:val="standardContextual"/>
            </w:rPr>
          </w:pPr>
          <w:r>
            <w:fldChar w:fldCharType="begin"/>
          </w:r>
          <w:r>
            <w:instrText xml:space="preserve"> HYPERLINK \l "_Toc166059544" </w:instrText>
          </w:r>
          <w:r>
            <w:fldChar w:fldCharType="separate"/>
          </w:r>
          <w:r>
            <w:rPr>
              <w:rStyle w:val="9"/>
              <w:rFonts w:ascii="Times New Roman" w:hAnsi="Times New Roman" w:eastAsia="宋体" w:cs="Times New Roman"/>
              <w:sz w:val="28"/>
              <w:szCs w:val="28"/>
            </w:rPr>
            <w:t>第三十六条 调解程序与其他法律程序的关系</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_Toc166059544 \h </w:instrText>
          </w:r>
          <w:r>
            <w:rPr>
              <w:rFonts w:ascii="Times New Roman" w:hAnsi="Times New Roman" w:cs="Times New Roman"/>
            </w:rPr>
            <w:fldChar w:fldCharType="separate"/>
          </w:r>
          <w:r>
            <w:rPr>
              <w:rFonts w:ascii="Times New Roman" w:hAnsi="Times New Roman" w:cs="Times New Roman"/>
            </w:rPr>
            <w:t>12</w:t>
          </w:r>
          <w:r>
            <w:rPr>
              <w:rFonts w:ascii="Times New Roman" w:hAnsi="Times New Roman" w:cs="Times New Roman"/>
            </w:rPr>
            <w:fldChar w:fldCharType="end"/>
          </w:r>
          <w:r>
            <w:rPr>
              <w:rFonts w:ascii="Times New Roman" w:hAnsi="Times New Roman" w:cs="Times New Roman"/>
            </w:rPr>
            <w:fldChar w:fldCharType="end"/>
          </w:r>
        </w:p>
        <w:p>
          <w:pPr>
            <w:pStyle w:val="6"/>
            <w:rPr>
              <w:rFonts w:ascii="Times New Roman" w:hAnsi="Times New Roman" w:cs="Times New Roman"/>
              <w14:ligatures w14:val="standardContextual"/>
            </w:rPr>
          </w:pPr>
          <w:r>
            <w:fldChar w:fldCharType="begin"/>
          </w:r>
          <w:r>
            <w:instrText xml:space="preserve"> HYPERLINK \l "_Toc166059545" </w:instrText>
          </w:r>
          <w:r>
            <w:fldChar w:fldCharType="separate"/>
          </w:r>
          <w:r>
            <w:rPr>
              <w:rStyle w:val="9"/>
              <w:rFonts w:ascii="Times New Roman" w:hAnsi="Times New Roman" w:eastAsia="宋体" w:cs="Times New Roman"/>
              <w:sz w:val="28"/>
              <w:szCs w:val="28"/>
            </w:rPr>
            <w:t>第三十七条 电子传输与文件处理</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_Toc166059545 \h </w:instrText>
          </w:r>
          <w:r>
            <w:rPr>
              <w:rFonts w:ascii="Times New Roman" w:hAnsi="Times New Roman" w:cs="Times New Roman"/>
            </w:rPr>
            <w:fldChar w:fldCharType="separate"/>
          </w:r>
          <w:r>
            <w:rPr>
              <w:rFonts w:ascii="Times New Roman" w:hAnsi="Times New Roman" w:cs="Times New Roman"/>
            </w:rPr>
            <w:t>12</w:t>
          </w:r>
          <w:r>
            <w:rPr>
              <w:rFonts w:ascii="Times New Roman" w:hAnsi="Times New Roman" w:cs="Times New Roman"/>
            </w:rPr>
            <w:fldChar w:fldCharType="end"/>
          </w:r>
          <w:r>
            <w:rPr>
              <w:rFonts w:ascii="Times New Roman" w:hAnsi="Times New Roman" w:cs="Times New Roman"/>
            </w:rPr>
            <w:fldChar w:fldCharType="end"/>
          </w:r>
        </w:p>
        <w:p>
          <w:pPr>
            <w:pStyle w:val="6"/>
            <w:rPr>
              <w:rFonts w:ascii="Times New Roman" w:hAnsi="Times New Roman" w:cs="Times New Roman"/>
              <w14:ligatures w14:val="standardContextual"/>
            </w:rPr>
          </w:pPr>
          <w:r>
            <w:fldChar w:fldCharType="begin"/>
          </w:r>
          <w:r>
            <w:instrText xml:space="preserve"> HYPERLINK \l "_Toc166059546" </w:instrText>
          </w:r>
          <w:r>
            <w:fldChar w:fldCharType="separate"/>
          </w:r>
          <w:r>
            <w:rPr>
              <w:rStyle w:val="9"/>
              <w:rFonts w:ascii="Times New Roman" w:hAnsi="Times New Roman" w:eastAsia="宋体" w:cs="Times New Roman"/>
              <w:sz w:val="28"/>
              <w:szCs w:val="28"/>
            </w:rPr>
            <w:t>第三十八条 规则的解释</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_Toc166059546 \h </w:instrText>
          </w:r>
          <w:r>
            <w:rPr>
              <w:rFonts w:ascii="Times New Roman" w:hAnsi="Times New Roman" w:cs="Times New Roman"/>
            </w:rPr>
            <w:fldChar w:fldCharType="separate"/>
          </w:r>
          <w:r>
            <w:rPr>
              <w:rFonts w:ascii="Times New Roman" w:hAnsi="Times New Roman" w:cs="Times New Roman"/>
            </w:rPr>
            <w:t>12</w:t>
          </w:r>
          <w:r>
            <w:rPr>
              <w:rFonts w:ascii="Times New Roman" w:hAnsi="Times New Roman" w:cs="Times New Roman"/>
            </w:rPr>
            <w:fldChar w:fldCharType="end"/>
          </w:r>
          <w:r>
            <w:rPr>
              <w:rFonts w:ascii="Times New Roman" w:hAnsi="Times New Roman" w:cs="Times New Roman"/>
            </w:rPr>
            <w:fldChar w:fldCharType="end"/>
          </w:r>
        </w:p>
        <w:p>
          <w:pPr>
            <w:pStyle w:val="6"/>
            <w:rPr>
              <w:rFonts w:ascii="Times New Roman" w:hAnsi="Times New Roman" w:cs="Times New Roman"/>
              <w14:ligatures w14:val="standardContextual"/>
            </w:rPr>
          </w:pPr>
          <w:r>
            <w:fldChar w:fldCharType="begin"/>
          </w:r>
          <w:r>
            <w:instrText xml:space="preserve"> HYPERLINK \l "_Toc166059547" </w:instrText>
          </w:r>
          <w:r>
            <w:fldChar w:fldCharType="separate"/>
          </w:r>
          <w:r>
            <w:rPr>
              <w:rStyle w:val="9"/>
              <w:rFonts w:ascii="Times New Roman" w:hAnsi="Times New Roman" w:eastAsia="宋体" w:cs="Times New Roman"/>
              <w:sz w:val="28"/>
              <w:szCs w:val="28"/>
            </w:rPr>
            <w:t>第三十九条 规则的施行</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_Toc166059547 \h </w:instrText>
          </w:r>
          <w:r>
            <w:rPr>
              <w:rFonts w:ascii="Times New Roman" w:hAnsi="Times New Roman" w:cs="Times New Roman"/>
            </w:rPr>
            <w:fldChar w:fldCharType="separate"/>
          </w:r>
          <w:r>
            <w:rPr>
              <w:rFonts w:ascii="Times New Roman" w:hAnsi="Times New Roman" w:cs="Times New Roman"/>
            </w:rPr>
            <w:t>13</w:t>
          </w:r>
          <w:r>
            <w:rPr>
              <w:rFonts w:ascii="Times New Roman" w:hAnsi="Times New Roman" w:cs="Times New Roman"/>
            </w:rPr>
            <w:fldChar w:fldCharType="end"/>
          </w:r>
          <w:r>
            <w:rPr>
              <w:rFonts w:ascii="Times New Roman" w:hAnsi="Times New Roman" w:cs="Times New Roman"/>
            </w:rPr>
            <w:fldChar w:fldCharType="end"/>
          </w:r>
        </w:p>
        <w:p>
          <w:pPr>
            <w:pStyle w:val="5"/>
            <w:ind w:left="0" w:leftChars="0" w:firstLine="0"/>
            <w:rPr>
              <w14:ligatures w14:val="standardContextual"/>
            </w:rPr>
          </w:pPr>
          <w:r>
            <w:t>附件：</w:t>
          </w:r>
          <w:r>
            <w:fldChar w:fldCharType="begin"/>
          </w:r>
          <w:r>
            <w:instrText xml:space="preserve"> HYPERLINK \l "_Toc166059548" </w:instrText>
          </w:r>
          <w:r>
            <w:fldChar w:fldCharType="separate"/>
          </w:r>
          <w:r>
            <w:rPr>
              <w:rStyle w:val="9"/>
            </w:rPr>
            <w:t>《中国国际贸易促进委员会调解中心收费办法》</w:t>
          </w:r>
          <w:r>
            <w:tab/>
          </w:r>
          <w:r>
            <w:fldChar w:fldCharType="begin"/>
          </w:r>
          <w:r>
            <w:instrText xml:space="preserve"> PAGEREF _Toc166059548 \h </w:instrText>
          </w:r>
          <w:r>
            <w:fldChar w:fldCharType="separate"/>
          </w:r>
          <w:r>
            <w:t>14</w:t>
          </w:r>
          <w:r>
            <w:fldChar w:fldCharType="end"/>
          </w:r>
          <w:r>
            <w:fldChar w:fldCharType="end"/>
          </w:r>
        </w:p>
        <w:p>
          <w:pPr>
            <w:spacing w:line="500" w:lineRule="exact"/>
            <w:ind w:firstLine="562"/>
            <w:rPr>
              <w:rFonts w:ascii="Times New Roman" w:hAnsi="Times New Roman" w:eastAsia="宋体" w:cs="Times New Roman"/>
              <w:b/>
              <w:bCs/>
              <w:sz w:val="28"/>
              <w:szCs w:val="28"/>
              <w:lang w:val="zh-CN"/>
            </w:rPr>
          </w:pPr>
          <w:r>
            <w:rPr>
              <w:rFonts w:ascii="Times New Roman" w:hAnsi="Times New Roman" w:eastAsia="宋体" w:cs="Times New Roman"/>
              <w:b/>
              <w:bCs/>
              <w:sz w:val="28"/>
              <w:szCs w:val="28"/>
              <w:lang w:val="zh-CN"/>
            </w:rPr>
            <w:fldChar w:fldCharType="end"/>
          </w:r>
        </w:p>
        <w:p>
          <w:pPr>
            <w:spacing w:line="500" w:lineRule="exact"/>
            <w:ind w:firstLine="562"/>
            <w:rPr>
              <w:rFonts w:ascii="Times New Roman" w:hAnsi="Times New Roman" w:eastAsia="仿宋_GB2312" w:cs="Times New Roman"/>
              <w:b/>
              <w:bCs/>
              <w:sz w:val="28"/>
              <w:szCs w:val="28"/>
              <w:lang w:val="zh-CN"/>
            </w:rPr>
          </w:pPr>
        </w:p>
        <w:p>
          <w:pPr>
            <w:spacing w:line="500" w:lineRule="exact"/>
            <w:ind w:firstLine="562"/>
            <w:rPr>
              <w:rFonts w:ascii="Times New Roman" w:hAnsi="Times New Roman" w:eastAsia="仿宋_GB2312" w:cs="Times New Roman"/>
              <w:b/>
              <w:bCs/>
              <w:sz w:val="28"/>
              <w:szCs w:val="28"/>
              <w:lang w:val="zh-CN"/>
            </w:rPr>
          </w:pPr>
        </w:p>
      </w:sdtContent>
    </w:sdt>
    <w:p>
      <w:pPr>
        <w:spacing w:line="500" w:lineRule="exact"/>
        <w:ind w:firstLine="562"/>
        <w:rPr>
          <w:rFonts w:ascii="Times New Roman" w:hAnsi="Times New Roman" w:eastAsia="仿宋_GB2312" w:cs="Times New Roman"/>
          <w:b/>
          <w:bCs/>
          <w:sz w:val="28"/>
          <w:szCs w:val="28"/>
        </w:rPr>
      </w:pPr>
    </w:p>
    <w:p>
      <w:pPr>
        <w:widowControl/>
        <w:spacing w:after="156" w:afterLines="50" w:line="500" w:lineRule="exact"/>
        <w:ind w:firstLine="723"/>
        <w:jc w:val="center"/>
        <w:outlineLvl w:val="0"/>
        <w:rPr>
          <w:rFonts w:ascii="Times New Roman" w:hAnsi="Times New Roman" w:eastAsia="宋体" w:cs="Times New Roman"/>
          <w:b/>
          <w:kern w:val="44"/>
          <w:sz w:val="36"/>
          <w:szCs w:val="36"/>
        </w:rPr>
      </w:pPr>
      <w:bookmarkStart w:id="1" w:name="_Toc165029118"/>
      <w:bookmarkStart w:id="2" w:name="_Toc165026937"/>
      <w:bookmarkStart w:id="3" w:name="_Toc165022798"/>
      <w:bookmarkStart w:id="4" w:name="_Toc166059503"/>
      <w:bookmarkStart w:id="5" w:name="_Toc165029041"/>
      <w:r>
        <w:rPr>
          <w:rFonts w:hint="eastAsia" w:ascii="Times New Roman" w:hAnsi="Times New Roman" w:eastAsia="宋体" w:cs="Times New Roman"/>
          <w:b/>
          <w:kern w:val="44"/>
          <w:sz w:val="36"/>
          <w:szCs w:val="36"/>
          <w:lang w:val="en-US" w:eastAsia="zh-CN"/>
        </w:rPr>
        <w:t xml:space="preserve">第一章 </w:t>
      </w:r>
      <w:r>
        <w:rPr>
          <w:rFonts w:ascii="Times New Roman" w:hAnsi="Times New Roman" w:eastAsia="宋体" w:cs="Times New Roman"/>
          <w:b/>
          <w:kern w:val="44"/>
          <w:sz w:val="36"/>
          <w:szCs w:val="36"/>
        </w:rPr>
        <w:t>总则</w:t>
      </w:r>
      <w:bookmarkEnd w:id="0"/>
      <w:bookmarkEnd w:id="1"/>
      <w:bookmarkEnd w:id="2"/>
      <w:bookmarkEnd w:id="3"/>
      <w:bookmarkEnd w:id="4"/>
      <w:bookmarkEnd w:id="5"/>
    </w:p>
    <w:p>
      <w:pPr>
        <w:keepNext/>
        <w:keepLines/>
        <w:spacing w:before="312" w:beforeLines="100" w:after="50" w:line="500" w:lineRule="exact"/>
        <w:ind w:firstLine="562" w:firstLineChars="200"/>
        <w:outlineLvl w:val="1"/>
        <w:rPr>
          <w:rFonts w:ascii="Times New Roman" w:hAnsi="Times New Roman" w:eastAsia="宋体" w:cs="Times New Roman"/>
          <w:b/>
          <w:bCs/>
          <w:sz w:val="28"/>
          <w:szCs w:val="32"/>
        </w:rPr>
      </w:pPr>
      <w:bookmarkStart w:id="6" w:name="_Toc165029119"/>
      <w:bookmarkStart w:id="7" w:name="_Toc166059504"/>
      <w:bookmarkStart w:id="8" w:name="_Toc165026938"/>
      <w:bookmarkStart w:id="9" w:name="_Toc165029042"/>
      <w:bookmarkStart w:id="10" w:name="_Toc165022799"/>
      <w:r>
        <w:rPr>
          <w:rFonts w:ascii="Times New Roman" w:hAnsi="Times New Roman" w:eastAsia="宋体" w:cs="Times New Roman"/>
          <w:b/>
          <w:bCs/>
          <w:sz w:val="28"/>
          <w:szCs w:val="32"/>
        </w:rPr>
        <w:t>第一条 调解中心</w:t>
      </w:r>
      <w:bookmarkEnd w:id="6"/>
      <w:bookmarkEnd w:id="7"/>
      <w:bookmarkEnd w:id="8"/>
      <w:bookmarkEnd w:id="9"/>
      <w:bookmarkEnd w:id="10"/>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中国国际贸易促进委员会调解中心（以下简称“调解中心”）是依据《中国国际贸易促进委员会章程》于1987年设立的，以调解等方式受理民商事、海事、投资争端等案件的非营利性常设争议解决机构，同时使用中国国际商会调解中心名称。</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为友好、快捷、有效</w:t>
      </w:r>
      <w:r>
        <w:rPr>
          <w:rFonts w:hint="eastAsia" w:ascii="Times New Roman" w:hAnsi="Times New Roman" w:eastAsia="宋体" w:cs="Times New Roman"/>
          <w:sz w:val="28"/>
          <w:szCs w:val="28"/>
        </w:rPr>
        <w:t>地</w:t>
      </w:r>
      <w:r>
        <w:rPr>
          <w:rFonts w:ascii="Times New Roman" w:hAnsi="Times New Roman" w:eastAsia="宋体" w:cs="Times New Roman"/>
          <w:sz w:val="28"/>
          <w:szCs w:val="28"/>
        </w:rPr>
        <w:t>运用调解方式解决争议，调解中心特制定本规则。</w:t>
      </w:r>
      <w:bookmarkStart w:id="11" w:name="_Toc3474"/>
    </w:p>
    <w:p>
      <w:pPr>
        <w:keepNext/>
        <w:keepLines/>
        <w:spacing w:before="156" w:beforeLines="50" w:after="156" w:afterLines="50" w:line="500" w:lineRule="exact"/>
        <w:ind w:firstLine="562" w:firstLineChars="200"/>
        <w:outlineLvl w:val="1"/>
        <w:rPr>
          <w:rFonts w:ascii="Times New Roman" w:hAnsi="Times New Roman" w:eastAsia="宋体" w:cs="Times New Roman"/>
          <w:b/>
          <w:bCs/>
          <w:sz w:val="28"/>
          <w:szCs w:val="32"/>
        </w:rPr>
      </w:pPr>
      <w:bookmarkStart w:id="12" w:name="_Toc165026939"/>
      <w:bookmarkStart w:id="13" w:name="_Toc165029043"/>
      <w:bookmarkStart w:id="14" w:name="_Toc165029120"/>
      <w:bookmarkStart w:id="15" w:name="_Toc165022800"/>
      <w:bookmarkStart w:id="16" w:name="_Toc166059505"/>
      <w:r>
        <w:rPr>
          <w:rFonts w:ascii="Times New Roman" w:hAnsi="Times New Roman" w:eastAsia="宋体" w:cs="Times New Roman"/>
          <w:b/>
          <w:bCs/>
          <w:sz w:val="28"/>
          <w:szCs w:val="32"/>
        </w:rPr>
        <w:t>第二条</w:t>
      </w:r>
      <w:bookmarkEnd w:id="11"/>
      <w:r>
        <w:rPr>
          <w:rFonts w:ascii="Times New Roman" w:hAnsi="Times New Roman" w:eastAsia="宋体" w:cs="Times New Roman"/>
          <w:b/>
          <w:bCs/>
          <w:sz w:val="28"/>
          <w:szCs w:val="32"/>
        </w:rPr>
        <w:t xml:space="preserve"> 受理范围</w:t>
      </w:r>
      <w:bookmarkEnd w:id="12"/>
      <w:bookmarkEnd w:id="13"/>
      <w:bookmarkEnd w:id="14"/>
      <w:bookmarkEnd w:id="15"/>
      <w:bookmarkEnd w:id="16"/>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自然人、法人和非法人组织之间发生的民商事</w:t>
      </w:r>
      <w:r>
        <w:rPr>
          <w:rFonts w:hint="eastAsia" w:ascii="Times New Roman" w:hAnsi="Times New Roman" w:eastAsia="宋体" w:cs="Times New Roman"/>
          <w:sz w:val="28"/>
          <w:szCs w:val="28"/>
        </w:rPr>
        <w:t>、海事</w:t>
      </w:r>
      <w:r>
        <w:rPr>
          <w:rFonts w:ascii="Times New Roman" w:hAnsi="Times New Roman" w:eastAsia="宋体" w:cs="Times New Roman"/>
          <w:sz w:val="28"/>
          <w:szCs w:val="28"/>
        </w:rPr>
        <w:t>争议及其他特殊主体之间</w:t>
      </w:r>
      <w:r>
        <w:rPr>
          <w:rFonts w:hint="eastAsia" w:ascii="Times New Roman" w:hAnsi="Times New Roman" w:eastAsia="宋体" w:cs="Times New Roman"/>
          <w:sz w:val="28"/>
          <w:szCs w:val="28"/>
        </w:rPr>
        <w:t>约定</w:t>
      </w:r>
      <w:r>
        <w:rPr>
          <w:rFonts w:ascii="Times New Roman" w:hAnsi="Times New Roman" w:eastAsia="宋体" w:cs="Times New Roman"/>
          <w:sz w:val="28"/>
          <w:szCs w:val="28"/>
        </w:rPr>
        <w:t>的特别争议，均可提交调解中心调解。</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调解中心可受理投资者与东道国或地区因投资产生的争议。</w:t>
      </w:r>
      <w:bookmarkStart w:id="17" w:name="_Toc16936"/>
    </w:p>
    <w:p>
      <w:pPr>
        <w:keepNext/>
        <w:keepLines/>
        <w:spacing w:before="156" w:beforeLines="50" w:after="156" w:afterLines="50" w:line="500" w:lineRule="exact"/>
        <w:ind w:firstLine="562" w:firstLineChars="200"/>
        <w:outlineLvl w:val="1"/>
        <w:rPr>
          <w:rFonts w:hint="default" w:ascii="Times New Roman" w:hAnsi="Times New Roman" w:eastAsia="宋体" w:cs="Times New Roman"/>
          <w:b/>
          <w:bCs/>
          <w:sz w:val="28"/>
          <w:szCs w:val="32"/>
          <w:lang w:val="en-US" w:eastAsia="zh-CN"/>
        </w:rPr>
      </w:pPr>
      <w:bookmarkStart w:id="18" w:name="_Toc165022801"/>
      <w:bookmarkStart w:id="19" w:name="_Toc166059506"/>
      <w:bookmarkStart w:id="20" w:name="_Toc165029044"/>
      <w:bookmarkStart w:id="21" w:name="_Toc165029121"/>
      <w:bookmarkStart w:id="22" w:name="_Toc165026940"/>
      <w:r>
        <w:rPr>
          <w:rFonts w:ascii="Times New Roman" w:hAnsi="Times New Roman" w:eastAsia="宋体" w:cs="Times New Roman"/>
          <w:b/>
          <w:bCs/>
          <w:sz w:val="28"/>
          <w:szCs w:val="32"/>
        </w:rPr>
        <w:t>第三条</w:t>
      </w:r>
      <w:bookmarkEnd w:id="17"/>
      <w:r>
        <w:rPr>
          <w:rFonts w:ascii="Times New Roman" w:hAnsi="Times New Roman" w:eastAsia="宋体" w:cs="Times New Roman"/>
          <w:b/>
          <w:bCs/>
          <w:sz w:val="28"/>
          <w:szCs w:val="32"/>
        </w:rPr>
        <w:t xml:space="preserve"> </w:t>
      </w:r>
      <w:bookmarkEnd w:id="18"/>
      <w:bookmarkEnd w:id="19"/>
      <w:bookmarkEnd w:id="20"/>
      <w:bookmarkEnd w:id="21"/>
      <w:bookmarkEnd w:id="22"/>
      <w:r>
        <w:rPr>
          <w:rFonts w:hint="eastAsia" w:ascii="Times New Roman" w:hAnsi="Times New Roman" w:eastAsia="宋体" w:cs="Times New Roman"/>
          <w:b/>
          <w:bCs/>
          <w:sz w:val="28"/>
          <w:szCs w:val="32"/>
          <w:lang w:val="en-US" w:eastAsia="zh-CN"/>
        </w:rPr>
        <w:t>调解与和解协议</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本规则所指调解是由一名或多名争议之外的第三人</w:t>
      </w:r>
      <w:r>
        <w:rPr>
          <w:rFonts w:hint="eastAsia" w:ascii="Times New Roman" w:hAnsi="Times New Roman" w:eastAsia="宋体" w:cs="Times New Roman"/>
          <w:sz w:val="28"/>
          <w:szCs w:val="28"/>
        </w:rPr>
        <w:t>（</w:t>
      </w:r>
      <w:r>
        <w:rPr>
          <w:rFonts w:ascii="Times New Roman" w:hAnsi="Times New Roman" w:eastAsia="宋体" w:cs="Times New Roman"/>
          <w:sz w:val="28"/>
          <w:szCs w:val="28"/>
        </w:rPr>
        <w:t>“调解员”</w:t>
      </w:r>
      <w:r>
        <w:rPr>
          <w:rFonts w:hint="eastAsia" w:ascii="Times New Roman" w:hAnsi="Times New Roman" w:eastAsia="宋体" w:cs="Times New Roman"/>
          <w:sz w:val="28"/>
          <w:szCs w:val="28"/>
        </w:rPr>
        <w:t>）</w:t>
      </w:r>
      <w:r>
        <w:rPr>
          <w:rFonts w:ascii="Times New Roman" w:hAnsi="Times New Roman" w:eastAsia="宋体" w:cs="Times New Roman"/>
          <w:sz w:val="28"/>
          <w:szCs w:val="28"/>
        </w:rPr>
        <w:t>协助当事人友好解决纠纷的争议解决方式。</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本规则所指和解协议，即调解协议，是</w:t>
      </w:r>
      <w:r>
        <w:rPr>
          <w:rFonts w:hint="eastAsia" w:ascii="Times New Roman" w:hAnsi="Times New Roman" w:eastAsia="宋体" w:cs="Times New Roman"/>
          <w:sz w:val="28"/>
          <w:szCs w:val="28"/>
        </w:rPr>
        <w:t>调解所产生的、当事人为解决争议而以书面形式订立的协议。</w:t>
      </w:r>
    </w:p>
    <w:p>
      <w:pPr>
        <w:keepNext/>
        <w:keepLines/>
        <w:spacing w:before="156" w:beforeLines="50" w:after="156" w:afterLines="50" w:line="500" w:lineRule="exact"/>
        <w:ind w:firstLine="562" w:firstLineChars="200"/>
        <w:outlineLvl w:val="1"/>
        <w:rPr>
          <w:rFonts w:ascii="Times New Roman" w:hAnsi="Times New Roman" w:eastAsia="宋体" w:cs="Times New Roman"/>
          <w:b/>
          <w:bCs/>
          <w:sz w:val="28"/>
          <w:szCs w:val="32"/>
        </w:rPr>
      </w:pPr>
      <w:bookmarkStart w:id="23" w:name="_Toc7334"/>
      <w:bookmarkStart w:id="24" w:name="_Toc165022802"/>
      <w:bookmarkStart w:id="25" w:name="_Toc166059507"/>
      <w:bookmarkStart w:id="26" w:name="_Toc165029122"/>
      <w:bookmarkStart w:id="27" w:name="_Toc165026941"/>
      <w:bookmarkStart w:id="28" w:name="_Toc165029045"/>
      <w:r>
        <w:rPr>
          <w:rFonts w:ascii="Times New Roman" w:hAnsi="Times New Roman" w:eastAsia="宋体" w:cs="Times New Roman"/>
          <w:b/>
          <w:bCs/>
          <w:sz w:val="28"/>
          <w:szCs w:val="32"/>
        </w:rPr>
        <w:t>第四条</w:t>
      </w:r>
      <w:bookmarkEnd w:id="23"/>
      <w:r>
        <w:rPr>
          <w:rFonts w:ascii="Times New Roman" w:hAnsi="Times New Roman" w:eastAsia="宋体" w:cs="Times New Roman"/>
          <w:b/>
          <w:bCs/>
          <w:sz w:val="28"/>
          <w:szCs w:val="32"/>
        </w:rPr>
        <w:t xml:space="preserve"> 规则的适用</w:t>
      </w:r>
      <w:bookmarkEnd w:id="24"/>
      <w:bookmarkEnd w:id="25"/>
      <w:bookmarkEnd w:id="26"/>
      <w:bookmarkEnd w:id="27"/>
      <w:bookmarkEnd w:id="28"/>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除非另有约定，当事人将争议提交调解中心调解的，视为同意按照本规则进行调解。</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当事人约定适用本规则进行调解的，视为同意将争议提交调解中心调解。</w:t>
      </w:r>
    </w:p>
    <w:p>
      <w:pPr>
        <w:keepNext/>
        <w:keepLines/>
        <w:spacing w:before="156" w:beforeLines="50" w:after="156" w:afterLines="50" w:line="500" w:lineRule="exact"/>
        <w:ind w:firstLine="562" w:firstLineChars="200"/>
        <w:outlineLvl w:val="1"/>
        <w:rPr>
          <w:rFonts w:ascii="Times New Roman" w:hAnsi="Times New Roman" w:eastAsia="宋体" w:cs="Times New Roman"/>
          <w:b/>
          <w:bCs/>
          <w:sz w:val="28"/>
          <w:szCs w:val="32"/>
        </w:rPr>
      </w:pPr>
      <w:bookmarkStart w:id="29" w:name="_Toc165029124"/>
      <w:bookmarkStart w:id="30" w:name="_Toc166059508"/>
      <w:bookmarkStart w:id="31" w:name="_Toc165022804"/>
      <w:bookmarkStart w:id="32" w:name="_Toc165026943"/>
      <w:bookmarkStart w:id="33" w:name="_Toc165029047"/>
      <w:r>
        <w:rPr>
          <w:rFonts w:ascii="Times New Roman" w:hAnsi="Times New Roman" w:eastAsia="宋体" w:cs="Times New Roman"/>
          <w:b/>
          <w:bCs/>
          <w:sz w:val="28"/>
          <w:szCs w:val="32"/>
        </w:rPr>
        <w:t>第</w:t>
      </w:r>
      <w:r>
        <w:rPr>
          <w:rFonts w:hint="eastAsia" w:ascii="Times New Roman" w:hAnsi="Times New Roman" w:eastAsia="宋体" w:cs="Times New Roman"/>
          <w:b/>
          <w:bCs/>
          <w:sz w:val="28"/>
          <w:szCs w:val="32"/>
        </w:rPr>
        <w:t>五</w:t>
      </w:r>
      <w:r>
        <w:rPr>
          <w:rFonts w:ascii="Times New Roman" w:hAnsi="Times New Roman" w:eastAsia="宋体" w:cs="Times New Roman"/>
          <w:b/>
          <w:bCs/>
          <w:sz w:val="28"/>
          <w:szCs w:val="32"/>
        </w:rPr>
        <w:t>条 调解原则</w:t>
      </w:r>
      <w:bookmarkEnd w:id="29"/>
      <w:bookmarkEnd w:id="30"/>
      <w:bookmarkEnd w:id="31"/>
      <w:bookmarkEnd w:id="32"/>
      <w:bookmarkEnd w:id="33"/>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调解应遵循当事人自愿原则，根据相关法律法规，参照国际惯例及行业惯例，公正公平地促进当事人互谅互让，达成和解。</w:t>
      </w:r>
    </w:p>
    <w:p>
      <w:pPr>
        <w:keepNext/>
        <w:keepLines/>
        <w:spacing w:before="156" w:beforeLines="50" w:after="156" w:afterLines="50" w:line="500" w:lineRule="exact"/>
        <w:ind w:firstLine="562" w:firstLineChars="200"/>
        <w:outlineLvl w:val="1"/>
        <w:rPr>
          <w:rFonts w:ascii="Times New Roman" w:hAnsi="Times New Roman" w:eastAsia="宋体" w:cs="Times New Roman"/>
          <w:b/>
          <w:bCs/>
          <w:sz w:val="28"/>
          <w:szCs w:val="32"/>
        </w:rPr>
      </w:pPr>
      <w:bookmarkStart w:id="34" w:name="_Toc165029048"/>
      <w:bookmarkStart w:id="35" w:name="_Toc165022805"/>
      <w:bookmarkStart w:id="36" w:name="_Toc165026944"/>
      <w:bookmarkStart w:id="37" w:name="_Toc166059509"/>
      <w:bookmarkStart w:id="38" w:name="_Toc165029125"/>
      <w:r>
        <w:rPr>
          <w:rFonts w:ascii="Times New Roman" w:hAnsi="Times New Roman" w:eastAsia="宋体" w:cs="Times New Roman"/>
          <w:b/>
          <w:bCs/>
          <w:sz w:val="28"/>
          <w:szCs w:val="32"/>
        </w:rPr>
        <w:t>第</w:t>
      </w:r>
      <w:r>
        <w:rPr>
          <w:rFonts w:hint="eastAsia" w:ascii="Times New Roman" w:hAnsi="Times New Roman" w:eastAsia="宋体" w:cs="Times New Roman"/>
          <w:b/>
          <w:bCs/>
          <w:sz w:val="28"/>
          <w:szCs w:val="32"/>
        </w:rPr>
        <w:t>六</w:t>
      </w:r>
      <w:r>
        <w:rPr>
          <w:rFonts w:ascii="Times New Roman" w:hAnsi="Times New Roman" w:eastAsia="宋体" w:cs="Times New Roman"/>
          <w:b/>
          <w:bCs/>
          <w:sz w:val="28"/>
          <w:szCs w:val="32"/>
        </w:rPr>
        <w:t>条 善意调解与诚信合作</w:t>
      </w:r>
      <w:bookmarkEnd w:id="34"/>
      <w:bookmarkEnd w:id="35"/>
      <w:bookmarkEnd w:id="36"/>
      <w:bookmarkEnd w:id="37"/>
      <w:bookmarkEnd w:id="38"/>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各方当事人应在调解过程中善意行事、诚信合作，自觉遵守本规则及有关法律规定，积极参与调解程序，自动履行达成的和解协议。</w:t>
      </w:r>
    </w:p>
    <w:p>
      <w:pPr>
        <w:keepNext/>
        <w:keepLines/>
        <w:spacing w:before="156" w:beforeLines="50" w:after="156" w:afterLines="50" w:line="500" w:lineRule="exact"/>
        <w:ind w:firstLine="562" w:firstLineChars="200"/>
        <w:outlineLvl w:val="1"/>
        <w:rPr>
          <w:rFonts w:ascii="Times New Roman" w:hAnsi="Times New Roman" w:eastAsia="宋体" w:cs="Times New Roman"/>
          <w:b/>
          <w:bCs/>
          <w:sz w:val="28"/>
          <w:szCs w:val="32"/>
        </w:rPr>
      </w:pPr>
      <w:bookmarkStart w:id="39" w:name="_Toc165022806"/>
      <w:bookmarkStart w:id="40" w:name="_Toc166059510"/>
      <w:bookmarkStart w:id="41" w:name="_Toc165029126"/>
      <w:bookmarkStart w:id="42" w:name="_Toc165029049"/>
      <w:bookmarkStart w:id="43" w:name="_Toc165026945"/>
      <w:r>
        <w:rPr>
          <w:rFonts w:ascii="Times New Roman" w:hAnsi="Times New Roman" w:eastAsia="宋体" w:cs="Times New Roman"/>
          <w:b/>
          <w:bCs/>
          <w:sz w:val="28"/>
          <w:szCs w:val="32"/>
        </w:rPr>
        <w:t>第</w:t>
      </w:r>
      <w:r>
        <w:rPr>
          <w:rFonts w:hint="eastAsia" w:ascii="Times New Roman" w:hAnsi="Times New Roman" w:eastAsia="宋体" w:cs="Times New Roman"/>
          <w:b/>
          <w:bCs/>
          <w:sz w:val="28"/>
          <w:szCs w:val="32"/>
        </w:rPr>
        <w:t>七</w:t>
      </w:r>
      <w:r>
        <w:rPr>
          <w:rFonts w:ascii="Times New Roman" w:hAnsi="Times New Roman" w:eastAsia="宋体" w:cs="Times New Roman"/>
          <w:b/>
          <w:bCs/>
          <w:sz w:val="28"/>
          <w:szCs w:val="32"/>
        </w:rPr>
        <w:t>条 委托与联合调解</w:t>
      </w:r>
      <w:bookmarkEnd w:id="39"/>
      <w:bookmarkEnd w:id="40"/>
      <w:bookmarkEnd w:id="41"/>
      <w:bookmarkEnd w:id="42"/>
      <w:bookmarkEnd w:id="43"/>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调解中心可以接受其他争议解决机构、使领馆、商协会等邀请或委托</w:t>
      </w:r>
      <w:r>
        <w:rPr>
          <w:rFonts w:hint="eastAsia" w:ascii="Times New Roman" w:hAnsi="Times New Roman" w:eastAsia="宋体" w:cs="Times New Roman"/>
          <w:sz w:val="28"/>
          <w:szCs w:val="28"/>
        </w:rPr>
        <w:t>对争议进行调解，或与上述机构进行联合调解。</w:t>
      </w:r>
    </w:p>
    <w:p>
      <w:pPr>
        <w:spacing w:line="500" w:lineRule="exact"/>
        <w:ind w:firstLine="560" w:firstLineChars="200"/>
        <w:rPr>
          <w:rFonts w:ascii="Times New Roman" w:hAnsi="Times New Roman" w:eastAsia="宋体" w:cs="Times New Roman"/>
          <w:sz w:val="28"/>
          <w:szCs w:val="28"/>
        </w:rPr>
      </w:pPr>
    </w:p>
    <w:p>
      <w:pPr>
        <w:widowControl/>
        <w:spacing w:after="156" w:afterLines="50" w:line="500" w:lineRule="exact"/>
        <w:ind w:firstLine="723"/>
        <w:jc w:val="center"/>
        <w:outlineLvl w:val="0"/>
        <w:rPr>
          <w:rFonts w:ascii="Times New Roman" w:hAnsi="Times New Roman" w:eastAsia="宋体" w:cs="Times New Roman"/>
          <w:b/>
          <w:kern w:val="44"/>
          <w:sz w:val="36"/>
          <w:szCs w:val="36"/>
        </w:rPr>
      </w:pPr>
      <w:bookmarkStart w:id="44" w:name="_Toc165026946"/>
      <w:bookmarkStart w:id="45" w:name="_Toc165022807"/>
      <w:bookmarkStart w:id="46" w:name="_Toc165029127"/>
      <w:bookmarkStart w:id="47" w:name="_Toc165029050"/>
      <w:bookmarkStart w:id="48" w:name="_Toc166059511"/>
      <w:r>
        <w:rPr>
          <w:rFonts w:ascii="Times New Roman" w:hAnsi="Times New Roman" w:eastAsia="宋体" w:cs="Times New Roman"/>
          <w:b/>
          <w:kern w:val="44"/>
          <w:sz w:val="36"/>
          <w:szCs w:val="36"/>
        </w:rPr>
        <w:t>第二章 调解程序</w:t>
      </w:r>
      <w:bookmarkEnd w:id="44"/>
      <w:bookmarkEnd w:id="45"/>
      <w:bookmarkEnd w:id="46"/>
      <w:bookmarkEnd w:id="47"/>
      <w:bookmarkEnd w:id="48"/>
    </w:p>
    <w:p>
      <w:pPr>
        <w:widowControl/>
        <w:spacing w:before="312" w:beforeLines="100" w:after="156" w:afterLines="50" w:line="500" w:lineRule="exact"/>
        <w:ind w:firstLine="643"/>
        <w:jc w:val="center"/>
        <w:outlineLvl w:val="0"/>
        <w:rPr>
          <w:rFonts w:ascii="Times New Roman" w:hAnsi="Times New Roman" w:eastAsia="宋体" w:cs="Times New Roman"/>
          <w:b/>
          <w:kern w:val="44"/>
          <w:sz w:val="32"/>
          <w:szCs w:val="44"/>
        </w:rPr>
      </w:pPr>
      <w:bookmarkStart w:id="49" w:name="_Toc165029051"/>
      <w:bookmarkStart w:id="50" w:name="_Toc165026947"/>
      <w:bookmarkStart w:id="51" w:name="_Toc166059512"/>
      <w:bookmarkStart w:id="52" w:name="_Toc165029128"/>
      <w:bookmarkStart w:id="53" w:name="_Toc165022808"/>
      <w:r>
        <w:rPr>
          <w:rFonts w:ascii="Times New Roman" w:hAnsi="Times New Roman" w:eastAsia="宋体" w:cs="Times New Roman"/>
          <w:b/>
          <w:kern w:val="44"/>
          <w:sz w:val="32"/>
          <w:szCs w:val="44"/>
        </w:rPr>
        <w:t>第一节 调解的申请与受理</w:t>
      </w:r>
      <w:bookmarkEnd w:id="49"/>
      <w:bookmarkEnd w:id="50"/>
      <w:bookmarkEnd w:id="51"/>
      <w:bookmarkEnd w:id="52"/>
      <w:bookmarkEnd w:id="53"/>
    </w:p>
    <w:p>
      <w:pPr>
        <w:keepNext/>
        <w:keepLines/>
        <w:spacing w:before="156" w:beforeLines="50" w:after="156" w:afterLines="50" w:line="500" w:lineRule="exact"/>
        <w:ind w:firstLine="562" w:firstLineChars="200"/>
        <w:outlineLvl w:val="1"/>
        <w:rPr>
          <w:rFonts w:ascii="Times New Roman" w:hAnsi="Times New Roman" w:eastAsia="宋体" w:cs="Times New Roman"/>
          <w:b/>
          <w:bCs/>
          <w:sz w:val="28"/>
          <w:szCs w:val="32"/>
        </w:rPr>
      </w:pPr>
      <w:bookmarkStart w:id="54" w:name="_Toc165029129"/>
      <w:bookmarkStart w:id="55" w:name="_Toc165026948"/>
      <w:bookmarkStart w:id="56" w:name="_Toc165022809"/>
      <w:bookmarkStart w:id="57" w:name="_Toc166059513"/>
      <w:bookmarkStart w:id="58" w:name="_Toc165029052"/>
      <w:r>
        <w:rPr>
          <w:rFonts w:ascii="Times New Roman" w:hAnsi="Times New Roman" w:eastAsia="宋体" w:cs="Times New Roman"/>
          <w:b/>
          <w:bCs/>
          <w:sz w:val="28"/>
          <w:szCs w:val="32"/>
        </w:rPr>
        <w:t>第</w:t>
      </w:r>
      <w:r>
        <w:rPr>
          <w:rFonts w:hint="eastAsia" w:ascii="Times New Roman" w:hAnsi="Times New Roman" w:eastAsia="宋体" w:cs="Times New Roman"/>
          <w:b/>
          <w:bCs/>
          <w:sz w:val="28"/>
          <w:szCs w:val="32"/>
        </w:rPr>
        <w:t>八</w:t>
      </w:r>
      <w:r>
        <w:rPr>
          <w:rFonts w:ascii="Times New Roman" w:hAnsi="Times New Roman" w:eastAsia="宋体" w:cs="Times New Roman"/>
          <w:b/>
          <w:bCs/>
          <w:sz w:val="28"/>
          <w:szCs w:val="32"/>
        </w:rPr>
        <w:t>条 申请调解</w:t>
      </w:r>
      <w:bookmarkEnd w:id="54"/>
      <w:bookmarkEnd w:id="55"/>
      <w:bookmarkEnd w:id="56"/>
      <w:bookmarkEnd w:id="57"/>
      <w:bookmarkEnd w:id="58"/>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当事人向调解中心申请调解，需要提交：</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（一）当事人签名或者盖章的《调解申请书》。《调解申请书》应当写明：</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1.各方当事人的名称（姓名）、地址、电话、传真、电子邮件、即时通讯方式以及其他可能的快捷联系方式；</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2.基本事实及争议要点；</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3.申请人的调解请求</w:t>
      </w:r>
      <w:r>
        <w:rPr>
          <w:rFonts w:hint="eastAsia" w:ascii="Times New Roman" w:hAnsi="Times New Roman" w:eastAsia="宋体" w:cs="Times New Roman"/>
          <w:sz w:val="28"/>
          <w:szCs w:val="28"/>
        </w:rPr>
        <w:t>。</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（二）适当的证据材料</w:t>
      </w:r>
      <w:r>
        <w:rPr>
          <w:rFonts w:hint="eastAsia" w:ascii="Times New Roman" w:hAnsi="Times New Roman" w:eastAsia="宋体" w:cs="Times New Roman"/>
          <w:sz w:val="28"/>
          <w:szCs w:val="28"/>
        </w:rPr>
        <w:t>。</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（三）身份证明文件</w:t>
      </w:r>
      <w:r>
        <w:rPr>
          <w:rFonts w:hint="eastAsia" w:ascii="Times New Roman" w:hAnsi="Times New Roman" w:eastAsia="宋体" w:cs="Times New Roman"/>
          <w:sz w:val="28"/>
          <w:szCs w:val="28"/>
        </w:rPr>
        <w:t>。</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（四）当事人委托代理人参与调解的，应提交授权委托书。</w:t>
      </w:r>
    </w:p>
    <w:p>
      <w:pPr>
        <w:keepNext/>
        <w:keepLines/>
        <w:spacing w:before="156" w:beforeLines="50" w:after="156" w:afterLines="50" w:line="500" w:lineRule="exact"/>
        <w:ind w:firstLine="562" w:firstLineChars="200"/>
        <w:outlineLvl w:val="1"/>
        <w:rPr>
          <w:rFonts w:ascii="Times New Roman" w:hAnsi="Times New Roman" w:eastAsia="宋体" w:cs="Times New Roman"/>
          <w:b/>
          <w:bCs/>
          <w:sz w:val="28"/>
          <w:szCs w:val="32"/>
        </w:rPr>
      </w:pPr>
      <w:bookmarkStart w:id="59" w:name="_Toc165026949"/>
      <w:bookmarkStart w:id="60" w:name="_Toc166059514"/>
      <w:bookmarkStart w:id="61" w:name="_Toc165029130"/>
      <w:bookmarkStart w:id="62" w:name="_Toc165022810"/>
      <w:bookmarkStart w:id="63" w:name="_Toc165029053"/>
      <w:r>
        <w:rPr>
          <w:rFonts w:ascii="Times New Roman" w:hAnsi="Times New Roman" w:eastAsia="宋体" w:cs="Times New Roman"/>
          <w:b/>
          <w:bCs/>
          <w:sz w:val="28"/>
          <w:szCs w:val="32"/>
        </w:rPr>
        <w:t>第</w:t>
      </w:r>
      <w:r>
        <w:rPr>
          <w:rFonts w:hint="eastAsia" w:ascii="Times New Roman" w:hAnsi="Times New Roman" w:eastAsia="宋体" w:cs="Times New Roman"/>
          <w:b/>
          <w:bCs/>
          <w:sz w:val="28"/>
          <w:szCs w:val="32"/>
        </w:rPr>
        <w:t>九</w:t>
      </w:r>
      <w:r>
        <w:rPr>
          <w:rFonts w:ascii="Times New Roman" w:hAnsi="Times New Roman" w:eastAsia="宋体" w:cs="Times New Roman"/>
          <w:b/>
          <w:bCs/>
          <w:sz w:val="28"/>
          <w:szCs w:val="32"/>
        </w:rPr>
        <w:t>条 案件的受理</w:t>
      </w:r>
      <w:bookmarkEnd w:id="59"/>
      <w:bookmarkEnd w:id="60"/>
      <w:bookmarkEnd w:id="61"/>
      <w:bookmarkEnd w:id="62"/>
      <w:bookmarkEnd w:id="63"/>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申请调解的手续完备的，调解中心应予以受理，调解程序自受理调解申请时开始。</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调解中心受理案件后，应立即向各方当事人发送下述通知书：</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（一）当事人事先约定由调解中心调解或当事人各方共同申请调解的，调解中心向各方当事人发送《受案通知书》；</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（二）当事人一方申请的，调解中心向申请</w:t>
      </w:r>
      <w:r>
        <w:rPr>
          <w:rFonts w:hint="eastAsia" w:ascii="Times New Roman" w:hAnsi="Times New Roman" w:eastAsia="宋体" w:cs="Times New Roman"/>
          <w:sz w:val="28"/>
          <w:szCs w:val="28"/>
        </w:rPr>
        <w:t>人</w:t>
      </w:r>
      <w:r>
        <w:rPr>
          <w:rFonts w:ascii="Times New Roman" w:hAnsi="Times New Roman" w:eastAsia="宋体" w:cs="Times New Roman"/>
          <w:sz w:val="28"/>
          <w:szCs w:val="28"/>
        </w:rPr>
        <w:t>发送《受案通知书》后，向被申请</w:t>
      </w:r>
      <w:r>
        <w:rPr>
          <w:rFonts w:hint="eastAsia" w:ascii="Times New Roman" w:hAnsi="Times New Roman" w:eastAsia="宋体" w:cs="Times New Roman"/>
          <w:sz w:val="28"/>
          <w:szCs w:val="28"/>
        </w:rPr>
        <w:t>人</w:t>
      </w:r>
      <w:r>
        <w:rPr>
          <w:rFonts w:ascii="Times New Roman" w:hAnsi="Times New Roman" w:eastAsia="宋体" w:cs="Times New Roman"/>
          <w:sz w:val="28"/>
          <w:szCs w:val="28"/>
        </w:rPr>
        <w:t>发送《调解通知书》，征询调解意愿；</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调解中心发送上述通知书应附随《中国国际贸易促进委员会调解中心调解规则》等文件。</w:t>
      </w:r>
    </w:p>
    <w:p>
      <w:pPr>
        <w:keepNext/>
        <w:keepLines/>
        <w:spacing w:before="156" w:beforeLines="50" w:after="156" w:afterLines="50" w:line="500" w:lineRule="exact"/>
        <w:ind w:firstLine="562" w:firstLineChars="200"/>
        <w:outlineLvl w:val="1"/>
        <w:rPr>
          <w:rFonts w:ascii="Times New Roman" w:hAnsi="Times New Roman" w:eastAsia="宋体" w:cs="Times New Roman"/>
          <w:b/>
          <w:bCs/>
          <w:sz w:val="28"/>
          <w:szCs w:val="32"/>
        </w:rPr>
      </w:pPr>
      <w:bookmarkStart w:id="64" w:name="_Toc165022811"/>
      <w:bookmarkStart w:id="65" w:name="_Toc166059515"/>
      <w:bookmarkStart w:id="66" w:name="_Toc165026950"/>
      <w:bookmarkStart w:id="67" w:name="_Toc165029131"/>
      <w:bookmarkStart w:id="68" w:name="_Toc165029054"/>
      <w:r>
        <w:rPr>
          <w:rFonts w:ascii="Times New Roman" w:hAnsi="Times New Roman" w:eastAsia="宋体" w:cs="Times New Roman"/>
          <w:b/>
          <w:bCs/>
          <w:sz w:val="28"/>
          <w:szCs w:val="32"/>
        </w:rPr>
        <w:t>第十条 被申请</w:t>
      </w:r>
      <w:r>
        <w:rPr>
          <w:rFonts w:hint="eastAsia" w:ascii="Times New Roman" w:hAnsi="Times New Roman" w:eastAsia="宋体" w:cs="Times New Roman"/>
          <w:b/>
          <w:bCs/>
          <w:sz w:val="28"/>
          <w:szCs w:val="32"/>
        </w:rPr>
        <w:t>人</w:t>
      </w:r>
      <w:r>
        <w:rPr>
          <w:rFonts w:ascii="Times New Roman" w:hAnsi="Times New Roman" w:eastAsia="宋体" w:cs="Times New Roman"/>
          <w:b/>
          <w:bCs/>
          <w:sz w:val="28"/>
          <w:szCs w:val="32"/>
        </w:rPr>
        <w:t>调解意愿确认</w:t>
      </w:r>
      <w:bookmarkEnd w:id="64"/>
      <w:bookmarkEnd w:id="65"/>
      <w:bookmarkEnd w:id="66"/>
      <w:bookmarkEnd w:id="67"/>
      <w:bookmarkEnd w:id="68"/>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除上述第</w:t>
      </w:r>
      <w:r>
        <w:rPr>
          <w:rFonts w:hint="eastAsia" w:ascii="Times New Roman" w:hAnsi="Times New Roman" w:eastAsia="宋体" w:cs="Times New Roman"/>
          <w:sz w:val="28"/>
          <w:szCs w:val="28"/>
        </w:rPr>
        <w:t>九</w:t>
      </w:r>
      <w:r>
        <w:rPr>
          <w:rFonts w:ascii="Times New Roman" w:hAnsi="Times New Roman" w:eastAsia="宋体" w:cs="Times New Roman"/>
          <w:sz w:val="28"/>
          <w:szCs w:val="28"/>
        </w:rPr>
        <w:t>条第（一）款规定情形外，被申请</w:t>
      </w:r>
      <w:r>
        <w:rPr>
          <w:rFonts w:hint="eastAsia" w:ascii="Times New Roman" w:hAnsi="Times New Roman" w:eastAsia="宋体" w:cs="Times New Roman"/>
          <w:sz w:val="28"/>
          <w:szCs w:val="28"/>
        </w:rPr>
        <w:t>人</w:t>
      </w:r>
      <w:r>
        <w:rPr>
          <w:rFonts w:ascii="Times New Roman" w:hAnsi="Times New Roman" w:eastAsia="宋体" w:cs="Times New Roman"/>
          <w:sz w:val="28"/>
          <w:szCs w:val="28"/>
        </w:rPr>
        <w:t>在收到《调解通知书》后应在十个工作日内向调解中心回复是否同意调解的意见。</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被申请</w:t>
      </w:r>
      <w:r>
        <w:rPr>
          <w:rFonts w:hint="eastAsia" w:ascii="Times New Roman" w:hAnsi="Times New Roman" w:eastAsia="宋体" w:cs="Times New Roman"/>
          <w:sz w:val="28"/>
          <w:szCs w:val="28"/>
        </w:rPr>
        <w:t>人</w:t>
      </w:r>
      <w:r>
        <w:rPr>
          <w:rFonts w:ascii="Times New Roman" w:hAnsi="Times New Roman" w:eastAsia="宋体" w:cs="Times New Roman"/>
          <w:sz w:val="28"/>
          <w:szCs w:val="28"/>
        </w:rPr>
        <w:t>在上述期限内作出回复确有困难的，可在期限届满前申请延期。期限届满后确认同意调解的，由调解中心征求申请</w:t>
      </w:r>
      <w:r>
        <w:rPr>
          <w:rFonts w:hint="eastAsia" w:ascii="Times New Roman" w:hAnsi="Times New Roman" w:eastAsia="宋体" w:cs="Times New Roman"/>
          <w:sz w:val="28"/>
          <w:szCs w:val="28"/>
        </w:rPr>
        <w:t>人</w:t>
      </w:r>
      <w:r>
        <w:rPr>
          <w:rFonts w:ascii="Times New Roman" w:hAnsi="Times New Roman" w:eastAsia="宋体" w:cs="Times New Roman"/>
          <w:sz w:val="28"/>
          <w:szCs w:val="28"/>
        </w:rPr>
        <w:t>意见后决定是否继续调解程序。被申请</w:t>
      </w:r>
      <w:r>
        <w:rPr>
          <w:rFonts w:hint="eastAsia" w:ascii="Times New Roman" w:hAnsi="Times New Roman" w:eastAsia="宋体" w:cs="Times New Roman"/>
          <w:sz w:val="28"/>
          <w:szCs w:val="28"/>
        </w:rPr>
        <w:t>人</w:t>
      </w:r>
      <w:r>
        <w:rPr>
          <w:rFonts w:ascii="Times New Roman" w:hAnsi="Times New Roman" w:eastAsia="宋体" w:cs="Times New Roman"/>
          <w:sz w:val="28"/>
          <w:szCs w:val="28"/>
        </w:rPr>
        <w:t>以自己的行为表明同意参与调解程序的，视为同意调解。</w:t>
      </w:r>
    </w:p>
    <w:p>
      <w:pPr>
        <w:keepNext/>
        <w:keepLines/>
        <w:spacing w:before="156" w:beforeLines="50" w:after="156" w:afterLines="50" w:line="500" w:lineRule="exact"/>
        <w:ind w:firstLine="562" w:firstLineChars="200"/>
        <w:outlineLvl w:val="1"/>
        <w:rPr>
          <w:rFonts w:ascii="Times New Roman" w:hAnsi="Times New Roman" w:eastAsia="宋体" w:cs="Times New Roman"/>
          <w:b/>
          <w:bCs/>
          <w:sz w:val="28"/>
          <w:szCs w:val="32"/>
        </w:rPr>
      </w:pPr>
      <w:bookmarkStart w:id="69" w:name="_Toc166059516"/>
      <w:bookmarkStart w:id="70" w:name="_Toc165029055"/>
      <w:bookmarkStart w:id="71" w:name="_Toc165026951"/>
      <w:bookmarkStart w:id="72" w:name="_Toc165022812"/>
      <w:bookmarkStart w:id="73" w:name="_Toc165029132"/>
      <w:r>
        <w:rPr>
          <w:rFonts w:ascii="Times New Roman" w:hAnsi="Times New Roman" w:eastAsia="宋体" w:cs="Times New Roman"/>
          <w:b/>
          <w:bCs/>
          <w:sz w:val="28"/>
          <w:szCs w:val="32"/>
        </w:rPr>
        <w:t>第十</w:t>
      </w:r>
      <w:r>
        <w:rPr>
          <w:rFonts w:hint="eastAsia" w:ascii="Times New Roman" w:hAnsi="Times New Roman" w:eastAsia="宋体" w:cs="Times New Roman"/>
          <w:b/>
          <w:bCs/>
          <w:sz w:val="28"/>
          <w:szCs w:val="32"/>
        </w:rPr>
        <w:t>一</w:t>
      </w:r>
      <w:r>
        <w:rPr>
          <w:rFonts w:ascii="Times New Roman" w:hAnsi="Times New Roman" w:eastAsia="宋体" w:cs="Times New Roman"/>
          <w:b/>
          <w:bCs/>
          <w:sz w:val="28"/>
          <w:szCs w:val="32"/>
        </w:rPr>
        <w:t>条 调解材料份数与形式</w:t>
      </w:r>
      <w:bookmarkEnd w:id="69"/>
      <w:bookmarkEnd w:id="70"/>
      <w:bookmarkEnd w:id="71"/>
      <w:bookmarkEnd w:id="72"/>
      <w:bookmarkEnd w:id="73"/>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当事人提交材料需一式三份。当事人人数超过二人或调解员人数超过一人的，增加相应的份数。</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当事人可通过能获得传送记录的网络电子方式提交</w:t>
      </w:r>
      <w:r>
        <w:rPr>
          <w:rFonts w:hint="eastAsia" w:ascii="Times New Roman" w:hAnsi="Times New Roman" w:eastAsia="宋体" w:cs="Times New Roman"/>
          <w:sz w:val="28"/>
          <w:szCs w:val="28"/>
        </w:rPr>
        <w:t>电子化材料</w:t>
      </w:r>
      <w:r>
        <w:rPr>
          <w:rFonts w:ascii="Times New Roman" w:hAnsi="Times New Roman" w:eastAsia="宋体" w:cs="Times New Roman"/>
          <w:sz w:val="28"/>
          <w:szCs w:val="28"/>
        </w:rPr>
        <w:t>。</w:t>
      </w:r>
    </w:p>
    <w:p>
      <w:pPr>
        <w:keepNext/>
        <w:keepLines/>
        <w:spacing w:before="156" w:beforeLines="50" w:after="156" w:afterLines="50" w:line="500" w:lineRule="exact"/>
        <w:ind w:firstLine="562" w:firstLineChars="200"/>
        <w:outlineLvl w:val="1"/>
        <w:rPr>
          <w:rFonts w:ascii="Times New Roman" w:hAnsi="Times New Roman" w:eastAsia="宋体" w:cs="Times New Roman"/>
          <w:b/>
          <w:bCs/>
          <w:sz w:val="28"/>
          <w:szCs w:val="32"/>
        </w:rPr>
      </w:pPr>
      <w:bookmarkStart w:id="74" w:name="_Toc165022813"/>
      <w:bookmarkStart w:id="75" w:name="_Toc165026952"/>
      <w:bookmarkStart w:id="76" w:name="_Toc165029133"/>
      <w:bookmarkStart w:id="77" w:name="_Toc165029056"/>
      <w:bookmarkStart w:id="78" w:name="_Toc166059517"/>
      <w:r>
        <w:rPr>
          <w:rFonts w:ascii="Times New Roman" w:hAnsi="Times New Roman" w:eastAsia="宋体" w:cs="Times New Roman"/>
          <w:b/>
          <w:bCs/>
          <w:sz w:val="28"/>
          <w:szCs w:val="32"/>
        </w:rPr>
        <w:t>第十</w:t>
      </w:r>
      <w:r>
        <w:rPr>
          <w:rFonts w:hint="eastAsia" w:ascii="Times New Roman" w:hAnsi="Times New Roman" w:eastAsia="宋体" w:cs="Times New Roman"/>
          <w:b/>
          <w:bCs/>
          <w:sz w:val="28"/>
          <w:szCs w:val="32"/>
        </w:rPr>
        <w:t>二</w:t>
      </w:r>
      <w:r>
        <w:rPr>
          <w:rFonts w:ascii="Times New Roman" w:hAnsi="Times New Roman" w:eastAsia="宋体" w:cs="Times New Roman"/>
          <w:b/>
          <w:bCs/>
          <w:sz w:val="28"/>
          <w:szCs w:val="32"/>
        </w:rPr>
        <w:t>条 调解费用的缴纳</w:t>
      </w:r>
      <w:bookmarkEnd w:id="74"/>
      <w:bookmarkEnd w:id="75"/>
      <w:bookmarkEnd w:id="76"/>
      <w:bookmarkEnd w:id="77"/>
      <w:bookmarkEnd w:id="78"/>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除非另有规定，当事人应当根据调解中心制定的《中国国际贸易促进委员会调解中心收费办法》缴纳调解费用，包括案件登记费、案件调解费，以及因调解产生的其他合理开支。</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案件登记费应由申请人</w:t>
      </w:r>
      <w:r>
        <w:rPr>
          <w:rFonts w:hint="eastAsia" w:ascii="Times New Roman" w:hAnsi="Times New Roman" w:eastAsia="宋体" w:cs="Times New Roman"/>
          <w:sz w:val="28"/>
          <w:szCs w:val="28"/>
        </w:rPr>
        <w:t>和被申请人分别缴纳。申请人应</w:t>
      </w:r>
      <w:r>
        <w:rPr>
          <w:rFonts w:ascii="Times New Roman" w:hAnsi="Times New Roman" w:eastAsia="宋体" w:cs="Times New Roman"/>
          <w:sz w:val="28"/>
          <w:szCs w:val="28"/>
        </w:rPr>
        <w:t>在提交《调解申请书》时</w:t>
      </w:r>
      <w:r>
        <w:rPr>
          <w:rFonts w:hint="eastAsia" w:ascii="Times New Roman" w:hAnsi="Times New Roman" w:eastAsia="宋体" w:cs="Times New Roman"/>
          <w:sz w:val="28"/>
          <w:szCs w:val="28"/>
        </w:rPr>
        <w:t>缴纳，</w:t>
      </w:r>
      <w:r>
        <w:rPr>
          <w:rFonts w:ascii="Times New Roman" w:hAnsi="Times New Roman" w:eastAsia="宋体" w:cs="Times New Roman"/>
          <w:sz w:val="28"/>
          <w:szCs w:val="28"/>
        </w:rPr>
        <w:t>被申请人</w:t>
      </w:r>
      <w:r>
        <w:rPr>
          <w:rFonts w:hint="eastAsia" w:ascii="Times New Roman" w:hAnsi="Times New Roman" w:eastAsia="宋体" w:cs="Times New Roman"/>
          <w:sz w:val="28"/>
          <w:szCs w:val="28"/>
        </w:rPr>
        <w:t>应在</w:t>
      </w:r>
      <w:r>
        <w:rPr>
          <w:rFonts w:ascii="Times New Roman" w:hAnsi="Times New Roman" w:eastAsia="宋体" w:cs="Times New Roman"/>
          <w:sz w:val="28"/>
          <w:szCs w:val="28"/>
        </w:rPr>
        <w:t>同意调解后缴纳。</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各方当事人均同意调解的，</w:t>
      </w:r>
      <w:r>
        <w:rPr>
          <w:rFonts w:hint="eastAsia" w:ascii="Times New Roman" w:hAnsi="Times New Roman" w:eastAsia="宋体" w:cs="Times New Roman"/>
          <w:sz w:val="28"/>
          <w:szCs w:val="28"/>
        </w:rPr>
        <w:t>应自收到调解中心发送的《缴费通知书》之日起五个工作日内共同预缴案件调解费。</w:t>
      </w:r>
      <w:r>
        <w:rPr>
          <w:rFonts w:ascii="Times New Roman" w:hAnsi="Times New Roman" w:eastAsia="宋体" w:cs="Times New Roman"/>
          <w:sz w:val="28"/>
          <w:szCs w:val="28"/>
        </w:rPr>
        <w:t>一方当事人同意调解，但不</w:t>
      </w:r>
      <w:r>
        <w:rPr>
          <w:rFonts w:hint="eastAsia" w:ascii="Times New Roman" w:hAnsi="Times New Roman" w:eastAsia="宋体" w:cs="Times New Roman"/>
          <w:sz w:val="28"/>
          <w:szCs w:val="28"/>
        </w:rPr>
        <w:t>预缴</w:t>
      </w:r>
      <w:r>
        <w:rPr>
          <w:rFonts w:ascii="Times New Roman" w:hAnsi="Times New Roman" w:eastAsia="宋体" w:cs="Times New Roman"/>
          <w:sz w:val="28"/>
          <w:szCs w:val="28"/>
        </w:rPr>
        <w:t>相关费用的，其他方当事人可以代为</w:t>
      </w:r>
      <w:r>
        <w:rPr>
          <w:rFonts w:hint="eastAsia" w:ascii="Times New Roman" w:hAnsi="Times New Roman" w:eastAsia="宋体" w:cs="Times New Roman"/>
          <w:sz w:val="28"/>
          <w:szCs w:val="28"/>
        </w:rPr>
        <w:t>预缴</w:t>
      </w:r>
      <w:r>
        <w:rPr>
          <w:rFonts w:ascii="Times New Roman" w:hAnsi="Times New Roman" w:eastAsia="宋体" w:cs="Times New Roman"/>
          <w:sz w:val="28"/>
          <w:szCs w:val="28"/>
        </w:rPr>
        <w:t>。</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除非当事人另有约定，案件调解费以及因调解产生的其他合理开支原则上由各方当事人平均负担。</w:t>
      </w:r>
    </w:p>
    <w:p>
      <w:pPr>
        <w:keepNext/>
        <w:keepLines/>
        <w:spacing w:before="156" w:beforeLines="50" w:after="156" w:afterLines="50" w:line="500" w:lineRule="exact"/>
        <w:ind w:firstLine="562" w:firstLineChars="200"/>
        <w:outlineLvl w:val="1"/>
        <w:rPr>
          <w:rFonts w:ascii="Times New Roman" w:hAnsi="Times New Roman" w:eastAsia="宋体" w:cs="Times New Roman"/>
          <w:b/>
          <w:bCs/>
          <w:sz w:val="28"/>
          <w:szCs w:val="32"/>
        </w:rPr>
      </w:pPr>
      <w:bookmarkStart w:id="79" w:name="_Toc165026953"/>
      <w:bookmarkStart w:id="80" w:name="_Toc165029134"/>
      <w:bookmarkStart w:id="81" w:name="_Toc165022814"/>
      <w:bookmarkStart w:id="82" w:name="_Toc166059518"/>
      <w:bookmarkStart w:id="83" w:name="_Toc165029057"/>
      <w:r>
        <w:rPr>
          <w:rFonts w:ascii="Times New Roman" w:hAnsi="Times New Roman" w:eastAsia="宋体" w:cs="Times New Roman"/>
          <w:b/>
          <w:bCs/>
          <w:sz w:val="28"/>
          <w:szCs w:val="32"/>
        </w:rPr>
        <w:t>第十</w:t>
      </w:r>
      <w:r>
        <w:rPr>
          <w:rFonts w:hint="eastAsia" w:ascii="Times New Roman" w:hAnsi="Times New Roman" w:eastAsia="宋体" w:cs="Times New Roman"/>
          <w:b/>
          <w:bCs/>
          <w:sz w:val="28"/>
          <w:szCs w:val="32"/>
        </w:rPr>
        <w:t>三</w:t>
      </w:r>
      <w:r>
        <w:rPr>
          <w:rFonts w:ascii="Times New Roman" w:hAnsi="Times New Roman" w:eastAsia="宋体" w:cs="Times New Roman"/>
          <w:b/>
          <w:bCs/>
          <w:sz w:val="28"/>
          <w:szCs w:val="32"/>
        </w:rPr>
        <w:t>条 未</w:t>
      </w:r>
      <w:r>
        <w:rPr>
          <w:rFonts w:hint="eastAsia" w:ascii="Times New Roman" w:hAnsi="Times New Roman" w:eastAsia="宋体" w:cs="Times New Roman"/>
          <w:b/>
          <w:bCs/>
          <w:sz w:val="28"/>
          <w:szCs w:val="32"/>
        </w:rPr>
        <w:t>预缴</w:t>
      </w:r>
      <w:r>
        <w:rPr>
          <w:rFonts w:ascii="Times New Roman" w:hAnsi="Times New Roman" w:eastAsia="宋体" w:cs="Times New Roman"/>
          <w:b/>
          <w:bCs/>
          <w:sz w:val="28"/>
          <w:szCs w:val="32"/>
        </w:rPr>
        <w:t>调解费用的处理</w:t>
      </w:r>
      <w:bookmarkEnd w:id="79"/>
      <w:bookmarkEnd w:id="80"/>
      <w:bookmarkEnd w:id="81"/>
      <w:bookmarkEnd w:id="82"/>
      <w:bookmarkEnd w:id="83"/>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当事人无正当理由未</w:t>
      </w:r>
      <w:r>
        <w:rPr>
          <w:rFonts w:hint="eastAsia" w:ascii="Times New Roman" w:hAnsi="Times New Roman" w:eastAsia="宋体" w:cs="Times New Roman"/>
          <w:sz w:val="28"/>
          <w:szCs w:val="28"/>
        </w:rPr>
        <w:t>预缴调解费用</w:t>
      </w:r>
      <w:r>
        <w:rPr>
          <w:rFonts w:ascii="Times New Roman" w:hAnsi="Times New Roman" w:eastAsia="宋体" w:cs="Times New Roman"/>
          <w:sz w:val="28"/>
          <w:szCs w:val="28"/>
        </w:rPr>
        <w:t>，</w:t>
      </w:r>
      <w:r>
        <w:rPr>
          <w:rFonts w:hint="eastAsia" w:ascii="Times New Roman" w:hAnsi="Times New Roman" w:eastAsia="宋体" w:cs="Times New Roman"/>
          <w:sz w:val="28"/>
          <w:szCs w:val="28"/>
        </w:rPr>
        <w:t>经</w:t>
      </w:r>
      <w:r>
        <w:rPr>
          <w:rFonts w:ascii="Times New Roman" w:hAnsi="Times New Roman" w:eastAsia="宋体" w:cs="Times New Roman"/>
          <w:sz w:val="28"/>
          <w:szCs w:val="28"/>
        </w:rPr>
        <w:t>催告仍未</w:t>
      </w:r>
      <w:r>
        <w:rPr>
          <w:rFonts w:hint="eastAsia" w:ascii="Times New Roman" w:hAnsi="Times New Roman" w:eastAsia="宋体" w:cs="Times New Roman"/>
          <w:sz w:val="28"/>
          <w:szCs w:val="28"/>
        </w:rPr>
        <w:t>预缴</w:t>
      </w:r>
      <w:r>
        <w:rPr>
          <w:rFonts w:ascii="Times New Roman" w:hAnsi="Times New Roman" w:eastAsia="宋体" w:cs="Times New Roman"/>
          <w:sz w:val="28"/>
          <w:szCs w:val="28"/>
        </w:rPr>
        <w:t>的，调解中心可以：</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（一）决定调解程序继续进行；</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（二）中止调解程序，直至当事</w:t>
      </w:r>
      <w:r>
        <w:rPr>
          <w:rFonts w:hint="eastAsia" w:ascii="Times New Roman" w:hAnsi="Times New Roman" w:eastAsia="宋体" w:cs="Times New Roman"/>
          <w:sz w:val="28"/>
          <w:szCs w:val="28"/>
        </w:rPr>
        <w:t>人预缴</w:t>
      </w:r>
      <w:r>
        <w:rPr>
          <w:rFonts w:ascii="Times New Roman" w:hAnsi="Times New Roman" w:eastAsia="宋体" w:cs="Times New Roman"/>
          <w:sz w:val="28"/>
          <w:szCs w:val="28"/>
        </w:rPr>
        <w:t>完毕；</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（三）经两次催告</w:t>
      </w:r>
      <w:r>
        <w:rPr>
          <w:rFonts w:hint="eastAsia" w:ascii="Times New Roman" w:hAnsi="Times New Roman" w:eastAsia="宋体" w:cs="Times New Roman"/>
          <w:sz w:val="28"/>
          <w:szCs w:val="28"/>
        </w:rPr>
        <w:t>仍未预缴</w:t>
      </w:r>
      <w:r>
        <w:rPr>
          <w:rFonts w:ascii="Times New Roman" w:hAnsi="Times New Roman" w:eastAsia="宋体" w:cs="Times New Roman"/>
          <w:sz w:val="28"/>
          <w:szCs w:val="28"/>
        </w:rPr>
        <w:t>调解费用</w:t>
      </w:r>
      <w:r>
        <w:rPr>
          <w:rFonts w:hint="eastAsia" w:ascii="Times New Roman" w:hAnsi="Times New Roman" w:eastAsia="宋体" w:cs="Times New Roman"/>
          <w:sz w:val="28"/>
          <w:szCs w:val="28"/>
        </w:rPr>
        <w:t>的</w:t>
      </w:r>
      <w:r>
        <w:rPr>
          <w:rFonts w:ascii="Times New Roman" w:hAnsi="Times New Roman" w:eastAsia="宋体" w:cs="Times New Roman"/>
          <w:sz w:val="28"/>
          <w:szCs w:val="28"/>
        </w:rPr>
        <w:t>，终止调解程序。</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继续、中止和终止调解程序不免除各方当事人支付先前调解过程中已经产生的相关费用与开支的义务。</w:t>
      </w:r>
    </w:p>
    <w:p>
      <w:pPr>
        <w:spacing w:line="500" w:lineRule="exact"/>
        <w:rPr>
          <w:rFonts w:ascii="Times New Roman" w:hAnsi="Times New Roman" w:eastAsia="宋体" w:cs="Times New Roman"/>
          <w:sz w:val="28"/>
          <w:szCs w:val="28"/>
        </w:rPr>
      </w:pPr>
    </w:p>
    <w:p>
      <w:pPr>
        <w:widowControl/>
        <w:spacing w:after="156" w:afterLines="50" w:line="500" w:lineRule="exact"/>
        <w:ind w:firstLine="643"/>
        <w:jc w:val="center"/>
        <w:outlineLvl w:val="0"/>
        <w:rPr>
          <w:rFonts w:ascii="Times New Roman" w:hAnsi="Times New Roman" w:eastAsia="宋体" w:cs="Times New Roman"/>
          <w:b/>
          <w:kern w:val="44"/>
          <w:sz w:val="32"/>
          <w:szCs w:val="44"/>
        </w:rPr>
      </w:pPr>
      <w:bookmarkStart w:id="84" w:name="_Toc165026954"/>
      <w:bookmarkStart w:id="85" w:name="_Toc165022815"/>
      <w:bookmarkStart w:id="86" w:name="_Toc166059519"/>
      <w:bookmarkStart w:id="87" w:name="_Toc165029135"/>
      <w:bookmarkStart w:id="88" w:name="_Toc165029058"/>
      <w:r>
        <w:rPr>
          <w:rFonts w:ascii="Times New Roman" w:hAnsi="Times New Roman" w:eastAsia="宋体" w:cs="Times New Roman"/>
          <w:b/>
          <w:kern w:val="44"/>
          <w:sz w:val="32"/>
          <w:szCs w:val="44"/>
        </w:rPr>
        <w:t>第二节 调解员的确定</w:t>
      </w:r>
      <w:bookmarkEnd w:id="84"/>
      <w:bookmarkEnd w:id="85"/>
      <w:bookmarkEnd w:id="86"/>
      <w:bookmarkEnd w:id="87"/>
      <w:bookmarkEnd w:id="88"/>
    </w:p>
    <w:p>
      <w:pPr>
        <w:keepNext/>
        <w:keepLines/>
        <w:spacing w:before="156" w:beforeLines="50" w:after="156" w:afterLines="50" w:line="500" w:lineRule="exact"/>
        <w:ind w:firstLine="562" w:firstLineChars="200"/>
        <w:outlineLvl w:val="1"/>
        <w:rPr>
          <w:rFonts w:ascii="Times New Roman" w:hAnsi="Times New Roman" w:eastAsia="宋体" w:cs="Times New Roman"/>
          <w:b/>
          <w:bCs/>
          <w:sz w:val="28"/>
          <w:szCs w:val="32"/>
        </w:rPr>
      </w:pPr>
      <w:bookmarkStart w:id="89" w:name="_Toc166059520"/>
      <w:bookmarkStart w:id="90" w:name="_Toc165029136"/>
      <w:bookmarkStart w:id="91" w:name="_Toc165029059"/>
      <w:bookmarkStart w:id="92" w:name="_Toc165022816"/>
      <w:bookmarkStart w:id="93" w:name="_Toc165026955"/>
      <w:r>
        <w:rPr>
          <w:rFonts w:ascii="Times New Roman" w:hAnsi="Times New Roman" w:eastAsia="宋体" w:cs="Times New Roman"/>
          <w:b/>
          <w:bCs/>
          <w:sz w:val="28"/>
          <w:szCs w:val="32"/>
        </w:rPr>
        <w:t>第十</w:t>
      </w:r>
      <w:r>
        <w:rPr>
          <w:rFonts w:hint="eastAsia" w:ascii="Times New Roman" w:hAnsi="Times New Roman" w:eastAsia="宋体" w:cs="Times New Roman"/>
          <w:b/>
          <w:bCs/>
          <w:sz w:val="28"/>
          <w:szCs w:val="32"/>
        </w:rPr>
        <w:t>四</w:t>
      </w:r>
      <w:r>
        <w:rPr>
          <w:rFonts w:ascii="Times New Roman" w:hAnsi="Times New Roman" w:eastAsia="宋体" w:cs="Times New Roman"/>
          <w:b/>
          <w:bCs/>
          <w:sz w:val="28"/>
          <w:szCs w:val="32"/>
        </w:rPr>
        <w:t>条 调解员的选定或指定</w:t>
      </w:r>
      <w:bookmarkEnd w:id="89"/>
      <w:bookmarkEnd w:id="90"/>
      <w:bookmarkEnd w:id="91"/>
      <w:bookmarkEnd w:id="92"/>
      <w:bookmarkEnd w:id="93"/>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除非当事人另有约定，调解由一名调解员进行。</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各方当事人应自收到调解中心发送的《调解员选定通知书》之日起五个工作日内选定调解员，或共同委托调解中心指定一名调解员。逾期未共同选定或共同委托指定的，由调解中心代为指定。</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当事人可在调解中心的调解员名册中</w:t>
      </w:r>
      <w:r>
        <w:rPr>
          <w:rFonts w:hint="eastAsia" w:ascii="Times New Roman" w:hAnsi="Times New Roman" w:eastAsia="宋体" w:cs="Times New Roman"/>
          <w:sz w:val="28"/>
          <w:szCs w:val="28"/>
        </w:rPr>
        <w:t>选定</w:t>
      </w:r>
      <w:r>
        <w:rPr>
          <w:rFonts w:ascii="Times New Roman" w:hAnsi="Times New Roman" w:eastAsia="宋体" w:cs="Times New Roman"/>
          <w:sz w:val="28"/>
          <w:szCs w:val="28"/>
        </w:rPr>
        <w:t>调解员</w:t>
      </w:r>
      <w:r>
        <w:rPr>
          <w:rFonts w:hint="eastAsia" w:ascii="Times New Roman" w:hAnsi="Times New Roman" w:eastAsia="宋体" w:cs="Times New Roman"/>
          <w:sz w:val="28"/>
          <w:szCs w:val="28"/>
          <w:lang w:val="en-US" w:eastAsia="zh-CN"/>
        </w:rPr>
        <w:t xml:space="preserve">, </w:t>
      </w:r>
      <w:r>
        <w:rPr>
          <w:rFonts w:ascii="Times New Roman" w:hAnsi="Times New Roman" w:eastAsia="宋体" w:cs="Times New Roman"/>
          <w:sz w:val="28"/>
          <w:szCs w:val="28"/>
        </w:rPr>
        <w:t>也可在名册之外</w:t>
      </w:r>
      <w:r>
        <w:rPr>
          <w:rFonts w:hint="eastAsia" w:ascii="Times New Roman" w:hAnsi="Times New Roman" w:eastAsia="宋体" w:cs="Times New Roman"/>
          <w:sz w:val="28"/>
          <w:szCs w:val="28"/>
        </w:rPr>
        <w:t>选定</w:t>
      </w:r>
      <w:r>
        <w:rPr>
          <w:rFonts w:ascii="Times New Roman" w:hAnsi="Times New Roman" w:eastAsia="宋体" w:cs="Times New Roman"/>
          <w:sz w:val="28"/>
          <w:szCs w:val="28"/>
        </w:rPr>
        <w:t>调解员。当事人在调解员名册之外</w:t>
      </w:r>
      <w:r>
        <w:rPr>
          <w:rFonts w:hint="eastAsia" w:ascii="Times New Roman" w:hAnsi="Times New Roman" w:eastAsia="宋体" w:cs="Times New Roman"/>
          <w:sz w:val="28"/>
          <w:szCs w:val="28"/>
        </w:rPr>
        <w:t>选定</w:t>
      </w:r>
      <w:r>
        <w:rPr>
          <w:rFonts w:ascii="Times New Roman" w:hAnsi="Times New Roman" w:eastAsia="宋体" w:cs="Times New Roman"/>
          <w:sz w:val="28"/>
          <w:szCs w:val="28"/>
        </w:rPr>
        <w:t>调解员的，应提交该调解员的基本情况及联系方式，并经调解中心确认。</w:t>
      </w:r>
    </w:p>
    <w:p>
      <w:pPr>
        <w:keepNext/>
        <w:keepLines/>
        <w:spacing w:before="156" w:beforeLines="50" w:after="156" w:afterLines="50" w:line="500" w:lineRule="exact"/>
        <w:ind w:firstLine="562" w:firstLineChars="200"/>
        <w:outlineLvl w:val="1"/>
        <w:rPr>
          <w:rFonts w:ascii="Times New Roman" w:hAnsi="Times New Roman" w:eastAsia="宋体" w:cs="Times New Roman"/>
          <w:b/>
          <w:bCs/>
          <w:sz w:val="28"/>
          <w:szCs w:val="32"/>
        </w:rPr>
      </w:pPr>
      <w:bookmarkStart w:id="94" w:name="_Toc165029137"/>
      <w:bookmarkStart w:id="95" w:name="_Toc165022817"/>
      <w:bookmarkStart w:id="96" w:name="_Toc165026956"/>
      <w:bookmarkStart w:id="97" w:name="_Toc165029060"/>
      <w:bookmarkStart w:id="98" w:name="_Toc166059521"/>
      <w:r>
        <w:rPr>
          <w:rFonts w:ascii="Times New Roman" w:hAnsi="Times New Roman" w:eastAsia="宋体" w:cs="Times New Roman"/>
          <w:b/>
          <w:bCs/>
          <w:sz w:val="28"/>
          <w:szCs w:val="32"/>
        </w:rPr>
        <w:t>第十</w:t>
      </w:r>
      <w:r>
        <w:rPr>
          <w:rFonts w:hint="eastAsia" w:ascii="Times New Roman" w:hAnsi="Times New Roman" w:eastAsia="宋体" w:cs="Times New Roman"/>
          <w:b/>
          <w:bCs/>
          <w:sz w:val="28"/>
          <w:szCs w:val="32"/>
        </w:rPr>
        <w:t>五</w:t>
      </w:r>
      <w:r>
        <w:rPr>
          <w:rFonts w:ascii="Times New Roman" w:hAnsi="Times New Roman" w:eastAsia="宋体" w:cs="Times New Roman"/>
          <w:b/>
          <w:bCs/>
          <w:sz w:val="28"/>
          <w:szCs w:val="32"/>
        </w:rPr>
        <w:t>条 一名调解员的产生方式</w:t>
      </w:r>
      <w:bookmarkEnd w:id="94"/>
      <w:bookmarkEnd w:id="95"/>
      <w:bookmarkEnd w:id="96"/>
      <w:bookmarkEnd w:id="97"/>
      <w:bookmarkEnd w:id="98"/>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当事人选定调解员可采取共同提名和分别提名方式。提名人数为一至五人。具体选定方式如下：</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（一）当事人</w:t>
      </w:r>
      <w:r>
        <w:rPr>
          <w:rFonts w:hint="eastAsia" w:ascii="Times New Roman" w:hAnsi="Times New Roman" w:eastAsia="宋体" w:cs="Times New Roman"/>
          <w:sz w:val="28"/>
          <w:szCs w:val="28"/>
        </w:rPr>
        <w:t>共同提名一名调解员或</w:t>
      </w:r>
      <w:r>
        <w:rPr>
          <w:rFonts w:ascii="Times New Roman" w:hAnsi="Times New Roman" w:eastAsia="宋体" w:cs="Times New Roman"/>
          <w:sz w:val="28"/>
          <w:szCs w:val="28"/>
        </w:rPr>
        <w:t>提名</w:t>
      </w:r>
      <w:r>
        <w:rPr>
          <w:rFonts w:hint="eastAsia" w:ascii="Times New Roman" w:hAnsi="Times New Roman" w:eastAsia="宋体" w:cs="Times New Roman"/>
          <w:sz w:val="28"/>
          <w:szCs w:val="28"/>
        </w:rPr>
        <w:t>人选中有</w:t>
      </w:r>
      <w:r>
        <w:rPr>
          <w:rFonts w:ascii="Times New Roman" w:hAnsi="Times New Roman" w:eastAsia="宋体" w:cs="Times New Roman"/>
          <w:sz w:val="28"/>
          <w:szCs w:val="28"/>
        </w:rPr>
        <w:t>一名重合的，该调解员为当事人共同选定的调解员；</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（二）当事人</w:t>
      </w:r>
      <w:r>
        <w:rPr>
          <w:rFonts w:hint="eastAsia" w:ascii="Times New Roman" w:hAnsi="Times New Roman" w:eastAsia="宋体" w:cs="Times New Roman"/>
          <w:sz w:val="28"/>
          <w:szCs w:val="28"/>
        </w:rPr>
        <w:t>共同提名多名调解员或</w:t>
      </w:r>
      <w:r>
        <w:rPr>
          <w:rFonts w:ascii="Times New Roman" w:hAnsi="Times New Roman" w:eastAsia="宋体" w:cs="Times New Roman"/>
          <w:sz w:val="28"/>
          <w:szCs w:val="28"/>
        </w:rPr>
        <w:t>提名</w:t>
      </w:r>
      <w:r>
        <w:rPr>
          <w:rFonts w:hint="eastAsia" w:ascii="Times New Roman" w:hAnsi="Times New Roman" w:eastAsia="宋体" w:cs="Times New Roman"/>
          <w:sz w:val="28"/>
          <w:szCs w:val="28"/>
        </w:rPr>
        <w:t>人选中有多名</w:t>
      </w:r>
      <w:r>
        <w:rPr>
          <w:rFonts w:ascii="Times New Roman" w:hAnsi="Times New Roman" w:eastAsia="宋体" w:cs="Times New Roman"/>
          <w:sz w:val="28"/>
          <w:szCs w:val="28"/>
        </w:rPr>
        <w:t>重合的，由调解中心从中指定一名为当事人共同选定的调解员；</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w:t>
      </w:r>
      <w:r>
        <w:rPr>
          <w:rFonts w:hint="eastAsia" w:ascii="Times New Roman" w:hAnsi="Times New Roman" w:eastAsia="宋体" w:cs="Times New Roman"/>
          <w:sz w:val="28"/>
          <w:szCs w:val="28"/>
        </w:rPr>
        <w:t>三</w:t>
      </w:r>
      <w:r>
        <w:rPr>
          <w:rFonts w:ascii="Times New Roman" w:hAnsi="Times New Roman" w:eastAsia="宋体" w:cs="Times New Roman"/>
          <w:sz w:val="28"/>
          <w:szCs w:val="28"/>
        </w:rPr>
        <w:t>）当事人提名</w:t>
      </w:r>
      <w:r>
        <w:rPr>
          <w:rFonts w:hint="eastAsia" w:ascii="Times New Roman" w:hAnsi="Times New Roman" w:eastAsia="宋体" w:cs="Times New Roman"/>
          <w:sz w:val="28"/>
          <w:szCs w:val="28"/>
        </w:rPr>
        <w:t>人选中</w:t>
      </w:r>
      <w:r>
        <w:rPr>
          <w:rFonts w:ascii="Times New Roman" w:hAnsi="Times New Roman" w:eastAsia="宋体" w:cs="Times New Roman"/>
          <w:sz w:val="28"/>
          <w:szCs w:val="28"/>
        </w:rPr>
        <w:t>没有重合的，由调解中心另行指定调解员。</w:t>
      </w:r>
    </w:p>
    <w:p>
      <w:pPr>
        <w:keepNext/>
        <w:keepLines/>
        <w:spacing w:before="156" w:beforeLines="50" w:after="156" w:afterLines="50" w:line="500" w:lineRule="exact"/>
        <w:ind w:firstLine="562" w:firstLineChars="200"/>
        <w:outlineLvl w:val="1"/>
        <w:rPr>
          <w:rFonts w:ascii="Times New Roman" w:hAnsi="Times New Roman" w:eastAsia="宋体" w:cs="Times New Roman"/>
          <w:b/>
          <w:bCs/>
          <w:sz w:val="28"/>
          <w:szCs w:val="32"/>
        </w:rPr>
      </w:pPr>
      <w:bookmarkStart w:id="99" w:name="_Toc165022818"/>
      <w:bookmarkStart w:id="100" w:name="_Toc165026957"/>
      <w:bookmarkStart w:id="101" w:name="_Toc166059522"/>
      <w:bookmarkStart w:id="102" w:name="_Toc165029061"/>
      <w:bookmarkStart w:id="103" w:name="_Toc165029138"/>
      <w:r>
        <w:rPr>
          <w:rFonts w:ascii="Times New Roman" w:hAnsi="Times New Roman" w:eastAsia="宋体" w:cs="Times New Roman"/>
          <w:b/>
          <w:bCs/>
          <w:sz w:val="28"/>
          <w:szCs w:val="32"/>
        </w:rPr>
        <w:t>第十</w:t>
      </w:r>
      <w:r>
        <w:rPr>
          <w:rFonts w:hint="eastAsia" w:ascii="Times New Roman" w:hAnsi="Times New Roman" w:eastAsia="宋体" w:cs="Times New Roman"/>
          <w:b/>
          <w:bCs/>
          <w:sz w:val="28"/>
          <w:szCs w:val="32"/>
        </w:rPr>
        <w:t>六</w:t>
      </w:r>
      <w:r>
        <w:rPr>
          <w:rFonts w:ascii="Times New Roman" w:hAnsi="Times New Roman" w:eastAsia="宋体" w:cs="Times New Roman"/>
          <w:b/>
          <w:bCs/>
          <w:sz w:val="28"/>
          <w:szCs w:val="32"/>
        </w:rPr>
        <w:t>条 多名调解员的产生方式</w:t>
      </w:r>
      <w:bookmarkEnd w:id="99"/>
      <w:bookmarkEnd w:id="100"/>
      <w:bookmarkEnd w:id="101"/>
      <w:bookmarkEnd w:id="102"/>
      <w:bookmarkEnd w:id="103"/>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当事人约定由两名或多名调解员调解的，调解员产生方式如下：</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 xml:space="preserve">（一）当事人约定由两名调解员进行调解的，由双方当事人各选定一名；当事人未选定的，由调解中心指定； </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（二）当事人约定由三名调解员进行调解的，由双方当事人各选定一名，当事人未选定的，由调解中心指定；第三名调解员由已确定的两名调解员共同选定，该名调解员为首席调解员；</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（三）当事人约定由三名以上调解员进行调解的，调解员选定方式由当事人商定或调解中心另行决定。</w:t>
      </w:r>
    </w:p>
    <w:p>
      <w:pPr>
        <w:keepNext/>
        <w:keepLines/>
        <w:spacing w:before="156" w:beforeLines="50" w:after="156" w:afterLines="50" w:line="500" w:lineRule="exact"/>
        <w:ind w:firstLine="562" w:firstLineChars="200"/>
        <w:outlineLvl w:val="1"/>
        <w:rPr>
          <w:rFonts w:ascii="Times New Roman" w:hAnsi="Times New Roman" w:eastAsia="宋体" w:cs="Times New Roman"/>
          <w:b/>
          <w:bCs/>
          <w:sz w:val="28"/>
          <w:szCs w:val="32"/>
        </w:rPr>
      </w:pPr>
      <w:bookmarkStart w:id="104" w:name="_Toc165022819"/>
      <w:bookmarkStart w:id="105" w:name="_Toc165029139"/>
      <w:bookmarkStart w:id="106" w:name="_Toc165026958"/>
      <w:bookmarkStart w:id="107" w:name="_Toc165029062"/>
      <w:bookmarkStart w:id="108" w:name="_Toc166059523"/>
      <w:r>
        <w:rPr>
          <w:rFonts w:ascii="Times New Roman" w:hAnsi="Times New Roman" w:eastAsia="宋体" w:cs="Times New Roman"/>
          <w:b/>
          <w:bCs/>
          <w:sz w:val="28"/>
          <w:szCs w:val="32"/>
        </w:rPr>
        <w:t>第十</w:t>
      </w:r>
      <w:r>
        <w:rPr>
          <w:rFonts w:hint="eastAsia" w:ascii="Times New Roman" w:hAnsi="Times New Roman" w:eastAsia="宋体" w:cs="Times New Roman"/>
          <w:b/>
          <w:bCs/>
          <w:sz w:val="28"/>
          <w:szCs w:val="32"/>
        </w:rPr>
        <w:t>七</w:t>
      </w:r>
      <w:r>
        <w:rPr>
          <w:rFonts w:ascii="Times New Roman" w:hAnsi="Times New Roman" w:eastAsia="宋体" w:cs="Times New Roman"/>
          <w:b/>
          <w:bCs/>
          <w:sz w:val="28"/>
          <w:szCs w:val="32"/>
        </w:rPr>
        <w:t>条 确定调解员的考虑因素</w:t>
      </w:r>
      <w:bookmarkEnd w:id="104"/>
      <w:bookmarkEnd w:id="105"/>
      <w:bookmarkEnd w:id="106"/>
      <w:bookmarkEnd w:id="107"/>
      <w:bookmarkEnd w:id="108"/>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调解中心在确认或指定调解员时，应考虑候选调解员的情况，包括但不限于国籍、语言、职业背景、专业水平、办案经验、调解能力、有无主持调解的时间等。</w:t>
      </w:r>
    </w:p>
    <w:p>
      <w:pPr>
        <w:keepNext/>
        <w:keepLines/>
        <w:spacing w:before="156" w:beforeLines="50" w:after="156" w:afterLines="50" w:line="500" w:lineRule="exact"/>
        <w:ind w:firstLine="562" w:firstLineChars="200"/>
        <w:outlineLvl w:val="1"/>
        <w:rPr>
          <w:rFonts w:ascii="Times New Roman" w:hAnsi="Times New Roman" w:eastAsia="宋体" w:cs="Times New Roman"/>
          <w:b/>
          <w:bCs/>
          <w:sz w:val="28"/>
          <w:szCs w:val="32"/>
        </w:rPr>
      </w:pPr>
      <w:bookmarkStart w:id="109" w:name="_Toc165029063"/>
      <w:bookmarkStart w:id="110" w:name="_Toc165029140"/>
      <w:bookmarkStart w:id="111" w:name="_Toc165022820"/>
      <w:bookmarkStart w:id="112" w:name="_Toc165026959"/>
      <w:bookmarkStart w:id="113" w:name="_Toc166059524"/>
      <w:r>
        <w:rPr>
          <w:rFonts w:ascii="Times New Roman" w:hAnsi="Times New Roman" w:eastAsia="宋体" w:cs="Times New Roman"/>
          <w:b/>
          <w:bCs/>
          <w:sz w:val="28"/>
          <w:szCs w:val="32"/>
        </w:rPr>
        <w:t>第十</w:t>
      </w:r>
      <w:r>
        <w:rPr>
          <w:rFonts w:hint="eastAsia" w:ascii="Times New Roman" w:hAnsi="Times New Roman" w:eastAsia="宋体" w:cs="Times New Roman"/>
          <w:b/>
          <w:bCs/>
          <w:sz w:val="28"/>
          <w:szCs w:val="32"/>
        </w:rPr>
        <w:t>八</w:t>
      </w:r>
      <w:r>
        <w:rPr>
          <w:rFonts w:ascii="Times New Roman" w:hAnsi="Times New Roman" w:eastAsia="宋体" w:cs="Times New Roman"/>
          <w:b/>
          <w:bCs/>
          <w:sz w:val="28"/>
          <w:szCs w:val="32"/>
        </w:rPr>
        <w:t>条 披露</w:t>
      </w:r>
      <w:bookmarkEnd w:id="109"/>
      <w:bookmarkEnd w:id="110"/>
      <w:bookmarkEnd w:id="111"/>
      <w:bookmarkEnd w:id="112"/>
      <w:bookmarkEnd w:id="113"/>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接受选定或指定的调解员，应在五个工作日内向调解中心和当事人书面披露可能影响其调解独立性、公正性、中立性的情形，包括披露任何可能影响争议结果的个人利益、职业利益、经济利益或其他利益</w:t>
      </w:r>
      <w:r>
        <w:rPr>
          <w:rFonts w:hint="eastAsia" w:ascii="Times New Roman" w:hAnsi="Times New Roman" w:eastAsia="宋体" w:cs="Times New Roman"/>
          <w:sz w:val="28"/>
          <w:szCs w:val="28"/>
        </w:rPr>
        <w:t>。</w:t>
      </w:r>
      <w:r>
        <w:rPr>
          <w:rFonts w:ascii="Times New Roman" w:hAnsi="Times New Roman" w:eastAsia="宋体" w:cs="Times New Roman"/>
          <w:sz w:val="28"/>
          <w:szCs w:val="28"/>
        </w:rPr>
        <w:t>如在调解期间出现此类情形，亦应及时披露。</w:t>
      </w:r>
    </w:p>
    <w:p>
      <w:pPr>
        <w:keepNext/>
        <w:keepLines/>
        <w:spacing w:before="156" w:beforeLines="50" w:after="156" w:afterLines="50" w:line="500" w:lineRule="exact"/>
        <w:ind w:firstLine="562" w:firstLineChars="200"/>
        <w:outlineLvl w:val="1"/>
        <w:rPr>
          <w:rFonts w:ascii="Times New Roman" w:hAnsi="Times New Roman" w:eastAsia="宋体" w:cs="Times New Roman"/>
          <w:b/>
          <w:bCs/>
          <w:sz w:val="28"/>
          <w:szCs w:val="32"/>
        </w:rPr>
      </w:pPr>
      <w:bookmarkStart w:id="114" w:name="_Toc165022821"/>
      <w:bookmarkStart w:id="115" w:name="_Toc165026960"/>
      <w:bookmarkStart w:id="116" w:name="_Toc165029064"/>
      <w:bookmarkStart w:id="117" w:name="_Toc166059525"/>
      <w:bookmarkStart w:id="118" w:name="_Toc165029141"/>
      <w:r>
        <w:rPr>
          <w:rFonts w:ascii="Times New Roman" w:hAnsi="Times New Roman" w:eastAsia="宋体" w:cs="Times New Roman"/>
          <w:b/>
          <w:bCs/>
          <w:sz w:val="28"/>
          <w:szCs w:val="32"/>
        </w:rPr>
        <w:t>第</w:t>
      </w:r>
      <w:r>
        <w:rPr>
          <w:rFonts w:hint="eastAsia" w:ascii="Times New Roman" w:hAnsi="Times New Roman" w:eastAsia="宋体" w:cs="Times New Roman"/>
          <w:b/>
          <w:bCs/>
          <w:sz w:val="28"/>
          <w:szCs w:val="32"/>
        </w:rPr>
        <w:t>十九</w:t>
      </w:r>
      <w:r>
        <w:rPr>
          <w:rFonts w:ascii="Times New Roman" w:hAnsi="Times New Roman" w:eastAsia="宋体" w:cs="Times New Roman"/>
          <w:b/>
          <w:bCs/>
          <w:sz w:val="28"/>
          <w:szCs w:val="32"/>
        </w:rPr>
        <w:t>条 当事人异议与调解员更换</w:t>
      </w:r>
      <w:bookmarkEnd w:id="114"/>
      <w:bookmarkEnd w:id="115"/>
      <w:bookmarkEnd w:id="116"/>
      <w:bookmarkEnd w:id="117"/>
      <w:bookmarkEnd w:id="118"/>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调解员披露了可能影响其调解独立性、公正性、中立性的情形，当事人知悉该</w:t>
      </w:r>
      <w:r>
        <w:rPr>
          <w:rFonts w:hint="eastAsia" w:ascii="Times New Roman" w:hAnsi="Times New Roman" w:eastAsia="宋体" w:cs="Times New Roman"/>
          <w:sz w:val="28"/>
          <w:szCs w:val="28"/>
        </w:rPr>
        <w:t>情形</w:t>
      </w:r>
      <w:r>
        <w:rPr>
          <w:rFonts w:ascii="Times New Roman" w:hAnsi="Times New Roman" w:eastAsia="宋体" w:cs="Times New Roman"/>
          <w:sz w:val="28"/>
          <w:szCs w:val="28"/>
        </w:rPr>
        <w:t>后未在五个工作日内提出异议的，视为同意该调解员调解。</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当事人对调解员提出异议的，调解中心应更换调解员，并根据原调解员产生程序重新选定或指定调解员。</w:t>
      </w:r>
    </w:p>
    <w:p>
      <w:pPr>
        <w:spacing w:line="500" w:lineRule="exact"/>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调解程序中，当事人无正当理由要求更换调解员的，</w:t>
      </w:r>
      <w:r>
        <w:rPr>
          <w:rFonts w:ascii="Times New Roman" w:hAnsi="Times New Roman" w:eastAsia="宋体" w:cs="Times New Roman"/>
          <w:sz w:val="28"/>
          <w:szCs w:val="28"/>
        </w:rPr>
        <w:t>应支付先前调解过程中已经产生的相关费用与开支。</w:t>
      </w:r>
    </w:p>
    <w:p>
      <w:pPr>
        <w:keepNext/>
        <w:keepLines/>
        <w:spacing w:before="156" w:beforeLines="50" w:after="156" w:afterLines="50" w:line="500" w:lineRule="exact"/>
        <w:ind w:firstLine="562" w:firstLineChars="200"/>
        <w:outlineLvl w:val="1"/>
        <w:rPr>
          <w:rFonts w:ascii="Times New Roman" w:hAnsi="Times New Roman" w:eastAsia="宋体" w:cs="Times New Roman"/>
          <w:b/>
          <w:bCs/>
          <w:sz w:val="28"/>
          <w:szCs w:val="32"/>
        </w:rPr>
      </w:pPr>
      <w:bookmarkStart w:id="119" w:name="_Toc165029065"/>
      <w:bookmarkStart w:id="120" w:name="_Toc165029142"/>
      <w:bookmarkStart w:id="121" w:name="_Toc165026961"/>
      <w:bookmarkStart w:id="122" w:name="_Toc166059526"/>
      <w:bookmarkStart w:id="123" w:name="_Toc165022822"/>
      <w:r>
        <w:rPr>
          <w:rFonts w:ascii="Times New Roman" w:hAnsi="Times New Roman" w:eastAsia="宋体" w:cs="Times New Roman"/>
          <w:b/>
          <w:bCs/>
          <w:sz w:val="28"/>
          <w:szCs w:val="32"/>
        </w:rPr>
        <w:t>第二十条 调解员的退出</w:t>
      </w:r>
      <w:bookmarkEnd w:id="119"/>
      <w:bookmarkEnd w:id="120"/>
      <w:bookmarkEnd w:id="121"/>
      <w:bookmarkEnd w:id="122"/>
      <w:bookmarkEnd w:id="123"/>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调解员无法履行、中途无法继续履行或不适合履行职责的, 应根据调解员产生程序重新选定或指定调解员。</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在调解过程中出现上述情形的，调解中心应根据具体情况决定当事人是否支付先前调解过程中已经产生的相关费用与开支。</w:t>
      </w:r>
    </w:p>
    <w:p>
      <w:pPr>
        <w:keepNext/>
        <w:keepLines/>
        <w:spacing w:before="156" w:beforeLines="50" w:after="156" w:afterLines="50" w:line="500" w:lineRule="exact"/>
        <w:ind w:firstLine="562" w:firstLineChars="200"/>
        <w:outlineLvl w:val="1"/>
        <w:rPr>
          <w:rFonts w:ascii="Times New Roman" w:hAnsi="Times New Roman" w:eastAsia="宋体" w:cs="Times New Roman"/>
          <w:b/>
          <w:bCs/>
          <w:sz w:val="28"/>
          <w:szCs w:val="32"/>
        </w:rPr>
      </w:pPr>
      <w:bookmarkStart w:id="124" w:name="_Toc165029143"/>
      <w:bookmarkStart w:id="125" w:name="_Toc166059527"/>
      <w:bookmarkStart w:id="126" w:name="_Toc165022823"/>
      <w:bookmarkStart w:id="127" w:name="_Toc165026962"/>
      <w:bookmarkStart w:id="128" w:name="_Toc165029066"/>
      <w:r>
        <w:rPr>
          <w:rFonts w:ascii="Times New Roman" w:hAnsi="Times New Roman" w:eastAsia="宋体" w:cs="Times New Roman"/>
          <w:b/>
          <w:bCs/>
          <w:sz w:val="28"/>
          <w:szCs w:val="32"/>
        </w:rPr>
        <w:t>第二十</w:t>
      </w:r>
      <w:r>
        <w:rPr>
          <w:rFonts w:hint="eastAsia" w:ascii="Times New Roman" w:hAnsi="Times New Roman" w:eastAsia="宋体" w:cs="Times New Roman"/>
          <w:b/>
          <w:bCs/>
          <w:sz w:val="28"/>
          <w:szCs w:val="32"/>
        </w:rPr>
        <w:t>一</w:t>
      </w:r>
      <w:r>
        <w:rPr>
          <w:rFonts w:ascii="Times New Roman" w:hAnsi="Times New Roman" w:eastAsia="宋体" w:cs="Times New Roman"/>
          <w:b/>
          <w:bCs/>
          <w:sz w:val="28"/>
          <w:szCs w:val="32"/>
        </w:rPr>
        <w:t>条 调解程序的重新进行</w:t>
      </w:r>
      <w:bookmarkEnd w:id="124"/>
      <w:bookmarkEnd w:id="125"/>
      <w:bookmarkEnd w:id="126"/>
      <w:bookmarkEnd w:id="127"/>
      <w:bookmarkEnd w:id="128"/>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调解过程中因各项原因导致</w:t>
      </w:r>
      <w:r>
        <w:rPr>
          <w:rFonts w:hint="eastAsia" w:ascii="Times New Roman" w:hAnsi="Times New Roman" w:eastAsia="宋体" w:cs="Times New Roman"/>
          <w:sz w:val="28"/>
          <w:szCs w:val="28"/>
        </w:rPr>
        <w:t>重新确定</w:t>
      </w:r>
      <w:r>
        <w:rPr>
          <w:rFonts w:ascii="Times New Roman" w:hAnsi="Times New Roman" w:eastAsia="宋体" w:cs="Times New Roman"/>
          <w:sz w:val="28"/>
          <w:szCs w:val="28"/>
        </w:rPr>
        <w:t>调解员的，已经进行的调解程序是否重新进行，由新任调解员决定。</w:t>
      </w:r>
    </w:p>
    <w:p>
      <w:pPr>
        <w:spacing w:line="500" w:lineRule="exact"/>
        <w:ind w:firstLine="560" w:firstLineChars="200"/>
        <w:rPr>
          <w:rFonts w:ascii="Times New Roman" w:hAnsi="Times New Roman" w:eastAsia="宋体" w:cs="Times New Roman"/>
          <w:sz w:val="28"/>
          <w:szCs w:val="28"/>
        </w:rPr>
      </w:pPr>
    </w:p>
    <w:p>
      <w:pPr>
        <w:widowControl/>
        <w:spacing w:after="156" w:afterLines="50" w:line="500" w:lineRule="exact"/>
        <w:ind w:firstLine="643"/>
        <w:jc w:val="center"/>
        <w:outlineLvl w:val="0"/>
        <w:rPr>
          <w:rFonts w:ascii="Times New Roman" w:hAnsi="Times New Roman" w:eastAsia="宋体" w:cs="Times New Roman"/>
          <w:b/>
          <w:kern w:val="44"/>
          <w:sz w:val="32"/>
          <w:szCs w:val="44"/>
        </w:rPr>
      </w:pPr>
      <w:bookmarkStart w:id="129" w:name="_Toc165026963"/>
      <w:bookmarkStart w:id="130" w:name="_Toc165022824"/>
      <w:bookmarkStart w:id="131" w:name="_Toc165029144"/>
      <w:bookmarkStart w:id="132" w:name="_Toc166059528"/>
      <w:bookmarkStart w:id="133" w:name="_Toc165029067"/>
      <w:r>
        <w:rPr>
          <w:rFonts w:ascii="Times New Roman" w:hAnsi="Times New Roman" w:eastAsia="宋体" w:cs="Times New Roman"/>
          <w:b/>
          <w:kern w:val="44"/>
          <w:sz w:val="32"/>
          <w:szCs w:val="44"/>
        </w:rPr>
        <w:t>第三节 调解的进行</w:t>
      </w:r>
      <w:bookmarkEnd w:id="129"/>
      <w:bookmarkEnd w:id="130"/>
      <w:bookmarkEnd w:id="131"/>
      <w:bookmarkEnd w:id="132"/>
      <w:bookmarkEnd w:id="133"/>
    </w:p>
    <w:p>
      <w:pPr>
        <w:keepNext/>
        <w:keepLines/>
        <w:spacing w:before="156" w:beforeLines="50" w:after="156" w:afterLines="50" w:line="500" w:lineRule="exact"/>
        <w:ind w:firstLine="562" w:firstLineChars="200"/>
        <w:outlineLvl w:val="1"/>
        <w:rPr>
          <w:rFonts w:ascii="Times New Roman" w:hAnsi="Times New Roman" w:eastAsia="宋体" w:cs="Times New Roman"/>
          <w:b/>
          <w:bCs/>
          <w:sz w:val="28"/>
          <w:szCs w:val="32"/>
        </w:rPr>
      </w:pPr>
      <w:bookmarkStart w:id="134" w:name="_Toc165029068"/>
      <w:bookmarkStart w:id="135" w:name="_Toc165026964"/>
      <w:bookmarkStart w:id="136" w:name="_Toc165029145"/>
      <w:bookmarkStart w:id="137" w:name="_Toc165022825"/>
      <w:bookmarkStart w:id="138" w:name="_Toc166059529"/>
      <w:r>
        <w:rPr>
          <w:rFonts w:ascii="Times New Roman" w:hAnsi="Times New Roman" w:eastAsia="宋体" w:cs="Times New Roman"/>
          <w:b/>
          <w:bCs/>
          <w:sz w:val="28"/>
          <w:szCs w:val="32"/>
        </w:rPr>
        <w:t>第二十</w:t>
      </w:r>
      <w:r>
        <w:rPr>
          <w:rFonts w:hint="eastAsia" w:ascii="Times New Roman" w:hAnsi="Times New Roman" w:eastAsia="宋体" w:cs="Times New Roman"/>
          <w:b/>
          <w:bCs/>
          <w:sz w:val="28"/>
          <w:szCs w:val="32"/>
        </w:rPr>
        <w:t>二</w:t>
      </w:r>
      <w:r>
        <w:rPr>
          <w:rFonts w:ascii="Times New Roman" w:hAnsi="Times New Roman" w:eastAsia="宋体" w:cs="Times New Roman"/>
          <w:b/>
          <w:bCs/>
          <w:sz w:val="28"/>
          <w:szCs w:val="32"/>
        </w:rPr>
        <w:t>条 调解会议与调解期限</w:t>
      </w:r>
      <w:bookmarkEnd w:id="134"/>
      <w:bookmarkEnd w:id="135"/>
      <w:bookmarkEnd w:id="136"/>
      <w:bookmarkEnd w:id="137"/>
      <w:bookmarkEnd w:id="138"/>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调解员确定后，调解中心应和当事人及调解员协商确定调解会议日期。除非当事人另有约定，调解员应当自该日起三十个工作日内完成调解。有合理理由且征得当事人同意的可以延期。</w:t>
      </w:r>
    </w:p>
    <w:p>
      <w:pPr>
        <w:keepNext/>
        <w:keepLines/>
        <w:spacing w:before="156" w:beforeLines="50" w:after="156" w:afterLines="50" w:line="500" w:lineRule="exact"/>
        <w:ind w:firstLine="562" w:firstLineChars="200"/>
        <w:outlineLvl w:val="1"/>
        <w:rPr>
          <w:rFonts w:ascii="Times New Roman" w:hAnsi="Times New Roman" w:eastAsia="宋体" w:cs="Times New Roman"/>
          <w:b/>
          <w:bCs/>
          <w:sz w:val="28"/>
          <w:szCs w:val="32"/>
        </w:rPr>
      </w:pPr>
      <w:bookmarkStart w:id="139" w:name="_Toc166059530"/>
      <w:bookmarkStart w:id="140" w:name="_Toc165029146"/>
      <w:bookmarkStart w:id="141" w:name="_Toc165026965"/>
      <w:bookmarkStart w:id="142" w:name="_Toc165022826"/>
      <w:bookmarkStart w:id="143" w:name="_Toc165029069"/>
      <w:r>
        <w:rPr>
          <w:rFonts w:ascii="Times New Roman" w:hAnsi="Times New Roman" w:eastAsia="宋体" w:cs="Times New Roman"/>
          <w:b/>
          <w:bCs/>
          <w:sz w:val="28"/>
          <w:szCs w:val="32"/>
        </w:rPr>
        <w:t>第二十</w:t>
      </w:r>
      <w:r>
        <w:rPr>
          <w:rFonts w:hint="eastAsia" w:ascii="Times New Roman" w:hAnsi="Times New Roman" w:eastAsia="宋体" w:cs="Times New Roman"/>
          <w:b/>
          <w:bCs/>
          <w:sz w:val="28"/>
          <w:szCs w:val="32"/>
        </w:rPr>
        <w:t>三</w:t>
      </w:r>
      <w:r>
        <w:rPr>
          <w:rFonts w:ascii="Times New Roman" w:hAnsi="Times New Roman" w:eastAsia="宋体" w:cs="Times New Roman"/>
          <w:b/>
          <w:bCs/>
          <w:sz w:val="28"/>
          <w:szCs w:val="32"/>
        </w:rPr>
        <w:t>条 调解的方式</w:t>
      </w:r>
      <w:bookmarkEnd w:id="139"/>
      <w:bookmarkEnd w:id="140"/>
      <w:bookmarkEnd w:id="141"/>
      <w:bookmarkEnd w:id="142"/>
      <w:bookmarkEnd w:id="143"/>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除非当事人另有约定，调解员可以按其认为适当的方式对争议进行调解，包括但不限于：</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（一）调解员可以</w:t>
      </w:r>
      <w:r>
        <w:rPr>
          <w:rFonts w:hint="eastAsia" w:ascii="Times New Roman" w:hAnsi="Times New Roman" w:eastAsia="宋体" w:cs="Times New Roman"/>
          <w:sz w:val="28"/>
          <w:szCs w:val="28"/>
        </w:rPr>
        <w:t>分别</w:t>
      </w:r>
      <w:r>
        <w:rPr>
          <w:rFonts w:ascii="Times New Roman" w:hAnsi="Times New Roman" w:eastAsia="宋体" w:cs="Times New Roman"/>
          <w:sz w:val="28"/>
          <w:szCs w:val="28"/>
        </w:rPr>
        <w:t>单独或同时会见、联系各方当事人或其代理人；</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（二）在调解过程中，调解员可以要求当事人提出书面或口头的解决争议的建议或方案；</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（三）征得当事人同意后，调解员可聘请有关专家就技术性问题提供咨询或鉴定意见，或者进行现场勘验；</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（四）根据当事人的请求，调解员可以向当事人提供拟订和解协议的支持，或者向当事人提出意见和建议；</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（五）调解员可根据调解的需要并与各方当事人协商，利用适当的音视频通讯等技术手段进行在线调解，包括举行远程会议等。</w:t>
      </w:r>
    </w:p>
    <w:p>
      <w:pPr>
        <w:keepNext/>
        <w:keepLines/>
        <w:spacing w:before="156" w:beforeLines="50" w:after="156" w:afterLines="50" w:line="500" w:lineRule="exact"/>
        <w:ind w:firstLine="562" w:firstLineChars="200"/>
        <w:outlineLvl w:val="1"/>
        <w:rPr>
          <w:rFonts w:ascii="Times New Roman" w:hAnsi="Times New Roman" w:eastAsia="宋体" w:cs="Times New Roman"/>
          <w:b/>
          <w:bCs/>
          <w:sz w:val="28"/>
          <w:szCs w:val="32"/>
        </w:rPr>
      </w:pPr>
      <w:bookmarkStart w:id="144" w:name="_Toc165026966"/>
      <w:bookmarkStart w:id="145" w:name="_Toc166059531"/>
      <w:bookmarkStart w:id="146" w:name="_Toc165029147"/>
      <w:bookmarkStart w:id="147" w:name="_Toc165029070"/>
      <w:bookmarkStart w:id="148" w:name="_Toc165022827"/>
      <w:r>
        <w:rPr>
          <w:rFonts w:ascii="Times New Roman" w:hAnsi="Times New Roman" w:eastAsia="宋体" w:cs="Times New Roman"/>
          <w:b/>
          <w:bCs/>
          <w:sz w:val="28"/>
          <w:szCs w:val="32"/>
        </w:rPr>
        <w:t>第二十</w:t>
      </w:r>
      <w:r>
        <w:rPr>
          <w:rFonts w:hint="eastAsia" w:ascii="Times New Roman" w:hAnsi="Times New Roman" w:eastAsia="宋体" w:cs="Times New Roman"/>
          <w:b/>
          <w:bCs/>
          <w:sz w:val="28"/>
          <w:szCs w:val="32"/>
        </w:rPr>
        <w:t>四</w:t>
      </w:r>
      <w:r>
        <w:rPr>
          <w:rFonts w:ascii="Times New Roman" w:hAnsi="Times New Roman" w:eastAsia="宋体" w:cs="Times New Roman"/>
          <w:b/>
          <w:bCs/>
          <w:sz w:val="28"/>
          <w:szCs w:val="32"/>
        </w:rPr>
        <w:t>条 调解员的义务</w:t>
      </w:r>
      <w:bookmarkEnd w:id="144"/>
      <w:bookmarkEnd w:id="145"/>
      <w:bookmarkEnd w:id="146"/>
      <w:bookmarkEnd w:id="147"/>
      <w:bookmarkEnd w:id="148"/>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调解员应努力协助当事人进行沟通，发现各方的共同利益，并在此基础上促使当事人找到解决方案。调解员应当尊重当事人的意愿，公平、公正对待各方当事人。调解员无权将解决争议的办法强加于当事人。</w:t>
      </w:r>
    </w:p>
    <w:p>
      <w:pPr>
        <w:keepNext/>
        <w:keepLines/>
        <w:spacing w:before="156" w:beforeLines="50" w:after="156" w:afterLines="50" w:line="500" w:lineRule="exact"/>
        <w:ind w:firstLine="562" w:firstLineChars="200"/>
        <w:outlineLvl w:val="1"/>
        <w:rPr>
          <w:rFonts w:ascii="Times New Roman" w:hAnsi="Times New Roman" w:eastAsia="宋体" w:cs="Times New Roman"/>
          <w:b/>
          <w:bCs/>
          <w:sz w:val="28"/>
          <w:szCs w:val="32"/>
        </w:rPr>
      </w:pPr>
      <w:bookmarkStart w:id="149" w:name="_Toc165029071"/>
      <w:bookmarkStart w:id="150" w:name="_Toc165026967"/>
      <w:bookmarkStart w:id="151" w:name="_Toc165022828"/>
      <w:bookmarkStart w:id="152" w:name="_Toc166059532"/>
      <w:bookmarkStart w:id="153" w:name="_Toc165029148"/>
      <w:r>
        <w:rPr>
          <w:rFonts w:ascii="Times New Roman" w:hAnsi="Times New Roman" w:eastAsia="宋体" w:cs="Times New Roman"/>
          <w:b/>
          <w:bCs/>
          <w:sz w:val="28"/>
          <w:szCs w:val="32"/>
        </w:rPr>
        <w:t>第二十</w:t>
      </w:r>
      <w:r>
        <w:rPr>
          <w:rFonts w:hint="eastAsia" w:ascii="Times New Roman" w:hAnsi="Times New Roman" w:eastAsia="宋体" w:cs="Times New Roman"/>
          <w:b/>
          <w:bCs/>
          <w:sz w:val="28"/>
          <w:szCs w:val="32"/>
        </w:rPr>
        <w:t>五</w:t>
      </w:r>
      <w:r>
        <w:rPr>
          <w:rFonts w:ascii="Times New Roman" w:hAnsi="Times New Roman" w:eastAsia="宋体" w:cs="Times New Roman"/>
          <w:b/>
          <w:bCs/>
          <w:sz w:val="28"/>
          <w:szCs w:val="32"/>
        </w:rPr>
        <w:t>条 调解地点</w:t>
      </w:r>
      <w:bookmarkEnd w:id="149"/>
      <w:bookmarkEnd w:id="150"/>
      <w:bookmarkEnd w:id="151"/>
      <w:bookmarkEnd w:id="152"/>
      <w:bookmarkEnd w:id="153"/>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调解在调解中心所在地进行。如当事人另有约定，或者调解员认为必要并经当事人同意，可以在其他地点进行。</w:t>
      </w:r>
    </w:p>
    <w:p>
      <w:pPr>
        <w:keepNext/>
        <w:keepLines/>
        <w:spacing w:before="156" w:beforeLines="50" w:after="156" w:afterLines="50" w:line="500" w:lineRule="exact"/>
        <w:ind w:firstLine="562" w:firstLineChars="200"/>
        <w:outlineLvl w:val="1"/>
        <w:rPr>
          <w:rFonts w:ascii="Times New Roman" w:hAnsi="Times New Roman" w:eastAsia="宋体" w:cs="Times New Roman"/>
          <w:b/>
          <w:bCs/>
          <w:sz w:val="28"/>
          <w:szCs w:val="32"/>
        </w:rPr>
      </w:pPr>
      <w:bookmarkStart w:id="154" w:name="_Toc165029149"/>
      <w:bookmarkStart w:id="155" w:name="_Toc165026968"/>
      <w:bookmarkStart w:id="156" w:name="_Toc165022829"/>
      <w:bookmarkStart w:id="157" w:name="_Toc166059533"/>
      <w:bookmarkStart w:id="158" w:name="_Toc165029072"/>
      <w:r>
        <w:rPr>
          <w:rFonts w:ascii="Times New Roman" w:hAnsi="Times New Roman" w:eastAsia="宋体" w:cs="Times New Roman"/>
          <w:b/>
          <w:bCs/>
          <w:sz w:val="28"/>
          <w:szCs w:val="32"/>
        </w:rPr>
        <w:t>第二十</w:t>
      </w:r>
      <w:r>
        <w:rPr>
          <w:rFonts w:hint="eastAsia" w:ascii="Times New Roman" w:hAnsi="Times New Roman" w:eastAsia="宋体" w:cs="Times New Roman"/>
          <w:b/>
          <w:bCs/>
          <w:sz w:val="28"/>
          <w:szCs w:val="32"/>
        </w:rPr>
        <w:t>六</w:t>
      </w:r>
      <w:r>
        <w:rPr>
          <w:rFonts w:ascii="Times New Roman" w:hAnsi="Times New Roman" w:eastAsia="宋体" w:cs="Times New Roman"/>
          <w:b/>
          <w:bCs/>
          <w:sz w:val="28"/>
          <w:szCs w:val="32"/>
        </w:rPr>
        <w:t>条 调解语言</w:t>
      </w:r>
      <w:bookmarkEnd w:id="154"/>
      <w:bookmarkEnd w:id="155"/>
      <w:bookmarkEnd w:id="156"/>
      <w:bookmarkEnd w:id="157"/>
      <w:bookmarkEnd w:id="158"/>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当事人对调解语言有约定的，从其约定；当事人对调解语言没有约定的，以中文为调解语言。调解中心也可以根据案件情况确定以其他语言为</w:t>
      </w:r>
      <w:r>
        <w:rPr>
          <w:rFonts w:hint="eastAsia" w:ascii="Times New Roman" w:hAnsi="Times New Roman" w:eastAsia="宋体" w:cs="Times New Roman"/>
          <w:sz w:val="28"/>
          <w:szCs w:val="28"/>
        </w:rPr>
        <w:t>调解</w:t>
      </w:r>
      <w:r>
        <w:rPr>
          <w:rFonts w:ascii="Times New Roman" w:hAnsi="Times New Roman" w:eastAsia="宋体" w:cs="Times New Roman"/>
          <w:sz w:val="28"/>
          <w:szCs w:val="28"/>
        </w:rPr>
        <w:t>语言。</w:t>
      </w:r>
    </w:p>
    <w:p>
      <w:pPr>
        <w:keepNext/>
        <w:keepLines/>
        <w:spacing w:before="156" w:beforeLines="50" w:after="156" w:afterLines="50" w:line="500" w:lineRule="exact"/>
        <w:ind w:firstLine="562" w:firstLineChars="200"/>
        <w:outlineLvl w:val="1"/>
        <w:rPr>
          <w:rFonts w:ascii="Times New Roman" w:hAnsi="Times New Roman" w:eastAsia="宋体" w:cs="Times New Roman"/>
          <w:b/>
          <w:bCs/>
          <w:sz w:val="28"/>
          <w:szCs w:val="32"/>
        </w:rPr>
      </w:pPr>
      <w:bookmarkStart w:id="159" w:name="_Toc165029150"/>
      <w:bookmarkStart w:id="160" w:name="_Toc165026969"/>
      <w:bookmarkStart w:id="161" w:name="_Toc165022830"/>
      <w:bookmarkStart w:id="162" w:name="_Toc166059534"/>
      <w:bookmarkStart w:id="163" w:name="_Toc165029073"/>
      <w:r>
        <w:rPr>
          <w:rFonts w:ascii="Times New Roman" w:hAnsi="Times New Roman" w:eastAsia="宋体" w:cs="Times New Roman"/>
          <w:b/>
          <w:bCs/>
          <w:sz w:val="28"/>
          <w:szCs w:val="32"/>
        </w:rPr>
        <w:t>第二十</w:t>
      </w:r>
      <w:r>
        <w:rPr>
          <w:rFonts w:hint="eastAsia" w:ascii="Times New Roman" w:hAnsi="Times New Roman" w:eastAsia="宋体" w:cs="Times New Roman"/>
          <w:b/>
          <w:bCs/>
          <w:sz w:val="28"/>
          <w:szCs w:val="32"/>
        </w:rPr>
        <w:t>七</w:t>
      </w:r>
      <w:r>
        <w:rPr>
          <w:rFonts w:ascii="Times New Roman" w:hAnsi="Times New Roman" w:eastAsia="宋体" w:cs="Times New Roman"/>
          <w:b/>
          <w:bCs/>
          <w:sz w:val="28"/>
          <w:szCs w:val="32"/>
        </w:rPr>
        <w:t>条 保密</w:t>
      </w:r>
      <w:bookmarkEnd w:id="159"/>
      <w:bookmarkEnd w:id="160"/>
      <w:bookmarkEnd w:id="161"/>
      <w:bookmarkEnd w:id="162"/>
      <w:bookmarkEnd w:id="163"/>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除非当事人另有约定，调解不公开进行。除非当事人另有约定或另有要求，调解过程不记笔录。</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调解员、当事人及其代理人、证人、调解会议咨询的专家和指定的鉴定人、调解中心工作人员以及其他参与调解的人员对调解的过程、结果以及与调解有关的一切资料均负有保密义务，各方当事人另有约定或法律法规另有规定的除外；各方当事人协议同意公开的，可以公开，但涉及国家秘密、公共安全利益、第三人商业秘密、个人隐私或者调解会议认为不</w:t>
      </w:r>
      <w:r>
        <w:rPr>
          <w:rFonts w:hint="eastAsia" w:ascii="Times New Roman" w:hAnsi="Times New Roman" w:eastAsia="宋体" w:cs="Times New Roman"/>
          <w:sz w:val="28"/>
          <w:szCs w:val="28"/>
        </w:rPr>
        <w:t>适合</w:t>
      </w:r>
      <w:r>
        <w:rPr>
          <w:rFonts w:ascii="Times New Roman" w:hAnsi="Times New Roman" w:eastAsia="宋体" w:cs="Times New Roman"/>
          <w:sz w:val="28"/>
          <w:szCs w:val="28"/>
        </w:rPr>
        <w:t>公开的除外。</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未经披露方当事人的同意，调解员不得将一方当事人单独披露给调解员的信息告知另一方当事人。</w:t>
      </w:r>
    </w:p>
    <w:p>
      <w:pPr>
        <w:keepNext/>
        <w:keepLines/>
        <w:spacing w:before="156" w:beforeLines="50" w:after="156" w:afterLines="50" w:line="500" w:lineRule="exact"/>
        <w:ind w:firstLine="562" w:firstLineChars="200"/>
        <w:outlineLvl w:val="1"/>
        <w:rPr>
          <w:rFonts w:ascii="Times New Roman" w:hAnsi="Times New Roman" w:eastAsia="宋体" w:cs="Times New Roman"/>
          <w:b/>
          <w:bCs/>
          <w:sz w:val="28"/>
          <w:szCs w:val="32"/>
        </w:rPr>
      </w:pPr>
      <w:bookmarkStart w:id="164" w:name="_Toc165029074"/>
      <w:bookmarkStart w:id="165" w:name="_Toc166059535"/>
      <w:bookmarkStart w:id="166" w:name="_Toc165022831"/>
      <w:bookmarkStart w:id="167" w:name="_Toc165026970"/>
      <w:bookmarkStart w:id="168" w:name="_Toc165029151"/>
      <w:r>
        <w:rPr>
          <w:rFonts w:ascii="Times New Roman" w:hAnsi="Times New Roman" w:eastAsia="宋体" w:cs="Times New Roman"/>
          <w:b/>
          <w:bCs/>
          <w:sz w:val="28"/>
          <w:szCs w:val="32"/>
        </w:rPr>
        <w:t>第二十</w:t>
      </w:r>
      <w:r>
        <w:rPr>
          <w:rFonts w:hint="eastAsia" w:ascii="Times New Roman" w:hAnsi="Times New Roman" w:eastAsia="宋体" w:cs="Times New Roman"/>
          <w:b/>
          <w:bCs/>
          <w:sz w:val="28"/>
          <w:szCs w:val="32"/>
        </w:rPr>
        <w:t>八</w:t>
      </w:r>
      <w:r>
        <w:rPr>
          <w:rFonts w:ascii="Times New Roman" w:hAnsi="Times New Roman" w:eastAsia="宋体" w:cs="Times New Roman"/>
          <w:b/>
          <w:bCs/>
          <w:sz w:val="28"/>
          <w:szCs w:val="32"/>
        </w:rPr>
        <w:t>条 和解协议的签署</w:t>
      </w:r>
      <w:bookmarkEnd w:id="164"/>
      <w:bookmarkEnd w:id="165"/>
      <w:bookmarkEnd w:id="166"/>
      <w:bookmarkEnd w:id="167"/>
      <w:bookmarkEnd w:id="168"/>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经过调解当事人就全部或部分争议事项达成一致意见的，由当事人各方签署和解协议，和解协议对各方当事人均有约束力。</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和解协议</w:t>
      </w:r>
      <w:r>
        <w:rPr>
          <w:rFonts w:hint="eastAsia" w:ascii="Times New Roman" w:hAnsi="Times New Roman" w:eastAsia="宋体" w:cs="Times New Roman"/>
          <w:sz w:val="28"/>
          <w:szCs w:val="28"/>
        </w:rPr>
        <w:t>应</w:t>
      </w:r>
      <w:r>
        <w:rPr>
          <w:rFonts w:ascii="Times New Roman" w:hAnsi="Times New Roman" w:eastAsia="宋体" w:cs="Times New Roman"/>
          <w:sz w:val="28"/>
          <w:szCs w:val="28"/>
        </w:rPr>
        <w:t>由调解员签字并加盖调解中心印章。</w:t>
      </w:r>
    </w:p>
    <w:p>
      <w:pPr>
        <w:keepNext/>
        <w:keepLines/>
        <w:spacing w:before="156" w:beforeLines="50" w:after="156" w:afterLines="50" w:line="500" w:lineRule="exact"/>
        <w:ind w:firstLine="562" w:firstLineChars="200"/>
        <w:outlineLvl w:val="1"/>
        <w:rPr>
          <w:rFonts w:ascii="Times New Roman" w:hAnsi="Times New Roman" w:eastAsia="宋体" w:cs="Times New Roman"/>
          <w:b/>
          <w:bCs/>
          <w:sz w:val="28"/>
          <w:szCs w:val="32"/>
        </w:rPr>
      </w:pPr>
      <w:bookmarkStart w:id="169" w:name="_Toc165029152"/>
      <w:bookmarkStart w:id="170" w:name="_Toc165026971"/>
      <w:bookmarkStart w:id="171" w:name="_Toc166059536"/>
      <w:bookmarkStart w:id="172" w:name="_Toc165029075"/>
      <w:bookmarkStart w:id="173" w:name="_Toc165022832"/>
      <w:r>
        <w:rPr>
          <w:rFonts w:ascii="Times New Roman" w:hAnsi="Times New Roman" w:eastAsia="宋体" w:cs="Times New Roman"/>
          <w:b/>
          <w:bCs/>
          <w:sz w:val="28"/>
          <w:szCs w:val="32"/>
        </w:rPr>
        <w:t>第</w:t>
      </w:r>
      <w:r>
        <w:rPr>
          <w:rFonts w:hint="eastAsia" w:ascii="Times New Roman" w:hAnsi="Times New Roman" w:eastAsia="宋体" w:cs="Times New Roman"/>
          <w:b/>
          <w:bCs/>
          <w:sz w:val="28"/>
          <w:szCs w:val="32"/>
        </w:rPr>
        <w:t>二十九</w:t>
      </w:r>
      <w:r>
        <w:rPr>
          <w:rFonts w:ascii="Times New Roman" w:hAnsi="Times New Roman" w:eastAsia="宋体" w:cs="Times New Roman"/>
          <w:b/>
          <w:bCs/>
          <w:sz w:val="28"/>
          <w:szCs w:val="32"/>
        </w:rPr>
        <w:t>条 调解程序的终止</w:t>
      </w:r>
      <w:bookmarkEnd w:id="169"/>
      <w:bookmarkEnd w:id="170"/>
      <w:bookmarkEnd w:id="171"/>
      <w:bookmarkEnd w:id="172"/>
      <w:bookmarkEnd w:id="173"/>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出现以下情形之一，调解程序终止：</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 xml:space="preserve">（一）当事人之间达成和解协议； </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（二）在单方申请的情况下，被申请</w:t>
      </w:r>
      <w:r>
        <w:rPr>
          <w:rFonts w:hint="eastAsia" w:ascii="Times New Roman" w:hAnsi="Times New Roman" w:eastAsia="宋体" w:cs="Times New Roman"/>
          <w:sz w:val="28"/>
          <w:szCs w:val="28"/>
        </w:rPr>
        <w:t>人</w:t>
      </w:r>
      <w:r>
        <w:rPr>
          <w:rFonts w:ascii="Times New Roman" w:hAnsi="Times New Roman" w:eastAsia="宋体" w:cs="Times New Roman"/>
          <w:sz w:val="28"/>
          <w:szCs w:val="28"/>
        </w:rPr>
        <w:t xml:space="preserve">在收到《调解通知书》后明确表示不同意参加调解程序或在规定的期限内未予回复的； </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（三）任何一方当事人书面声明终止调解程序或以自己的行为表明不再继续参与调解的；</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（四）调解员在与当事人协商后认为调解已无成功的可能并书面声明终止调解程序</w:t>
      </w:r>
      <w:r>
        <w:rPr>
          <w:rFonts w:hint="eastAsia" w:ascii="Times New Roman" w:hAnsi="Times New Roman" w:eastAsia="宋体" w:cs="Times New Roman"/>
          <w:sz w:val="28"/>
          <w:szCs w:val="28"/>
        </w:rPr>
        <w:t>的；</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（五）当事人均未在调解中心确定的合理期限内缴纳调解费用，调解中心决定终止调解程序的；</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（六）当事人约定期限终止或调解期限届满，当事人明确不同意延期的；</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（七）适用的国际文书、法院令或强制性法律的任何强制性期限期满</w:t>
      </w:r>
      <w:r>
        <w:rPr>
          <w:rFonts w:hint="eastAsia" w:ascii="Times New Roman" w:hAnsi="Times New Roman" w:eastAsia="宋体" w:cs="Times New Roman"/>
          <w:sz w:val="28"/>
          <w:szCs w:val="28"/>
        </w:rPr>
        <w:t>的</w:t>
      </w:r>
      <w:r>
        <w:rPr>
          <w:rFonts w:ascii="Times New Roman" w:hAnsi="Times New Roman" w:eastAsia="宋体" w:cs="Times New Roman"/>
          <w:sz w:val="28"/>
          <w:szCs w:val="28"/>
        </w:rPr>
        <w:t>；</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（八）其他导致调解程序终止的情形。</w:t>
      </w:r>
    </w:p>
    <w:p>
      <w:pPr>
        <w:spacing w:line="500" w:lineRule="exact"/>
        <w:rPr>
          <w:rFonts w:ascii="Times New Roman" w:hAnsi="Times New Roman" w:eastAsia="宋体" w:cs="Times New Roman"/>
          <w:sz w:val="28"/>
          <w:szCs w:val="28"/>
        </w:rPr>
      </w:pPr>
    </w:p>
    <w:p>
      <w:pPr>
        <w:widowControl/>
        <w:spacing w:after="156" w:afterLines="50" w:line="500" w:lineRule="exact"/>
        <w:ind w:firstLine="723"/>
        <w:jc w:val="center"/>
        <w:outlineLvl w:val="0"/>
        <w:rPr>
          <w:rFonts w:ascii="Times New Roman" w:hAnsi="Times New Roman" w:eastAsia="宋体" w:cs="Times New Roman"/>
          <w:b/>
          <w:kern w:val="44"/>
          <w:sz w:val="36"/>
          <w:szCs w:val="36"/>
        </w:rPr>
      </w:pPr>
      <w:bookmarkStart w:id="174" w:name="_Toc165029076"/>
      <w:bookmarkStart w:id="175" w:name="_Toc165026972"/>
      <w:bookmarkStart w:id="176" w:name="_Toc165022833"/>
      <w:bookmarkStart w:id="177" w:name="_Toc165029153"/>
      <w:bookmarkStart w:id="178" w:name="_Toc166059537"/>
      <w:r>
        <w:rPr>
          <w:rFonts w:ascii="Times New Roman" w:hAnsi="Times New Roman" w:eastAsia="宋体" w:cs="Times New Roman"/>
          <w:b/>
          <w:kern w:val="44"/>
          <w:sz w:val="36"/>
          <w:szCs w:val="36"/>
        </w:rPr>
        <w:t>第三章 调解与其他程序的衔接</w:t>
      </w:r>
      <w:bookmarkEnd w:id="174"/>
      <w:bookmarkEnd w:id="175"/>
      <w:bookmarkEnd w:id="176"/>
      <w:bookmarkEnd w:id="177"/>
      <w:bookmarkEnd w:id="178"/>
    </w:p>
    <w:p>
      <w:pPr>
        <w:keepNext/>
        <w:keepLines/>
        <w:spacing w:before="312" w:beforeLines="100" w:after="156" w:afterLines="50" w:line="500" w:lineRule="exact"/>
        <w:ind w:firstLine="562" w:firstLineChars="200"/>
        <w:outlineLvl w:val="1"/>
        <w:rPr>
          <w:rFonts w:ascii="Times New Roman" w:hAnsi="Times New Roman" w:eastAsia="宋体" w:cs="Times New Roman"/>
          <w:b/>
          <w:bCs/>
          <w:sz w:val="28"/>
          <w:szCs w:val="32"/>
        </w:rPr>
      </w:pPr>
      <w:bookmarkStart w:id="179" w:name="_Toc165022834"/>
      <w:bookmarkStart w:id="180" w:name="_Toc165029154"/>
      <w:bookmarkStart w:id="181" w:name="_Toc165026973"/>
      <w:bookmarkStart w:id="182" w:name="_Toc165029077"/>
      <w:bookmarkStart w:id="183" w:name="_Toc166059538"/>
      <w:r>
        <w:rPr>
          <w:rFonts w:ascii="Times New Roman" w:hAnsi="Times New Roman" w:eastAsia="宋体" w:cs="Times New Roman"/>
          <w:b/>
          <w:bCs/>
          <w:sz w:val="28"/>
          <w:szCs w:val="32"/>
        </w:rPr>
        <w:t>第三十条 和解协议的司法确认</w:t>
      </w:r>
      <w:bookmarkEnd w:id="179"/>
      <w:bookmarkEnd w:id="180"/>
      <w:bookmarkEnd w:id="181"/>
      <w:bookmarkEnd w:id="182"/>
      <w:bookmarkEnd w:id="183"/>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当事人达成和解协议的，可以依据《中华人民共和国民事诉讼法》共同向有管辖权的人民法院申请司法确认</w:t>
      </w:r>
      <w:r>
        <w:rPr>
          <w:rFonts w:hint="eastAsia" w:ascii="Times New Roman" w:hAnsi="Times New Roman" w:eastAsia="宋体" w:cs="Times New Roman"/>
          <w:sz w:val="28"/>
          <w:szCs w:val="28"/>
        </w:rPr>
        <w:t>。经司法确认的和解协议具有强制执行效力。</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符合《联合国关于调解所产生的国际和解协议公约》规定的，当事人可根据该公约成员国相关法律规定申请强制执行或救济。</w:t>
      </w:r>
    </w:p>
    <w:p>
      <w:pPr>
        <w:keepNext/>
        <w:keepLines/>
        <w:spacing w:before="156" w:beforeLines="50" w:after="156" w:afterLines="50" w:line="500" w:lineRule="exact"/>
        <w:ind w:firstLine="562" w:firstLineChars="200"/>
        <w:outlineLvl w:val="1"/>
        <w:rPr>
          <w:rFonts w:ascii="Times New Roman" w:hAnsi="Times New Roman" w:eastAsia="宋体" w:cs="Times New Roman"/>
          <w:b/>
          <w:bCs/>
          <w:sz w:val="28"/>
          <w:szCs w:val="32"/>
        </w:rPr>
      </w:pPr>
      <w:bookmarkStart w:id="184" w:name="_Toc166059539"/>
      <w:bookmarkStart w:id="185" w:name="_Toc165026974"/>
      <w:bookmarkStart w:id="186" w:name="_Toc165029155"/>
      <w:bookmarkStart w:id="187" w:name="_Toc165029078"/>
      <w:bookmarkStart w:id="188" w:name="_Toc165022835"/>
      <w:r>
        <w:rPr>
          <w:rFonts w:ascii="Times New Roman" w:hAnsi="Times New Roman" w:eastAsia="宋体" w:cs="Times New Roman"/>
          <w:b/>
          <w:bCs/>
          <w:sz w:val="28"/>
          <w:szCs w:val="32"/>
        </w:rPr>
        <w:t>第三十</w:t>
      </w:r>
      <w:r>
        <w:rPr>
          <w:rFonts w:hint="eastAsia" w:ascii="Times New Roman" w:hAnsi="Times New Roman" w:eastAsia="宋体" w:cs="Times New Roman"/>
          <w:b/>
          <w:bCs/>
          <w:sz w:val="28"/>
          <w:szCs w:val="32"/>
        </w:rPr>
        <w:t>一</w:t>
      </w:r>
      <w:r>
        <w:rPr>
          <w:rFonts w:ascii="Times New Roman" w:hAnsi="Times New Roman" w:eastAsia="宋体" w:cs="Times New Roman"/>
          <w:b/>
          <w:bCs/>
          <w:sz w:val="28"/>
          <w:szCs w:val="32"/>
        </w:rPr>
        <w:t>条 调解与仲裁或公证的衔接</w:t>
      </w:r>
      <w:bookmarkEnd w:id="184"/>
      <w:bookmarkEnd w:id="185"/>
      <w:bookmarkEnd w:id="186"/>
      <w:bookmarkEnd w:id="187"/>
      <w:bookmarkEnd w:id="188"/>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当事人达成和解协议的，经协商一致后可向仲裁机构提起仲裁，请求仲裁庭依据和解协议内容制作裁决书。</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有给付义务的和解协议，当事人也可以根据《中华人民共和国公证法》的规定申请公证机构进行公证。</w:t>
      </w:r>
    </w:p>
    <w:p>
      <w:pPr>
        <w:keepNext/>
        <w:keepLines/>
        <w:spacing w:before="156" w:beforeLines="50" w:after="156" w:afterLines="50" w:line="500" w:lineRule="exact"/>
        <w:ind w:firstLine="562" w:firstLineChars="200"/>
        <w:outlineLvl w:val="1"/>
        <w:rPr>
          <w:rFonts w:ascii="Times New Roman" w:hAnsi="Times New Roman" w:eastAsia="宋体" w:cs="Times New Roman"/>
          <w:b/>
          <w:bCs/>
          <w:sz w:val="28"/>
          <w:szCs w:val="32"/>
        </w:rPr>
      </w:pPr>
      <w:bookmarkStart w:id="189" w:name="_Toc165022836"/>
      <w:bookmarkStart w:id="190" w:name="_Toc166059540"/>
      <w:bookmarkStart w:id="191" w:name="_Toc165029156"/>
      <w:bookmarkStart w:id="192" w:name="_Toc165026975"/>
      <w:bookmarkStart w:id="193" w:name="_Toc165029079"/>
      <w:r>
        <w:rPr>
          <w:rFonts w:ascii="Times New Roman" w:hAnsi="Times New Roman" w:eastAsia="宋体" w:cs="Times New Roman"/>
          <w:b/>
          <w:bCs/>
          <w:sz w:val="28"/>
          <w:szCs w:val="32"/>
        </w:rPr>
        <w:t>第三十</w:t>
      </w:r>
      <w:r>
        <w:rPr>
          <w:rFonts w:hint="eastAsia" w:ascii="Times New Roman" w:hAnsi="Times New Roman" w:eastAsia="宋体" w:cs="Times New Roman"/>
          <w:b/>
          <w:bCs/>
          <w:sz w:val="28"/>
          <w:szCs w:val="32"/>
        </w:rPr>
        <w:t>二</w:t>
      </w:r>
      <w:r>
        <w:rPr>
          <w:rFonts w:ascii="Times New Roman" w:hAnsi="Times New Roman" w:eastAsia="宋体" w:cs="Times New Roman"/>
          <w:b/>
          <w:bCs/>
          <w:sz w:val="28"/>
          <w:szCs w:val="32"/>
        </w:rPr>
        <w:t>条 当事人在其他程序中的义务</w:t>
      </w:r>
      <w:bookmarkEnd w:id="189"/>
      <w:bookmarkEnd w:id="190"/>
      <w:bookmarkEnd w:id="191"/>
      <w:bookmarkEnd w:id="192"/>
      <w:bookmarkEnd w:id="193"/>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任何一方当事人均不得在之后的同一或相关争议进行的仲裁程序、司法程序或者其他任何程序中援引对方当事人或者调解员在调解过程中任何陈述、意见、观点或建议作为请求、答辩或者反请求的依据。</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符合《联合国关于调解所产生的国际和解协议公约》规定的，从其规定。</w:t>
      </w:r>
    </w:p>
    <w:p>
      <w:pPr>
        <w:keepNext/>
        <w:keepLines/>
        <w:spacing w:before="156" w:beforeLines="50" w:after="156" w:afterLines="50" w:line="500" w:lineRule="exact"/>
        <w:ind w:firstLine="562" w:firstLineChars="200"/>
        <w:outlineLvl w:val="1"/>
        <w:rPr>
          <w:rFonts w:ascii="Times New Roman" w:hAnsi="Times New Roman" w:eastAsia="宋体" w:cs="Times New Roman"/>
          <w:b/>
          <w:bCs/>
          <w:sz w:val="28"/>
          <w:szCs w:val="32"/>
        </w:rPr>
      </w:pPr>
      <w:bookmarkStart w:id="194" w:name="_Toc165022837"/>
      <w:bookmarkStart w:id="195" w:name="_Toc165029080"/>
      <w:bookmarkStart w:id="196" w:name="_Toc166059541"/>
      <w:bookmarkStart w:id="197" w:name="_Toc165029157"/>
      <w:bookmarkStart w:id="198" w:name="_Toc165026976"/>
      <w:r>
        <w:rPr>
          <w:rFonts w:ascii="Times New Roman" w:hAnsi="Times New Roman" w:eastAsia="宋体" w:cs="Times New Roman"/>
          <w:b/>
          <w:bCs/>
          <w:sz w:val="28"/>
          <w:szCs w:val="32"/>
        </w:rPr>
        <w:t>第三十</w:t>
      </w:r>
      <w:r>
        <w:rPr>
          <w:rFonts w:hint="eastAsia" w:ascii="Times New Roman" w:hAnsi="Times New Roman" w:eastAsia="宋体" w:cs="Times New Roman"/>
          <w:b/>
          <w:bCs/>
          <w:sz w:val="28"/>
          <w:szCs w:val="32"/>
        </w:rPr>
        <w:t>三</w:t>
      </w:r>
      <w:r>
        <w:rPr>
          <w:rFonts w:ascii="Times New Roman" w:hAnsi="Times New Roman" w:eastAsia="宋体" w:cs="Times New Roman"/>
          <w:b/>
          <w:bCs/>
          <w:sz w:val="28"/>
          <w:szCs w:val="32"/>
        </w:rPr>
        <w:t>条 调解员在其他程序中的义务</w:t>
      </w:r>
      <w:bookmarkEnd w:id="194"/>
      <w:bookmarkEnd w:id="195"/>
      <w:bookmarkEnd w:id="196"/>
      <w:bookmarkEnd w:id="197"/>
      <w:bookmarkEnd w:id="198"/>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在调解过程之中、调解程序结束之后，调解员不得在过去或目前调解的同一争议或者相关争议、或因同样或相关合同或法律关系产生的争议而进行的仲裁程序、司法程序或者其他任何争议解决程序中担任仲裁员、法官、一方当事人的代表或代理人、专家、提供咨询的人员或法律顾问。各方当事人均知情且明确不反对的除外。</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调解员不得在上述程序中作证，当事人也不能要求调解员在上述程序中作证，</w:t>
      </w:r>
      <w:r>
        <w:rPr>
          <w:rFonts w:hint="eastAsia" w:ascii="Times New Roman" w:hAnsi="Times New Roman" w:eastAsia="宋体" w:cs="Times New Roman"/>
          <w:sz w:val="28"/>
          <w:szCs w:val="28"/>
          <w:lang w:val="en-US" w:eastAsia="zh-CN"/>
        </w:rPr>
        <w:t>除非法律要求或全体当事人及调解员另行书面同意</w:t>
      </w:r>
      <w:r>
        <w:rPr>
          <w:rFonts w:ascii="Times New Roman" w:hAnsi="Times New Roman" w:eastAsia="宋体" w:cs="Times New Roman"/>
          <w:sz w:val="28"/>
          <w:szCs w:val="28"/>
        </w:rPr>
        <w:t>。</w:t>
      </w:r>
    </w:p>
    <w:p>
      <w:pPr>
        <w:keepNext/>
        <w:keepLines/>
        <w:spacing w:before="156" w:beforeLines="50" w:after="156" w:afterLines="50" w:line="500" w:lineRule="exact"/>
        <w:ind w:firstLine="562" w:firstLineChars="200"/>
        <w:outlineLvl w:val="1"/>
        <w:rPr>
          <w:rFonts w:ascii="Times New Roman" w:hAnsi="Times New Roman" w:eastAsia="宋体" w:cs="Times New Roman"/>
          <w:b/>
          <w:bCs/>
          <w:sz w:val="28"/>
          <w:szCs w:val="32"/>
        </w:rPr>
      </w:pPr>
      <w:bookmarkStart w:id="199" w:name="_Toc165029082"/>
      <w:bookmarkStart w:id="200" w:name="_Toc165029159"/>
      <w:bookmarkStart w:id="201" w:name="_Toc165026978"/>
      <w:bookmarkStart w:id="202" w:name="_Toc165022839"/>
      <w:bookmarkStart w:id="203" w:name="_Toc166059542"/>
      <w:r>
        <w:rPr>
          <w:rFonts w:ascii="Times New Roman" w:hAnsi="Times New Roman" w:eastAsia="宋体" w:cs="Times New Roman"/>
          <w:b/>
          <w:bCs/>
          <w:sz w:val="28"/>
          <w:szCs w:val="32"/>
        </w:rPr>
        <w:t>第三十</w:t>
      </w:r>
      <w:r>
        <w:rPr>
          <w:rFonts w:hint="eastAsia" w:ascii="Times New Roman" w:hAnsi="Times New Roman" w:eastAsia="宋体" w:cs="Times New Roman"/>
          <w:b/>
          <w:bCs/>
          <w:sz w:val="28"/>
          <w:szCs w:val="32"/>
        </w:rPr>
        <w:t>四</w:t>
      </w:r>
      <w:r>
        <w:rPr>
          <w:rFonts w:ascii="Times New Roman" w:hAnsi="Times New Roman" w:eastAsia="宋体" w:cs="Times New Roman"/>
          <w:b/>
          <w:bCs/>
          <w:sz w:val="28"/>
          <w:szCs w:val="32"/>
        </w:rPr>
        <w:t>条 调解中心与调解员的责任豁免</w:t>
      </w:r>
      <w:bookmarkEnd w:id="199"/>
      <w:bookmarkEnd w:id="200"/>
      <w:bookmarkEnd w:id="201"/>
      <w:bookmarkEnd w:id="202"/>
      <w:bookmarkEnd w:id="203"/>
    </w:p>
    <w:p>
      <w:pPr>
        <w:spacing w:line="500" w:lineRule="exact"/>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除非</w:t>
      </w:r>
      <w:r>
        <w:rPr>
          <w:rFonts w:ascii="Times New Roman" w:hAnsi="Times New Roman" w:eastAsia="宋体" w:cs="Times New Roman"/>
          <w:sz w:val="28"/>
          <w:szCs w:val="28"/>
        </w:rPr>
        <w:t>明显故意或重大过失违反法律强制性、禁止性规定，调解员、调解中心在依照本规则进行调解时，无须就与调解有关的任何作为或不作为对当事人承担任何责任。</w:t>
      </w:r>
    </w:p>
    <w:p>
      <w:pPr>
        <w:keepNext/>
        <w:keepLines/>
        <w:spacing w:before="156" w:beforeLines="50" w:after="156" w:afterLines="50" w:line="500" w:lineRule="exact"/>
        <w:ind w:firstLine="562" w:firstLineChars="200"/>
        <w:outlineLvl w:val="1"/>
        <w:rPr>
          <w:rFonts w:ascii="Times New Roman" w:hAnsi="Times New Roman" w:eastAsia="宋体" w:cs="Times New Roman"/>
          <w:b/>
          <w:bCs/>
          <w:sz w:val="28"/>
          <w:szCs w:val="32"/>
        </w:rPr>
      </w:pPr>
      <w:bookmarkStart w:id="204" w:name="_Toc166059543"/>
      <w:bookmarkStart w:id="205" w:name="_Toc165029160"/>
      <w:bookmarkStart w:id="206" w:name="_Toc165029083"/>
      <w:bookmarkStart w:id="207" w:name="_Toc165026979"/>
      <w:bookmarkStart w:id="208" w:name="_Toc165022840"/>
      <w:r>
        <w:rPr>
          <w:rFonts w:ascii="Times New Roman" w:hAnsi="Times New Roman" w:eastAsia="宋体" w:cs="Times New Roman"/>
          <w:b/>
          <w:bCs/>
          <w:sz w:val="28"/>
          <w:szCs w:val="32"/>
        </w:rPr>
        <w:t>第三十</w:t>
      </w:r>
      <w:r>
        <w:rPr>
          <w:rFonts w:hint="eastAsia" w:ascii="Times New Roman" w:hAnsi="Times New Roman" w:eastAsia="宋体" w:cs="Times New Roman"/>
          <w:b/>
          <w:bCs/>
          <w:sz w:val="28"/>
          <w:szCs w:val="32"/>
        </w:rPr>
        <w:t>五</w:t>
      </w:r>
      <w:r>
        <w:rPr>
          <w:rFonts w:ascii="Times New Roman" w:hAnsi="Times New Roman" w:eastAsia="宋体" w:cs="Times New Roman"/>
          <w:b/>
          <w:bCs/>
          <w:sz w:val="28"/>
          <w:szCs w:val="32"/>
        </w:rPr>
        <w:t>条</w:t>
      </w:r>
      <w:r>
        <w:rPr>
          <w:rFonts w:hint="eastAsia" w:ascii="Times New Roman" w:hAnsi="Times New Roman" w:eastAsia="宋体" w:cs="Times New Roman"/>
          <w:b/>
          <w:bCs/>
          <w:sz w:val="28"/>
          <w:szCs w:val="32"/>
          <w:lang w:val="en-US" w:eastAsia="zh-CN"/>
        </w:rPr>
        <w:t xml:space="preserve"> </w:t>
      </w:r>
      <w:r>
        <w:rPr>
          <w:rFonts w:ascii="Times New Roman" w:hAnsi="Times New Roman" w:eastAsia="宋体" w:cs="Times New Roman"/>
          <w:b/>
          <w:bCs/>
          <w:sz w:val="28"/>
          <w:szCs w:val="32"/>
        </w:rPr>
        <w:t>侵权责任豁免</w:t>
      </w:r>
      <w:bookmarkEnd w:id="204"/>
      <w:bookmarkEnd w:id="205"/>
      <w:bookmarkEnd w:id="206"/>
      <w:bookmarkEnd w:id="207"/>
      <w:bookmarkEnd w:id="208"/>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调解员、各方当事人或其代理人在调解过程中发表或使用的任何陈述与意见，不论是书面的还是口头的，不得作为提起或支持任何其他侵权之诉的依据</w:t>
      </w:r>
      <w:r>
        <w:rPr>
          <w:rFonts w:hint="eastAsia" w:ascii="Times New Roman" w:hAnsi="Times New Roman" w:eastAsia="宋体" w:cs="Times New Roman"/>
          <w:sz w:val="28"/>
          <w:szCs w:val="28"/>
        </w:rPr>
        <w:t>。</w:t>
      </w:r>
      <w:r>
        <w:rPr>
          <w:rFonts w:ascii="Times New Roman" w:hAnsi="Times New Roman" w:eastAsia="宋体" w:cs="Times New Roman"/>
          <w:sz w:val="28"/>
          <w:szCs w:val="28"/>
        </w:rPr>
        <w:t>本条款可作为请求驳回任何此种起诉的依据。</w:t>
      </w:r>
    </w:p>
    <w:p>
      <w:pPr>
        <w:keepNext/>
        <w:keepLines/>
        <w:spacing w:before="156" w:beforeLines="50" w:after="156" w:afterLines="50" w:line="500" w:lineRule="exact"/>
        <w:ind w:firstLine="562" w:firstLineChars="200"/>
        <w:outlineLvl w:val="1"/>
        <w:rPr>
          <w:rFonts w:ascii="Times New Roman" w:hAnsi="Times New Roman" w:eastAsia="宋体" w:cs="Times New Roman"/>
          <w:b/>
          <w:bCs/>
          <w:sz w:val="28"/>
          <w:szCs w:val="32"/>
        </w:rPr>
      </w:pPr>
      <w:bookmarkStart w:id="209" w:name="_Toc166059544"/>
      <w:bookmarkStart w:id="210" w:name="_Toc165022841"/>
      <w:bookmarkStart w:id="211" w:name="_Toc165029161"/>
      <w:bookmarkStart w:id="212" w:name="_Toc165029084"/>
      <w:bookmarkStart w:id="213" w:name="_Toc165026980"/>
      <w:r>
        <w:rPr>
          <w:rFonts w:ascii="Times New Roman" w:hAnsi="Times New Roman" w:eastAsia="宋体" w:cs="Times New Roman"/>
          <w:b/>
          <w:bCs/>
          <w:sz w:val="28"/>
          <w:szCs w:val="32"/>
        </w:rPr>
        <w:t>第三十</w:t>
      </w:r>
      <w:r>
        <w:rPr>
          <w:rFonts w:hint="eastAsia" w:ascii="Times New Roman" w:hAnsi="Times New Roman" w:eastAsia="宋体" w:cs="Times New Roman"/>
          <w:b/>
          <w:bCs/>
          <w:sz w:val="28"/>
          <w:szCs w:val="32"/>
        </w:rPr>
        <w:t>六</w:t>
      </w:r>
      <w:r>
        <w:rPr>
          <w:rFonts w:ascii="Times New Roman" w:hAnsi="Times New Roman" w:eastAsia="宋体" w:cs="Times New Roman"/>
          <w:b/>
          <w:bCs/>
          <w:sz w:val="28"/>
          <w:szCs w:val="32"/>
        </w:rPr>
        <w:t>条 调解程序与其他法律程序的关系</w:t>
      </w:r>
      <w:bookmarkEnd w:id="209"/>
      <w:bookmarkEnd w:id="210"/>
      <w:bookmarkEnd w:id="211"/>
      <w:bookmarkEnd w:id="212"/>
      <w:bookmarkEnd w:id="213"/>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符合调解中心受案范围的争议，不论当事人是否已经提起仲裁程序、司法程序或其他争议解决程序，均可随时向调解中心申请依据本规则进行调解。</w:t>
      </w:r>
    </w:p>
    <w:p>
      <w:pPr>
        <w:keepNext/>
        <w:keepLines/>
        <w:spacing w:before="156" w:beforeLines="50" w:after="156" w:afterLines="50" w:line="500" w:lineRule="exact"/>
        <w:ind w:firstLine="562" w:firstLineChars="200"/>
        <w:outlineLvl w:val="1"/>
        <w:rPr>
          <w:rFonts w:ascii="Times New Roman" w:hAnsi="Times New Roman" w:eastAsia="宋体" w:cs="Times New Roman"/>
          <w:b/>
          <w:bCs/>
          <w:sz w:val="28"/>
          <w:szCs w:val="32"/>
        </w:rPr>
      </w:pPr>
      <w:bookmarkStart w:id="214" w:name="_Toc165029162"/>
      <w:bookmarkStart w:id="215" w:name="_Toc165029085"/>
      <w:bookmarkStart w:id="216" w:name="_Toc165026981"/>
      <w:bookmarkStart w:id="217" w:name="_Toc165022842"/>
      <w:bookmarkStart w:id="218" w:name="_Toc166059545"/>
      <w:r>
        <w:rPr>
          <w:rFonts w:ascii="Times New Roman" w:hAnsi="Times New Roman" w:eastAsia="宋体" w:cs="Times New Roman"/>
          <w:b/>
          <w:bCs/>
          <w:sz w:val="28"/>
          <w:szCs w:val="32"/>
        </w:rPr>
        <w:t>第三十</w:t>
      </w:r>
      <w:r>
        <w:rPr>
          <w:rFonts w:hint="eastAsia" w:ascii="Times New Roman" w:hAnsi="Times New Roman" w:eastAsia="宋体" w:cs="Times New Roman"/>
          <w:b/>
          <w:bCs/>
          <w:sz w:val="28"/>
          <w:szCs w:val="32"/>
        </w:rPr>
        <w:t>七</w:t>
      </w:r>
      <w:r>
        <w:rPr>
          <w:rFonts w:ascii="Times New Roman" w:hAnsi="Times New Roman" w:eastAsia="宋体" w:cs="Times New Roman"/>
          <w:b/>
          <w:bCs/>
          <w:sz w:val="28"/>
          <w:szCs w:val="32"/>
        </w:rPr>
        <w:t>条 电子传输与文件处理</w:t>
      </w:r>
      <w:bookmarkEnd w:id="214"/>
      <w:bookmarkEnd w:id="215"/>
      <w:bookmarkEnd w:id="216"/>
      <w:bookmarkEnd w:id="217"/>
      <w:bookmarkEnd w:id="218"/>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调解的部分或全部程序可以采用电子传输的方式进行。对于</w:t>
      </w:r>
      <w:r>
        <w:rPr>
          <w:rFonts w:hint="eastAsia" w:ascii="Times New Roman" w:hAnsi="Times New Roman" w:eastAsia="宋体" w:cs="Times New Roman"/>
          <w:sz w:val="28"/>
          <w:szCs w:val="28"/>
        </w:rPr>
        <w:t>因</w:t>
      </w:r>
      <w:r>
        <w:rPr>
          <w:rFonts w:ascii="Times New Roman" w:hAnsi="Times New Roman" w:eastAsia="宋体" w:cs="Times New Roman"/>
          <w:sz w:val="28"/>
          <w:szCs w:val="28"/>
        </w:rPr>
        <w:t>不可抗力或第三方供应商的不当行为或技术问题导致的电子信息传输错误，调解中心不承担由此导致的损失。</w:t>
      </w:r>
    </w:p>
    <w:p>
      <w:pPr>
        <w:spacing w:line="500" w:lineRule="exact"/>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除非</w:t>
      </w:r>
      <w:r>
        <w:rPr>
          <w:rFonts w:ascii="Times New Roman" w:hAnsi="Times New Roman" w:eastAsia="宋体" w:cs="Times New Roman"/>
          <w:sz w:val="28"/>
          <w:szCs w:val="28"/>
        </w:rPr>
        <w:t>当事人</w:t>
      </w:r>
      <w:r>
        <w:rPr>
          <w:rFonts w:hint="eastAsia" w:ascii="Times New Roman" w:hAnsi="Times New Roman" w:eastAsia="宋体" w:cs="Times New Roman"/>
          <w:sz w:val="28"/>
          <w:szCs w:val="28"/>
        </w:rPr>
        <w:t>明示并经调解中心同意，当事人</w:t>
      </w:r>
      <w:r>
        <w:rPr>
          <w:rFonts w:ascii="Times New Roman" w:hAnsi="Times New Roman" w:eastAsia="宋体" w:cs="Times New Roman"/>
          <w:sz w:val="28"/>
          <w:szCs w:val="28"/>
        </w:rPr>
        <w:t>在调解过程中提交的实物</w:t>
      </w:r>
      <w:r>
        <w:rPr>
          <w:rFonts w:hint="eastAsia" w:ascii="Times New Roman" w:hAnsi="Times New Roman" w:eastAsia="宋体" w:cs="Times New Roman"/>
          <w:sz w:val="28"/>
          <w:szCs w:val="28"/>
        </w:rPr>
        <w:t>、</w:t>
      </w:r>
      <w:r>
        <w:rPr>
          <w:rFonts w:ascii="Times New Roman" w:hAnsi="Times New Roman" w:eastAsia="宋体" w:cs="Times New Roman"/>
          <w:sz w:val="28"/>
          <w:szCs w:val="28"/>
        </w:rPr>
        <w:t>文件副本或复制品，不得要求调解中心和调解员予以退还。</w:t>
      </w:r>
    </w:p>
    <w:p>
      <w:pPr>
        <w:keepNext/>
        <w:keepLines/>
        <w:spacing w:before="156" w:beforeLines="50" w:after="156" w:afterLines="50" w:line="500" w:lineRule="exact"/>
        <w:ind w:firstLine="562" w:firstLineChars="200"/>
        <w:outlineLvl w:val="1"/>
        <w:rPr>
          <w:rFonts w:ascii="Times New Roman" w:hAnsi="Times New Roman" w:eastAsia="宋体" w:cs="Times New Roman"/>
          <w:b/>
          <w:bCs/>
          <w:sz w:val="28"/>
          <w:szCs w:val="32"/>
        </w:rPr>
      </w:pPr>
      <w:bookmarkStart w:id="219" w:name="_Toc165029163"/>
      <w:bookmarkStart w:id="220" w:name="_Toc165026982"/>
      <w:bookmarkStart w:id="221" w:name="_Toc165029086"/>
      <w:bookmarkStart w:id="222" w:name="_Toc165022843"/>
      <w:bookmarkStart w:id="223" w:name="_Toc166059546"/>
      <w:r>
        <w:rPr>
          <w:rFonts w:ascii="Times New Roman" w:hAnsi="Times New Roman" w:eastAsia="宋体" w:cs="Times New Roman"/>
          <w:b/>
          <w:bCs/>
          <w:sz w:val="28"/>
          <w:szCs w:val="32"/>
        </w:rPr>
        <w:t>第</w:t>
      </w:r>
      <w:r>
        <w:rPr>
          <w:rFonts w:hint="eastAsia" w:ascii="Times New Roman" w:hAnsi="Times New Roman" w:eastAsia="宋体" w:cs="Times New Roman"/>
          <w:b/>
          <w:bCs/>
          <w:sz w:val="28"/>
          <w:szCs w:val="32"/>
        </w:rPr>
        <w:t>三十八</w:t>
      </w:r>
      <w:r>
        <w:rPr>
          <w:rFonts w:ascii="Times New Roman" w:hAnsi="Times New Roman" w:eastAsia="宋体" w:cs="Times New Roman"/>
          <w:b/>
          <w:bCs/>
          <w:sz w:val="28"/>
          <w:szCs w:val="32"/>
        </w:rPr>
        <w:t>条 规则的解释</w:t>
      </w:r>
      <w:bookmarkEnd w:id="219"/>
      <w:bookmarkEnd w:id="220"/>
      <w:bookmarkEnd w:id="221"/>
      <w:bookmarkEnd w:id="222"/>
      <w:bookmarkEnd w:id="223"/>
    </w:p>
    <w:p>
      <w:pPr>
        <w:numPr>
          <w:ilvl w:val="0"/>
          <w:numId w:val="1"/>
        </w:num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本规则条文标题不用于解释条文含义。</w:t>
      </w:r>
    </w:p>
    <w:p>
      <w:pPr>
        <w:numPr>
          <w:ilvl w:val="0"/>
          <w:numId w:val="1"/>
        </w:num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本规则由调解中心负责解释。</w:t>
      </w:r>
    </w:p>
    <w:p>
      <w:pPr>
        <w:keepNext/>
        <w:keepLines/>
        <w:spacing w:before="156" w:beforeLines="50" w:after="156" w:afterLines="50" w:line="500" w:lineRule="exact"/>
        <w:ind w:firstLine="562" w:firstLineChars="200"/>
        <w:outlineLvl w:val="1"/>
        <w:rPr>
          <w:rFonts w:ascii="Times New Roman" w:hAnsi="Times New Roman" w:eastAsia="宋体" w:cs="Times New Roman"/>
          <w:b/>
          <w:bCs/>
          <w:sz w:val="28"/>
          <w:szCs w:val="32"/>
        </w:rPr>
      </w:pPr>
      <w:bookmarkStart w:id="224" w:name="_Toc165029087"/>
      <w:bookmarkStart w:id="225" w:name="_Toc166059547"/>
      <w:bookmarkStart w:id="226" w:name="_Toc165022844"/>
      <w:bookmarkStart w:id="227" w:name="_Toc165029164"/>
      <w:bookmarkStart w:id="228" w:name="_Toc165026983"/>
      <w:r>
        <w:rPr>
          <w:rFonts w:ascii="Times New Roman" w:hAnsi="Times New Roman" w:eastAsia="宋体" w:cs="Times New Roman"/>
          <w:b/>
          <w:bCs/>
          <w:sz w:val="28"/>
          <w:szCs w:val="32"/>
        </w:rPr>
        <w:t>第</w:t>
      </w:r>
      <w:r>
        <w:rPr>
          <w:rFonts w:hint="eastAsia" w:ascii="Times New Roman" w:hAnsi="Times New Roman" w:eastAsia="宋体" w:cs="Times New Roman"/>
          <w:b/>
          <w:bCs/>
          <w:sz w:val="28"/>
          <w:szCs w:val="32"/>
        </w:rPr>
        <w:t>三十九</w:t>
      </w:r>
      <w:r>
        <w:rPr>
          <w:rFonts w:ascii="Times New Roman" w:hAnsi="Times New Roman" w:eastAsia="宋体" w:cs="Times New Roman"/>
          <w:b/>
          <w:bCs/>
          <w:sz w:val="28"/>
          <w:szCs w:val="32"/>
        </w:rPr>
        <w:t>条 规则的施行</w:t>
      </w:r>
      <w:bookmarkEnd w:id="224"/>
      <w:bookmarkEnd w:id="225"/>
      <w:bookmarkEnd w:id="226"/>
      <w:bookmarkEnd w:id="227"/>
      <w:bookmarkEnd w:id="228"/>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本规则经调解中心主席会议审议通过，自2024年</w:t>
      </w:r>
      <w:r>
        <w:rPr>
          <w:rFonts w:hint="eastAsia" w:ascii="Times New Roman" w:hAnsi="Times New Roman" w:eastAsia="宋体" w:cs="Times New Roman"/>
          <w:sz w:val="28"/>
          <w:szCs w:val="28"/>
          <w:lang w:val="en-US" w:eastAsia="zh-CN"/>
        </w:rPr>
        <w:t>7</w:t>
      </w:r>
      <w:r>
        <w:rPr>
          <w:rFonts w:ascii="Times New Roman" w:hAnsi="Times New Roman" w:eastAsia="宋体" w:cs="Times New Roman"/>
          <w:sz w:val="28"/>
          <w:szCs w:val="28"/>
        </w:rPr>
        <w:t>月1日</w:t>
      </w:r>
      <w:bookmarkStart w:id="231" w:name="_GoBack"/>
      <w:bookmarkEnd w:id="231"/>
      <w:r>
        <w:rPr>
          <w:rFonts w:ascii="Times New Roman" w:hAnsi="Times New Roman" w:eastAsia="宋体" w:cs="Times New Roman"/>
          <w:sz w:val="28"/>
          <w:szCs w:val="28"/>
        </w:rPr>
        <w:t>起施行。</w:t>
      </w:r>
    </w:p>
    <w:p>
      <w:pPr>
        <w:spacing w:line="500" w:lineRule="exact"/>
        <w:rPr>
          <w:rFonts w:ascii="Times New Roman" w:hAnsi="Times New Roman" w:eastAsia="宋体" w:cs="Times New Roman"/>
          <w:sz w:val="28"/>
          <w:szCs w:val="28"/>
        </w:rPr>
      </w:pPr>
    </w:p>
    <w:p>
      <w:pPr>
        <w:spacing w:line="500" w:lineRule="exact"/>
        <w:rPr>
          <w:rFonts w:ascii="Times New Roman" w:hAnsi="Times New Roman" w:eastAsia="宋体" w:cs="Times New Roman"/>
          <w:sz w:val="28"/>
          <w:szCs w:val="28"/>
        </w:rPr>
      </w:pPr>
    </w:p>
    <w:p>
      <w:pPr>
        <w:spacing w:line="500" w:lineRule="exact"/>
        <w:rPr>
          <w:rFonts w:ascii="Times New Roman" w:hAnsi="Times New Roman" w:eastAsia="宋体" w:cs="Times New Roman"/>
          <w:sz w:val="28"/>
          <w:szCs w:val="28"/>
        </w:rPr>
      </w:pPr>
    </w:p>
    <w:p>
      <w:pPr>
        <w:spacing w:line="500" w:lineRule="exact"/>
        <w:rPr>
          <w:rFonts w:ascii="Times New Roman" w:hAnsi="Times New Roman" w:eastAsia="宋体" w:cs="Times New Roman"/>
          <w:sz w:val="28"/>
          <w:szCs w:val="28"/>
        </w:rPr>
      </w:pPr>
    </w:p>
    <w:p>
      <w:pPr>
        <w:spacing w:line="500" w:lineRule="exact"/>
        <w:rPr>
          <w:rFonts w:ascii="Times New Roman" w:hAnsi="Times New Roman" w:eastAsia="宋体" w:cs="Times New Roman"/>
          <w:sz w:val="28"/>
          <w:szCs w:val="28"/>
        </w:rPr>
      </w:pPr>
    </w:p>
    <w:p>
      <w:pPr>
        <w:spacing w:line="500" w:lineRule="exact"/>
        <w:rPr>
          <w:rFonts w:ascii="Times New Roman" w:hAnsi="Times New Roman" w:eastAsia="宋体" w:cs="Times New Roman"/>
          <w:sz w:val="28"/>
          <w:szCs w:val="28"/>
        </w:rPr>
      </w:pPr>
    </w:p>
    <w:p>
      <w:pPr>
        <w:spacing w:line="500" w:lineRule="exact"/>
        <w:rPr>
          <w:rFonts w:ascii="Times New Roman" w:hAnsi="Times New Roman" w:eastAsia="宋体" w:cs="Times New Roman"/>
          <w:sz w:val="28"/>
          <w:szCs w:val="28"/>
        </w:rPr>
      </w:pPr>
    </w:p>
    <w:p>
      <w:pPr>
        <w:spacing w:line="500" w:lineRule="exact"/>
        <w:rPr>
          <w:rFonts w:ascii="Times New Roman" w:hAnsi="Times New Roman" w:eastAsia="宋体" w:cs="Times New Roman"/>
          <w:sz w:val="28"/>
          <w:szCs w:val="28"/>
        </w:rPr>
      </w:pPr>
    </w:p>
    <w:p>
      <w:pPr>
        <w:spacing w:line="500" w:lineRule="exact"/>
        <w:rPr>
          <w:rFonts w:ascii="Times New Roman" w:hAnsi="Times New Roman" w:eastAsia="宋体" w:cs="Times New Roman"/>
          <w:sz w:val="28"/>
          <w:szCs w:val="28"/>
        </w:rPr>
      </w:pPr>
    </w:p>
    <w:p>
      <w:pPr>
        <w:spacing w:line="500" w:lineRule="exact"/>
        <w:rPr>
          <w:rFonts w:ascii="Times New Roman" w:hAnsi="Times New Roman" w:eastAsia="宋体" w:cs="Times New Roman"/>
          <w:sz w:val="28"/>
          <w:szCs w:val="28"/>
        </w:rPr>
      </w:pPr>
    </w:p>
    <w:p>
      <w:pPr>
        <w:spacing w:line="500" w:lineRule="exact"/>
        <w:rPr>
          <w:rFonts w:ascii="Times New Roman" w:hAnsi="Times New Roman" w:eastAsia="宋体" w:cs="Times New Roman"/>
          <w:sz w:val="28"/>
          <w:szCs w:val="28"/>
        </w:rPr>
      </w:pPr>
    </w:p>
    <w:p>
      <w:pPr>
        <w:spacing w:line="500" w:lineRule="exact"/>
        <w:rPr>
          <w:rFonts w:ascii="Times New Roman" w:hAnsi="Times New Roman" w:eastAsia="宋体" w:cs="Times New Roman"/>
          <w:sz w:val="28"/>
          <w:szCs w:val="28"/>
        </w:rPr>
      </w:pPr>
    </w:p>
    <w:p>
      <w:pPr>
        <w:spacing w:line="500" w:lineRule="exact"/>
        <w:rPr>
          <w:rFonts w:ascii="Times New Roman" w:hAnsi="Times New Roman" w:eastAsia="宋体" w:cs="Times New Roman"/>
          <w:sz w:val="28"/>
          <w:szCs w:val="28"/>
        </w:rPr>
      </w:pPr>
    </w:p>
    <w:p>
      <w:pPr>
        <w:spacing w:line="500" w:lineRule="exact"/>
        <w:rPr>
          <w:rFonts w:ascii="Times New Roman" w:hAnsi="Times New Roman" w:eastAsia="宋体" w:cs="Times New Roman"/>
          <w:sz w:val="28"/>
          <w:szCs w:val="28"/>
        </w:rPr>
      </w:pPr>
    </w:p>
    <w:p>
      <w:pPr>
        <w:spacing w:line="500" w:lineRule="exact"/>
        <w:rPr>
          <w:rFonts w:ascii="Times New Roman" w:hAnsi="Times New Roman" w:eastAsia="宋体" w:cs="Times New Roman"/>
          <w:sz w:val="28"/>
          <w:szCs w:val="28"/>
        </w:rPr>
      </w:pPr>
    </w:p>
    <w:p>
      <w:pPr>
        <w:spacing w:line="500" w:lineRule="exact"/>
        <w:rPr>
          <w:rFonts w:ascii="Times New Roman" w:hAnsi="Times New Roman" w:eastAsia="宋体" w:cs="Times New Roman"/>
          <w:sz w:val="28"/>
          <w:szCs w:val="28"/>
        </w:rPr>
      </w:pPr>
    </w:p>
    <w:p>
      <w:pPr>
        <w:spacing w:line="500" w:lineRule="exact"/>
        <w:rPr>
          <w:rFonts w:ascii="Times New Roman" w:hAnsi="Times New Roman" w:eastAsia="宋体" w:cs="Times New Roman"/>
          <w:sz w:val="28"/>
          <w:szCs w:val="28"/>
        </w:rPr>
      </w:pPr>
    </w:p>
    <w:p>
      <w:pPr>
        <w:spacing w:line="500" w:lineRule="exact"/>
        <w:rPr>
          <w:rFonts w:ascii="Times New Roman" w:hAnsi="Times New Roman" w:eastAsia="宋体" w:cs="Times New Roman"/>
          <w:sz w:val="28"/>
          <w:szCs w:val="28"/>
        </w:rPr>
      </w:pPr>
    </w:p>
    <w:p>
      <w:pPr>
        <w:spacing w:line="500" w:lineRule="exact"/>
        <w:rPr>
          <w:rFonts w:ascii="Times New Roman" w:hAnsi="Times New Roman" w:eastAsia="宋体" w:cs="Times New Roman"/>
          <w:sz w:val="28"/>
          <w:szCs w:val="28"/>
        </w:rPr>
      </w:pPr>
    </w:p>
    <w:p>
      <w:pPr>
        <w:spacing w:line="500" w:lineRule="exact"/>
        <w:rPr>
          <w:rFonts w:ascii="Times New Roman" w:hAnsi="Times New Roman" w:eastAsia="宋体" w:cs="Times New Roman"/>
          <w:sz w:val="28"/>
          <w:szCs w:val="28"/>
        </w:rPr>
      </w:pPr>
    </w:p>
    <w:p>
      <w:pPr>
        <w:spacing w:line="500" w:lineRule="exact"/>
        <w:rPr>
          <w:rFonts w:ascii="Times New Roman" w:hAnsi="Times New Roman" w:eastAsia="宋体" w:cs="Times New Roman"/>
          <w:sz w:val="28"/>
          <w:szCs w:val="28"/>
        </w:rPr>
      </w:pPr>
    </w:p>
    <w:p>
      <w:pPr>
        <w:spacing w:line="500" w:lineRule="exact"/>
        <w:rPr>
          <w:rFonts w:ascii="Times New Roman" w:hAnsi="Times New Roman" w:eastAsia="宋体" w:cs="Times New Roman"/>
          <w:sz w:val="28"/>
          <w:szCs w:val="28"/>
        </w:rPr>
      </w:pPr>
    </w:p>
    <w:p>
      <w:pPr>
        <w:spacing w:line="500" w:lineRule="exact"/>
        <w:rPr>
          <w:rFonts w:ascii="Times New Roman" w:hAnsi="Times New Roman" w:eastAsia="宋体" w:cs="Times New Roman"/>
          <w:sz w:val="28"/>
          <w:szCs w:val="28"/>
        </w:rPr>
      </w:pPr>
    </w:p>
    <w:p>
      <w:pPr>
        <w:spacing w:line="500" w:lineRule="exact"/>
        <w:rPr>
          <w:rFonts w:ascii="Times New Roman" w:hAnsi="Times New Roman" w:eastAsia="宋体" w:cs="Times New Roman"/>
          <w:sz w:val="28"/>
          <w:szCs w:val="28"/>
        </w:rPr>
      </w:pPr>
    </w:p>
    <w:p>
      <w:pPr>
        <w:widowControl/>
        <w:spacing w:after="156" w:afterLines="50" w:line="500" w:lineRule="exact"/>
        <w:ind w:firstLine="361" w:firstLineChars="100"/>
        <w:jc w:val="both"/>
        <w:outlineLvl w:val="0"/>
        <w:rPr>
          <w:rFonts w:ascii="Times New Roman" w:hAnsi="Times New Roman" w:eastAsia="宋体" w:cs="Times New Roman"/>
          <w:b/>
          <w:kern w:val="44"/>
          <w:sz w:val="36"/>
          <w:szCs w:val="36"/>
        </w:rPr>
      </w:pPr>
      <w:bookmarkStart w:id="229" w:name="_Toc166059548"/>
      <w:r>
        <w:rPr>
          <w:rFonts w:ascii="Times New Roman" w:hAnsi="Times New Roman" w:eastAsia="宋体" w:cs="Times New Roman"/>
          <w:b/>
          <w:kern w:val="44"/>
          <w:sz w:val="36"/>
          <w:szCs w:val="36"/>
        </w:rPr>
        <w:t>《中国国际贸易促进委员会调解中心收费办法》</w:t>
      </w:r>
      <w:bookmarkEnd w:id="229"/>
    </w:p>
    <w:p>
      <w:pPr>
        <w:ind w:firstLine="300"/>
        <w:jc w:val="center"/>
        <w:rPr>
          <w:rFonts w:ascii="Times New Roman" w:hAnsi="Times New Roman" w:eastAsia="方正小标宋简体" w:cs="Times New Roman"/>
          <w:sz w:val="15"/>
          <w:szCs w:val="15"/>
        </w:rPr>
      </w:pP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当事人申请调解中心调解，应当按照调解中心制定的《中国国际贸易促进委员会调解中心收费办法》缴纳调解费用。调解费用包括案件登记费、案件调解费，以及因调解产生的其他合理开支。</w:t>
      </w:r>
    </w:p>
    <w:p>
      <w:pPr>
        <w:widowControl/>
        <w:shd w:val="clear" w:color="auto" w:fill="FFFFFF"/>
        <w:spacing w:before="156" w:beforeLines="50" w:after="156" w:afterLines="50" w:line="500" w:lineRule="exact"/>
        <w:ind w:firstLine="562" w:firstLineChars="200"/>
        <w:contextualSpacing/>
        <w:rPr>
          <w:rFonts w:ascii="Times New Roman" w:hAnsi="Times New Roman" w:eastAsia="宋体" w:cs="Times New Roman"/>
          <w:b/>
          <w:bCs/>
          <w:sz w:val="28"/>
          <w:szCs w:val="28"/>
        </w:rPr>
      </w:pPr>
      <w:r>
        <w:rPr>
          <w:rFonts w:ascii="Times New Roman" w:hAnsi="Times New Roman" w:eastAsia="宋体" w:cs="Times New Roman"/>
          <w:b/>
          <w:bCs/>
          <w:sz w:val="28"/>
          <w:szCs w:val="28"/>
        </w:rPr>
        <w:t>一、案件登记费</w:t>
      </w:r>
    </w:p>
    <w:p>
      <w:pPr>
        <w:spacing w:line="500" w:lineRule="exact"/>
        <w:ind w:firstLine="560" w:firstLineChars="200"/>
        <w:rPr>
          <w:rFonts w:ascii="Times New Roman" w:hAnsi="Times New Roman" w:eastAsia="宋体" w:cs="Times New Roman"/>
          <w:sz w:val="28"/>
          <w:szCs w:val="28"/>
        </w:rPr>
      </w:pPr>
      <w:bookmarkStart w:id="230" w:name="OLE_LINK1"/>
      <w:r>
        <w:rPr>
          <w:rFonts w:ascii="Times New Roman" w:hAnsi="Times New Roman" w:eastAsia="宋体" w:cs="Times New Roman"/>
          <w:sz w:val="28"/>
          <w:szCs w:val="28"/>
        </w:rPr>
        <w:t>案件登记费</w:t>
      </w:r>
      <w:r>
        <w:rPr>
          <w:rFonts w:hint="eastAsia" w:ascii="Times New Roman" w:hAnsi="Times New Roman" w:eastAsia="宋体" w:cs="Times New Roman"/>
          <w:sz w:val="28"/>
          <w:szCs w:val="28"/>
        </w:rPr>
        <w:t>由各方当事人分别缴纳，每方人民币1000元。</w:t>
      </w:r>
      <w:bookmarkEnd w:id="230"/>
    </w:p>
    <w:p>
      <w:pPr>
        <w:spacing w:line="500" w:lineRule="exact"/>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案件登记费</w:t>
      </w:r>
      <w:r>
        <w:rPr>
          <w:rFonts w:ascii="Times New Roman" w:hAnsi="Times New Roman" w:eastAsia="宋体" w:cs="Times New Roman"/>
          <w:sz w:val="28"/>
          <w:szCs w:val="28"/>
        </w:rPr>
        <w:t>用于对调解申请的审查、案件登记、案卷管理等。该费用不因任何情形退还。</w:t>
      </w:r>
    </w:p>
    <w:p>
      <w:pPr>
        <w:widowControl/>
        <w:shd w:val="clear" w:color="auto" w:fill="FFFFFF"/>
        <w:spacing w:before="156" w:beforeLines="50" w:after="156" w:afterLines="50" w:line="500" w:lineRule="exact"/>
        <w:ind w:firstLine="562" w:firstLineChars="200"/>
        <w:contextualSpacing/>
        <w:rPr>
          <w:rFonts w:ascii="Times New Roman" w:hAnsi="Times New Roman" w:eastAsia="宋体" w:cs="Times New Roman"/>
          <w:b/>
          <w:bCs/>
          <w:sz w:val="28"/>
          <w:szCs w:val="28"/>
        </w:rPr>
      </w:pPr>
      <w:r>
        <w:rPr>
          <w:rFonts w:ascii="Times New Roman" w:hAnsi="Times New Roman" w:eastAsia="宋体" w:cs="Times New Roman"/>
          <w:b/>
          <w:bCs/>
          <w:sz w:val="28"/>
          <w:szCs w:val="28"/>
        </w:rPr>
        <w:t>二、案件调解费</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案件调解费包括机构管理费和调解员报酬。</w:t>
      </w:r>
    </w:p>
    <w:p>
      <w:pPr>
        <w:spacing w:line="50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除非调解员特别要求并征得当事人同意，案件调解费按下述方式一集中收取。如调解员要求按小时计收调解员报酬，并经当事人同意的，案件调解费按下述方式二收取。</w:t>
      </w:r>
    </w:p>
    <w:p>
      <w:pPr>
        <w:spacing w:before="156" w:beforeLines="50" w:after="156" w:afterLines="50" w:line="500" w:lineRule="exact"/>
        <w:ind w:firstLine="562" w:firstLineChars="200"/>
        <w:rPr>
          <w:rFonts w:ascii="Times New Roman" w:hAnsi="Times New Roman" w:eastAsia="宋体" w:cs="Times New Roman"/>
          <w:sz w:val="28"/>
          <w:szCs w:val="28"/>
        </w:rPr>
      </w:pPr>
      <w:r>
        <w:rPr>
          <w:rFonts w:ascii="Times New Roman" w:hAnsi="Times New Roman" w:eastAsia="宋体" w:cs="Times New Roman"/>
          <w:b/>
          <w:kern w:val="0"/>
          <w:sz w:val="28"/>
          <w:szCs w:val="28"/>
        </w:rPr>
        <w:t>方式一：</w:t>
      </w:r>
      <w:r>
        <w:rPr>
          <w:rFonts w:ascii="Times New Roman" w:hAnsi="Times New Roman" w:eastAsia="宋体" w:cs="Times New Roman"/>
          <w:sz w:val="28"/>
          <w:szCs w:val="28"/>
        </w:rPr>
        <w:t>以争议标的金额为计费依据，集中收取机构管理费和调解员报酬。没有标的金额或金额不明确的，由调解中心确定。具体收费标准见表1。</w:t>
      </w:r>
    </w:p>
    <w:tbl>
      <w:tblPr>
        <w:tblStyle w:val="7"/>
        <w:tblW w:w="87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1"/>
        <w:gridCol w:w="43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4" w:type="dxa"/>
            <w:gridSpan w:val="2"/>
            <w:tcBorders>
              <w:top w:val="nil"/>
              <w:left w:val="nil"/>
              <w:bottom w:val="single" w:color="auto" w:sz="4" w:space="0"/>
              <w:right w:val="nil"/>
            </w:tcBorders>
            <w:vAlign w:val="center"/>
          </w:tcPr>
          <w:p>
            <w:pPr>
              <w:spacing w:line="500" w:lineRule="exact"/>
              <w:ind w:firstLine="562"/>
              <w:contextualSpacing/>
              <w:jc w:val="center"/>
              <w:rPr>
                <w:rFonts w:ascii="Times New Roman" w:hAnsi="Times New Roman" w:eastAsia="仿宋_GB2312" w:cs="Times New Roman"/>
                <w:b/>
                <w:kern w:val="0"/>
                <w:sz w:val="28"/>
                <w:szCs w:val="28"/>
              </w:rPr>
            </w:pPr>
            <w:r>
              <w:rPr>
                <w:rFonts w:ascii="Times New Roman" w:hAnsi="Times New Roman" w:eastAsia="宋体" w:cs="Times New Roman"/>
                <w:b/>
                <w:kern w:val="0"/>
                <w:sz w:val="28"/>
                <w:szCs w:val="28"/>
              </w:rPr>
              <w:t>表1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1" w:type="dxa"/>
            <w:tcBorders>
              <w:top w:val="single" w:color="auto" w:sz="4" w:space="0"/>
            </w:tcBorders>
            <w:vAlign w:val="center"/>
          </w:tcPr>
          <w:p>
            <w:pPr>
              <w:spacing w:line="500" w:lineRule="exact"/>
              <w:ind w:firstLine="482"/>
              <w:contextualSpacing/>
              <w:jc w:val="center"/>
              <w:rPr>
                <w:rFonts w:ascii="Times New Roman" w:hAnsi="Times New Roman" w:eastAsia="宋体" w:cs="Times New Roman"/>
                <w:b/>
                <w:kern w:val="0"/>
                <w:sz w:val="24"/>
                <w:szCs w:val="24"/>
                <w:lang w:eastAsia="zh-Hans"/>
              </w:rPr>
            </w:pPr>
            <w:r>
              <w:rPr>
                <w:rFonts w:ascii="Times New Roman" w:hAnsi="Times New Roman" w:eastAsia="宋体" w:cs="Times New Roman"/>
                <w:b/>
                <w:kern w:val="0"/>
                <w:sz w:val="24"/>
                <w:szCs w:val="24"/>
                <w:lang w:eastAsia="zh-Hans"/>
              </w:rPr>
              <w:t>争议金额</w:t>
            </w:r>
            <w:r>
              <w:rPr>
                <w:rFonts w:ascii="Times New Roman" w:hAnsi="Times New Roman" w:eastAsia="宋体" w:cs="Times New Roman"/>
                <w:b/>
                <w:kern w:val="0"/>
                <w:sz w:val="24"/>
                <w:szCs w:val="24"/>
              </w:rPr>
              <w:t>（</w:t>
            </w:r>
            <w:r>
              <w:rPr>
                <w:rFonts w:ascii="Times New Roman" w:hAnsi="Times New Roman" w:eastAsia="宋体" w:cs="Times New Roman"/>
                <w:b/>
                <w:kern w:val="0"/>
                <w:sz w:val="24"/>
                <w:szCs w:val="24"/>
                <w:lang w:eastAsia="zh-Hans"/>
              </w:rPr>
              <w:t>人民币</w:t>
            </w:r>
            <w:r>
              <w:rPr>
                <w:rFonts w:ascii="Times New Roman" w:hAnsi="Times New Roman" w:eastAsia="宋体" w:cs="Times New Roman"/>
                <w:b/>
                <w:kern w:val="0"/>
                <w:sz w:val="24"/>
                <w:szCs w:val="24"/>
              </w:rPr>
              <w:t>）</w:t>
            </w:r>
          </w:p>
        </w:tc>
        <w:tc>
          <w:tcPr>
            <w:tcW w:w="4343" w:type="dxa"/>
            <w:tcBorders>
              <w:top w:val="single" w:color="auto" w:sz="4" w:space="0"/>
            </w:tcBorders>
            <w:vAlign w:val="center"/>
          </w:tcPr>
          <w:p>
            <w:pPr>
              <w:spacing w:line="500" w:lineRule="exact"/>
              <w:ind w:left="560" w:firstLine="482"/>
              <w:contextualSpacing/>
              <w:jc w:val="center"/>
              <w:rPr>
                <w:rFonts w:ascii="Times New Roman" w:hAnsi="Times New Roman" w:eastAsia="宋体" w:cs="Times New Roman"/>
                <w:b/>
                <w:kern w:val="0"/>
                <w:sz w:val="24"/>
                <w:szCs w:val="24"/>
                <w:lang w:eastAsia="zh-Hans"/>
              </w:rPr>
            </w:pPr>
            <w:r>
              <w:rPr>
                <w:rFonts w:ascii="Times New Roman" w:hAnsi="Times New Roman" w:eastAsia="宋体" w:cs="Times New Roman"/>
                <w:b/>
                <w:kern w:val="0"/>
                <w:sz w:val="24"/>
                <w:szCs w:val="24"/>
                <w:lang w:eastAsia="zh-Hans"/>
              </w:rPr>
              <w:t>案件调解费（人民币）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1" w:type="dxa"/>
            <w:tcBorders>
              <w:top w:val="single" w:color="auto" w:sz="4" w:space="0"/>
            </w:tcBorders>
            <w:vAlign w:val="center"/>
          </w:tcPr>
          <w:p>
            <w:pPr>
              <w:spacing w:line="500" w:lineRule="exact"/>
              <w:ind w:firstLine="480"/>
              <w:contextualSpacing/>
              <w:jc w:val="center"/>
              <w:rPr>
                <w:rFonts w:ascii="Times New Roman" w:hAnsi="Times New Roman" w:eastAsia="宋体" w:cs="Times New Roman"/>
                <w:sz w:val="24"/>
                <w:szCs w:val="24"/>
              </w:rPr>
            </w:pPr>
            <w:r>
              <w:rPr>
                <w:rFonts w:ascii="Times New Roman" w:hAnsi="Times New Roman" w:eastAsia="宋体" w:cs="Times New Roman"/>
                <w:sz w:val="24"/>
                <w:szCs w:val="24"/>
                <w:lang w:eastAsia="zh-Hans"/>
              </w:rPr>
              <w:t>200,000元以下</w:t>
            </w:r>
          </w:p>
          <w:p>
            <w:pPr>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（含200,000元）</w:t>
            </w:r>
          </w:p>
        </w:tc>
        <w:tc>
          <w:tcPr>
            <w:tcW w:w="4343" w:type="dxa"/>
            <w:tcBorders>
              <w:top w:val="single" w:color="auto" w:sz="4" w:space="0"/>
            </w:tcBorders>
            <w:vAlign w:val="center"/>
          </w:tcPr>
          <w:p>
            <w:pPr>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争议金额的2%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1" w:type="dxa"/>
            <w:tcBorders>
              <w:top w:val="single" w:color="auto" w:sz="4" w:space="0"/>
            </w:tcBorders>
            <w:vAlign w:val="center"/>
          </w:tcPr>
          <w:p>
            <w:pPr>
              <w:spacing w:line="500" w:lineRule="exact"/>
              <w:ind w:firstLine="480"/>
              <w:contextualSpacing/>
              <w:jc w:val="center"/>
              <w:rPr>
                <w:rFonts w:ascii="Times New Roman" w:hAnsi="Times New Roman" w:eastAsia="宋体" w:cs="Times New Roman"/>
                <w:sz w:val="24"/>
                <w:szCs w:val="24"/>
              </w:rPr>
            </w:pPr>
            <w:r>
              <w:rPr>
                <w:rFonts w:ascii="Times New Roman" w:hAnsi="Times New Roman" w:eastAsia="宋体" w:cs="Times New Roman"/>
                <w:sz w:val="24"/>
                <w:szCs w:val="24"/>
                <w:lang w:eastAsia="zh-Hans"/>
              </w:rPr>
              <w:t>200,00</w:t>
            </w:r>
            <w:r>
              <w:rPr>
                <w:rFonts w:hint="eastAsia" w:ascii="Times New Roman" w:hAnsi="Times New Roman" w:eastAsia="宋体" w:cs="Times New Roman"/>
                <w:sz w:val="24"/>
                <w:szCs w:val="24"/>
                <w:lang w:val="en-US" w:eastAsia="zh-CN"/>
              </w:rPr>
              <w:t>0</w:t>
            </w:r>
            <w:r>
              <w:rPr>
                <w:rFonts w:ascii="Times New Roman" w:hAnsi="Times New Roman" w:eastAsia="宋体" w:cs="Times New Roman"/>
                <w:sz w:val="24"/>
                <w:szCs w:val="24"/>
                <w:lang w:eastAsia="zh-Hans"/>
              </w:rPr>
              <w:t>元至500,000元</w:t>
            </w:r>
          </w:p>
          <w:p>
            <w:pPr>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（含500,000元）</w:t>
            </w:r>
          </w:p>
        </w:tc>
        <w:tc>
          <w:tcPr>
            <w:tcW w:w="4343" w:type="dxa"/>
            <w:tcBorders>
              <w:top w:val="single" w:color="auto" w:sz="4" w:space="0"/>
            </w:tcBorders>
            <w:vAlign w:val="center"/>
          </w:tcPr>
          <w:p>
            <w:pPr>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2000元+争议金额200,000元以上的1.3%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1" w:type="dxa"/>
            <w:vAlign w:val="center"/>
          </w:tcPr>
          <w:p>
            <w:pPr>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500,00</w:t>
            </w:r>
            <w:r>
              <w:rPr>
                <w:rFonts w:hint="eastAsia" w:ascii="Times New Roman" w:hAnsi="Times New Roman" w:eastAsia="宋体" w:cs="Times New Roman"/>
                <w:sz w:val="24"/>
                <w:szCs w:val="24"/>
                <w:lang w:val="en-US" w:eastAsia="zh-CN"/>
              </w:rPr>
              <w:t>0</w:t>
            </w:r>
            <w:r>
              <w:rPr>
                <w:rFonts w:ascii="Times New Roman" w:hAnsi="Times New Roman" w:eastAsia="宋体" w:cs="Times New Roman"/>
                <w:sz w:val="24"/>
                <w:szCs w:val="24"/>
                <w:lang w:eastAsia="zh-Hans"/>
              </w:rPr>
              <w:t>元至1,000,000元</w:t>
            </w:r>
          </w:p>
          <w:p>
            <w:pPr>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（含1,000,000元）</w:t>
            </w:r>
          </w:p>
        </w:tc>
        <w:tc>
          <w:tcPr>
            <w:tcW w:w="4343" w:type="dxa"/>
            <w:vAlign w:val="center"/>
          </w:tcPr>
          <w:p>
            <w:pPr>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5900元+争议金额500,000元以上的1%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61" w:type="dxa"/>
            <w:vAlign w:val="center"/>
          </w:tcPr>
          <w:p>
            <w:pPr>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1,000,00</w:t>
            </w:r>
            <w:r>
              <w:rPr>
                <w:rFonts w:hint="eastAsia" w:ascii="Times New Roman" w:hAnsi="Times New Roman" w:eastAsia="宋体" w:cs="Times New Roman"/>
                <w:sz w:val="24"/>
                <w:szCs w:val="24"/>
                <w:lang w:val="en-US" w:eastAsia="zh-CN"/>
              </w:rPr>
              <w:t>0</w:t>
            </w:r>
            <w:r>
              <w:rPr>
                <w:rFonts w:ascii="Times New Roman" w:hAnsi="Times New Roman" w:eastAsia="宋体" w:cs="Times New Roman"/>
                <w:sz w:val="24"/>
                <w:szCs w:val="24"/>
                <w:lang w:eastAsia="zh-Hans"/>
              </w:rPr>
              <w:t>元至5,000,000元</w:t>
            </w:r>
          </w:p>
          <w:p>
            <w:pPr>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（含5,000,000元）</w:t>
            </w:r>
          </w:p>
        </w:tc>
        <w:tc>
          <w:tcPr>
            <w:tcW w:w="4343" w:type="dxa"/>
            <w:vAlign w:val="center"/>
          </w:tcPr>
          <w:p>
            <w:pPr>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8900元+争议金额1,000,000元以上的0.6%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61" w:type="dxa"/>
            <w:vAlign w:val="center"/>
          </w:tcPr>
          <w:p>
            <w:pPr>
              <w:spacing w:line="500" w:lineRule="exact"/>
              <w:ind w:firstLine="480"/>
              <w:contextualSpacing/>
              <w:jc w:val="center"/>
              <w:rPr>
                <w:rFonts w:ascii="Times New Roman" w:hAnsi="Times New Roman" w:eastAsia="宋体" w:cs="Times New Roman"/>
                <w:sz w:val="24"/>
                <w:szCs w:val="24"/>
              </w:rPr>
            </w:pPr>
            <w:r>
              <w:rPr>
                <w:rFonts w:ascii="Times New Roman" w:hAnsi="Times New Roman" w:eastAsia="宋体" w:cs="Times New Roman"/>
                <w:sz w:val="24"/>
                <w:szCs w:val="24"/>
                <w:lang w:eastAsia="zh-Hans"/>
              </w:rPr>
              <w:t>5,000,00</w:t>
            </w:r>
            <w:r>
              <w:rPr>
                <w:rFonts w:hint="eastAsia" w:ascii="Times New Roman" w:hAnsi="Times New Roman" w:eastAsia="宋体" w:cs="Times New Roman"/>
                <w:sz w:val="24"/>
                <w:szCs w:val="24"/>
                <w:lang w:val="en-US" w:eastAsia="zh-CN"/>
              </w:rPr>
              <w:t>0</w:t>
            </w:r>
            <w:r>
              <w:rPr>
                <w:rFonts w:ascii="Times New Roman" w:hAnsi="Times New Roman" w:eastAsia="宋体" w:cs="Times New Roman"/>
                <w:sz w:val="24"/>
                <w:szCs w:val="24"/>
                <w:lang w:eastAsia="zh-Hans"/>
              </w:rPr>
              <w:t>元至10,000,000元</w:t>
            </w:r>
          </w:p>
          <w:p>
            <w:pPr>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（含10,000,000元）</w:t>
            </w:r>
          </w:p>
        </w:tc>
        <w:tc>
          <w:tcPr>
            <w:tcW w:w="4343" w:type="dxa"/>
            <w:vAlign w:val="center"/>
          </w:tcPr>
          <w:p>
            <w:pPr>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30900元+争议金额5,000,000元以上的0.35%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61" w:type="dxa"/>
            <w:vAlign w:val="center"/>
          </w:tcPr>
          <w:p>
            <w:pPr>
              <w:kinsoku w:val="0"/>
              <w:autoSpaceDN w:val="0"/>
              <w:spacing w:line="500" w:lineRule="exact"/>
              <w:ind w:firstLine="480"/>
              <w:contextualSpacing/>
              <w:jc w:val="center"/>
              <w:rPr>
                <w:rFonts w:ascii="Times New Roman" w:hAnsi="Times New Roman" w:eastAsia="宋体" w:cs="Times New Roman"/>
                <w:sz w:val="24"/>
                <w:szCs w:val="24"/>
              </w:rPr>
            </w:pPr>
            <w:r>
              <w:rPr>
                <w:rFonts w:ascii="Times New Roman" w:hAnsi="Times New Roman" w:eastAsia="宋体" w:cs="Times New Roman"/>
                <w:sz w:val="24"/>
                <w:szCs w:val="24"/>
                <w:lang w:eastAsia="zh-Hans"/>
              </w:rPr>
              <w:t>10,000,00</w:t>
            </w:r>
            <w:r>
              <w:rPr>
                <w:rFonts w:hint="eastAsia" w:ascii="Times New Roman" w:hAnsi="Times New Roman" w:eastAsia="宋体" w:cs="Times New Roman"/>
                <w:sz w:val="24"/>
                <w:szCs w:val="24"/>
                <w:lang w:val="en-US" w:eastAsia="zh-CN"/>
              </w:rPr>
              <w:t>0</w:t>
            </w:r>
            <w:r>
              <w:rPr>
                <w:rFonts w:ascii="Times New Roman" w:hAnsi="Times New Roman" w:eastAsia="宋体" w:cs="Times New Roman"/>
                <w:sz w:val="24"/>
                <w:szCs w:val="24"/>
                <w:lang w:eastAsia="zh-Hans"/>
              </w:rPr>
              <w:t>元至50,000,000元</w:t>
            </w:r>
          </w:p>
          <w:p>
            <w:pPr>
              <w:kinsoku w:val="0"/>
              <w:autoSpaceDN w:val="0"/>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（含50,000,000元）</w:t>
            </w:r>
          </w:p>
        </w:tc>
        <w:tc>
          <w:tcPr>
            <w:tcW w:w="4343" w:type="dxa"/>
            <w:vAlign w:val="center"/>
          </w:tcPr>
          <w:p>
            <w:pPr>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46400元+争议金额10,000,000元以上的0.25%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61" w:type="dxa"/>
            <w:vAlign w:val="center"/>
          </w:tcPr>
          <w:p>
            <w:pPr>
              <w:spacing w:line="500" w:lineRule="exact"/>
              <w:ind w:firstLine="480"/>
              <w:contextualSpacing/>
              <w:jc w:val="center"/>
              <w:rPr>
                <w:rFonts w:ascii="Times New Roman" w:hAnsi="Times New Roman" w:eastAsia="宋体" w:cs="Times New Roman"/>
                <w:sz w:val="24"/>
                <w:szCs w:val="24"/>
              </w:rPr>
            </w:pPr>
            <w:r>
              <w:rPr>
                <w:rFonts w:ascii="Times New Roman" w:hAnsi="Times New Roman" w:eastAsia="宋体" w:cs="Times New Roman"/>
                <w:sz w:val="24"/>
                <w:szCs w:val="24"/>
                <w:lang w:eastAsia="zh-Hans"/>
              </w:rPr>
              <w:t>50,000,00</w:t>
            </w:r>
            <w:r>
              <w:rPr>
                <w:rFonts w:hint="eastAsia" w:ascii="Times New Roman" w:hAnsi="Times New Roman" w:eastAsia="宋体" w:cs="Times New Roman"/>
                <w:sz w:val="24"/>
                <w:szCs w:val="24"/>
                <w:lang w:val="en-US" w:eastAsia="zh-CN"/>
              </w:rPr>
              <w:t>0</w:t>
            </w:r>
            <w:r>
              <w:rPr>
                <w:rFonts w:ascii="Times New Roman" w:hAnsi="Times New Roman" w:eastAsia="宋体" w:cs="Times New Roman"/>
                <w:sz w:val="24"/>
                <w:szCs w:val="24"/>
                <w:lang w:eastAsia="zh-Hans"/>
              </w:rPr>
              <w:t>元至100,000,000元</w:t>
            </w:r>
          </w:p>
          <w:p>
            <w:pPr>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（含100,000,000元）</w:t>
            </w:r>
          </w:p>
        </w:tc>
        <w:tc>
          <w:tcPr>
            <w:tcW w:w="4343" w:type="dxa"/>
            <w:vAlign w:val="center"/>
          </w:tcPr>
          <w:p>
            <w:pPr>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144400元+争议金额50,000,000元以上的0.15%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4361" w:type="dxa"/>
            <w:vAlign w:val="center"/>
          </w:tcPr>
          <w:p>
            <w:pPr>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100,000,00</w:t>
            </w:r>
            <w:r>
              <w:rPr>
                <w:rFonts w:hint="eastAsia" w:ascii="Times New Roman" w:hAnsi="Times New Roman" w:eastAsia="宋体" w:cs="Times New Roman"/>
                <w:sz w:val="24"/>
                <w:szCs w:val="24"/>
                <w:lang w:val="en-US" w:eastAsia="zh-CN"/>
              </w:rPr>
              <w:t>0</w:t>
            </w:r>
            <w:r>
              <w:rPr>
                <w:rFonts w:ascii="Times New Roman" w:hAnsi="Times New Roman" w:eastAsia="宋体" w:cs="Times New Roman"/>
                <w:sz w:val="24"/>
                <w:szCs w:val="24"/>
                <w:lang w:eastAsia="zh-Hans"/>
              </w:rPr>
              <w:t>元以上</w:t>
            </w:r>
          </w:p>
        </w:tc>
        <w:tc>
          <w:tcPr>
            <w:tcW w:w="4343" w:type="dxa"/>
            <w:vAlign w:val="center"/>
          </w:tcPr>
          <w:p>
            <w:pPr>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217400元+争议金额100,000,000元以上的0.12%</w:t>
            </w:r>
          </w:p>
        </w:tc>
      </w:tr>
    </w:tbl>
    <w:p>
      <w:pPr>
        <w:tabs>
          <w:tab w:val="left" w:pos="312"/>
        </w:tabs>
        <w:snapToGrid w:val="0"/>
        <w:spacing w:before="156" w:beforeLines="50" w:line="100" w:lineRule="exact"/>
        <w:ind w:firstLine="480"/>
        <w:contextualSpacing/>
        <w:rPr>
          <w:rFonts w:ascii="Times New Roman" w:hAnsi="Times New Roman" w:eastAsia="宋体" w:cs="Times New Roman"/>
          <w:sz w:val="24"/>
          <w:szCs w:val="24"/>
        </w:rPr>
      </w:pPr>
    </w:p>
    <w:p>
      <w:pPr>
        <w:snapToGrid w:val="0"/>
        <w:spacing w:before="156" w:beforeLines="50" w:line="500" w:lineRule="exact"/>
        <w:ind w:firstLine="480" w:firstLineChars="200"/>
        <w:contextualSpacing/>
        <w:jc w:val="left"/>
        <w:rPr>
          <w:rFonts w:ascii="Times New Roman" w:hAnsi="Times New Roman" w:eastAsia="宋体" w:cs="Times New Roman"/>
          <w:sz w:val="24"/>
          <w:szCs w:val="24"/>
          <w:lang w:eastAsia="zh-Hans"/>
        </w:rPr>
      </w:pPr>
      <w:r>
        <w:rPr>
          <w:rFonts w:ascii="Times New Roman" w:hAnsi="Times New Roman" w:eastAsia="宋体" w:cs="Times New Roman"/>
          <w:sz w:val="24"/>
          <w:szCs w:val="24"/>
        </w:rPr>
        <w:t xml:space="preserve">1. </w:t>
      </w:r>
      <w:r>
        <w:rPr>
          <w:rFonts w:ascii="Times New Roman" w:hAnsi="Times New Roman" w:eastAsia="宋体" w:cs="Times New Roman"/>
          <w:sz w:val="24"/>
          <w:szCs w:val="24"/>
          <w:lang w:eastAsia="zh-Hans"/>
        </w:rPr>
        <w:t>以上标准为一名调解员的收费标准。当事人约定由两名或者两名以上调解员调解的，每增加一名调解员，案件调解费增收50%。</w:t>
      </w:r>
    </w:p>
    <w:p>
      <w:pPr>
        <w:spacing w:before="312" w:beforeLines="100" w:line="500" w:lineRule="exact"/>
        <w:ind w:firstLine="480" w:firstLineChars="200"/>
        <w:contextualSpacing/>
        <w:rPr>
          <w:rFonts w:ascii="Times New Roman" w:hAnsi="Times New Roman" w:eastAsia="宋体" w:cs="Times New Roman"/>
          <w:sz w:val="24"/>
          <w:szCs w:val="24"/>
          <w:lang w:eastAsia="zh-Hans"/>
        </w:rPr>
      </w:pPr>
      <w:r>
        <w:rPr>
          <w:rFonts w:ascii="Times New Roman" w:hAnsi="Times New Roman" w:eastAsia="宋体" w:cs="Times New Roman"/>
          <w:sz w:val="24"/>
          <w:szCs w:val="24"/>
        </w:rPr>
        <w:t xml:space="preserve">2. </w:t>
      </w:r>
      <w:r>
        <w:rPr>
          <w:rFonts w:ascii="Times New Roman" w:hAnsi="Times New Roman" w:eastAsia="宋体" w:cs="Times New Roman"/>
          <w:sz w:val="24"/>
          <w:szCs w:val="24"/>
          <w:lang w:eastAsia="zh-Hans"/>
        </w:rPr>
        <w:t>如在调解过程中，调解员或调解中心发现实际争议标的额与申请书中所列标的额不符的，案件调解费以实际争议标的金额为计费依据。</w:t>
      </w:r>
    </w:p>
    <w:p>
      <w:pPr>
        <w:widowControl/>
        <w:shd w:val="clear" w:color="auto" w:fill="FFFFFF"/>
        <w:spacing w:before="156" w:beforeLines="50" w:line="500" w:lineRule="exact"/>
        <w:ind w:firstLine="562" w:firstLineChars="200"/>
        <w:contextualSpacing/>
        <w:rPr>
          <w:rFonts w:ascii="Times New Roman" w:hAnsi="Times New Roman" w:eastAsia="宋体" w:cs="Times New Roman"/>
          <w:bCs/>
          <w:kern w:val="0"/>
          <w:sz w:val="28"/>
          <w:szCs w:val="28"/>
          <w:lang w:eastAsia="zh-Hans"/>
        </w:rPr>
      </w:pPr>
      <w:r>
        <w:rPr>
          <w:rFonts w:ascii="Times New Roman" w:hAnsi="Times New Roman" w:eastAsia="宋体" w:cs="Times New Roman"/>
          <w:b/>
          <w:kern w:val="0"/>
          <w:sz w:val="28"/>
          <w:szCs w:val="28"/>
        </w:rPr>
        <w:t>方式二：</w:t>
      </w:r>
      <w:r>
        <w:rPr>
          <w:rFonts w:ascii="Times New Roman" w:hAnsi="Times New Roman" w:eastAsia="宋体" w:cs="Times New Roman"/>
          <w:bCs/>
          <w:kern w:val="0"/>
          <w:sz w:val="28"/>
          <w:szCs w:val="28"/>
          <w:lang w:eastAsia="zh-Hans"/>
        </w:rPr>
        <w:t>调解员和当事人约定调解员报酬按时间计算的，调解中心分别计收机构管理费和调解员报酬。其中机构管理费以争议标的金额计算（见表2），调解员报酬按时间计算。</w:t>
      </w:r>
    </w:p>
    <w:p>
      <w:pPr>
        <w:widowControl/>
        <w:shd w:val="clear" w:color="auto" w:fill="FFFFFF"/>
        <w:spacing w:before="156" w:beforeLines="50" w:line="500" w:lineRule="exact"/>
        <w:ind w:firstLine="560" w:firstLineChars="200"/>
        <w:contextualSpacing/>
        <w:rPr>
          <w:rFonts w:ascii="Times New Roman" w:hAnsi="Times New Roman" w:eastAsia="宋体" w:cs="Times New Roman"/>
          <w:bCs/>
          <w:kern w:val="0"/>
          <w:sz w:val="28"/>
          <w:szCs w:val="28"/>
          <w:lang w:eastAsia="zh-Hans"/>
        </w:rPr>
      </w:pPr>
      <w:r>
        <w:rPr>
          <w:rFonts w:ascii="Times New Roman" w:hAnsi="Times New Roman" w:eastAsia="宋体" w:cs="Times New Roman"/>
          <w:sz w:val="28"/>
          <w:szCs w:val="28"/>
        </w:rPr>
        <w:t>（一）</w:t>
      </w:r>
      <w:r>
        <w:rPr>
          <w:rFonts w:ascii="Times New Roman" w:hAnsi="Times New Roman" w:eastAsia="宋体" w:cs="Times New Roman"/>
          <w:sz w:val="28"/>
          <w:szCs w:val="28"/>
          <w:lang w:eastAsia="zh-Hans"/>
        </w:rPr>
        <w:t>机构管理费</w:t>
      </w:r>
    </w:p>
    <w:tbl>
      <w:tblPr>
        <w:tblStyle w:val="7"/>
        <w:tblpPr w:leftFromText="180" w:rightFromText="180" w:vertAnchor="text" w:horzAnchor="page" w:tblpX="1721" w:tblpY="286"/>
        <w:tblOverlap w:val="never"/>
        <w:tblW w:w="86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62"/>
        <w:gridCol w:w="5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671" w:type="dxa"/>
            <w:gridSpan w:val="2"/>
            <w:tcBorders>
              <w:top w:val="nil"/>
              <w:left w:val="nil"/>
              <w:bottom w:val="single" w:color="auto" w:sz="4" w:space="0"/>
              <w:right w:val="nil"/>
            </w:tcBorders>
            <w:vAlign w:val="center"/>
          </w:tcPr>
          <w:p>
            <w:pPr>
              <w:spacing w:before="156" w:beforeLines="50" w:after="156" w:afterLines="50" w:line="500" w:lineRule="exact"/>
              <w:ind w:firstLine="562"/>
              <w:contextualSpacing/>
              <w:jc w:val="center"/>
              <w:rPr>
                <w:rFonts w:ascii="Times New Roman" w:hAnsi="Times New Roman" w:eastAsia="仿宋_GB2312" w:cs="Times New Roman"/>
                <w:b/>
                <w:kern w:val="0"/>
                <w:sz w:val="28"/>
                <w:szCs w:val="28"/>
                <w:lang w:eastAsia="zh-Hans"/>
              </w:rPr>
            </w:pPr>
            <w:r>
              <w:rPr>
                <w:rFonts w:ascii="Times New Roman" w:hAnsi="Times New Roman" w:eastAsia="宋体" w:cs="Times New Roman"/>
                <w:b/>
                <w:kern w:val="0"/>
                <w:sz w:val="28"/>
                <w:szCs w:val="28"/>
              </w:rPr>
              <w:t>表2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3462" w:type="dxa"/>
            <w:tcBorders>
              <w:top w:val="single" w:color="auto" w:sz="4" w:space="0"/>
            </w:tcBorders>
            <w:vAlign w:val="center"/>
          </w:tcPr>
          <w:p>
            <w:pPr>
              <w:spacing w:line="500" w:lineRule="exact"/>
              <w:ind w:firstLine="482"/>
              <w:contextualSpacing/>
              <w:jc w:val="center"/>
              <w:rPr>
                <w:rFonts w:ascii="Times New Roman" w:hAnsi="Times New Roman" w:eastAsia="宋体" w:cs="Times New Roman"/>
                <w:b/>
                <w:kern w:val="0"/>
                <w:sz w:val="24"/>
                <w:szCs w:val="24"/>
                <w:lang w:eastAsia="zh-Hans"/>
              </w:rPr>
            </w:pPr>
            <w:r>
              <w:rPr>
                <w:rFonts w:ascii="Times New Roman" w:hAnsi="Times New Roman" w:eastAsia="宋体" w:cs="Times New Roman"/>
                <w:b/>
                <w:kern w:val="0"/>
                <w:sz w:val="24"/>
                <w:szCs w:val="24"/>
                <w:lang w:eastAsia="zh-Hans"/>
              </w:rPr>
              <w:t>争议金额</w:t>
            </w:r>
            <w:r>
              <w:rPr>
                <w:rFonts w:ascii="Times New Roman" w:hAnsi="Times New Roman" w:eastAsia="宋体" w:cs="Times New Roman"/>
                <w:b/>
                <w:kern w:val="0"/>
                <w:sz w:val="24"/>
                <w:szCs w:val="24"/>
              </w:rPr>
              <w:t>（</w:t>
            </w:r>
            <w:r>
              <w:rPr>
                <w:rFonts w:ascii="Times New Roman" w:hAnsi="Times New Roman" w:eastAsia="宋体" w:cs="Times New Roman"/>
                <w:b/>
                <w:kern w:val="0"/>
                <w:sz w:val="24"/>
                <w:szCs w:val="24"/>
                <w:lang w:eastAsia="zh-Hans"/>
              </w:rPr>
              <w:t>人民币</w:t>
            </w:r>
            <w:r>
              <w:rPr>
                <w:rFonts w:ascii="Times New Roman" w:hAnsi="Times New Roman" w:eastAsia="宋体" w:cs="Times New Roman"/>
                <w:b/>
                <w:kern w:val="0"/>
                <w:sz w:val="24"/>
                <w:szCs w:val="24"/>
              </w:rPr>
              <w:t>）</w:t>
            </w:r>
          </w:p>
        </w:tc>
        <w:tc>
          <w:tcPr>
            <w:tcW w:w="5209" w:type="dxa"/>
            <w:tcBorders>
              <w:top w:val="single" w:color="auto" w:sz="4" w:space="0"/>
            </w:tcBorders>
            <w:vAlign w:val="center"/>
          </w:tcPr>
          <w:p>
            <w:pPr>
              <w:spacing w:line="500" w:lineRule="exact"/>
              <w:ind w:firstLine="482"/>
              <w:contextualSpacing/>
              <w:jc w:val="center"/>
              <w:rPr>
                <w:rFonts w:ascii="Times New Roman" w:hAnsi="Times New Roman" w:eastAsia="宋体" w:cs="Times New Roman"/>
                <w:b/>
                <w:kern w:val="0"/>
                <w:sz w:val="24"/>
                <w:szCs w:val="24"/>
                <w:lang w:eastAsia="zh-Hans"/>
              </w:rPr>
            </w:pPr>
            <w:r>
              <w:rPr>
                <w:rFonts w:ascii="Times New Roman" w:hAnsi="Times New Roman" w:eastAsia="宋体" w:cs="Times New Roman"/>
                <w:b/>
                <w:kern w:val="0"/>
                <w:sz w:val="24"/>
                <w:szCs w:val="24"/>
                <w:lang w:eastAsia="zh-Hans"/>
              </w:rPr>
              <w:t>机构管理费</w:t>
            </w:r>
            <w:r>
              <w:rPr>
                <w:rFonts w:ascii="Times New Roman" w:hAnsi="Times New Roman" w:eastAsia="宋体" w:cs="Times New Roman"/>
                <w:b/>
                <w:kern w:val="0"/>
                <w:sz w:val="24"/>
                <w:szCs w:val="24"/>
              </w:rPr>
              <w:t>（</w:t>
            </w:r>
            <w:r>
              <w:rPr>
                <w:rFonts w:ascii="Times New Roman" w:hAnsi="Times New Roman" w:eastAsia="宋体" w:cs="Times New Roman"/>
                <w:b/>
                <w:kern w:val="0"/>
                <w:sz w:val="24"/>
                <w:szCs w:val="24"/>
                <w:lang w:eastAsia="zh-Hans"/>
              </w:rPr>
              <w:t>人民币</w:t>
            </w:r>
            <w:r>
              <w:rPr>
                <w:rFonts w:ascii="Times New Roman" w:hAnsi="Times New Roman" w:eastAsia="宋体" w:cs="Times New Roman"/>
                <w:b/>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3462" w:type="dxa"/>
            <w:vAlign w:val="center"/>
          </w:tcPr>
          <w:p>
            <w:pPr>
              <w:kinsoku w:val="0"/>
              <w:autoSpaceDN w:val="0"/>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200,000元以下</w:t>
            </w:r>
          </w:p>
          <w:p>
            <w:pPr>
              <w:kinsoku w:val="0"/>
              <w:autoSpaceDN w:val="0"/>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（含200,000元）</w:t>
            </w:r>
          </w:p>
        </w:tc>
        <w:tc>
          <w:tcPr>
            <w:tcW w:w="5209" w:type="dxa"/>
            <w:vAlign w:val="center"/>
          </w:tcPr>
          <w:p>
            <w:pPr>
              <w:kinsoku w:val="0"/>
              <w:autoSpaceDN w:val="0"/>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争议金额的0.5%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trPr>
        <w:tc>
          <w:tcPr>
            <w:tcW w:w="3462" w:type="dxa"/>
            <w:vAlign w:val="center"/>
          </w:tcPr>
          <w:p>
            <w:pPr>
              <w:kinsoku w:val="0"/>
              <w:autoSpaceDN w:val="0"/>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200,00</w:t>
            </w:r>
            <w:r>
              <w:rPr>
                <w:rFonts w:hint="eastAsia" w:ascii="Times New Roman" w:hAnsi="Times New Roman" w:eastAsia="宋体" w:cs="Times New Roman"/>
                <w:sz w:val="24"/>
                <w:szCs w:val="24"/>
                <w:lang w:val="en-US" w:eastAsia="zh-CN"/>
              </w:rPr>
              <w:t>0</w:t>
            </w:r>
            <w:r>
              <w:rPr>
                <w:rFonts w:ascii="Times New Roman" w:hAnsi="Times New Roman" w:eastAsia="宋体" w:cs="Times New Roman"/>
                <w:sz w:val="24"/>
                <w:szCs w:val="24"/>
                <w:lang w:eastAsia="zh-Hans"/>
              </w:rPr>
              <w:t>元至500,000元</w:t>
            </w:r>
          </w:p>
          <w:p>
            <w:pPr>
              <w:kinsoku w:val="0"/>
              <w:autoSpaceDN w:val="0"/>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（含500,000元）</w:t>
            </w:r>
          </w:p>
        </w:tc>
        <w:tc>
          <w:tcPr>
            <w:tcW w:w="5209" w:type="dxa"/>
            <w:vAlign w:val="center"/>
          </w:tcPr>
          <w:p>
            <w:pPr>
              <w:kinsoku w:val="0"/>
              <w:autoSpaceDN w:val="0"/>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1000元+争议金额200,000元以上的0.4%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trPr>
        <w:tc>
          <w:tcPr>
            <w:tcW w:w="3462" w:type="dxa"/>
            <w:vAlign w:val="center"/>
          </w:tcPr>
          <w:p>
            <w:pPr>
              <w:kinsoku w:val="0"/>
              <w:autoSpaceDN w:val="0"/>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500,00</w:t>
            </w:r>
            <w:r>
              <w:rPr>
                <w:rFonts w:hint="eastAsia" w:ascii="Times New Roman" w:hAnsi="Times New Roman" w:eastAsia="宋体" w:cs="Times New Roman"/>
                <w:sz w:val="24"/>
                <w:szCs w:val="24"/>
                <w:lang w:val="en-US" w:eastAsia="zh-CN"/>
              </w:rPr>
              <w:t>0</w:t>
            </w:r>
            <w:r>
              <w:rPr>
                <w:rFonts w:ascii="Times New Roman" w:hAnsi="Times New Roman" w:eastAsia="宋体" w:cs="Times New Roman"/>
                <w:sz w:val="24"/>
                <w:szCs w:val="24"/>
                <w:lang w:eastAsia="zh-Hans"/>
              </w:rPr>
              <w:t>元至1,000,000元</w:t>
            </w:r>
          </w:p>
          <w:p>
            <w:pPr>
              <w:kinsoku w:val="0"/>
              <w:autoSpaceDN w:val="0"/>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（含1,000,000元）</w:t>
            </w:r>
          </w:p>
        </w:tc>
        <w:tc>
          <w:tcPr>
            <w:tcW w:w="5209" w:type="dxa"/>
            <w:vAlign w:val="center"/>
          </w:tcPr>
          <w:p>
            <w:pPr>
              <w:kinsoku w:val="0"/>
              <w:autoSpaceDN w:val="0"/>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4400元+争议金额500,000元以上的0.3%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trPr>
        <w:tc>
          <w:tcPr>
            <w:tcW w:w="3462" w:type="dxa"/>
            <w:vAlign w:val="center"/>
          </w:tcPr>
          <w:p>
            <w:pPr>
              <w:kinsoku w:val="0"/>
              <w:autoSpaceDN w:val="0"/>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1,000,00</w:t>
            </w:r>
            <w:r>
              <w:rPr>
                <w:rFonts w:hint="eastAsia" w:ascii="Times New Roman" w:hAnsi="Times New Roman" w:eastAsia="宋体" w:cs="Times New Roman"/>
                <w:sz w:val="24"/>
                <w:szCs w:val="24"/>
                <w:lang w:val="en-US" w:eastAsia="zh-CN"/>
              </w:rPr>
              <w:t>0</w:t>
            </w:r>
            <w:r>
              <w:rPr>
                <w:rFonts w:ascii="Times New Roman" w:hAnsi="Times New Roman" w:eastAsia="宋体" w:cs="Times New Roman"/>
                <w:sz w:val="24"/>
                <w:szCs w:val="24"/>
                <w:lang w:eastAsia="zh-Hans"/>
              </w:rPr>
              <w:t>元至5,000,000元</w:t>
            </w:r>
          </w:p>
          <w:p>
            <w:pPr>
              <w:kinsoku w:val="0"/>
              <w:autoSpaceDN w:val="0"/>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（含5,000,000元）</w:t>
            </w:r>
          </w:p>
        </w:tc>
        <w:tc>
          <w:tcPr>
            <w:tcW w:w="5209" w:type="dxa"/>
            <w:vAlign w:val="center"/>
          </w:tcPr>
          <w:p>
            <w:pPr>
              <w:kinsoku w:val="0"/>
              <w:autoSpaceDN w:val="0"/>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5900元+争议金额1,000,000元以上的0.25%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trPr>
        <w:tc>
          <w:tcPr>
            <w:tcW w:w="3462" w:type="dxa"/>
            <w:vAlign w:val="center"/>
          </w:tcPr>
          <w:p>
            <w:pPr>
              <w:kinsoku w:val="0"/>
              <w:autoSpaceDN w:val="0"/>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5,000,00</w:t>
            </w:r>
            <w:r>
              <w:rPr>
                <w:rFonts w:hint="eastAsia" w:ascii="Times New Roman" w:hAnsi="Times New Roman" w:eastAsia="宋体" w:cs="Times New Roman"/>
                <w:sz w:val="24"/>
                <w:szCs w:val="24"/>
                <w:lang w:val="en-US" w:eastAsia="zh-CN"/>
              </w:rPr>
              <w:t>0</w:t>
            </w:r>
            <w:r>
              <w:rPr>
                <w:rFonts w:ascii="Times New Roman" w:hAnsi="Times New Roman" w:eastAsia="宋体" w:cs="Times New Roman"/>
                <w:sz w:val="24"/>
                <w:szCs w:val="24"/>
                <w:lang w:eastAsia="zh-Hans"/>
              </w:rPr>
              <w:t>元至10,000,000元</w:t>
            </w:r>
          </w:p>
          <w:p>
            <w:pPr>
              <w:kinsoku w:val="0"/>
              <w:autoSpaceDN w:val="0"/>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（含10,000,000元）</w:t>
            </w:r>
          </w:p>
        </w:tc>
        <w:tc>
          <w:tcPr>
            <w:tcW w:w="5209" w:type="dxa"/>
            <w:vAlign w:val="center"/>
          </w:tcPr>
          <w:p>
            <w:pPr>
              <w:kinsoku w:val="0"/>
              <w:autoSpaceDN w:val="0"/>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15900元+争议金额5,000,000元以上的0.15%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3462" w:type="dxa"/>
            <w:vAlign w:val="center"/>
          </w:tcPr>
          <w:p>
            <w:pPr>
              <w:kinsoku w:val="0"/>
              <w:autoSpaceDN w:val="0"/>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10,000,00</w:t>
            </w:r>
            <w:r>
              <w:rPr>
                <w:rFonts w:hint="eastAsia" w:ascii="Times New Roman" w:hAnsi="Times New Roman" w:eastAsia="宋体" w:cs="Times New Roman"/>
                <w:sz w:val="24"/>
                <w:szCs w:val="24"/>
                <w:lang w:val="en-US" w:eastAsia="zh-CN"/>
              </w:rPr>
              <w:t>0</w:t>
            </w:r>
            <w:r>
              <w:rPr>
                <w:rFonts w:ascii="Times New Roman" w:hAnsi="Times New Roman" w:eastAsia="宋体" w:cs="Times New Roman"/>
                <w:sz w:val="24"/>
                <w:szCs w:val="24"/>
                <w:lang w:eastAsia="zh-Hans"/>
              </w:rPr>
              <w:t>元至50,000,000元</w:t>
            </w:r>
          </w:p>
          <w:p>
            <w:pPr>
              <w:kinsoku w:val="0"/>
              <w:autoSpaceDN w:val="0"/>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（含50,000,000元）</w:t>
            </w:r>
          </w:p>
        </w:tc>
        <w:tc>
          <w:tcPr>
            <w:tcW w:w="5209" w:type="dxa"/>
            <w:vAlign w:val="center"/>
          </w:tcPr>
          <w:p>
            <w:pPr>
              <w:kinsoku w:val="0"/>
              <w:autoSpaceDN w:val="0"/>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23400元+争议金额10,000,000元以上的0.12%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trPr>
        <w:tc>
          <w:tcPr>
            <w:tcW w:w="3462" w:type="dxa"/>
            <w:vAlign w:val="center"/>
          </w:tcPr>
          <w:p>
            <w:pPr>
              <w:kinsoku w:val="0"/>
              <w:autoSpaceDN w:val="0"/>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50,000,00</w:t>
            </w:r>
            <w:r>
              <w:rPr>
                <w:rFonts w:hint="eastAsia" w:ascii="Times New Roman" w:hAnsi="Times New Roman" w:eastAsia="宋体" w:cs="Times New Roman"/>
                <w:sz w:val="24"/>
                <w:szCs w:val="24"/>
                <w:lang w:val="en-US" w:eastAsia="zh-CN"/>
              </w:rPr>
              <w:t>0</w:t>
            </w:r>
            <w:r>
              <w:rPr>
                <w:rFonts w:ascii="Times New Roman" w:hAnsi="Times New Roman" w:eastAsia="宋体" w:cs="Times New Roman"/>
                <w:sz w:val="24"/>
                <w:szCs w:val="24"/>
                <w:lang w:eastAsia="zh-Hans"/>
              </w:rPr>
              <w:t>元至100,000,000元</w:t>
            </w:r>
          </w:p>
          <w:p>
            <w:pPr>
              <w:kinsoku w:val="0"/>
              <w:autoSpaceDN w:val="0"/>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（含100,000,000元）</w:t>
            </w:r>
          </w:p>
        </w:tc>
        <w:tc>
          <w:tcPr>
            <w:tcW w:w="5209" w:type="dxa"/>
            <w:vAlign w:val="center"/>
          </w:tcPr>
          <w:p>
            <w:pPr>
              <w:kinsoku w:val="0"/>
              <w:autoSpaceDN w:val="0"/>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71400元+争议金额50,000,000元以上的0.1%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3462" w:type="dxa"/>
            <w:vAlign w:val="center"/>
          </w:tcPr>
          <w:p>
            <w:pPr>
              <w:kinsoku w:val="0"/>
              <w:autoSpaceDN w:val="0"/>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100,000,00</w:t>
            </w:r>
            <w:r>
              <w:rPr>
                <w:rFonts w:hint="eastAsia" w:ascii="Times New Roman" w:hAnsi="Times New Roman" w:eastAsia="宋体" w:cs="Times New Roman"/>
                <w:sz w:val="24"/>
                <w:szCs w:val="24"/>
                <w:lang w:val="en-US" w:eastAsia="zh-CN"/>
              </w:rPr>
              <w:t>0</w:t>
            </w:r>
            <w:r>
              <w:rPr>
                <w:rFonts w:ascii="Times New Roman" w:hAnsi="Times New Roman" w:eastAsia="宋体" w:cs="Times New Roman"/>
                <w:sz w:val="24"/>
                <w:szCs w:val="24"/>
                <w:lang w:eastAsia="zh-Hans"/>
              </w:rPr>
              <w:t>元以上</w:t>
            </w:r>
          </w:p>
        </w:tc>
        <w:tc>
          <w:tcPr>
            <w:tcW w:w="5209" w:type="dxa"/>
            <w:vAlign w:val="center"/>
          </w:tcPr>
          <w:p>
            <w:pPr>
              <w:kinsoku w:val="0"/>
              <w:autoSpaceDN w:val="0"/>
              <w:spacing w:line="500" w:lineRule="exact"/>
              <w:ind w:firstLine="480"/>
              <w:contextualSpacing/>
              <w:jc w:val="center"/>
              <w:rPr>
                <w:rFonts w:ascii="Times New Roman" w:hAnsi="Times New Roman" w:eastAsia="宋体" w:cs="Times New Roman"/>
                <w:sz w:val="24"/>
                <w:szCs w:val="24"/>
                <w:lang w:eastAsia="zh-Hans"/>
              </w:rPr>
            </w:pPr>
            <w:r>
              <w:rPr>
                <w:rFonts w:ascii="Times New Roman" w:hAnsi="Times New Roman" w:eastAsia="宋体" w:cs="Times New Roman"/>
                <w:sz w:val="24"/>
                <w:szCs w:val="24"/>
                <w:lang w:eastAsia="zh-Hans"/>
              </w:rPr>
              <w:t>121400元+争议金额100,000,000元以上的0.08%</w:t>
            </w:r>
          </w:p>
        </w:tc>
      </w:tr>
    </w:tbl>
    <w:p>
      <w:pPr>
        <w:kinsoku w:val="0"/>
        <w:autoSpaceDN w:val="0"/>
        <w:spacing w:line="500" w:lineRule="exact"/>
        <w:ind w:firstLine="480"/>
        <w:contextualSpacing/>
        <w:jc w:val="center"/>
        <w:rPr>
          <w:rFonts w:ascii="Times New Roman" w:hAnsi="Times New Roman" w:eastAsia="宋体" w:cs="Times New Roman"/>
          <w:sz w:val="24"/>
          <w:szCs w:val="24"/>
          <w:lang w:eastAsia="zh-Hans"/>
        </w:rPr>
      </w:pPr>
    </w:p>
    <w:p>
      <w:pPr>
        <w:widowControl/>
        <w:shd w:val="clear" w:color="auto" w:fill="FFFFFF"/>
        <w:spacing w:line="500" w:lineRule="exact"/>
        <w:ind w:firstLine="560" w:firstLineChars="200"/>
        <w:contextualSpacing/>
        <w:rPr>
          <w:rFonts w:ascii="Times New Roman" w:hAnsi="Times New Roman" w:eastAsia="宋体" w:cs="Times New Roman"/>
          <w:sz w:val="28"/>
          <w:szCs w:val="28"/>
        </w:rPr>
      </w:pPr>
      <w:r>
        <w:rPr>
          <w:rFonts w:ascii="Times New Roman" w:hAnsi="Times New Roman" w:eastAsia="宋体" w:cs="Times New Roman"/>
          <w:sz w:val="28"/>
          <w:szCs w:val="28"/>
        </w:rPr>
        <w:t>（二）调解员报酬</w:t>
      </w:r>
    </w:p>
    <w:p>
      <w:pPr>
        <w:spacing w:line="500" w:lineRule="exact"/>
        <w:ind w:firstLine="560" w:firstLineChars="200"/>
        <w:contextualSpacing/>
        <w:rPr>
          <w:rFonts w:ascii="Times New Roman" w:hAnsi="Times New Roman" w:eastAsia="宋体" w:cs="Times New Roman"/>
          <w:sz w:val="28"/>
          <w:szCs w:val="28"/>
          <w:lang w:eastAsia="zh-Hans"/>
        </w:rPr>
      </w:pPr>
      <w:r>
        <w:rPr>
          <w:rFonts w:ascii="Times New Roman" w:hAnsi="Times New Roman" w:eastAsia="宋体" w:cs="Times New Roman"/>
          <w:sz w:val="28"/>
          <w:szCs w:val="28"/>
        </w:rPr>
        <w:t>1.</w:t>
      </w:r>
      <w:r>
        <w:rPr>
          <w:rFonts w:ascii="Times New Roman" w:hAnsi="Times New Roman" w:eastAsia="宋体" w:cs="Times New Roman"/>
          <w:sz w:val="28"/>
          <w:szCs w:val="28"/>
          <w:lang w:eastAsia="zh-Hans"/>
        </w:rPr>
        <w:t>调解员报酬按小时计算，具体费率由调解员和当事人协商确定。</w:t>
      </w:r>
    </w:p>
    <w:p>
      <w:pPr>
        <w:spacing w:line="500" w:lineRule="exact"/>
        <w:ind w:firstLine="560" w:firstLineChars="200"/>
        <w:contextualSpacing/>
        <w:rPr>
          <w:rFonts w:ascii="Times New Roman" w:hAnsi="Times New Roman" w:eastAsia="宋体" w:cs="Times New Roman"/>
          <w:sz w:val="28"/>
          <w:szCs w:val="28"/>
          <w:lang w:eastAsia="zh-Hans"/>
        </w:rPr>
      </w:pPr>
      <w:r>
        <w:rPr>
          <w:rFonts w:ascii="Times New Roman" w:hAnsi="Times New Roman" w:eastAsia="宋体" w:cs="Times New Roman"/>
          <w:sz w:val="28"/>
          <w:szCs w:val="28"/>
          <w:lang w:eastAsia="zh-Hans"/>
        </w:rPr>
        <w:t>2.调解员报酬最低计费时间为4小时。调解时间超出4小时的部分每一个小时为一个计费单位，不足一小时的部分不计费。</w:t>
      </w:r>
    </w:p>
    <w:p>
      <w:pPr>
        <w:spacing w:line="500" w:lineRule="exact"/>
        <w:ind w:firstLine="560" w:firstLineChars="200"/>
        <w:contextualSpacing/>
        <w:rPr>
          <w:rFonts w:ascii="Times New Roman" w:hAnsi="Times New Roman" w:eastAsia="宋体" w:cs="Times New Roman"/>
          <w:sz w:val="28"/>
          <w:szCs w:val="28"/>
          <w:lang w:eastAsia="zh-Hans"/>
        </w:rPr>
      </w:pPr>
      <w:r>
        <w:rPr>
          <w:rFonts w:ascii="Times New Roman" w:hAnsi="Times New Roman" w:eastAsia="宋体" w:cs="Times New Roman"/>
          <w:sz w:val="28"/>
          <w:szCs w:val="28"/>
          <w:lang w:eastAsia="zh-Hans"/>
        </w:rPr>
        <w:t>3.调解员工作时间包括：</w:t>
      </w:r>
    </w:p>
    <w:p>
      <w:pPr>
        <w:spacing w:line="500" w:lineRule="exact"/>
        <w:ind w:firstLine="280" w:firstLineChars="100"/>
        <w:contextualSpacing/>
        <w:rPr>
          <w:rFonts w:ascii="Times New Roman" w:hAnsi="Times New Roman" w:eastAsia="宋体" w:cs="Times New Roman"/>
          <w:sz w:val="28"/>
          <w:szCs w:val="28"/>
          <w:lang w:eastAsia="zh-Hans"/>
        </w:rPr>
      </w:pPr>
      <w:r>
        <w:rPr>
          <w:rFonts w:ascii="Times New Roman" w:hAnsi="Times New Roman" w:eastAsia="宋体" w:cs="Times New Roman"/>
          <w:sz w:val="28"/>
          <w:szCs w:val="28"/>
          <w:lang w:eastAsia="zh-Hans"/>
        </w:rPr>
        <w:t>（1）</w:t>
      </w:r>
      <w:r>
        <w:rPr>
          <w:rFonts w:hint="eastAsia" w:ascii="Times New Roman" w:hAnsi="Times New Roman" w:eastAsia="宋体" w:cs="Times New Roman"/>
          <w:sz w:val="28"/>
          <w:szCs w:val="28"/>
        </w:rPr>
        <w:t>用于</w:t>
      </w:r>
      <w:r>
        <w:rPr>
          <w:rFonts w:ascii="Times New Roman" w:hAnsi="Times New Roman" w:eastAsia="宋体" w:cs="Times New Roman"/>
          <w:sz w:val="28"/>
          <w:szCs w:val="28"/>
          <w:lang w:eastAsia="zh-Hans"/>
        </w:rPr>
        <w:t>审查双方提交的任何书面声明或文件、研究案件材料及与案件相关的法律或技术问题、起草</w:t>
      </w:r>
      <w:r>
        <w:rPr>
          <w:rFonts w:hint="eastAsia" w:ascii="Times New Roman" w:hAnsi="Times New Roman" w:eastAsia="宋体" w:cs="Times New Roman"/>
          <w:sz w:val="28"/>
          <w:szCs w:val="28"/>
        </w:rPr>
        <w:t>文书的时间</w:t>
      </w:r>
      <w:r>
        <w:rPr>
          <w:rFonts w:ascii="Times New Roman" w:hAnsi="Times New Roman" w:eastAsia="宋体" w:cs="Times New Roman"/>
          <w:sz w:val="28"/>
          <w:szCs w:val="28"/>
          <w:lang w:eastAsia="zh-Hans"/>
        </w:rPr>
        <w:t>；</w:t>
      </w:r>
    </w:p>
    <w:p>
      <w:pPr>
        <w:spacing w:line="500" w:lineRule="exact"/>
        <w:ind w:firstLine="280" w:firstLineChars="100"/>
        <w:contextualSpacing/>
        <w:rPr>
          <w:rFonts w:ascii="Times New Roman" w:hAnsi="Times New Roman" w:eastAsia="宋体" w:cs="Times New Roman"/>
          <w:sz w:val="28"/>
          <w:szCs w:val="28"/>
          <w:lang w:eastAsia="zh-Hans"/>
        </w:rPr>
      </w:pPr>
      <w:r>
        <w:rPr>
          <w:rFonts w:ascii="Times New Roman" w:hAnsi="Times New Roman" w:eastAsia="宋体" w:cs="Times New Roman"/>
          <w:sz w:val="28"/>
          <w:szCs w:val="28"/>
          <w:lang w:eastAsia="zh-Hans"/>
        </w:rPr>
        <w:t>（2）与当事人及调解中心沟通</w:t>
      </w:r>
      <w:r>
        <w:rPr>
          <w:rFonts w:hint="eastAsia" w:ascii="Times New Roman" w:hAnsi="Times New Roman" w:eastAsia="宋体" w:cs="Times New Roman"/>
          <w:sz w:val="28"/>
          <w:szCs w:val="28"/>
        </w:rPr>
        <w:t>的时间</w:t>
      </w:r>
      <w:r>
        <w:rPr>
          <w:rFonts w:ascii="Times New Roman" w:hAnsi="Times New Roman" w:eastAsia="宋体" w:cs="Times New Roman"/>
          <w:sz w:val="28"/>
          <w:szCs w:val="28"/>
          <w:lang w:eastAsia="zh-Hans"/>
        </w:rPr>
        <w:t>；</w:t>
      </w:r>
    </w:p>
    <w:p>
      <w:pPr>
        <w:spacing w:line="500" w:lineRule="exact"/>
        <w:ind w:firstLine="280" w:firstLineChars="100"/>
        <w:contextualSpacing/>
        <w:rPr>
          <w:rFonts w:ascii="Times New Roman" w:hAnsi="Times New Roman" w:eastAsia="宋体" w:cs="Times New Roman"/>
          <w:sz w:val="28"/>
          <w:szCs w:val="28"/>
        </w:rPr>
      </w:pPr>
      <w:r>
        <w:rPr>
          <w:rFonts w:ascii="Times New Roman" w:hAnsi="Times New Roman" w:eastAsia="宋体" w:cs="Times New Roman"/>
          <w:sz w:val="28"/>
          <w:szCs w:val="28"/>
          <w:lang w:eastAsia="zh-Hans"/>
        </w:rPr>
        <w:t>（3）</w:t>
      </w:r>
      <w:r>
        <w:rPr>
          <w:rFonts w:hint="eastAsia" w:ascii="Times New Roman" w:hAnsi="Times New Roman" w:eastAsia="宋体" w:cs="Times New Roman"/>
          <w:sz w:val="28"/>
          <w:szCs w:val="28"/>
        </w:rPr>
        <w:t>准备调解会议及进行调解的时间；</w:t>
      </w:r>
    </w:p>
    <w:p>
      <w:pPr>
        <w:spacing w:line="500" w:lineRule="exact"/>
        <w:ind w:firstLine="280" w:firstLineChars="100"/>
        <w:contextualSpacing/>
        <w:rPr>
          <w:rFonts w:ascii="Times New Roman" w:hAnsi="Times New Roman" w:eastAsia="宋体" w:cs="Times New Roman"/>
          <w:sz w:val="28"/>
          <w:szCs w:val="28"/>
          <w:lang w:eastAsia="zh-Hans"/>
        </w:rPr>
      </w:pPr>
      <w:r>
        <w:rPr>
          <w:rFonts w:ascii="Times New Roman" w:hAnsi="Times New Roman" w:eastAsia="宋体" w:cs="Times New Roman"/>
          <w:sz w:val="28"/>
          <w:szCs w:val="28"/>
          <w:lang w:eastAsia="zh-Hans"/>
        </w:rPr>
        <w:t>（4）为调解而到达调解地点的部分在途时间；</w:t>
      </w:r>
    </w:p>
    <w:p>
      <w:pPr>
        <w:spacing w:line="500" w:lineRule="exact"/>
        <w:ind w:firstLine="280" w:firstLineChars="100"/>
        <w:contextualSpacing/>
        <w:rPr>
          <w:rFonts w:ascii="Times New Roman" w:hAnsi="Times New Roman" w:eastAsia="宋体" w:cs="Times New Roman"/>
          <w:sz w:val="28"/>
          <w:szCs w:val="28"/>
          <w:lang w:eastAsia="zh-Hans"/>
        </w:rPr>
      </w:pPr>
      <w:r>
        <w:rPr>
          <w:rFonts w:ascii="Times New Roman" w:hAnsi="Times New Roman" w:eastAsia="宋体" w:cs="Times New Roman"/>
          <w:sz w:val="28"/>
          <w:szCs w:val="28"/>
          <w:lang w:eastAsia="zh-Hans"/>
        </w:rPr>
        <w:t>（5）其他为调解工作所花费的合理时间。</w:t>
      </w:r>
    </w:p>
    <w:p>
      <w:pPr>
        <w:widowControl/>
        <w:spacing w:line="500" w:lineRule="exact"/>
        <w:ind w:firstLine="560" w:firstLineChars="200"/>
        <w:contextualSpacing/>
        <w:rPr>
          <w:rFonts w:ascii="Times New Roman" w:hAnsi="Times New Roman" w:eastAsia="宋体" w:cs="Times New Roman"/>
          <w:sz w:val="28"/>
          <w:szCs w:val="28"/>
          <w:lang w:eastAsia="zh-Hans"/>
        </w:rPr>
      </w:pPr>
      <w:r>
        <w:rPr>
          <w:rFonts w:ascii="Times New Roman" w:hAnsi="Times New Roman" w:eastAsia="宋体" w:cs="Times New Roman"/>
          <w:sz w:val="28"/>
          <w:szCs w:val="28"/>
          <w:lang w:eastAsia="zh-Hans"/>
        </w:rPr>
        <w:t>4.调解员接受选定或指定后，应向调解中心提交工作计划，说明预备调解方案及预计调解工作时间，作为调解中心向当事人预收调解员报酬的根据。</w:t>
      </w:r>
    </w:p>
    <w:p>
      <w:pPr>
        <w:widowControl/>
        <w:snapToGrid w:val="0"/>
        <w:spacing w:before="156" w:beforeLines="50" w:after="156" w:afterLines="50" w:line="500" w:lineRule="exact"/>
        <w:ind w:firstLine="560" w:firstLineChars="200"/>
        <w:contextualSpacing/>
        <w:rPr>
          <w:rFonts w:ascii="Times New Roman" w:hAnsi="Times New Roman" w:eastAsia="宋体" w:cs="Times New Roman"/>
          <w:sz w:val="28"/>
          <w:szCs w:val="28"/>
        </w:rPr>
      </w:pPr>
      <w:r>
        <w:rPr>
          <w:rFonts w:ascii="Times New Roman" w:hAnsi="Times New Roman" w:eastAsia="宋体" w:cs="Times New Roman"/>
          <w:sz w:val="28"/>
          <w:szCs w:val="28"/>
          <w:lang w:eastAsia="zh-Hans"/>
        </w:rPr>
        <w:t>5.调解程序结束后，调解员应向调解中心提交调解员报酬结算清单，结算清单应包括调解工作具体内容、调解工作时间记录及调解员报酬总额。如当事人缴纳的调解员报酬不足以支付实际发生的数额，当事人应根据调解员提交的报酬结算清单补足费用；如当事人缴纳的调解员报酬超出实际发生的数额，调解中心将退回当事人；如当事人对清单有异议，由调解中心予以协调确定收费金额。</w:t>
      </w:r>
    </w:p>
    <w:p>
      <w:pPr>
        <w:widowControl/>
        <w:shd w:val="clear" w:color="auto" w:fill="FFFFFF"/>
        <w:snapToGrid w:val="0"/>
        <w:spacing w:before="312" w:beforeLines="100" w:after="156" w:afterLines="50" w:line="500" w:lineRule="exact"/>
        <w:ind w:firstLine="562" w:firstLineChars="200"/>
        <w:rPr>
          <w:rFonts w:ascii="Times New Roman" w:hAnsi="Times New Roman" w:eastAsia="宋体" w:cs="Times New Roman"/>
          <w:b/>
          <w:bCs/>
          <w:sz w:val="28"/>
          <w:szCs w:val="28"/>
        </w:rPr>
      </w:pPr>
      <w:r>
        <w:rPr>
          <w:rFonts w:ascii="Times New Roman" w:hAnsi="Times New Roman" w:eastAsia="宋体" w:cs="Times New Roman"/>
          <w:b/>
          <w:bCs/>
          <w:sz w:val="28"/>
          <w:szCs w:val="28"/>
        </w:rPr>
        <w:t>三、其他合理开支</w:t>
      </w:r>
    </w:p>
    <w:p>
      <w:pPr>
        <w:widowControl/>
        <w:snapToGrid w:val="0"/>
        <w:spacing w:before="100" w:beforeAutospacing="1" w:after="100" w:afterAutospacing="1" w:line="500" w:lineRule="exact"/>
        <w:ind w:firstLine="560" w:firstLineChars="200"/>
        <w:contextualSpacing/>
        <w:rPr>
          <w:rFonts w:ascii="Times New Roman" w:hAnsi="Times New Roman" w:eastAsia="宋体" w:cs="Times New Roman"/>
          <w:sz w:val="28"/>
          <w:szCs w:val="28"/>
          <w:lang w:eastAsia="zh-Hans"/>
        </w:rPr>
      </w:pPr>
      <w:r>
        <w:rPr>
          <w:rFonts w:ascii="Times New Roman" w:hAnsi="Times New Roman" w:eastAsia="宋体" w:cs="Times New Roman"/>
          <w:sz w:val="28"/>
          <w:szCs w:val="28"/>
          <w:lang w:eastAsia="zh-Hans"/>
        </w:rPr>
        <w:t>当事人应支付因调解产生的其他合理开支，主要包括：</w:t>
      </w:r>
    </w:p>
    <w:p>
      <w:pPr>
        <w:widowControl/>
        <w:numPr>
          <w:ilvl w:val="0"/>
          <w:numId w:val="2"/>
        </w:numPr>
        <w:shd w:val="clear" w:color="auto" w:fill="FFFFFF"/>
        <w:spacing w:before="100" w:beforeAutospacing="1" w:after="100" w:afterAutospacing="1" w:line="500" w:lineRule="exact"/>
        <w:ind w:firstLine="560" w:firstLineChars="200"/>
        <w:contextualSpacing/>
        <w:rPr>
          <w:rFonts w:ascii="Times New Roman" w:hAnsi="Times New Roman" w:eastAsia="宋体" w:cs="Times New Roman"/>
          <w:sz w:val="28"/>
          <w:szCs w:val="36"/>
        </w:rPr>
      </w:pPr>
      <w:r>
        <w:rPr>
          <w:rFonts w:ascii="Times New Roman" w:hAnsi="Times New Roman" w:eastAsia="宋体" w:cs="Times New Roman"/>
          <w:sz w:val="28"/>
          <w:szCs w:val="36"/>
        </w:rPr>
        <w:t>邀请证人参加调解所产生的费用；</w:t>
      </w:r>
    </w:p>
    <w:p>
      <w:pPr>
        <w:widowControl/>
        <w:numPr>
          <w:ilvl w:val="0"/>
          <w:numId w:val="2"/>
        </w:numPr>
        <w:shd w:val="clear" w:color="auto" w:fill="FFFFFF"/>
        <w:spacing w:line="500" w:lineRule="exact"/>
        <w:ind w:firstLine="560" w:firstLineChars="200"/>
        <w:contextualSpacing/>
        <w:rPr>
          <w:rFonts w:ascii="Times New Roman" w:hAnsi="Times New Roman" w:eastAsia="宋体" w:cs="Times New Roman"/>
          <w:sz w:val="28"/>
          <w:szCs w:val="36"/>
        </w:rPr>
      </w:pPr>
      <w:r>
        <w:rPr>
          <w:rFonts w:ascii="Times New Roman" w:hAnsi="Times New Roman" w:eastAsia="宋体" w:cs="Times New Roman"/>
          <w:sz w:val="28"/>
          <w:szCs w:val="36"/>
        </w:rPr>
        <w:t>聘请有关专家就技术性问题提供咨询或鉴定意见所产生的费用；</w:t>
      </w:r>
    </w:p>
    <w:p>
      <w:pPr>
        <w:widowControl/>
        <w:numPr>
          <w:ilvl w:val="0"/>
          <w:numId w:val="2"/>
        </w:numPr>
        <w:shd w:val="clear" w:color="auto" w:fill="FFFFFF"/>
        <w:spacing w:line="500" w:lineRule="exact"/>
        <w:ind w:firstLine="560" w:firstLineChars="200"/>
        <w:contextualSpacing/>
        <w:rPr>
          <w:rFonts w:ascii="Times New Roman" w:hAnsi="Times New Roman" w:eastAsia="宋体" w:cs="Times New Roman"/>
          <w:sz w:val="28"/>
          <w:szCs w:val="36"/>
        </w:rPr>
      </w:pPr>
      <w:r>
        <w:rPr>
          <w:rFonts w:ascii="Times New Roman" w:hAnsi="Times New Roman" w:eastAsia="宋体" w:cs="Times New Roman"/>
          <w:sz w:val="28"/>
          <w:szCs w:val="36"/>
        </w:rPr>
        <w:t>勘验与争议有关的现场或物品所产生的费用；</w:t>
      </w:r>
    </w:p>
    <w:p>
      <w:pPr>
        <w:widowControl/>
        <w:numPr>
          <w:ilvl w:val="0"/>
          <w:numId w:val="2"/>
        </w:numPr>
        <w:shd w:val="clear" w:color="auto" w:fill="FFFFFF"/>
        <w:spacing w:line="500" w:lineRule="exact"/>
        <w:ind w:firstLine="560" w:firstLineChars="200"/>
        <w:contextualSpacing/>
        <w:rPr>
          <w:rFonts w:ascii="Times New Roman" w:hAnsi="Times New Roman" w:eastAsia="宋体" w:cs="Times New Roman"/>
          <w:sz w:val="28"/>
          <w:szCs w:val="36"/>
        </w:rPr>
      </w:pPr>
      <w:r>
        <w:rPr>
          <w:rFonts w:ascii="Times New Roman" w:hAnsi="Times New Roman" w:eastAsia="宋体" w:cs="Times New Roman"/>
          <w:sz w:val="28"/>
          <w:szCs w:val="36"/>
        </w:rPr>
        <w:t>调解中心提供口笔翻译等服务所产生的费用；</w:t>
      </w:r>
    </w:p>
    <w:p>
      <w:pPr>
        <w:widowControl/>
        <w:numPr>
          <w:ilvl w:val="0"/>
          <w:numId w:val="2"/>
        </w:numPr>
        <w:shd w:val="clear" w:color="auto" w:fill="FFFFFF"/>
        <w:spacing w:line="500" w:lineRule="exact"/>
        <w:ind w:firstLine="560" w:firstLineChars="200"/>
        <w:contextualSpacing/>
        <w:rPr>
          <w:rFonts w:ascii="Times New Roman" w:hAnsi="Times New Roman" w:eastAsia="宋体" w:cs="Times New Roman"/>
          <w:sz w:val="28"/>
          <w:szCs w:val="36"/>
        </w:rPr>
      </w:pPr>
      <w:r>
        <w:rPr>
          <w:rFonts w:ascii="Times New Roman" w:hAnsi="Times New Roman" w:eastAsia="宋体" w:cs="Times New Roman"/>
          <w:sz w:val="28"/>
          <w:szCs w:val="36"/>
        </w:rPr>
        <w:t>因在调解中心之外的其他地点进行调解所产生的费用；</w:t>
      </w:r>
    </w:p>
    <w:p>
      <w:pPr>
        <w:widowControl/>
        <w:numPr>
          <w:ilvl w:val="0"/>
          <w:numId w:val="2"/>
        </w:numPr>
        <w:shd w:val="clear" w:color="auto" w:fill="FFFFFF"/>
        <w:spacing w:line="500" w:lineRule="exact"/>
        <w:ind w:firstLine="560" w:firstLineChars="200"/>
        <w:contextualSpacing/>
        <w:rPr>
          <w:rFonts w:ascii="Times New Roman" w:hAnsi="Times New Roman" w:eastAsia="宋体" w:cs="Times New Roman"/>
          <w:kern w:val="0"/>
          <w:sz w:val="28"/>
          <w:szCs w:val="36"/>
        </w:rPr>
      </w:pPr>
      <w:r>
        <w:rPr>
          <w:rFonts w:ascii="Times New Roman" w:hAnsi="Times New Roman" w:eastAsia="宋体" w:cs="Times New Roman"/>
          <w:sz w:val="28"/>
          <w:szCs w:val="36"/>
        </w:rPr>
        <w:t>调解员参与调解程序所产生的必要费用；</w:t>
      </w:r>
    </w:p>
    <w:p>
      <w:pPr>
        <w:keepNext w:val="0"/>
        <w:keepLines w:val="0"/>
        <w:pageBreakBefore w:val="0"/>
        <w:widowControl/>
        <w:numPr>
          <w:ilvl w:val="0"/>
          <w:numId w:val="2"/>
        </w:numPr>
        <w:shd w:val="clear" w:color="auto" w:fill="FFFFFF"/>
        <w:kinsoku/>
        <w:wordWrap/>
        <w:overflowPunct/>
        <w:topLinePunct w:val="0"/>
        <w:autoSpaceDE/>
        <w:autoSpaceDN/>
        <w:bidi w:val="0"/>
        <w:adjustRightInd/>
        <w:snapToGrid/>
        <w:spacing w:line="500" w:lineRule="exact"/>
        <w:ind w:firstLine="560" w:firstLineChars="200"/>
        <w:contextualSpacing/>
        <w:textAlignment w:val="auto"/>
        <w:rPr>
          <w:rFonts w:ascii="Times New Roman" w:hAnsi="Times New Roman" w:eastAsia="宋体" w:cs="Times New Roman"/>
          <w:sz w:val="28"/>
          <w:szCs w:val="36"/>
        </w:rPr>
      </w:pPr>
      <w:r>
        <w:rPr>
          <w:rFonts w:ascii="Times New Roman" w:hAnsi="Times New Roman" w:eastAsia="宋体" w:cs="Times New Roman"/>
          <w:sz w:val="28"/>
          <w:szCs w:val="36"/>
        </w:rPr>
        <w:t>其他在调解过程中产生的合理开支</w:t>
      </w:r>
      <w:r>
        <w:rPr>
          <w:rFonts w:hint="eastAsia" w:ascii="Times New Roman" w:hAnsi="Times New Roman" w:eastAsia="宋体" w:cs="Times New Roman"/>
          <w:sz w:val="28"/>
          <w:szCs w:val="36"/>
          <w:lang w:eastAsia="zh-CN"/>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85014F"/>
    <w:multiLevelType w:val="singleLevel"/>
    <w:tmpl w:val="4D85014F"/>
    <w:lvl w:ilvl="0" w:tentative="0">
      <w:start w:val="1"/>
      <w:numFmt w:val="chineseCountingThousand"/>
      <w:suff w:val="nothing"/>
      <w:lvlText w:val="（%1）"/>
      <w:lvlJc w:val="left"/>
      <w:pPr>
        <w:ind w:left="0" w:firstLine="0"/>
      </w:pPr>
      <w:rPr>
        <w:rFonts w:hint="eastAsia"/>
      </w:rPr>
    </w:lvl>
  </w:abstractNum>
  <w:abstractNum w:abstractNumId="1">
    <w:nsid w:val="53287C67"/>
    <w:multiLevelType w:val="singleLevel"/>
    <w:tmpl w:val="53287C67"/>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3Y2I1M2E5MzEzOTgxOTEzZjhjMzQ2NDZiZjliZjgifQ=="/>
  </w:docVars>
  <w:rsids>
    <w:rsidRoot w:val="6E785604"/>
    <w:rsid w:val="00035273"/>
    <w:rsid w:val="000772B6"/>
    <w:rsid w:val="000C289C"/>
    <w:rsid w:val="000E2AF9"/>
    <w:rsid w:val="000E4AC2"/>
    <w:rsid w:val="00151910"/>
    <w:rsid w:val="001A621F"/>
    <w:rsid w:val="002101AF"/>
    <w:rsid w:val="00237597"/>
    <w:rsid w:val="002E1C23"/>
    <w:rsid w:val="0036144D"/>
    <w:rsid w:val="003A6E13"/>
    <w:rsid w:val="00427138"/>
    <w:rsid w:val="00435FE0"/>
    <w:rsid w:val="00452C19"/>
    <w:rsid w:val="00464327"/>
    <w:rsid w:val="004D02D6"/>
    <w:rsid w:val="005304DB"/>
    <w:rsid w:val="005B0C53"/>
    <w:rsid w:val="005F4DC6"/>
    <w:rsid w:val="00662E3D"/>
    <w:rsid w:val="00732383"/>
    <w:rsid w:val="007D2603"/>
    <w:rsid w:val="007E7478"/>
    <w:rsid w:val="007F2051"/>
    <w:rsid w:val="00840AB1"/>
    <w:rsid w:val="008A17CE"/>
    <w:rsid w:val="008C421B"/>
    <w:rsid w:val="0091354C"/>
    <w:rsid w:val="009368EF"/>
    <w:rsid w:val="00A11033"/>
    <w:rsid w:val="00A716B5"/>
    <w:rsid w:val="00B65DCB"/>
    <w:rsid w:val="00BC474E"/>
    <w:rsid w:val="00C32BCD"/>
    <w:rsid w:val="00C63C6E"/>
    <w:rsid w:val="00C86E21"/>
    <w:rsid w:val="00CA61B4"/>
    <w:rsid w:val="00CC1B43"/>
    <w:rsid w:val="00D94893"/>
    <w:rsid w:val="00E43062"/>
    <w:rsid w:val="00ED72B4"/>
    <w:rsid w:val="00FD7D93"/>
    <w:rsid w:val="097B5758"/>
    <w:rsid w:val="0FC073BB"/>
    <w:rsid w:val="11AD61AD"/>
    <w:rsid w:val="19F41CCA"/>
    <w:rsid w:val="20186748"/>
    <w:rsid w:val="21C722F4"/>
    <w:rsid w:val="29976501"/>
    <w:rsid w:val="3EAC4767"/>
    <w:rsid w:val="4DBC53CC"/>
    <w:rsid w:val="563A0B02"/>
    <w:rsid w:val="572D1DCD"/>
    <w:rsid w:val="6E785604"/>
    <w:rsid w:val="6EE4467C"/>
    <w:rsid w:val="732200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1"/>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qFormat/>
    <w:uiPriority w:val="0"/>
    <w:rPr>
      <w:sz w:val="18"/>
      <w:szCs w:val="18"/>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toc 1"/>
    <w:basedOn w:val="1"/>
    <w:next w:val="1"/>
    <w:autoRedefine/>
    <w:qFormat/>
    <w:uiPriority w:val="39"/>
    <w:pPr>
      <w:tabs>
        <w:tab w:val="left" w:pos="1050"/>
        <w:tab w:val="right" w:leader="dot" w:pos="8296"/>
      </w:tabs>
      <w:spacing w:line="500" w:lineRule="exact"/>
      <w:ind w:left="141" w:leftChars="67"/>
    </w:pPr>
    <w:rPr>
      <w:rFonts w:ascii="Times New Roman" w:hAnsi="Times New Roman" w:eastAsia="宋体" w:cs="Times New Roman"/>
      <w:b/>
      <w:bCs/>
      <w:kern w:val="44"/>
      <w:sz w:val="28"/>
      <w:szCs w:val="28"/>
    </w:rPr>
  </w:style>
  <w:style w:type="paragraph" w:styleId="6">
    <w:name w:val="toc 2"/>
    <w:basedOn w:val="1"/>
    <w:next w:val="1"/>
    <w:autoRedefine/>
    <w:qFormat/>
    <w:uiPriority w:val="39"/>
    <w:pPr>
      <w:tabs>
        <w:tab w:val="right" w:leader="dot" w:pos="8296"/>
      </w:tabs>
      <w:spacing w:line="500" w:lineRule="exact"/>
      <w:ind w:left="420" w:leftChars="200"/>
    </w:pPr>
  </w:style>
  <w:style w:type="character" w:styleId="9">
    <w:name w:val="Hyperlink"/>
    <w:basedOn w:val="8"/>
    <w:autoRedefine/>
    <w:unhideWhenUsed/>
    <w:qFormat/>
    <w:uiPriority w:val="99"/>
    <w:rPr>
      <w:color w:val="0026E5" w:themeColor="hyperlink"/>
      <w:u w:val="single"/>
      <w14:textFill>
        <w14:solidFill>
          <w14:schemeClr w14:val="hlink"/>
        </w14:solidFill>
      </w14:textFill>
    </w:rPr>
  </w:style>
  <w:style w:type="character" w:customStyle="1" w:styleId="10">
    <w:name w:val="批注框文本 字符"/>
    <w:basedOn w:val="8"/>
    <w:link w:val="2"/>
    <w:autoRedefine/>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7345</Words>
  <Characters>7933</Characters>
  <Lines>81</Lines>
  <Paragraphs>22</Paragraphs>
  <TotalTime>96</TotalTime>
  <ScaleCrop>false</ScaleCrop>
  <LinksUpToDate>false</LinksUpToDate>
  <CharactersWithSpaces>8190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2024-05-08T03:37:00Z</dcterms:created>
  <dc:creator>Iris</dc:creator>
  <cp:lastModifiedBy>Iris</cp:lastModifiedBy>
  <dcterms:modified xsi:type="dcterms:W3CDTF">2024-06-26T03:24:41Z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68F1687A7B0342C6BFB4EC57E9175F18_11</vt:lpwstr>
  </property>
</Properties>
</file>