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Default Extension="emf" ContentType="image/x-emf"/>
  <Default Extension="wmf" ContentType="image/x-wmf"/>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b/>
          <w:bCs/>
          <w:sz w:val="32"/>
          <w:szCs w:val="28"/>
          <w:lang w:eastAsia="en-US"/>
        </w:rPr>
        <w:id w:val="147458487"/>
        <w:docPartObj>
          <w:docPartGallery w:val="Table of Contents"/>
          <w:docPartUnique/>
        </w:docPartObj>
      </w:sdtPr>
      <w:sdtEndPr>
        <w:rPr>
          <w:rFonts w:eastAsia="黑体" w:cs="Arial"/>
          <w:color w:val="000000"/>
          <w:spacing w:val="6"/>
          <w:kern w:val="2"/>
          <w:sz w:val="30"/>
          <w:szCs w:val="30"/>
          <w:lang w:eastAsia="zh-CN"/>
        </w:rPr>
      </w:sdtEndPr>
      <w:sdtContent>
        <w:p w:rsidR="00800760" w:rsidRDefault="00800760">
          <w:pPr>
            <w:spacing w:line="240" w:lineRule="auto"/>
            <w:ind w:firstLineChars="0" w:firstLine="0"/>
            <w:jc w:val="center"/>
            <w:rPr>
              <w:b/>
              <w:bCs/>
              <w:sz w:val="32"/>
              <w:szCs w:val="28"/>
            </w:rPr>
          </w:pPr>
        </w:p>
        <w:p w:rsidR="00800760" w:rsidRDefault="00800760">
          <w:pPr>
            <w:spacing w:line="240" w:lineRule="auto"/>
            <w:ind w:firstLineChars="0" w:firstLine="0"/>
            <w:jc w:val="center"/>
            <w:rPr>
              <w:b/>
              <w:bCs/>
              <w:sz w:val="32"/>
              <w:szCs w:val="28"/>
            </w:rPr>
          </w:pPr>
        </w:p>
        <w:p w:rsidR="00800760" w:rsidRDefault="00800760">
          <w:pPr>
            <w:spacing w:line="240" w:lineRule="auto"/>
            <w:ind w:firstLineChars="0" w:firstLine="0"/>
            <w:jc w:val="center"/>
            <w:rPr>
              <w:b/>
              <w:bCs/>
              <w:sz w:val="32"/>
              <w:szCs w:val="28"/>
            </w:rPr>
          </w:pPr>
        </w:p>
        <w:p w:rsidR="00800760" w:rsidRDefault="00800760">
          <w:pPr>
            <w:spacing w:line="240" w:lineRule="auto"/>
            <w:ind w:firstLineChars="0" w:firstLine="0"/>
            <w:jc w:val="center"/>
            <w:rPr>
              <w:b/>
              <w:bCs/>
              <w:sz w:val="32"/>
              <w:szCs w:val="28"/>
            </w:rPr>
          </w:pPr>
        </w:p>
        <w:p w:rsidR="00800760" w:rsidRDefault="00800760">
          <w:pPr>
            <w:spacing w:line="240" w:lineRule="auto"/>
            <w:ind w:firstLineChars="0" w:firstLine="0"/>
            <w:jc w:val="center"/>
            <w:rPr>
              <w:rFonts w:hAnsi="宋体"/>
              <w:b/>
              <w:bCs/>
              <w:sz w:val="44"/>
              <w:szCs w:val="44"/>
            </w:rPr>
          </w:pPr>
        </w:p>
        <w:p w:rsidR="00800760" w:rsidRDefault="00800760">
          <w:pPr>
            <w:spacing w:line="240" w:lineRule="auto"/>
            <w:ind w:firstLineChars="0" w:firstLine="0"/>
            <w:jc w:val="center"/>
            <w:rPr>
              <w:rFonts w:hAnsi="宋体"/>
              <w:b/>
              <w:bCs/>
              <w:sz w:val="44"/>
              <w:szCs w:val="44"/>
            </w:rPr>
          </w:pPr>
        </w:p>
        <w:p w:rsidR="00800760" w:rsidRDefault="00800760">
          <w:pPr>
            <w:spacing w:line="240" w:lineRule="auto"/>
            <w:ind w:firstLineChars="0" w:firstLine="0"/>
            <w:jc w:val="center"/>
            <w:rPr>
              <w:rFonts w:hAnsi="宋体"/>
              <w:b/>
              <w:bCs/>
              <w:sz w:val="44"/>
              <w:szCs w:val="44"/>
            </w:rPr>
          </w:pPr>
        </w:p>
        <w:p w:rsidR="00800760" w:rsidRDefault="00800760">
          <w:pPr>
            <w:spacing w:line="240" w:lineRule="auto"/>
            <w:ind w:firstLineChars="0" w:firstLine="0"/>
            <w:jc w:val="center"/>
            <w:rPr>
              <w:rFonts w:hAnsi="宋体"/>
              <w:b/>
              <w:bCs/>
              <w:sz w:val="44"/>
              <w:szCs w:val="44"/>
            </w:rPr>
          </w:pPr>
        </w:p>
        <w:p w:rsidR="00800760" w:rsidRDefault="00800760">
          <w:pPr>
            <w:spacing w:line="240" w:lineRule="auto"/>
            <w:ind w:firstLineChars="0" w:firstLine="0"/>
            <w:jc w:val="center"/>
            <w:rPr>
              <w:rFonts w:hAnsi="宋体"/>
              <w:b/>
              <w:bCs/>
              <w:sz w:val="44"/>
              <w:szCs w:val="44"/>
            </w:rPr>
          </w:pPr>
        </w:p>
        <w:p w:rsidR="00800760" w:rsidRDefault="00235733" w:rsidP="00257EF4">
          <w:pPr>
            <w:ind w:firstLine="883"/>
            <w:jc w:val="center"/>
            <w:rPr>
              <w:b/>
              <w:sz w:val="44"/>
              <w:szCs w:val="44"/>
            </w:rPr>
          </w:pPr>
          <w:r>
            <w:rPr>
              <w:rFonts w:hint="eastAsia"/>
              <w:b/>
              <w:sz w:val="44"/>
              <w:szCs w:val="44"/>
            </w:rPr>
            <w:t>专利纠纷行政裁决和调解办案指南</w:t>
          </w:r>
        </w:p>
        <w:p w:rsidR="00800760" w:rsidRDefault="00235733">
          <w:pPr>
            <w:ind w:firstLine="640"/>
            <w:jc w:val="center"/>
            <w:rPr>
              <w:rFonts w:eastAsia="楷体"/>
              <w:sz w:val="32"/>
              <w:szCs w:val="28"/>
            </w:rPr>
          </w:pPr>
          <w:r>
            <w:rPr>
              <w:rFonts w:eastAsia="楷体" w:hAnsi="楷体" w:hint="eastAsia"/>
              <w:sz w:val="32"/>
              <w:szCs w:val="28"/>
            </w:rPr>
            <w:t>（公开征求意见稿）</w:t>
          </w:r>
        </w:p>
        <w:p w:rsidR="00800760" w:rsidRDefault="00800760">
          <w:pPr>
            <w:spacing w:line="240" w:lineRule="auto"/>
            <w:ind w:firstLineChars="0" w:firstLine="0"/>
            <w:jc w:val="center"/>
            <w:rPr>
              <w:b/>
              <w:bCs/>
              <w:sz w:val="32"/>
              <w:szCs w:val="28"/>
            </w:rPr>
          </w:pPr>
        </w:p>
        <w:p w:rsidR="00800760" w:rsidRDefault="00235733">
          <w:pPr>
            <w:spacing w:line="240" w:lineRule="auto"/>
            <w:ind w:firstLineChars="0" w:firstLine="0"/>
            <w:rPr>
              <w:b/>
              <w:bCs/>
              <w:sz w:val="32"/>
              <w:szCs w:val="28"/>
            </w:rPr>
          </w:pPr>
          <w:r>
            <w:rPr>
              <w:b/>
              <w:bCs/>
              <w:sz w:val="32"/>
              <w:szCs w:val="28"/>
            </w:rPr>
            <w:br w:type="page"/>
          </w:r>
        </w:p>
        <w:p w:rsidR="00800760" w:rsidRDefault="00C22A7B">
          <w:pPr>
            <w:spacing w:line="240" w:lineRule="auto"/>
            <w:ind w:firstLineChars="0" w:firstLine="0"/>
            <w:jc w:val="center"/>
            <w:rPr>
              <w:b/>
              <w:bCs/>
              <w:sz w:val="32"/>
              <w:szCs w:val="28"/>
            </w:rPr>
          </w:pPr>
        </w:p>
      </w:sdtContent>
    </w:sdt>
    <w:p w:rsidR="00AA61B8" w:rsidRDefault="00AA61B8" w:rsidP="00AA61B8">
      <w:pPr>
        <w:spacing w:line="240" w:lineRule="auto"/>
        <w:ind w:firstLineChars="0" w:firstLine="0"/>
        <w:jc w:val="center"/>
        <w:rPr>
          <w:b/>
          <w:bCs/>
          <w:sz w:val="32"/>
          <w:szCs w:val="28"/>
        </w:rPr>
      </w:pPr>
      <w:r>
        <w:rPr>
          <w:rFonts w:hAnsi="宋体"/>
          <w:b/>
          <w:bCs/>
          <w:sz w:val="32"/>
          <w:szCs w:val="28"/>
        </w:rPr>
        <w:t>目</w:t>
      </w:r>
      <w:r>
        <w:rPr>
          <w:rFonts w:hint="eastAsia"/>
          <w:b/>
          <w:bCs/>
          <w:sz w:val="32"/>
          <w:szCs w:val="28"/>
          <w:lang w:val="en-US"/>
        </w:rPr>
        <w:t xml:space="preserve">  </w:t>
      </w:r>
      <w:r>
        <w:rPr>
          <w:rFonts w:hAnsi="宋体"/>
          <w:b/>
          <w:bCs/>
          <w:sz w:val="32"/>
          <w:szCs w:val="28"/>
        </w:rPr>
        <w:t>录</w:t>
      </w:r>
    </w:p>
    <w:p w:rsidR="00AA61B8" w:rsidRDefault="00AA61B8" w:rsidP="00AA61B8">
      <w:pPr>
        <w:spacing w:line="240" w:lineRule="auto"/>
        <w:ind w:firstLineChars="0" w:firstLine="0"/>
        <w:jc w:val="center"/>
        <w:rPr>
          <w:b/>
          <w:bCs/>
          <w:sz w:val="32"/>
          <w:szCs w:val="28"/>
        </w:rPr>
      </w:pPr>
    </w:p>
    <w:p w:rsidR="0069044A" w:rsidRDefault="00C22A7B" w:rsidP="0069044A">
      <w:pPr>
        <w:pStyle w:val="10"/>
        <w:spacing w:before="120"/>
        <w:rPr>
          <w:rFonts w:asciiTheme="minorHAnsi" w:eastAsiaTheme="minorEastAsia" w:hAnsiTheme="minorHAnsi" w:cstheme="minorBidi"/>
          <w:noProof/>
          <w:spacing w:val="0"/>
          <w:kern w:val="2"/>
          <w:szCs w:val="22"/>
        </w:rPr>
      </w:pPr>
      <w:r w:rsidRPr="00C22A7B">
        <w:rPr>
          <w:rFonts w:ascii="Times New Roman" w:hAnsi="Times New Roman"/>
        </w:rPr>
        <w:fldChar w:fldCharType="begin"/>
      </w:r>
      <w:r w:rsidR="00AA61B8">
        <w:rPr>
          <w:rFonts w:ascii="Times New Roman" w:hAnsi="Times New Roman"/>
        </w:rPr>
        <w:instrText xml:space="preserve">TOC \o "1-3" \h \u </w:instrText>
      </w:r>
      <w:r w:rsidRPr="00C22A7B">
        <w:rPr>
          <w:rFonts w:ascii="Times New Roman" w:hAnsi="Times New Roman"/>
        </w:rPr>
        <w:fldChar w:fldCharType="separate"/>
      </w:r>
      <w:hyperlink w:anchor="_Toc229225415" w:history="1">
        <w:r w:rsidR="0069044A" w:rsidRPr="004015C7">
          <w:rPr>
            <w:rStyle w:val="af2"/>
            <w:rFonts w:hint="eastAsia"/>
            <w:noProof/>
          </w:rPr>
          <w:t>第一部分　专利侵权纠纷行政裁决</w:t>
        </w:r>
        <w:r w:rsidR="0069044A">
          <w:rPr>
            <w:noProof/>
          </w:rPr>
          <w:tab/>
        </w:r>
        <w:r>
          <w:rPr>
            <w:noProof/>
          </w:rPr>
          <w:fldChar w:fldCharType="begin"/>
        </w:r>
        <w:r w:rsidR="0069044A">
          <w:rPr>
            <w:noProof/>
          </w:rPr>
          <w:instrText xml:space="preserve"> PAGEREF _Toc229225415 \h </w:instrText>
        </w:r>
        <w:r>
          <w:rPr>
            <w:noProof/>
          </w:rPr>
        </w:r>
        <w:r>
          <w:rPr>
            <w:noProof/>
          </w:rPr>
          <w:fldChar w:fldCharType="separate"/>
        </w:r>
        <w:r w:rsidR="00731089">
          <w:rPr>
            <w:noProof/>
          </w:rPr>
          <w:t>1</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416" w:history="1">
        <w:r w:rsidR="0069044A" w:rsidRPr="004015C7">
          <w:rPr>
            <w:rStyle w:val="af2"/>
            <w:rFonts w:hint="eastAsia"/>
            <w:noProof/>
          </w:rPr>
          <w:t>第一章　概述</w:t>
        </w:r>
        <w:r w:rsidR="0069044A">
          <w:rPr>
            <w:noProof/>
          </w:rPr>
          <w:tab/>
        </w:r>
        <w:r>
          <w:rPr>
            <w:noProof/>
          </w:rPr>
          <w:fldChar w:fldCharType="begin"/>
        </w:r>
        <w:r w:rsidR="0069044A">
          <w:rPr>
            <w:noProof/>
          </w:rPr>
          <w:instrText xml:space="preserve"> PAGEREF _Toc229225416 \h </w:instrText>
        </w:r>
        <w:r>
          <w:rPr>
            <w:noProof/>
          </w:rPr>
        </w:r>
        <w:r>
          <w:rPr>
            <w:noProof/>
          </w:rPr>
          <w:fldChar w:fldCharType="separate"/>
        </w:r>
        <w:r w:rsidR="00731089">
          <w:rPr>
            <w:noProof/>
          </w:rPr>
          <w:t>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17" w:history="1">
        <w:r w:rsidR="0069044A" w:rsidRPr="004015C7">
          <w:rPr>
            <w:rStyle w:val="af2"/>
            <w:rFonts w:ascii="Times New Roman" w:hAnsi="Times New Roman" w:hint="eastAsia"/>
            <w:noProof/>
          </w:rPr>
          <w:t>第一节　专利侵权纠纷与行政裁决</w:t>
        </w:r>
        <w:r w:rsidR="0069044A">
          <w:rPr>
            <w:noProof/>
          </w:rPr>
          <w:tab/>
        </w:r>
        <w:r>
          <w:rPr>
            <w:noProof/>
          </w:rPr>
          <w:fldChar w:fldCharType="begin"/>
        </w:r>
        <w:r w:rsidR="0069044A">
          <w:rPr>
            <w:noProof/>
          </w:rPr>
          <w:instrText xml:space="preserve"> PAGEREF _Toc229225417 \h </w:instrText>
        </w:r>
        <w:r>
          <w:rPr>
            <w:noProof/>
          </w:rPr>
        </w:r>
        <w:r>
          <w:rPr>
            <w:noProof/>
          </w:rPr>
          <w:fldChar w:fldCharType="separate"/>
        </w:r>
        <w:r w:rsidR="00731089">
          <w:rPr>
            <w:noProof/>
          </w:rPr>
          <w:t>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18" w:history="1">
        <w:r w:rsidR="0069044A" w:rsidRPr="004015C7">
          <w:rPr>
            <w:rStyle w:val="af2"/>
            <w:rFonts w:ascii="Times New Roman" w:hAnsi="Times New Roman" w:hint="eastAsia"/>
            <w:noProof/>
          </w:rPr>
          <w:t>第二节　管辖</w:t>
        </w:r>
        <w:r w:rsidR="0069044A">
          <w:rPr>
            <w:noProof/>
          </w:rPr>
          <w:tab/>
        </w:r>
        <w:r>
          <w:rPr>
            <w:noProof/>
          </w:rPr>
          <w:fldChar w:fldCharType="begin"/>
        </w:r>
        <w:r w:rsidR="0069044A">
          <w:rPr>
            <w:noProof/>
          </w:rPr>
          <w:instrText xml:space="preserve"> PAGEREF _Toc229225418 \h </w:instrText>
        </w:r>
        <w:r>
          <w:rPr>
            <w:noProof/>
          </w:rPr>
        </w:r>
        <w:r>
          <w:rPr>
            <w:noProof/>
          </w:rPr>
          <w:fldChar w:fldCharType="separate"/>
        </w:r>
        <w:r w:rsidR="00731089">
          <w:rPr>
            <w:noProof/>
          </w:rPr>
          <w:t>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19" w:history="1">
        <w:r w:rsidR="0069044A" w:rsidRPr="004015C7">
          <w:rPr>
            <w:rStyle w:val="af2"/>
            <w:rFonts w:ascii="Times New Roman" w:hAnsi="Times New Roman" w:hint="eastAsia"/>
            <w:noProof/>
          </w:rPr>
          <w:t>一、级别管辖</w:t>
        </w:r>
        <w:r w:rsidR="0069044A">
          <w:rPr>
            <w:noProof/>
          </w:rPr>
          <w:tab/>
        </w:r>
        <w:r>
          <w:rPr>
            <w:noProof/>
          </w:rPr>
          <w:fldChar w:fldCharType="begin"/>
        </w:r>
        <w:r w:rsidR="0069044A">
          <w:rPr>
            <w:noProof/>
          </w:rPr>
          <w:instrText xml:space="preserve"> PAGEREF _Toc229225419 \h </w:instrText>
        </w:r>
        <w:r>
          <w:rPr>
            <w:noProof/>
          </w:rPr>
        </w:r>
        <w:r>
          <w:rPr>
            <w:noProof/>
          </w:rPr>
          <w:fldChar w:fldCharType="separate"/>
        </w:r>
        <w:r w:rsidR="00731089">
          <w:rPr>
            <w:noProof/>
          </w:rPr>
          <w:t>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20" w:history="1">
        <w:r w:rsidR="0069044A" w:rsidRPr="004015C7">
          <w:rPr>
            <w:rStyle w:val="af2"/>
            <w:rFonts w:ascii="Times New Roman" w:hAnsi="Times New Roman" w:hint="eastAsia"/>
            <w:noProof/>
          </w:rPr>
          <w:t>二、地域管辖</w:t>
        </w:r>
        <w:r w:rsidR="0069044A">
          <w:rPr>
            <w:noProof/>
          </w:rPr>
          <w:tab/>
        </w:r>
        <w:r>
          <w:rPr>
            <w:noProof/>
          </w:rPr>
          <w:fldChar w:fldCharType="begin"/>
        </w:r>
        <w:r w:rsidR="0069044A">
          <w:rPr>
            <w:noProof/>
          </w:rPr>
          <w:instrText xml:space="preserve"> PAGEREF _Toc229225420 \h </w:instrText>
        </w:r>
        <w:r>
          <w:rPr>
            <w:noProof/>
          </w:rPr>
        </w:r>
        <w:r>
          <w:rPr>
            <w:noProof/>
          </w:rPr>
          <w:fldChar w:fldCharType="separate"/>
        </w:r>
        <w:r w:rsidR="00731089">
          <w:rPr>
            <w:noProof/>
          </w:rPr>
          <w:t>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21" w:history="1">
        <w:r w:rsidR="0069044A" w:rsidRPr="004015C7">
          <w:rPr>
            <w:rStyle w:val="af2"/>
            <w:rFonts w:hint="eastAsia"/>
            <w:noProof/>
          </w:rPr>
          <w:t>三、移送管辖和指定管辖</w:t>
        </w:r>
        <w:r w:rsidR="0069044A">
          <w:rPr>
            <w:noProof/>
          </w:rPr>
          <w:tab/>
        </w:r>
        <w:r>
          <w:rPr>
            <w:noProof/>
          </w:rPr>
          <w:fldChar w:fldCharType="begin"/>
        </w:r>
        <w:r w:rsidR="0069044A">
          <w:rPr>
            <w:noProof/>
          </w:rPr>
          <w:instrText xml:space="preserve"> PAGEREF _Toc229225421 \h </w:instrText>
        </w:r>
        <w:r>
          <w:rPr>
            <w:noProof/>
          </w:rPr>
        </w:r>
        <w:r>
          <w:rPr>
            <w:noProof/>
          </w:rPr>
          <w:fldChar w:fldCharType="separate"/>
        </w:r>
        <w:r w:rsidR="00731089">
          <w:rPr>
            <w:noProof/>
          </w:rPr>
          <w:t>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22" w:history="1">
        <w:r w:rsidR="0069044A" w:rsidRPr="004015C7">
          <w:rPr>
            <w:rStyle w:val="af2"/>
            <w:rFonts w:hint="eastAsia"/>
            <w:noProof/>
          </w:rPr>
          <w:t>四、管辖权异议</w:t>
        </w:r>
        <w:r w:rsidR="0069044A">
          <w:rPr>
            <w:noProof/>
          </w:rPr>
          <w:tab/>
        </w:r>
        <w:r>
          <w:rPr>
            <w:noProof/>
          </w:rPr>
          <w:fldChar w:fldCharType="begin"/>
        </w:r>
        <w:r w:rsidR="0069044A">
          <w:rPr>
            <w:noProof/>
          </w:rPr>
          <w:instrText xml:space="preserve"> PAGEREF _Toc229225422 \h </w:instrText>
        </w:r>
        <w:r>
          <w:rPr>
            <w:noProof/>
          </w:rPr>
        </w:r>
        <w:r>
          <w:rPr>
            <w:noProof/>
          </w:rPr>
          <w:fldChar w:fldCharType="separate"/>
        </w:r>
        <w:r w:rsidR="00731089">
          <w:rPr>
            <w:noProof/>
          </w:rPr>
          <w:t>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23" w:history="1">
        <w:r w:rsidR="0069044A" w:rsidRPr="004015C7">
          <w:rPr>
            <w:rStyle w:val="af2"/>
            <w:rFonts w:hint="eastAsia"/>
            <w:noProof/>
          </w:rPr>
          <w:t>五、委托办案</w:t>
        </w:r>
        <w:r w:rsidR="0069044A">
          <w:rPr>
            <w:noProof/>
          </w:rPr>
          <w:tab/>
        </w:r>
        <w:r>
          <w:rPr>
            <w:noProof/>
          </w:rPr>
          <w:fldChar w:fldCharType="begin"/>
        </w:r>
        <w:r w:rsidR="0069044A">
          <w:rPr>
            <w:noProof/>
          </w:rPr>
          <w:instrText xml:space="preserve"> PAGEREF _Toc229225423 \h </w:instrText>
        </w:r>
        <w:r>
          <w:rPr>
            <w:noProof/>
          </w:rPr>
        </w:r>
        <w:r>
          <w:rPr>
            <w:noProof/>
          </w:rPr>
          <w:fldChar w:fldCharType="separate"/>
        </w:r>
        <w:r w:rsidR="00731089">
          <w:rPr>
            <w:noProof/>
          </w:rPr>
          <w:t>3</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24" w:history="1">
        <w:r w:rsidR="0069044A" w:rsidRPr="004015C7">
          <w:rPr>
            <w:rStyle w:val="af2"/>
            <w:rFonts w:ascii="Times New Roman" w:hAnsi="Times New Roman" w:hint="eastAsia"/>
            <w:noProof/>
          </w:rPr>
          <w:t>第三节　回避</w:t>
        </w:r>
        <w:r w:rsidR="0069044A">
          <w:rPr>
            <w:noProof/>
          </w:rPr>
          <w:tab/>
        </w:r>
        <w:r>
          <w:rPr>
            <w:noProof/>
          </w:rPr>
          <w:fldChar w:fldCharType="begin"/>
        </w:r>
        <w:r w:rsidR="0069044A">
          <w:rPr>
            <w:noProof/>
          </w:rPr>
          <w:instrText xml:space="preserve"> PAGEREF _Toc229225424 \h </w:instrText>
        </w:r>
        <w:r>
          <w:rPr>
            <w:noProof/>
          </w:rPr>
        </w:r>
        <w:r>
          <w:rPr>
            <w:noProof/>
          </w:rPr>
          <w:fldChar w:fldCharType="separate"/>
        </w:r>
        <w:r w:rsidR="00731089">
          <w:rPr>
            <w:noProof/>
          </w:rPr>
          <w:t>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25" w:history="1">
        <w:r w:rsidR="0069044A" w:rsidRPr="004015C7">
          <w:rPr>
            <w:rStyle w:val="af2"/>
            <w:rFonts w:hint="eastAsia"/>
            <w:noProof/>
          </w:rPr>
          <w:t>一、自行回避</w:t>
        </w:r>
        <w:r w:rsidR="0069044A">
          <w:rPr>
            <w:noProof/>
          </w:rPr>
          <w:tab/>
        </w:r>
        <w:r>
          <w:rPr>
            <w:noProof/>
          </w:rPr>
          <w:fldChar w:fldCharType="begin"/>
        </w:r>
        <w:r w:rsidR="0069044A">
          <w:rPr>
            <w:noProof/>
          </w:rPr>
          <w:instrText xml:space="preserve"> PAGEREF _Toc229225425 \h </w:instrText>
        </w:r>
        <w:r>
          <w:rPr>
            <w:noProof/>
          </w:rPr>
        </w:r>
        <w:r>
          <w:rPr>
            <w:noProof/>
          </w:rPr>
          <w:fldChar w:fldCharType="separate"/>
        </w:r>
        <w:r w:rsidR="00731089">
          <w:rPr>
            <w:noProof/>
          </w:rPr>
          <w:t>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26" w:history="1">
        <w:r w:rsidR="0069044A" w:rsidRPr="004015C7">
          <w:rPr>
            <w:rStyle w:val="af2"/>
            <w:rFonts w:hint="eastAsia"/>
            <w:noProof/>
          </w:rPr>
          <w:t>二、请求回避</w:t>
        </w:r>
        <w:r w:rsidR="0069044A">
          <w:rPr>
            <w:noProof/>
          </w:rPr>
          <w:tab/>
        </w:r>
        <w:r>
          <w:rPr>
            <w:noProof/>
          </w:rPr>
          <w:fldChar w:fldCharType="begin"/>
        </w:r>
        <w:r w:rsidR="0069044A">
          <w:rPr>
            <w:noProof/>
          </w:rPr>
          <w:instrText xml:space="preserve"> PAGEREF _Toc229225426 \h </w:instrText>
        </w:r>
        <w:r>
          <w:rPr>
            <w:noProof/>
          </w:rPr>
        </w:r>
        <w:r>
          <w:rPr>
            <w:noProof/>
          </w:rPr>
          <w:fldChar w:fldCharType="separate"/>
        </w:r>
        <w:r w:rsidR="00731089">
          <w:rPr>
            <w:noProof/>
          </w:rPr>
          <w:t>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27" w:history="1">
        <w:r w:rsidR="0069044A" w:rsidRPr="004015C7">
          <w:rPr>
            <w:rStyle w:val="af2"/>
            <w:rFonts w:hint="eastAsia"/>
            <w:noProof/>
          </w:rPr>
          <w:t>三、回避的审批</w:t>
        </w:r>
        <w:r w:rsidR="0069044A">
          <w:rPr>
            <w:noProof/>
          </w:rPr>
          <w:tab/>
        </w:r>
        <w:r>
          <w:rPr>
            <w:noProof/>
          </w:rPr>
          <w:fldChar w:fldCharType="begin"/>
        </w:r>
        <w:r w:rsidR="0069044A">
          <w:rPr>
            <w:noProof/>
          </w:rPr>
          <w:instrText xml:space="preserve"> PAGEREF _Toc229225427 \h </w:instrText>
        </w:r>
        <w:r>
          <w:rPr>
            <w:noProof/>
          </w:rPr>
        </w:r>
        <w:r>
          <w:rPr>
            <w:noProof/>
          </w:rPr>
          <w:fldChar w:fldCharType="separate"/>
        </w:r>
        <w:r w:rsidR="00731089">
          <w:rPr>
            <w:noProof/>
          </w:rPr>
          <w:t>5</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28" w:history="1">
        <w:r w:rsidR="0069044A" w:rsidRPr="004015C7">
          <w:rPr>
            <w:rStyle w:val="af2"/>
            <w:rFonts w:ascii="Times New Roman" w:hAnsi="Times New Roman" w:hint="eastAsia"/>
            <w:noProof/>
          </w:rPr>
          <w:t>第四节　代理</w:t>
        </w:r>
        <w:r w:rsidR="0069044A">
          <w:rPr>
            <w:noProof/>
          </w:rPr>
          <w:tab/>
        </w:r>
        <w:r>
          <w:rPr>
            <w:noProof/>
          </w:rPr>
          <w:fldChar w:fldCharType="begin"/>
        </w:r>
        <w:r w:rsidR="0069044A">
          <w:rPr>
            <w:noProof/>
          </w:rPr>
          <w:instrText xml:space="preserve"> PAGEREF _Toc229225428 \h </w:instrText>
        </w:r>
        <w:r>
          <w:rPr>
            <w:noProof/>
          </w:rPr>
        </w:r>
        <w:r>
          <w:rPr>
            <w:noProof/>
          </w:rPr>
          <w:fldChar w:fldCharType="separate"/>
        </w:r>
        <w:r w:rsidR="00731089">
          <w:rPr>
            <w:noProof/>
          </w:rPr>
          <w:t>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29" w:history="1">
        <w:r w:rsidR="0069044A" w:rsidRPr="004015C7">
          <w:rPr>
            <w:rStyle w:val="af2"/>
            <w:rFonts w:hint="eastAsia"/>
            <w:noProof/>
          </w:rPr>
          <w:t>一、法定代理和委托代理</w:t>
        </w:r>
        <w:r w:rsidR="0069044A">
          <w:rPr>
            <w:noProof/>
          </w:rPr>
          <w:tab/>
        </w:r>
        <w:r>
          <w:rPr>
            <w:noProof/>
          </w:rPr>
          <w:fldChar w:fldCharType="begin"/>
        </w:r>
        <w:r w:rsidR="0069044A">
          <w:rPr>
            <w:noProof/>
          </w:rPr>
          <w:instrText xml:space="preserve"> PAGEREF _Toc229225429 \h </w:instrText>
        </w:r>
        <w:r>
          <w:rPr>
            <w:noProof/>
          </w:rPr>
        </w:r>
        <w:r>
          <w:rPr>
            <w:noProof/>
          </w:rPr>
          <w:fldChar w:fldCharType="separate"/>
        </w:r>
        <w:r w:rsidR="00731089">
          <w:rPr>
            <w:noProof/>
          </w:rPr>
          <w:t>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30" w:history="1">
        <w:r w:rsidR="0069044A" w:rsidRPr="004015C7">
          <w:rPr>
            <w:rStyle w:val="af2"/>
            <w:rFonts w:hint="eastAsia"/>
            <w:noProof/>
          </w:rPr>
          <w:t>二、委托代理注意事项</w:t>
        </w:r>
        <w:r w:rsidR="0069044A">
          <w:rPr>
            <w:noProof/>
          </w:rPr>
          <w:tab/>
        </w:r>
        <w:r>
          <w:rPr>
            <w:noProof/>
          </w:rPr>
          <w:fldChar w:fldCharType="begin"/>
        </w:r>
        <w:r w:rsidR="0069044A">
          <w:rPr>
            <w:noProof/>
          </w:rPr>
          <w:instrText xml:space="preserve"> PAGEREF _Toc229225430 \h </w:instrText>
        </w:r>
        <w:r>
          <w:rPr>
            <w:noProof/>
          </w:rPr>
        </w:r>
        <w:r>
          <w:rPr>
            <w:noProof/>
          </w:rPr>
          <w:fldChar w:fldCharType="separate"/>
        </w:r>
        <w:r w:rsidR="00731089">
          <w:rPr>
            <w:noProof/>
          </w:rPr>
          <w:t>5</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31" w:history="1">
        <w:r w:rsidR="0069044A" w:rsidRPr="004015C7">
          <w:rPr>
            <w:rStyle w:val="af2"/>
            <w:rFonts w:ascii="Times New Roman" w:hAnsi="Times New Roman" w:hint="eastAsia"/>
            <w:noProof/>
          </w:rPr>
          <w:t>第五节　送达</w:t>
        </w:r>
        <w:r w:rsidR="0069044A">
          <w:rPr>
            <w:noProof/>
          </w:rPr>
          <w:tab/>
        </w:r>
        <w:r>
          <w:rPr>
            <w:noProof/>
          </w:rPr>
          <w:fldChar w:fldCharType="begin"/>
        </w:r>
        <w:r w:rsidR="0069044A">
          <w:rPr>
            <w:noProof/>
          </w:rPr>
          <w:instrText xml:space="preserve"> PAGEREF _Toc229225431 \h </w:instrText>
        </w:r>
        <w:r>
          <w:rPr>
            <w:noProof/>
          </w:rPr>
        </w:r>
        <w:r>
          <w:rPr>
            <w:noProof/>
          </w:rPr>
          <w:fldChar w:fldCharType="separate"/>
        </w:r>
        <w:r w:rsidR="00731089">
          <w:rPr>
            <w:noProof/>
          </w:rPr>
          <w:t>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32" w:history="1">
        <w:r w:rsidR="0069044A" w:rsidRPr="004015C7">
          <w:rPr>
            <w:rStyle w:val="af2"/>
            <w:rFonts w:hint="eastAsia"/>
            <w:noProof/>
          </w:rPr>
          <w:t>一、送达和送达回证</w:t>
        </w:r>
        <w:r w:rsidR="0069044A">
          <w:rPr>
            <w:noProof/>
          </w:rPr>
          <w:tab/>
        </w:r>
        <w:r>
          <w:rPr>
            <w:noProof/>
          </w:rPr>
          <w:fldChar w:fldCharType="begin"/>
        </w:r>
        <w:r w:rsidR="0069044A">
          <w:rPr>
            <w:noProof/>
          </w:rPr>
          <w:instrText xml:space="preserve"> PAGEREF _Toc229225432 \h </w:instrText>
        </w:r>
        <w:r>
          <w:rPr>
            <w:noProof/>
          </w:rPr>
        </w:r>
        <w:r>
          <w:rPr>
            <w:noProof/>
          </w:rPr>
          <w:fldChar w:fldCharType="separate"/>
        </w:r>
        <w:r w:rsidR="00731089">
          <w:rPr>
            <w:noProof/>
          </w:rPr>
          <w:t>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33" w:history="1">
        <w:r w:rsidR="0069044A" w:rsidRPr="004015C7">
          <w:rPr>
            <w:rStyle w:val="af2"/>
            <w:rFonts w:hint="eastAsia"/>
            <w:noProof/>
          </w:rPr>
          <w:t>二、送达方式</w:t>
        </w:r>
        <w:r w:rsidR="0069044A">
          <w:rPr>
            <w:noProof/>
          </w:rPr>
          <w:tab/>
        </w:r>
        <w:r>
          <w:rPr>
            <w:noProof/>
          </w:rPr>
          <w:fldChar w:fldCharType="begin"/>
        </w:r>
        <w:r w:rsidR="0069044A">
          <w:rPr>
            <w:noProof/>
          </w:rPr>
          <w:instrText xml:space="preserve"> PAGEREF _Toc229225433 \h </w:instrText>
        </w:r>
        <w:r>
          <w:rPr>
            <w:noProof/>
          </w:rPr>
        </w:r>
        <w:r>
          <w:rPr>
            <w:noProof/>
          </w:rPr>
          <w:fldChar w:fldCharType="separate"/>
        </w:r>
        <w:r w:rsidR="00731089">
          <w:rPr>
            <w:noProof/>
          </w:rPr>
          <w:t>6</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34" w:history="1">
        <w:r w:rsidR="0069044A" w:rsidRPr="004015C7">
          <w:rPr>
            <w:rStyle w:val="af2"/>
            <w:rFonts w:ascii="Times New Roman" w:hAnsi="Times New Roman" w:hint="eastAsia"/>
            <w:noProof/>
          </w:rPr>
          <w:t>第六节　执行与公开</w:t>
        </w:r>
        <w:r w:rsidR="0069044A">
          <w:rPr>
            <w:noProof/>
          </w:rPr>
          <w:tab/>
        </w:r>
        <w:r>
          <w:rPr>
            <w:noProof/>
          </w:rPr>
          <w:fldChar w:fldCharType="begin"/>
        </w:r>
        <w:r w:rsidR="0069044A">
          <w:rPr>
            <w:noProof/>
          </w:rPr>
          <w:instrText xml:space="preserve"> PAGEREF _Toc229225434 \h </w:instrText>
        </w:r>
        <w:r>
          <w:rPr>
            <w:noProof/>
          </w:rPr>
        </w:r>
        <w:r>
          <w:rPr>
            <w:noProof/>
          </w:rPr>
          <w:fldChar w:fldCharType="separate"/>
        </w:r>
        <w:r w:rsidR="00731089">
          <w:rPr>
            <w:noProof/>
          </w:rPr>
          <w:t>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35" w:history="1">
        <w:r w:rsidR="0069044A" w:rsidRPr="004015C7">
          <w:rPr>
            <w:rStyle w:val="af2"/>
            <w:rFonts w:hint="eastAsia"/>
            <w:noProof/>
          </w:rPr>
          <w:t>一、执行</w:t>
        </w:r>
        <w:r w:rsidR="0069044A">
          <w:rPr>
            <w:noProof/>
          </w:rPr>
          <w:tab/>
        </w:r>
        <w:r>
          <w:rPr>
            <w:noProof/>
          </w:rPr>
          <w:fldChar w:fldCharType="begin"/>
        </w:r>
        <w:r w:rsidR="0069044A">
          <w:rPr>
            <w:noProof/>
          </w:rPr>
          <w:instrText xml:space="preserve"> PAGEREF _Toc229225435 \h </w:instrText>
        </w:r>
        <w:r>
          <w:rPr>
            <w:noProof/>
          </w:rPr>
        </w:r>
        <w:r>
          <w:rPr>
            <w:noProof/>
          </w:rPr>
          <w:fldChar w:fldCharType="separate"/>
        </w:r>
        <w:r w:rsidR="00731089">
          <w:rPr>
            <w:noProof/>
          </w:rPr>
          <w:t>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36" w:history="1">
        <w:r w:rsidR="0069044A" w:rsidRPr="004015C7">
          <w:rPr>
            <w:rStyle w:val="af2"/>
            <w:rFonts w:hint="eastAsia"/>
            <w:noProof/>
          </w:rPr>
          <w:t>二、案件信息公开</w:t>
        </w:r>
        <w:r w:rsidR="0069044A">
          <w:rPr>
            <w:noProof/>
          </w:rPr>
          <w:tab/>
        </w:r>
        <w:r>
          <w:rPr>
            <w:noProof/>
          </w:rPr>
          <w:fldChar w:fldCharType="begin"/>
        </w:r>
        <w:r w:rsidR="0069044A">
          <w:rPr>
            <w:noProof/>
          </w:rPr>
          <w:instrText xml:space="preserve"> PAGEREF _Toc229225436 \h </w:instrText>
        </w:r>
        <w:r>
          <w:rPr>
            <w:noProof/>
          </w:rPr>
        </w:r>
        <w:r>
          <w:rPr>
            <w:noProof/>
          </w:rPr>
          <w:fldChar w:fldCharType="separate"/>
        </w:r>
        <w:r w:rsidR="00731089">
          <w:rPr>
            <w:noProof/>
          </w:rPr>
          <w:t>8</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437" w:history="1">
        <w:r w:rsidR="0069044A" w:rsidRPr="004015C7">
          <w:rPr>
            <w:rStyle w:val="af2"/>
            <w:rFonts w:hint="eastAsia"/>
            <w:noProof/>
          </w:rPr>
          <w:t>第二章　办案程序</w:t>
        </w:r>
        <w:r w:rsidR="0069044A">
          <w:rPr>
            <w:noProof/>
          </w:rPr>
          <w:tab/>
        </w:r>
        <w:r>
          <w:rPr>
            <w:noProof/>
          </w:rPr>
          <w:fldChar w:fldCharType="begin"/>
        </w:r>
        <w:r w:rsidR="0069044A">
          <w:rPr>
            <w:noProof/>
          </w:rPr>
          <w:instrText xml:space="preserve"> PAGEREF _Toc229225437 \h </w:instrText>
        </w:r>
        <w:r>
          <w:rPr>
            <w:noProof/>
          </w:rPr>
        </w:r>
        <w:r>
          <w:rPr>
            <w:noProof/>
          </w:rPr>
          <w:fldChar w:fldCharType="separate"/>
        </w:r>
        <w:r w:rsidR="00731089">
          <w:rPr>
            <w:noProof/>
          </w:rPr>
          <w:t>10</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38" w:history="1">
        <w:r w:rsidR="0069044A" w:rsidRPr="004015C7">
          <w:rPr>
            <w:rStyle w:val="af2"/>
            <w:rFonts w:ascii="Times New Roman" w:hAnsi="Times New Roman" w:hint="eastAsia"/>
            <w:noProof/>
          </w:rPr>
          <w:t>第一节　案件受理与立案</w:t>
        </w:r>
        <w:r w:rsidR="0069044A">
          <w:rPr>
            <w:noProof/>
          </w:rPr>
          <w:tab/>
        </w:r>
        <w:r>
          <w:rPr>
            <w:noProof/>
          </w:rPr>
          <w:fldChar w:fldCharType="begin"/>
        </w:r>
        <w:r w:rsidR="0069044A">
          <w:rPr>
            <w:noProof/>
          </w:rPr>
          <w:instrText xml:space="preserve"> PAGEREF _Toc229225438 \h </w:instrText>
        </w:r>
        <w:r>
          <w:rPr>
            <w:noProof/>
          </w:rPr>
        </w:r>
        <w:r>
          <w:rPr>
            <w:noProof/>
          </w:rPr>
          <w:fldChar w:fldCharType="separate"/>
        </w:r>
        <w:r w:rsidR="00731089">
          <w:rPr>
            <w:noProof/>
          </w:rPr>
          <w:t>10</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39" w:history="1">
        <w:r w:rsidR="0069044A" w:rsidRPr="004015C7">
          <w:rPr>
            <w:rStyle w:val="af2"/>
            <w:rFonts w:ascii="Times New Roman" w:hAnsi="Times New Roman" w:hint="eastAsia"/>
            <w:noProof/>
          </w:rPr>
          <w:t>一、当事人</w:t>
        </w:r>
        <w:r w:rsidR="0069044A">
          <w:rPr>
            <w:noProof/>
          </w:rPr>
          <w:tab/>
        </w:r>
        <w:r>
          <w:rPr>
            <w:noProof/>
          </w:rPr>
          <w:fldChar w:fldCharType="begin"/>
        </w:r>
        <w:r w:rsidR="0069044A">
          <w:rPr>
            <w:noProof/>
          </w:rPr>
          <w:instrText xml:space="preserve"> PAGEREF _Toc229225439 \h </w:instrText>
        </w:r>
        <w:r>
          <w:rPr>
            <w:noProof/>
          </w:rPr>
        </w:r>
        <w:r>
          <w:rPr>
            <w:noProof/>
          </w:rPr>
          <w:fldChar w:fldCharType="separate"/>
        </w:r>
        <w:r w:rsidR="00731089">
          <w:rPr>
            <w:noProof/>
          </w:rPr>
          <w:t>10</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40" w:history="1">
        <w:r w:rsidR="0069044A" w:rsidRPr="004015C7">
          <w:rPr>
            <w:rStyle w:val="af2"/>
            <w:rFonts w:ascii="Times New Roman" w:hAnsi="Times New Roman" w:hint="eastAsia"/>
            <w:noProof/>
          </w:rPr>
          <w:t>二、案件的受理</w:t>
        </w:r>
        <w:r w:rsidR="0069044A">
          <w:rPr>
            <w:noProof/>
          </w:rPr>
          <w:tab/>
        </w:r>
        <w:r>
          <w:rPr>
            <w:noProof/>
          </w:rPr>
          <w:fldChar w:fldCharType="begin"/>
        </w:r>
        <w:r w:rsidR="0069044A">
          <w:rPr>
            <w:noProof/>
          </w:rPr>
          <w:instrText xml:space="preserve"> PAGEREF _Toc229225440 \h </w:instrText>
        </w:r>
        <w:r>
          <w:rPr>
            <w:noProof/>
          </w:rPr>
        </w:r>
        <w:r>
          <w:rPr>
            <w:noProof/>
          </w:rPr>
          <w:fldChar w:fldCharType="separate"/>
        </w:r>
        <w:r w:rsidR="00731089">
          <w:rPr>
            <w:noProof/>
          </w:rPr>
          <w:t>10</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41" w:history="1">
        <w:r w:rsidR="0069044A" w:rsidRPr="004015C7">
          <w:rPr>
            <w:rStyle w:val="af2"/>
            <w:rFonts w:ascii="Times New Roman" w:hAnsi="Times New Roman" w:hint="eastAsia"/>
            <w:noProof/>
          </w:rPr>
          <w:t>三、受理材料的审查</w:t>
        </w:r>
        <w:r w:rsidR="0069044A">
          <w:rPr>
            <w:noProof/>
          </w:rPr>
          <w:tab/>
        </w:r>
        <w:r>
          <w:rPr>
            <w:noProof/>
          </w:rPr>
          <w:fldChar w:fldCharType="begin"/>
        </w:r>
        <w:r w:rsidR="0069044A">
          <w:rPr>
            <w:noProof/>
          </w:rPr>
          <w:instrText xml:space="preserve"> PAGEREF _Toc229225441 \h </w:instrText>
        </w:r>
        <w:r>
          <w:rPr>
            <w:noProof/>
          </w:rPr>
        </w:r>
        <w:r>
          <w:rPr>
            <w:noProof/>
          </w:rPr>
          <w:fldChar w:fldCharType="separate"/>
        </w:r>
        <w:r w:rsidR="00731089">
          <w:rPr>
            <w:noProof/>
          </w:rPr>
          <w:t>12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42" w:history="1">
        <w:r w:rsidR="0069044A" w:rsidRPr="004015C7">
          <w:rPr>
            <w:rStyle w:val="af2"/>
            <w:rFonts w:ascii="Times New Roman" w:hAnsi="Times New Roman" w:hint="eastAsia"/>
            <w:noProof/>
          </w:rPr>
          <w:t>四、立案步骤</w:t>
        </w:r>
        <w:r w:rsidR="0069044A">
          <w:rPr>
            <w:noProof/>
          </w:rPr>
          <w:tab/>
        </w:r>
        <w:r>
          <w:rPr>
            <w:noProof/>
          </w:rPr>
          <w:fldChar w:fldCharType="begin"/>
        </w:r>
        <w:r w:rsidR="0069044A">
          <w:rPr>
            <w:noProof/>
          </w:rPr>
          <w:instrText xml:space="preserve"> PAGEREF _Toc229225442 \h </w:instrText>
        </w:r>
        <w:r>
          <w:rPr>
            <w:noProof/>
          </w:rPr>
        </w:r>
        <w:r>
          <w:rPr>
            <w:noProof/>
          </w:rPr>
          <w:fldChar w:fldCharType="separate"/>
        </w:r>
        <w:r w:rsidR="00731089">
          <w:rPr>
            <w:noProof/>
          </w:rPr>
          <w:t>14</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43" w:history="1">
        <w:r w:rsidR="0069044A" w:rsidRPr="004015C7">
          <w:rPr>
            <w:rStyle w:val="af2"/>
            <w:rFonts w:ascii="Times New Roman" w:hAnsi="Times New Roman" w:hint="eastAsia"/>
            <w:noProof/>
          </w:rPr>
          <w:t>第二节　案件审理与结案</w:t>
        </w:r>
        <w:r w:rsidR="0069044A">
          <w:rPr>
            <w:noProof/>
          </w:rPr>
          <w:tab/>
        </w:r>
        <w:r>
          <w:rPr>
            <w:noProof/>
          </w:rPr>
          <w:fldChar w:fldCharType="begin"/>
        </w:r>
        <w:r w:rsidR="0069044A">
          <w:rPr>
            <w:noProof/>
          </w:rPr>
          <w:instrText xml:space="preserve"> PAGEREF _Toc229225443 \h </w:instrText>
        </w:r>
        <w:r>
          <w:rPr>
            <w:noProof/>
          </w:rPr>
        </w:r>
        <w:r>
          <w:rPr>
            <w:noProof/>
          </w:rPr>
          <w:fldChar w:fldCharType="separate"/>
        </w:r>
        <w:r w:rsidR="00731089">
          <w:rPr>
            <w:noProof/>
          </w:rPr>
          <w:t>15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44" w:history="1">
        <w:r w:rsidR="0069044A" w:rsidRPr="004015C7">
          <w:rPr>
            <w:rStyle w:val="af2"/>
            <w:rFonts w:ascii="Times New Roman" w:hAnsi="Times New Roman" w:hint="eastAsia"/>
            <w:noProof/>
          </w:rPr>
          <w:t>一、审理程序</w:t>
        </w:r>
        <w:r w:rsidR="0069044A">
          <w:rPr>
            <w:noProof/>
          </w:rPr>
          <w:tab/>
        </w:r>
        <w:r>
          <w:rPr>
            <w:noProof/>
          </w:rPr>
          <w:fldChar w:fldCharType="begin"/>
        </w:r>
        <w:r w:rsidR="0069044A">
          <w:rPr>
            <w:noProof/>
          </w:rPr>
          <w:instrText xml:space="preserve"> PAGEREF _Toc229225444 \h </w:instrText>
        </w:r>
        <w:r>
          <w:rPr>
            <w:noProof/>
          </w:rPr>
        </w:r>
        <w:r>
          <w:rPr>
            <w:noProof/>
          </w:rPr>
          <w:fldChar w:fldCharType="separate"/>
        </w:r>
        <w:r w:rsidR="00731089">
          <w:rPr>
            <w:noProof/>
          </w:rPr>
          <w:t>15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45" w:history="1">
        <w:r w:rsidR="0069044A" w:rsidRPr="004015C7">
          <w:rPr>
            <w:rStyle w:val="af2"/>
            <w:rFonts w:ascii="Times New Roman" w:hAnsi="Times New Roman" w:hint="eastAsia"/>
            <w:noProof/>
          </w:rPr>
          <w:t>二、证据交换与质证</w:t>
        </w:r>
        <w:r w:rsidR="0069044A">
          <w:rPr>
            <w:noProof/>
          </w:rPr>
          <w:tab/>
        </w:r>
        <w:r>
          <w:rPr>
            <w:noProof/>
          </w:rPr>
          <w:fldChar w:fldCharType="begin"/>
        </w:r>
        <w:r w:rsidR="0069044A">
          <w:rPr>
            <w:noProof/>
          </w:rPr>
          <w:instrText xml:space="preserve"> PAGEREF _Toc229225445 \h </w:instrText>
        </w:r>
        <w:r>
          <w:rPr>
            <w:noProof/>
          </w:rPr>
        </w:r>
        <w:r>
          <w:rPr>
            <w:noProof/>
          </w:rPr>
          <w:fldChar w:fldCharType="separate"/>
        </w:r>
        <w:r w:rsidR="00731089">
          <w:rPr>
            <w:noProof/>
          </w:rPr>
          <w:t>22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46" w:history="1">
        <w:r w:rsidR="0069044A" w:rsidRPr="004015C7">
          <w:rPr>
            <w:rStyle w:val="af2"/>
            <w:rFonts w:ascii="Times New Roman" w:hAnsi="Times New Roman" w:hint="eastAsia"/>
            <w:noProof/>
          </w:rPr>
          <w:t>三、结案</w:t>
        </w:r>
        <w:r w:rsidR="0069044A">
          <w:rPr>
            <w:noProof/>
          </w:rPr>
          <w:tab/>
        </w:r>
        <w:r>
          <w:rPr>
            <w:noProof/>
          </w:rPr>
          <w:fldChar w:fldCharType="begin"/>
        </w:r>
        <w:r w:rsidR="0069044A">
          <w:rPr>
            <w:noProof/>
          </w:rPr>
          <w:instrText xml:space="preserve"> PAGEREF _Toc229225446 \h </w:instrText>
        </w:r>
        <w:r>
          <w:rPr>
            <w:noProof/>
          </w:rPr>
        </w:r>
        <w:r>
          <w:rPr>
            <w:noProof/>
          </w:rPr>
          <w:fldChar w:fldCharType="separate"/>
        </w:r>
        <w:r w:rsidR="00731089">
          <w:rPr>
            <w:noProof/>
          </w:rPr>
          <w:t>24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47" w:history="1">
        <w:r w:rsidR="0069044A" w:rsidRPr="004015C7">
          <w:rPr>
            <w:rStyle w:val="af2"/>
            <w:rFonts w:hint="eastAsia"/>
            <w:noProof/>
          </w:rPr>
          <w:t>四、标准必要专利的审理</w:t>
        </w:r>
        <w:r w:rsidR="0069044A">
          <w:rPr>
            <w:noProof/>
          </w:rPr>
          <w:tab/>
        </w:r>
        <w:r>
          <w:rPr>
            <w:noProof/>
          </w:rPr>
          <w:fldChar w:fldCharType="begin"/>
        </w:r>
        <w:r w:rsidR="0069044A">
          <w:rPr>
            <w:noProof/>
          </w:rPr>
          <w:instrText xml:space="preserve"> PAGEREF _Toc229225447 \h </w:instrText>
        </w:r>
        <w:r>
          <w:rPr>
            <w:noProof/>
          </w:rPr>
        </w:r>
        <w:r>
          <w:rPr>
            <w:noProof/>
          </w:rPr>
          <w:fldChar w:fldCharType="separate"/>
        </w:r>
        <w:r w:rsidR="00731089">
          <w:rPr>
            <w:noProof/>
          </w:rPr>
          <w:t>30</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48" w:history="1">
        <w:r w:rsidR="0069044A" w:rsidRPr="004015C7">
          <w:rPr>
            <w:rStyle w:val="af2"/>
            <w:rFonts w:ascii="Times New Roman" w:hAnsi="Times New Roman" w:hint="eastAsia"/>
            <w:noProof/>
          </w:rPr>
          <w:t>第三节</w:t>
        </w:r>
        <w:r w:rsidR="0069044A" w:rsidRPr="004015C7">
          <w:rPr>
            <w:rStyle w:val="af2"/>
            <w:rFonts w:ascii="Times New Roman" w:hAnsi="Times New Roman"/>
            <w:noProof/>
          </w:rPr>
          <w:t xml:space="preserve"> </w:t>
        </w:r>
        <w:r w:rsidR="0069044A" w:rsidRPr="004015C7">
          <w:rPr>
            <w:rStyle w:val="af2"/>
            <w:rFonts w:ascii="Times New Roman" w:hAnsi="Times New Roman" w:hint="eastAsia"/>
            <w:noProof/>
          </w:rPr>
          <w:t>确认不侵权的咨询意见</w:t>
        </w:r>
        <w:r w:rsidR="0069044A">
          <w:rPr>
            <w:noProof/>
          </w:rPr>
          <w:tab/>
        </w:r>
        <w:r>
          <w:rPr>
            <w:noProof/>
          </w:rPr>
          <w:fldChar w:fldCharType="begin"/>
        </w:r>
        <w:r w:rsidR="0069044A">
          <w:rPr>
            <w:noProof/>
          </w:rPr>
          <w:instrText xml:space="preserve"> PAGEREF _Toc229225448 \h </w:instrText>
        </w:r>
        <w:r>
          <w:rPr>
            <w:noProof/>
          </w:rPr>
        </w:r>
        <w:r>
          <w:rPr>
            <w:noProof/>
          </w:rPr>
          <w:fldChar w:fldCharType="separate"/>
        </w:r>
        <w:r w:rsidR="00731089">
          <w:rPr>
            <w:noProof/>
          </w:rPr>
          <w:t>30</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449" w:history="1">
        <w:r w:rsidR="0069044A" w:rsidRPr="004015C7">
          <w:rPr>
            <w:rStyle w:val="af2"/>
            <w:rFonts w:hint="eastAsia"/>
            <w:bCs/>
            <w:noProof/>
            <w:kern w:val="36"/>
          </w:rPr>
          <w:t>第三章</w:t>
        </w:r>
        <w:r w:rsidR="0069044A" w:rsidRPr="004015C7">
          <w:rPr>
            <w:rStyle w:val="af2"/>
            <w:rFonts w:hint="eastAsia"/>
            <w:noProof/>
          </w:rPr>
          <w:t xml:space="preserve">　</w:t>
        </w:r>
        <w:r w:rsidR="0069044A" w:rsidRPr="004015C7">
          <w:rPr>
            <w:rStyle w:val="af2"/>
            <w:rFonts w:hint="eastAsia"/>
            <w:bCs/>
            <w:noProof/>
            <w:kern w:val="36"/>
          </w:rPr>
          <w:t>侵权判断</w:t>
        </w:r>
        <w:r w:rsidR="0069044A">
          <w:rPr>
            <w:noProof/>
          </w:rPr>
          <w:tab/>
        </w:r>
        <w:r>
          <w:rPr>
            <w:noProof/>
          </w:rPr>
          <w:fldChar w:fldCharType="begin"/>
        </w:r>
        <w:r w:rsidR="0069044A">
          <w:rPr>
            <w:noProof/>
          </w:rPr>
          <w:instrText xml:space="preserve"> PAGEREF _Toc229225449 \h </w:instrText>
        </w:r>
        <w:r>
          <w:rPr>
            <w:noProof/>
          </w:rPr>
        </w:r>
        <w:r>
          <w:rPr>
            <w:noProof/>
          </w:rPr>
          <w:fldChar w:fldCharType="separate"/>
        </w:r>
        <w:r w:rsidR="00731089">
          <w:rPr>
            <w:noProof/>
          </w:rPr>
          <w:t>32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50" w:history="1">
        <w:r w:rsidR="0069044A" w:rsidRPr="004015C7">
          <w:rPr>
            <w:rStyle w:val="af2"/>
            <w:rFonts w:ascii="Times New Roman" w:hAnsi="Times New Roman" w:hint="eastAsia"/>
            <w:bCs/>
            <w:noProof/>
          </w:rPr>
          <w:t>第一节</w:t>
        </w:r>
        <w:r w:rsidR="0069044A" w:rsidRPr="004015C7">
          <w:rPr>
            <w:rStyle w:val="af2"/>
            <w:rFonts w:ascii="Times New Roman" w:hAnsi="Times New Roman" w:hint="eastAsia"/>
            <w:noProof/>
          </w:rPr>
          <w:t xml:space="preserve">　</w:t>
        </w:r>
        <w:r w:rsidR="0069044A" w:rsidRPr="004015C7">
          <w:rPr>
            <w:rStyle w:val="af2"/>
            <w:rFonts w:ascii="Times New Roman" w:hAnsi="Times New Roman" w:hint="eastAsia"/>
            <w:bCs/>
            <w:noProof/>
          </w:rPr>
          <w:t>实施专利的行为</w:t>
        </w:r>
        <w:r w:rsidR="0069044A">
          <w:rPr>
            <w:noProof/>
          </w:rPr>
          <w:tab/>
        </w:r>
        <w:r>
          <w:rPr>
            <w:noProof/>
          </w:rPr>
          <w:fldChar w:fldCharType="begin"/>
        </w:r>
        <w:r w:rsidR="0069044A">
          <w:rPr>
            <w:noProof/>
          </w:rPr>
          <w:instrText xml:space="preserve"> PAGEREF _Toc229225450 \h </w:instrText>
        </w:r>
        <w:r>
          <w:rPr>
            <w:noProof/>
          </w:rPr>
        </w:r>
        <w:r>
          <w:rPr>
            <w:noProof/>
          </w:rPr>
          <w:fldChar w:fldCharType="separate"/>
        </w:r>
        <w:r w:rsidR="00731089">
          <w:rPr>
            <w:noProof/>
          </w:rPr>
          <w:t>32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51" w:history="1">
        <w:r w:rsidR="0069044A" w:rsidRPr="004015C7">
          <w:rPr>
            <w:rStyle w:val="af2"/>
            <w:rFonts w:ascii="Times New Roman" w:hAnsi="Times New Roman" w:hint="eastAsia"/>
            <w:bCs/>
            <w:noProof/>
          </w:rPr>
          <w:t>一、制造</w:t>
        </w:r>
        <w:r w:rsidR="0069044A">
          <w:rPr>
            <w:noProof/>
          </w:rPr>
          <w:tab/>
        </w:r>
        <w:r>
          <w:rPr>
            <w:noProof/>
          </w:rPr>
          <w:fldChar w:fldCharType="begin"/>
        </w:r>
        <w:r w:rsidR="0069044A">
          <w:rPr>
            <w:noProof/>
          </w:rPr>
          <w:instrText xml:space="preserve"> PAGEREF _Toc229225451 \h </w:instrText>
        </w:r>
        <w:r>
          <w:rPr>
            <w:noProof/>
          </w:rPr>
        </w:r>
        <w:r>
          <w:rPr>
            <w:noProof/>
          </w:rPr>
          <w:fldChar w:fldCharType="separate"/>
        </w:r>
        <w:r w:rsidR="00731089">
          <w:rPr>
            <w:noProof/>
          </w:rPr>
          <w:t>32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52" w:history="1">
        <w:r w:rsidR="0069044A" w:rsidRPr="004015C7">
          <w:rPr>
            <w:rStyle w:val="af2"/>
            <w:rFonts w:ascii="Times New Roman" w:hAnsi="Times New Roman" w:hint="eastAsia"/>
            <w:bCs/>
            <w:noProof/>
          </w:rPr>
          <w:t>二、使用</w:t>
        </w:r>
        <w:r w:rsidR="0069044A">
          <w:rPr>
            <w:noProof/>
          </w:rPr>
          <w:tab/>
        </w:r>
        <w:r>
          <w:rPr>
            <w:noProof/>
          </w:rPr>
          <w:fldChar w:fldCharType="begin"/>
        </w:r>
        <w:r w:rsidR="0069044A">
          <w:rPr>
            <w:noProof/>
          </w:rPr>
          <w:instrText xml:space="preserve"> PAGEREF _Toc229225452 \h </w:instrText>
        </w:r>
        <w:r>
          <w:rPr>
            <w:noProof/>
          </w:rPr>
        </w:r>
        <w:r>
          <w:rPr>
            <w:noProof/>
          </w:rPr>
          <w:fldChar w:fldCharType="separate"/>
        </w:r>
        <w:r w:rsidR="00731089">
          <w:rPr>
            <w:noProof/>
          </w:rPr>
          <w:t>33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53" w:history="1">
        <w:r w:rsidR="0069044A" w:rsidRPr="004015C7">
          <w:rPr>
            <w:rStyle w:val="af2"/>
            <w:rFonts w:ascii="Times New Roman" w:hAnsi="Times New Roman" w:hint="eastAsia"/>
            <w:bCs/>
            <w:noProof/>
          </w:rPr>
          <w:t>三、销售</w:t>
        </w:r>
        <w:r w:rsidR="0069044A">
          <w:rPr>
            <w:noProof/>
          </w:rPr>
          <w:tab/>
        </w:r>
        <w:r>
          <w:rPr>
            <w:noProof/>
          </w:rPr>
          <w:fldChar w:fldCharType="begin"/>
        </w:r>
        <w:r w:rsidR="0069044A">
          <w:rPr>
            <w:noProof/>
          </w:rPr>
          <w:instrText xml:space="preserve"> PAGEREF _Toc229225453 \h </w:instrText>
        </w:r>
        <w:r>
          <w:rPr>
            <w:noProof/>
          </w:rPr>
        </w:r>
        <w:r>
          <w:rPr>
            <w:noProof/>
          </w:rPr>
          <w:fldChar w:fldCharType="separate"/>
        </w:r>
        <w:r w:rsidR="00731089">
          <w:rPr>
            <w:noProof/>
          </w:rPr>
          <w:t>34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54" w:history="1">
        <w:r w:rsidR="0069044A" w:rsidRPr="004015C7">
          <w:rPr>
            <w:rStyle w:val="af2"/>
            <w:rFonts w:ascii="Times New Roman" w:hAnsi="Times New Roman" w:hint="eastAsia"/>
            <w:bCs/>
            <w:noProof/>
          </w:rPr>
          <w:t>四、许诺销售</w:t>
        </w:r>
        <w:r w:rsidR="0069044A">
          <w:rPr>
            <w:noProof/>
          </w:rPr>
          <w:tab/>
        </w:r>
        <w:r>
          <w:rPr>
            <w:noProof/>
          </w:rPr>
          <w:fldChar w:fldCharType="begin"/>
        </w:r>
        <w:r w:rsidR="0069044A">
          <w:rPr>
            <w:noProof/>
          </w:rPr>
          <w:instrText xml:space="preserve"> PAGEREF _Toc229225454 \h </w:instrText>
        </w:r>
        <w:r>
          <w:rPr>
            <w:noProof/>
          </w:rPr>
        </w:r>
        <w:r>
          <w:rPr>
            <w:noProof/>
          </w:rPr>
          <w:fldChar w:fldCharType="separate"/>
        </w:r>
        <w:r w:rsidR="00731089">
          <w:rPr>
            <w:noProof/>
          </w:rPr>
          <w:t>36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55" w:history="1">
        <w:r w:rsidR="0069044A" w:rsidRPr="004015C7">
          <w:rPr>
            <w:rStyle w:val="af2"/>
            <w:rFonts w:ascii="Times New Roman" w:hAnsi="Times New Roman" w:hint="eastAsia"/>
            <w:bCs/>
            <w:noProof/>
          </w:rPr>
          <w:t>五、进口</w:t>
        </w:r>
        <w:r w:rsidR="0069044A">
          <w:rPr>
            <w:noProof/>
          </w:rPr>
          <w:tab/>
        </w:r>
        <w:r>
          <w:rPr>
            <w:noProof/>
          </w:rPr>
          <w:fldChar w:fldCharType="begin"/>
        </w:r>
        <w:r w:rsidR="0069044A">
          <w:rPr>
            <w:noProof/>
          </w:rPr>
          <w:instrText xml:space="preserve"> PAGEREF _Toc229225455 \h </w:instrText>
        </w:r>
        <w:r>
          <w:rPr>
            <w:noProof/>
          </w:rPr>
        </w:r>
        <w:r>
          <w:rPr>
            <w:noProof/>
          </w:rPr>
          <w:fldChar w:fldCharType="separate"/>
        </w:r>
        <w:r w:rsidR="00731089">
          <w:rPr>
            <w:noProof/>
          </w:rPr>
          <w:t>37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56" w:history="1">
        <w:r w:rsidR="0069044A" w:rsidRPr="004015C7">
          <w:rPr>
            <w:rStyle w:val="af2"/>
            <w:rFonts w:ascii="Times New Roman" w:hAnsi="Times New Roman" w:hint="eastAsia"/>
            <w:bCs/>
            <w:noProof/>
          </w:rPr>
          <w:t>六、产品制造方法专利的延伸保护</w:t>
        </w:r>
        <w:r w:rsidR="0069044A">
          <w:rPr>
            <w:noProof/>
          </w:rPr>
          <w:tab/>
        </w:r>
        <w:r>
          <w:rPr>
            <w:noProof/>
          </w:rPr>
          <w:fldChar w:fldCharType="begin"/>
        </w:r>
        <w:r w:rsidR="0069044A">
          <w:rPr>
            <w:noProof/>
          </w:rPr>
          <w:instrText xml:space="preserve"> PAGEREF _Toc229225456 \h </w:instrText>
        </w:r>
        <w:r>
          <w:rPr>
            <w:noProof/>
          </w:rPr>
        </w:r>
        <w:r>
          <w:rPr>
            <w:noProof/>
          </w:rPr>
          <w:fldChar w:fldCharType="separate"/>
        </w:r>
        <w:r w:rsidR="00731089">
          <w:rPr>
            <w:noProof/>
          </w:rPr>
          <w:t>37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57" w:history="1">
        <w:r w:rsidR="0069044A" w:rsidRPr="004015C7">
          <w:rPr>
            <w:rStyle w:val="af2"/>
            <w:rFonts w:ascii="Times New Roman" w:hAnsi="Times New Roman" w:hint="eastAsia"/>
            <w:bCs/>
            <w:noProof/>
          </w:rPr>
          <w:t>七、关于出租侵权产品的情形</w:t>
        </w:r>
        <w:r w:rsidR="0069044A">
          <w:rPr>
            <w:noProof/>
          </w:rPr>
          <w:tab/>
        </w:r>
        <w:r>
          <w:rPr>
            <w:noProof/>
          </w:rPr>
          <w:fldChar w:fldCharType="begin"/>
        </w:r>
        <w:r w:rsidR="0069044A">
          <w:rPr>
            <w:noProof/>
          </w:rPr>
          <w:instrText xml:space="preserve"> PAGEREF _Toc229225457 \h </w:instrText>
        </w:r>
        <w:r>
          <w:rPr>
            <w:noProof/>
          </w:rPr>
        </w:r>
        <w:r>
          <w:rPr>
            <w:noProof/>
          </w:rPr>
          <w:fldChar w:fldCharType="separate"/>
        </w:r>
        <w:r w:rsidR="00731089">
          <w:rPr>
            <w:noProof/>
          </w:rPr>
          <w:t>39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58" w:history="1">
        <w:r w:rsidR="0069044A" w:rsidRPr="004015C7">
          <w:rPr>
            <w:rStyle w:val="af2"/>
            <w:rFonts w:hint="eastAsia"/>
            <w:bCs/>
            <w:noProof/>
          </w:rPr>
          <w:t>八、其他需要注意的情况</w:t>
        </w:r>
        <w:r w:rsidR="0069044A">
          <w:rPr>
            <w:noProof/>
          </w:rPr>
          <w:tab/>
        </w:r>
        <w:r>
          <w:rPr>
            <w:noProof/>
          </w:rPr>
          <w:fldChar w:fldCharType="begin"/>
        </w:r>
        <w:r w:rsidR="0069044A">
          <w:rPr>
            <w:noProof/>
          </w:rPr>
          <w:instrText xml:space="preserve"> PAGEREF _Toc229225458 \h </w:instrText>
        </w:r>
        <w:r>
          <w:rPr>
            <w:noProof/>
          </w:rPr>
        </w:r>
        <w:r>
          <w:rPr>
            <w:noProof/>
          </w:rPr>
          <w:fldChar w:fldCharType="separate"/>
        </w:r>
        <w:r w:rsidR="00731089">
          <w:rPr>
            <w:noProof/>
          </w:rPr>
          <w:t>39</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59" w:history="1">
        <w:r w:rsidR="0069044A" w:rsidRPr="004015C7">
          <w:rPr>
            <w:rStyle w:val="af2"/>
            <w:rFonts w:ascii="Times New Roman" w:hAnsi="Times New Roman" w:hint="eastAsia"/>
            <w:noProof/>
          </w:rPr>
          <w:t>第二节　共同侵犯专利权的行为</w:t>
        </w:r>
        <w:r w:rsidR="0069044A">
          <w:rPr>
            <w:noProof/>
          </w:rPr>
          <w:tab/>
        </w:r>
        <w:r>
          <w:rPr>
            <w:noProof/>
          </w:rPr>
          <w:fldChar w:fldCharType="begin"/>
        </w:r>
        <w:r w:rsidR="0069044A">
          <w:rPr>
            <w:noProof/>
          </w:rPr>
          <w:instrText xml:space="preserve"> PAGEREF _Toc229225459 \h </w:instrText>
        </w:r>
        <w:r>
          <w:rPr>
            <w:noProof/>
          </w:rPr>
        </w:r>
        <w:r>
          <w:rPr>
            <w:noProof/>
          </w:rPr>
          <w:fldChar w:fldCharType="separate"/>
        </w:r>
        <w:r w:rsidR="00731089">
          <w:rPr>
            <w:noProof/>
          </w:rPr>
          <w:t>40</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60" w:history="1">
        <w:r w:rsidR="0069044A" w:rsidRPr="004015C7">
          <w:rPr>
            <w:rStyle w:val="af2"/>
            <w:rFonts w:ascii="Times New Roman" w:hAnsi="Times New Roman" w:hint="eastAsia"/>
            <w:noProof/>
          </w:rPr>
          <w:t>一、教唆他人实施专利侵权行为</w:t>
        </w:r>
        <w:r w:rsidR="0069044A">
          <w:rPr>
            <w:noProof/>
          </w:rPr>
          <w:tab/>
        </w:r>
        <w:r>
          <w:rPr>
            <w:noProof/>
          </w:rPr>
          <w:fldChar w:fldCharType="begin"/>
        </w:r>
        <w:r w:rsidR="0069044A">
          <w:rPr>
            <w:noProof/>
          </w:rPr>
          <w:instrText xml:space="preserve"> PAGEREF _Toc229225460 \h </w:instrText>
        </w:r>
        <w:r>
          <w:rPr>
            <w:noProof/>
          </w:rPr>
        </w:r>
        <w:r>
          <w:rPr>
            <w:noProof/>
          </w:rPr>
          <w:fldChar w:fldCharType="separate"/>
        </w:r>
        <w:r w:rsidR="00731089">
          <w:rPr>
            <w:noProof/>
          </w:rPr>
          <w:t>40</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61" w:history="1">
        <w:r w:rsidR="0069044A" w:rsidRPr="004015C7">
          <w:rPr>
            <w:rStyle w:val="af2"/>
            <w:rFonts w:ascii="Times New Roman" w:hAnsi="Times New Roman" w:hint="eastAsia"/>
            <w:noProof/>
          </w:rPr>
          <w:t>二、帮助他人实施专利侵权行为</w:t>
        </w:r>
        <w:r w:rsidR="0069044A">
          <w:rPr>
            <w:noProof/>
          </w:rPr>
          <w:tab/>
        </w:r>
        <w:r>
          <w:rPr>
            <w:noProof/>
          </w:rPr>
          <w:fldChar w:fldCharType="begin"/>
        </w:r>
        <w:r w:rsidR="0069044A">
          <w:rPr>
            <w:noProof/>
          </w:rPr>
          <w:instrText xml:space="preserve"> PAGEREF _Toc229225461 \h </w:instrText>
        </w:r>
        <w:r>
          <w:rPr>
            <w:noProof/>
          </w:rPr>
        </w:r>
        <w:r>
          <w:rPr>
            <w:noProof/>
          </w:rPr>
          <w:fldChar w:fldCharType="separate"/>
        </w:r>
        <w:r w:rsidR="00731089">
          <w:rPr>
            <w:noProof/>
          </w:rPr>
          <w:t>40</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62" w:history="1">
        <w:r w:rsidR="0069044A" w:rsidRPr="004015C7">
          <w:rPr>
            <w:rStyle w:val="af2"/>
            <w:rFonts w:ascii="Times New Roman" w:hAnsi="Times New Roman" w:hint="eastAsia"/>
            <w:noProof/>
          </w:rPr>
          <w:t>第三节　不侵犯专利权的行为</w:t>
        </w:r>
        <w:r w:rsidR="0069044A">
          <w:rPr>
            <w:noProof/>
          </w:rPr>
          <w:tab/>
        </w:r>
        <w:r>
          <w:rPr>
            <w:noProof/>
          </w:rPr>
          <w:fldChar w:fldCharType="begin"/>
        </w:r>
        <w:r w:rsidR="0069044A">
          <w:rPr>
            <w:noProof/>
          </w:rPr>
          <w:instrText xml:space="preserve"> PAGEREF _Toc229225462 \h </w:instrText>
        </w:r>
        <w:r>
          <w:rPr>
            <w:noProof/>
          </w:rPr>
        </w:r>
        <w:r>
          <w:rPr>
            <w:noProof/>
          </w:rPr>
          <w:fldChar w:fldCharType="separate"/>
        </w:r>
        <w:r w:rsidR="00731089">
          <w:rPr>
            <w:noProof/>
          </w:rPr>
          <w:t>41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63" w:history="1">
        <w:r w:rsidR="0069044A" w:rsidRPr="004015C7">
          <w:rPr>
            <w:rStyle w:val="af2"/>
            <w:rFonts w:ascii="Times New Roman" w:hAnsi="Times New Roman" w:hint="eastAsia"/>
            <w:noProof/>
          </w:rPr>
          <w:t>一、经专利权人许可</w:t>
        </w:r>
        <w:r w:rsidR="0069044A">
          <w:rPr>
            <w:noProof/>
          </w:rPr>
          <w:tab/>
        </w:r>
        <w:r>
          <w:rPr>
            <w:noProof/>
          </w:rPr>
          <w:fldChar w:fldCharType="begin"/>
        </w:r>
        <w:r w:rsidR="0069044A">
          <w:rPr>
            <w:noProof/>
          </w:rPr>
          <w:instrText xml:space="preserve"> PAGEREF _Toc229225463 \h </w:instrText>
        </w:r>
        <w:r>
          <w:rPr>
            <w:noProof/>
          </w:rPr>
        </w:r>
        <w:r>
          <w:rPr>
            <w:noProof/>
          </w:rPr>
          <w:fldChar w:fldCharType="separate"/>
        </w:r>
        <w:r w:rsidR="00731089">
          <w:rPr>
            <w:noProof/>
          </w:rPr>
          <w:t>41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64" w:history="1">
        <w:r w:rsidR="0069044A" w:rsidRPr="004015C7">
          <w:rPr>
            <w:rStyle w:val="af2"/>
            <w:rFonts w:ascii="Times New Roman" w:hAnsi="Times New Roman" w:hint="eastAsia"/>
            <w:noProof/>
          </w:rPr>
          <w:t>二、特别许可</w:t>
        </w:r>
        <w:r w:rsidR="0069044A">
          <w:rPr>
            <w:noProof/>
          </w:rPr>
          <w:tab/>
        </w:r>
        <w:r>
          <w:rPr>
            <w:noProof/>
          </w:rPr>
          <w:fldChar w:fldCharType="begin"/>
        </w:r>
        <w:r w:rsidR="0069044A">
          <w:rPr>
            <w:noProof/>
          </w:rPr>
          <w:instrText xml:space="preserve"> PAGEREF _Toc229225464 \h </w:instrText>
        </w:r>
        <w:r>
          <w:rPr>
            <w:noProof/>
          </w:rPr>
        </w:r>
        <w:r>
          <w:rPr>
            <w:noProof/>
          </w:rPr>
          <w:fldChar w:fldCharType="separate"/>
        </w:r>
        <w:r w:rsidR="00731089">
          <w:rPr>
            <w:noProof/>
          </w:rPr>
          <w:t>43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65" w:history="1">
        <w:r w:rsidR="0069044A" w:rsidRPr="004015C7">
          <w:rPr>
            <w:rStyle w:val="af2"/>
            <w:rFonts w:ascii="Times New Roman" w:hAnsi="Times New Roman" w:hint="eastAsia"/>
            <w:noProof/>
          </w:rPr>
          <w:t>三、不以生产经营为目的</w:t>
        </w:r>
        <w:r w:rsidR="0069044A">
          <w:rPr>
            <w:noProof/>
          </w:rPr>
          <w:tab/>
        </w:r>
        <w:r>
          <w:rPr>
            <w:noProof/>
          </w:rPr>
          <w:fldChar w:fldCharType="begin"/>
        </w:r>
        <w:r w:rsidR="0069044A">
          <w:rPr>
            <w:noProof/>
          </w:rPr>
          <w:instrText xml:space="preserve"> PAGEREF _Toc229225465 \h </w:instrText>
        </w:r>
        <w:r>
          <w:rPr>
            <w:noProof/>
          </w:rPr>
        </w:r>
        <w:r>
          <w:rPr>
            <w:noProof/>
          </w:rPr>
          <w:fldChar w:fldCharType="separate"/>
        </w:r>
        <w:r w:rsidR="00731089">
          <w:rPr>
            <w:noProof/>
          </w:rPr>
          <w:t>43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66" w:history="1">
        <w:r w:rsidR="0069044A" w:rsidRPr="004015C7">
          <w:rPr>
            <w:rStyle w:val="af2"/>
            <w:rFonts w:ascii="Times New Roman" w:hAnsi="Times New Roman" w:hint="eastAsia"/>
            <w:noProof/>
          </w:rPr>
          <w:t>四、不视为侵犯专利权的行为</w:t>
        </w:r>
        <w:r w:rsidR="0069044A">
          <w:rPr>
            <w:noProof/>
          </w:rPr>
          <w:tab/>
        </w:r>
        <w:r>
          <w:rPr>
            <w:noProof/>
          </w:rPr>
          <w:fldChar w:fldCharType="begin"/>
        </w:r>
        <w:r w:rsidR="0069044A">
          <w:rPr>
            <w:noProof/>
          </w:rPr>
          <w:instrText xml:space="preserve"> PAGEREF _Toc229225466 \h </w:instrText>
        </w:r>
        <w:r>
          <w:rPr>
            <w:noProof/>
          </w:rPr>
        </w:r>
        <w:r>
          <w:rPr>
            <w:noProof/>
          </w:rPr>
          <w:fldChar w:fldCharType="separate"/>
        </w:r>
        <w:r w:rsidR="00731089">
          <w:rPr>
            <w:noProof/>
          </w:rPr>
          <w:t>44</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67" w:history="1">
        <w:r w:rsidR="0069044A" w:rsidRPr="004015C7">
          <w:rPr>
            <w:rStyle w:val="af2"/>
            <w:rFonts w:ascii="Times New Roman" w:hAnsi="Times New Roman" w:hint="eastAsia"/>
            <w:noProof/>
          </w:rPr>
          <w:t>第四节　发明、实用新型专利侵权判定</w:t>
        </w:r>
        <w:r w:rsidR="0069044A">
          <w:rPr>
            <w:noProof/>
          </w:rPr>
          <w:tab/>
        </w:r>
        <w:r>
          <w:rPr>
            <w:noProof/>
          </w:rPr>
          <w:fldChar w:fldCharType="begin"/>
        </w:r>
        <w:r w:rsidR="0069044A">
          <w:rPr>
            <w:noProof/>
          </w:rPr>
          <w:instrText xml:space="preserve"> PAGEREF _Toc229225467 \h </w:instrText>
        </w:r>
        <w:r>
          <w:rPr>
            <w:noProof/>
          </w:rPr>
        </w:r>
        <w:r>
          <w:rPr>
            <w:noProof/>
          </w:rPr>
          <w:fldChar w:fldCharType="separate"/>
        </w:r>
        <w:r w:rsidR="00731089">
          <w:rPr>
            <w:noProof/>
          </w:rPr>
          <w:t>45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68" w:history="1">
        <w:r w:rsidR="0069044A" w:rsidRPr="004015C7">
          <w:rPr>
            <w:rStyle w:val="af2"/>
            <w:rFonts w:ascii="Times New Roman" w:hAnsi="Times New Roman" w:hint="eastAsia"/>
            <w:noProof/>
          </w:rPr>
          <w:t>一、发明、实用新型专利权保护范围的确定</w:t>
        </w:r>
        <w:r w:rsidR="0069044A">
          <w:rPr>
            <w:noProof/>
          </w:rPr>
          <w:tab/>
        </w:r>
        <w:r>
          <w:rPr>
            <w:noProof/>
          </w:rPr>
          <w:fldChar w:fldCharType="begin"/>
        </w:r>
        <w:r w:rsidR="0069044A">
          <w:rPr>
            <w:noProof/>
          </w:rPr>
          <w:instrText xml:space="preserve"> PAGEREF _Toc229225468 \h </w:instrText>
        </w:r>
        <w:r>
          <w:rPr>
            <w:noProof/>
          </w:rPr>
        </w:r>
        <w:r>
          <w:rPr>
            <w:noProof/>
          </w:rPr>
          <w:fldChar w:fldCharType="separate"/>
        </w:r>
        <w:r w:rsidR="00731089">
          <w:rPr>
            <w:noProof/>
          </w:rPr>
          <w:t>45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69" w:history="1">
        <w:r w:rsidR="0069044A" w:rsidRPr="004015C7">
          <w:rPr>
            <w:rStyle w:val="af2"/>
            <w:rFonts w:ascii="Times New Roman" w:hAnsi="Times New Roman" w:hint="eastAsia"/>
            <w:noProof/>
          </w:rPr>
          <w:t>二、发明、实用新型专利侵权判定</w:t>
        </w:r>
        <w:r w:rsidR="0069044A">
          <w:rPr>
            <w:noProof/>
          </w:rPr>
          <w:tab/>
        </w:r>
        <w:r>
          <w:rPr>
            <w:noProof/>
          </w:rPr>
          <w:fldChar w:fldCharType="begin"/>
        </w:r>
        <w:r w:rsidR="0069044A">
          <w:rPr>
            <w:noProof/>
          </w:rPr>
          <w:instrText xml:space="preserve"> PAGEREF _Toc229225469 \h </w:instrText>
        </w:r>
        <w:r>
          <w:rPr>
            <w:noProof/>
          </w:rPr>
        </w:r>
        <w:r>
          <w:rPr>
            <w:noProof/>
          </w:rPr>
          <w:fldChar w:fldCharType="separate"/>
        </w:r>
        <w:r w:rsidR="00731089">
          <w:rPr>
            <w:noProof/>
          </w:rPr>
          <w:t>64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70" w:history="1">
        <w:r w:rsidR="0069044A" w:rsidRPr="004015C7">
          <w:rPr>
            <w:rStyle w:val="af2"/>
            <w:rFonts w:ascii="Times New Roman" w:hAnsi="Times New Roman" w:hint="eastAsia"/>
            <w:noProof/>
          </w:rPr>
          <w:t>三、发明、实用新型专利侵权抗辩</w:t>
        </w:r>
        <w:r w:rsidR="0069044A">
          <w:rPr>
            <w:noProof/>
          </w:rPr>
          <w:tab/>
        </w:r>
        <w:r>
          <w:rPr>
            <w:noProof/>
          </w:rPr>
          <w:fldChar w:fldCharType="begin"/>
        </w:r>
        <w:r w:rsidR="0069044A">
          <w:rPr>
            <w:noProof/>
          </w:rPr>
          <w:instrText xml:space="preserve"> PAGEREF _Toc229225470 \h </w:instrText>
        </w:r>
        <w:r>
          <w:rPr>
            <w:noProof/>
          </w:rPr>
        </w:r>
        <w:r>
          <w:rPr>
            <w:noProof/>
          </w:rPr>
          <w:fldChar w:fldCharType="separate"/>
        </w:r>
        <w:r w:rsidR="00731089">
          <w:rPr>
            <w:noProof/>
          </w:rPr>
          <w:t>81</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71" w:history="1">
        <w:r w:rsidR="0069044A" w:rsidRPr="004015C7">
          <w:rPr>
            <w:rStyle w:val="af2"/>
            <w:rFonts w:ascii="Times New Roman" w:hAnsi="Times New Roman" w:hint="eastAsia"/>
            <w:noProof/>
          </w:rPr>
          <w:t>第五节　外观设计专利侵权判定</w:t>
        </w:r>
        <w:r w:rsidR="0069044A">
          <w:rPr>
            <w:noProof/>
          </w:rPr>
          <w:tab/>
        </w:r>
        <w:r>
          <w:rPr>
            <w:noProof/>
          </w:rPr>
          <w:fldChar w:fldCharType="begin"/>
        </w:r>
        <w:r w:rsidR="0069044A">
          <w:rPr>
            <w:noProof/>
          </w:rPr>
          <w:instrText xml:space="preserve"> PAGEREF _Toc229225471 \h </w:instrText>
        </w:r>
        <w:r>
          <w:rPr>
            <w:noProof/>
          </w:rPr>
        </w:r>
        <w:r>
          <w:rPr>
            <w:noProof/>
          </w:rPr>
          <w:fldChar w:fldCharType="separate"/>
        </w:r>
        <w:r w:rsidR="00731089">
          <w:rPr>
            <w:noProof/>
          </w:rPr>
          <w:t>91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72" w:history="1">
        <w:r w:rsidR="0069044A" w:rsidRPr="004015C7">
          <w:rPr>
            <w:rStyle w:val="af2"/>
            <w:rFonts w:ascii="Times New Roman" w:hAnsi="Times New Roman" w:hint="eastAsia"/>
            <w:noProof/>
          </w:rPr>
          <w:t>一、外观设计专利权保护范围的确定</w:t>
        </w:r>
        <w:r w:rsidR="0069044A">
          <w:rPr>
            <w:noProof/>
          </w:rPr>
          <w:tab/>
        </w:r>
        <w:r>
          <w:rPr>
            <w:noProof/>
          </w:rPr>
          <w:fldChar w:fldCharType="begin"/>
        </w:r>
        <w:r w:rsidR="0069044A">
          <w:rPr>
            <w:noProof/>
          </w:rPr>
          <w:instrText xml:space="preserve"> PAGEREF _Toc229225472 \h </w:instrText>
        </w:r>
        <w:r>
          <w:rPr>
            <w:noProof/>
          </w:rPr>
        </w:r>
        <w:r>
          <w:rPr>
            <w:noProof/>
          </w:rPr>
          <w:fldChar w:fldCharType="separate"/>
        </w:r>
        <w:r w:rsidR="00731089">
          <w:rPr>
            <w:noProof/>
          </w:rPr>
          <w:t>92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73" w:history="1">
        <w:r w:rsidR="0069044A" w:rsidRPr="004015C7">
          <w:rPr>
            <w:rStyle w:val="af2"/>
            <w:rFonts w:ascii="Times New Roman" w:hAnsi="Times New Roman" w:hint="eastAsia"/>
            <w:noProof/>
          </w:rPr>
          <w:t>二、外观设计专利侵权判定</w:t>
        </w:r>
        <w:r w:rsidR="0069044A">
          <w:rPr>
            <w:noProof/>
          </w:rPr>
          <w:tab/>
        </w:r>
        <w:r>
          <w:rPr>
            <w:noProof/>
          </w:rPr>
          <w:fldChar w:fldCharType="begin"/>
        </w:r>
        <w:r w:rsidR="0069044A">
          <w:rPr>
            <w:noProof/>
          </w:rPr>
          <w:instrText xml:space="preserve"> PAGEREF _Toc229225473 \h </w:instrText>
        </w:r>
        <w:r>
          <w:rPr>
            <w:noProof/>
          </w:rPr>
        </w:r>
        <w:r>
          <w:rPr>
            <w:noProof/>
          </w:rPr>
          <w:fldChar w:fldCharType="separate"/>
        </w:r>
        <w:r w:rsidR="00731089">
          <w:rPr>
            <w:noProof/>
          </w:rPr>
          <w:t>100</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74" w:history="1">
        <w:r w:rsidR="0069044A" w:rsidRPr="004015C7">
          <w:rPr>
            <w:rStyle w:val="af2"/>
            <w:rFonts w:ascii="Times New Roman" w:hAnsi="Times New Roman" w:hint="eastAsia"/>
            <w:noProof/>
          </w:rPr>
          <w:t>三、外观设计专利侵权抗辩</w:t>
        </w:r>
        <w:r w:rsidR="0069044A">
          <w:rPr>
            <w:noProof/>
          </w:rPr>
          <w:tab/>
        </w:r>
        <w:r>
          <w:rPr>
            <w:noProof/>
          </w:rPr>
          <w:fldChar w:fldCharType="begin"/>
        </w:r>
        <w:r w:rsidR="0069044A">
          <w:rPr>
            <w:noProof/>
          </w:rPr>
          <w:instrText xml:space="preserve"> PAGEREF _Toc229225474 \h </w:instrText>
        </w:r>
        <w:r>
          <w:rPr>
            <w:noProof/>
          </w:rPr>
        </w:r>
        <w:r>
          <w:rPr>
            <w:noProof/>
          </w:rPr>
          <w:fldChar w:fldCharType="separate"/>
        </w:r>
        <w:r w:rsidR="00731089">
          <w:rPr>
            <w:noProof/>
          </w:rPr>
          <w:t>116</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475" w:history="1">
        <w:r w:rsidR="0069044A" w:rsidRPr="004015C7">
          <w:rPr>
            <w:rStyle w:val="af2"/>
            <w:rFonts w:hint="eastAsia"/>
            <w:noProof/>
          </w:rPr>
          <w:t>第四章　证据</w:t>
        </w:r>
        <w:r w:rsidR="0069044A">
          <w:rPr>
            <w:noProof/>
          </w:rPr>
          <w:tab/>
        </w:r>
        <w:r>
          <w:rPr>
            <w:noProof/>
          </w:rPr>
          <w:fldChar w:fldCharType="begin"/>
        </w:r>
        <w:r w:rsidR="0069044A">
          <w:rPr>
            <w:noProof/>
          </w:rPr>
          <w:instrText xml:space="preserve"> PAGEREF _Toc229225475 \h </w:instrText>
        </w:r>
        <w:r>
          <w:rPr>
            <w:noProof/>
          </w:rPr>
        </w:r>
        <w:r>
          <w:rPr>
            <w:noProof/>
          </w:rPr>
          <w:fldChar w:fldCharType="separate"/>
        </w:r>
        <w:r w:rsidR="00731089">
          <w:rPr>
            <w:noProof/>
          </w:rPr>
          <w:t>124</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76" w:history="1">
        <w:r w:rsidR="0069044A" w:rsidRPr="004015C7">
          <w:rPr>
            <w:rStyle w:val="af2"/>
            <w:rFonts w:ascii="Times New Roman" w:hAnsi="Times New Roman" w:hint="eastAsia"/>
            <w:noProof/>
          </w:rPr>
          <w:t>第一节　基本概念</w:t>
        </w:r>
        <w:r w:rsidR="0069044A">
          <w:rPr>
            <w:noProof/>
          </w:rPr>
          <w:tab/>
        </w:r>
        <w:r>
          <w:rPr>
            <w:noProof/>
          </w:rPr>
          <w:fldChar w:fldCharType="begin"/>
        </w:r>
        <w:r w:rsidR="0069044A">
          <w:rPr>
            <w:noProof/>
          </w:rPr>
          <w:instrText xml:space="preserve"> PAGEREF _Toc229225476 \h </w:instrText>
        </w:r>
        <w:r>
          <w:rPr>
            <w:noProof/>
          </w:rPr>
        </w:r>
        <w:r>
          <w:rPr>
            <w:noProof/>
          </w:rPr>
          <w:fldChar w:fldCharType="separate"/>
        </w:r>
        <w:r w:rsidR="00731089">
          <w:rPr>
            <w:noProof/>
          </w:rPr>
          <w:t>124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77" w:history="1">
        <w:r w:rsidR="0069044A" w:rsidRPr="004015C7">
          <w:rPr>
            <w:rStyle w:val="af2"/>
            <w:rFonts w:ascii="Times New Roman" w:hAnsi="Times New Roman" w:hint="eastAsia"/>
            <w:noProof/>
          </w:rPr>
          <w:t>一、证据资格</w:t>
        </w:r>
        <w:r w:rsidR="0069044A">
          <w:rPr>
            <w:noProof/>
          </w:rPr>
          <w:tab/>
        </w:r>
        <w:r>
          <w:rPr>
            <w:noProof/>
          </w:rPr>
          <w:fldChar w:fldCharType="begin"/>
        </w:r>
        <w:r w:rsidR="0069044A">
          <w:rPr>
            <w:noProof/>
          </w:rPr>
          <w:instrText xml:space="preserve"> PAGEREF _Toc229225477 \h </w:instrText>
        </w:r>
        <w:r>
          <w:rPr>
            <w:noProof/>
          </w:rPr>
        </w:r>
        <w:r>
          <w:rPr>
            <w:noProof/>
          </w:rPr>
          <w:fldChar w:fldCharType="separate"/>
        </w:r>
        <w:r w:rsidR="00731089">
          <w:rPr>
            <w:noProof/>
          </w:rPr>
          <w:t>124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78" w:history="1">
        <w:r w:rsidR="0069044A" w:rsidRPr="004015C7">
          <w:rPr>
            <w:rStyle w:val="af2"/>
            <w:rFonts w:ascii="Times New Roman" w:hAnsi="Times New Roman" w:hint="eastAsia"/>
            <w:noProof/>
          </w:rPr>
          <w:t>二、证明力</w:t>
        </w:r>
        <w:r w:rsidR="0069044A">
          <w:rPr>
            <w:noProof/>
          </w:rPr>
          <w:tab/>
        </w:r>
        <w:r>
          <w:rPr>
            <w:noProof/>
          </w:rPr>
          <w:fldChar w:fldCharType="begin"/>
        </w:r>
        <w:r w:rsidR="0069044A">
          <w:rPr>
            <w:noProof/>
          </w:rPr>
          <w:instrText xml:space="preserve"> PAGEREF _Toc229225478 \h </w:instrText>
        </w:r>
        <w:r>
          <w:rPr>
            <w:noProof/>
          </w:rPr>
        </w:r>
        <w:r>
          <w:rPr>
            <w:noProof/>
          </w:rPr>
          <w:fldChar w:fldCharType="separate"/>
        </w:r>
        <w:r w:rsidR="00731089">
          <w:rPr>
            <w:noProof/>
          </w:rPr>
          <w:t>124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79" w:history="1">
        <w:r w:rsidR="0069044A" w:rsidRPr="004015C7">
          <w:rPr>
            <w:rStyle w:val="af2"/>
            <w:rFonts w:ascii="Times New Roman" w:hAnsi="Times New Roman" w:hint="eastAsia"/>
            <w:noProof/>
          </w:rPr>
          <w:t>三、现有技术或者现有设计的公开性</w:t>
        </w:r>
        <w:r w:rsidR="0069044A">
          <w:rPr>
            <w:noProof/>
          </w:rPr>
          <w:tab/>
        </w:r>
        <w:r>
          <w:rPr>
            <w:noProof/>
          </w:rPr>
          <w:fldChar w:fldCharType="begin"/>
        </w:r>
        <w:r w:rsidR="0069044A">
          <w:rPr>
            <w:noProof/>
          </w:rPr>
          <w:instrText xml:space="preserve"> PAGEREF _Toc229225479 \h </w:instrText>
        </w:r>
        <w:r>
          <w:rPr>
            <w:noProof/>
          </w:rPr>
        </w:r>
        <w:r>
          <w:rPr>
            <w:noProof/>
          </w:rPr>
          <w:fldChar w:fldCharType="separate"/>
        </w:r>
        <w:r w:rsidR="00731089">
          <w:rPr>
            <w:noProof/>
          </w:rPr>
          <w:t>125</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80" w:history="1">
        <w:r w:rsidR="0069044A" w:rsidRPr="004015C7">
          <w:rPr>
            <w:rStyle w:val="af2"/>
            <w:rFonts w:ascii="Times New Roman" w:hAnsi="Times New Roman" w:hint="eastAsia"/>
            <w:noProof/>
          </w:rPr>
          <w:t>第二节　证据类型及表现形式</w:t>
        </w:r>
        <w:r w:rsidR="0069044A">
          <w:rPr>
            <w:noProof/>
          </w:rPr>
          <w:tab/>
        </w:r>
        <w:r>
          <w:rPr>
            <w:noProof/>
          </w:rPr>
          <w:fldChar w:fldCharType="begin"/>
        </w:r>
        <w:r w:rsidR="0069044A">
          <w:rPr>
            <w:noProof/>
          </w:rPr>
          <w:instrText xml:space="preserve"> PAGEREF _Toc229225480 \h </w:instrText>
        </w:r>
        <w:r>
          <w:rPr>
            <w:noProof/>
          </w:rPr>
        </w:r>
        <w:r>
          <w:rPr>
            <w:noProof/>
          </w:rPr>
          <w:fldChar w:fldCharType="separate"/>
        </w:r>
        <w:r w:rsidR="00731089">
          <w:rPr>
            <w:noProof/>
          </w:rPr>
          <w:t>127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81" w:history="1">
        <w:r w:rsidR="0069044A" w:rsidRPr="004015C7">
          <w:rPr>
            <w:rStyle w:val="af2"/>
            <w:rFonts w:ascii="Times New Roman" w:hAnsi="Times New Roman" w:hint="eastAsia"/>
            <w:noProof/>
          </w:rPr>
          <w:t>一、专利侵权纠纷案件中的证据类型</w:t>
        </w:r>
        <w:r w:rsidR="0069044A">
          <w:rPr>
            <w:noProof/>
          </w:rPr>
          <w:tab/>
        </w:r>
        <w:r>
          <w:rPr>
            <w:noProof/>
          </w:rPr>
          <w:fldChar w:fldCharType="begin"/>
        </w:r>
        <w:r w:rsidR="0069044A">
          <w:rPr>
            <w:noProof/>
          </w:rPr>
          <w:instrText xml:space="preserve"> PAGEREF _Toc229225481 \h </w:instrText>
        </w:r>
        <w:r>
          <w:rPr>
            <w:noProof/>
          </w:rPr>
        </w:r>
        <w:r>
          <w:rPr>
            <w:noProof/>
          </w:rPr>
          <w:fldChar w:fldCharType="separate"/>
        </w:r>
        <w:r w:rsidR="00731089">
          <w:rPr>
            <w:noProof/>
          </w:rPr>
          <w:t>127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82" w:history="1">
        <w:r w:rsidR="0069044A" w:rsidRPr="004015C7">
          <w:rPr>
            <w:rStyle w:val="af2"/>
            <w:rFonts w:ascii="Times New Roman" w:hAnsi="Times New Roman" w:hint="eastAsia"/>
            <w:noProof/>
          </w:rPr>
          <w:t>二、证据的分类</w:t>
        </w:r>
        <w:r w:rsidR="0069044A">
          <w:rPr>
            <w:noProof/>
          </w:rPr>
          <w:tab/>
        </w:r>
        <w:r>
          <w:rPr>
            <w:noProof/>
          </w:rPr>
          <w:fldChar w:fldCharType="begin"/>
        </w:r>
        <w:r w:rsidR="0069044A">
          <w:rPr>
            <w:noProof/>
          </w:rPr>
          <w:instrText xml:space="preserve"> PAGEREF _Toc229225482 \h </w:instrText>
        </w:r>
        <w:r>
          <w:rPr>
            <w:noProof/>
          </w:rPr>
        </w:r>
        <w:r>
          <w:rPr>
            <w:noProof/>
          </w:rPr>
          <w:fldChar w:fldCharType="separate"/>
        </w:r>
        <w:r w:rsidR="00731089">
          <w:rPr>
            <w:noProof/>
          </w:rPr>
          <w:t>129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83" w:history="1">
        <w:r w:rsidR="0069044A" w:rsidRPr="004015C7">
          <w:rPr>
            <w:rStyle w:val="af2"/>
            <w:rFonts w:ascii="Times New Roman" w:hAnsi="Times New Roman" w:hint="eastAsia"/>
            <w:noProof/>
          </w:rPr>
          <w:t>三、证据的表现形式</w:t>
        </w:r>
        <w:r w:rsidR="0069044A">
          <w:rPr>
            <w:noProof/>
          </w:rPr>
          <w:tab/>
        </w:r>
        <w:r>
          <w:rPr>
            <w:noProof/>
          </w:rPr>
          <w:fldChar w:fldCharType="begin"/>
        </w:r>
        <w:r w:rsidR="0069044A">
          <w:rPr>
            <w:noProof/>
          </w:rPr>
          <w:instrText xml:space="preserve"> PAGEREF _Toc229225483 \h </w:instrText>
        </w:r>
        <w:r>
          <w:rPr>
            <w:noProof/>
          </w:rPr>
        </w:r>
        <w:r>
          <w:rPr>
            <w:noProof/>
          </w:rPr>
          <w:fldChar w:fldCharType="separate"/>
        </w:r>
        <w:r w:rsidR="00731089">
          <w:rPr>
            <w:noProof/>
          </w:rPr>
          <w:t>130</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84" w:history="1">
        <w:r w:rsidR="0069044A" w:rsidRPr="004015C7">
          <w:rPr>
            <w:rStyle w:val="af2"/>
            <w:rFonts w:ascii="Times New Roman" w:hAnsi="Times New Roman" w:hint="eastAsia"/>
            <w:noProof/>
          </w:rPr>
          <w:t>第三节　证据调查</w:t>
        </w:r>
        <w:r w:rsidR="0069044A">
          <w:rPr>
            <w:noProof/>
          </w:rPr>
          <w:tab/>
        </w:r>
        <w:r>
          <w:rPr>
            <w:noProof/>
          </w:rPr>
          <w:fldChar w:fldCharType="begin"/>
        </w:r>
        <w:r w:rsidR="0069044A">
          <w:rPr>
            <w:noProof/>
          </w:rPr>
          <w:instrText xml:space="preserve"> PAGEREF _Toc229225484 \h </w:instrText>
        </w:r>
        <w:r>
          <w:rPr>
            <w:noProof/>
          </w:rPr>
        </w:r>
        <w:r>
          <w:rPr>
            <w:noProof/>
          </w:rPr>
          <w:fldChar w:fldCharType="separate"/>
        </w:r>
        <w:r w:rsidR="00731089">
          <w:rPr>
            <w:noProof/>
          </w:rPr>
          <w:t>131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85" w:history="1">
        <w:r w:rsidR="0069044A" w:rsidRPr="004015C7">
          <w:rPr>
            <w:rStyle w:val="af2"/>
            <w:rFonts w:ascii="Times New Roman" w:hAnsi="Times New Roman" w:hint="eastAsia"/>
            <w:noProof/>
          </w:rPr>
          <w:t>一、当事人举证</w:t>
        </w:r>
        <w:r w:rsidR="0069044A">
          <w:rPr>
            <w:noProof/>
          </w:rPr>
          <w:tab/>
        </w:r>
        <w:r>
          <w:rPr>
            <w:noProof/>
          </w:rPr>
          <w:fldChar w:fldCharType="begin"/>
        </w:r>
        <w:r w:rsidR="0069044A">
          <w:rPr>
            <w:noProof/>
          </w:rPr>
          <w:instrText xml:space="preserve"> PAGEREF _Toc229225485 \h </w:instrText>
        </w:r>
        <w:r>
          <w:rPr>
            <w:noProof/>
          </w:rPr>
        </w:r>
        <w:r>
          <w:rPr>
            <w:noProof/>
          </w:rPr>
          <w:fldChar w:fldCharType="separate"/>
        </w:r>
        <w:r w:rsidR="00731089">
          <w:rPr>
            <w:noProof/>
          </w:rPr>
          <w:t>131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86" w:history="1">
        <w:r w:rsidR="0069044A" w:rsidRPr="004015C7">
          <w:rPr>
            <w:rStyle w:val="af2"/>
            <w:rFonts w:ascii="Times New Roman" w:hAnsi="Times New Roman" w:hint="eastAsia"/>
            <w:noProof/>
          </w:rPr>
          <w:t>二、调查收集证据</w:t>
        </w:r>
        <w:r w:rsidR="0069044A">
          <w:rPr>
            <w:noProof/>
          </w:rPr>
          <w:tab/>
        </w:r>
        <w:r>
          <w:rPr>
            <w:noProof/>
          </w:rPr>
          <w:fldChar w:fldCharType="begin"/>
        </w:r>
        <w:r w:rsidR="0069044A">
          <w:rPr>
            <w:noProof/>
          </w:rPr>
          <w:instrText xml:space="preserve"> PAGEREF _Toc229225486 \h </w:instrText>
        </w:r>
        <w:r>
          <w:rPr>
            <w:noProof/>
          </w:rPr>
        </w:r>
        <w:r>
          <w:rPr>
            <w:noProof/>
          </w:rPr>
          <w:fldChar w:fldCharType="separate"/>
        </w:r>
        <w:r w:rsidR="00731089">
          <w:rPr>
            <w:noProof/>
          </w:rPr>
          <w:t>137</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87" w:history="1">
        <w:r w:rsidR="0069044A" w:rsidRPr="004015C7">
          <w:rPr>
            <w:rStyle w:val="af2"/>
            <w:rFonts w:ascii="Times New Roman" w:hAnsi="Times New Roman" w:hint="eastAsia"/>
            <w:noProof/>
          </w:rPr>
          <w:t>第四节　证据认定的一般规则</w:t>
        </w:r>
        <w:r w:rsidR="0069044A">
          <w:rPr>
            <w:noProof/>
          </w:rPr>
          <w:tab/>
        </w:r>
        <w:r>
          <w:rPr>
            <w:noProof/>
          </w:rPr>
          <w:fldChar w:fldCharType="begin"/>
        </w:r>
        <w:r w:rsidR="0069044A">
          <w:rPr>
            <w:noProof/>
          </w:rPr>
          <w:instrText xml:space="preserve"> PAGEREF _Toc229225487 \h </w:instrText>
        </w:r>
        <w:r>
          <w:rPr>
            <w:noProof/>
          </w:rPr>
        </w:r>
        <w:r>
          <w:rPr>
            <w:noProof/>
          </w:rPr>
          <w:fldChar w:fldCharType="separate"/>
        </w:r>
        <w:r w:rsidR="00731089">
          <w:rPr>
            <w:noProof/>
          </w:rPr>
          <w:t>143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88" w:history="1">
        <w:r w:rsidR="0069044A" w:rsidRPr="004015C7">
          <w:rPr>
            <w:rStyle w:val="af2"/>
            <w:rFonts w:ascii="Times New Roman" w:hAnsi="Times New Roman" w:hint="eastAsia"/>
            <w:noProof/>
          </w:rPr>
          <w:t>一、证据认定的考虑因素</w:t>
        </w:r>
        <w:r w:rsidR="0069044A">
          <w:rPr>
            <w:noProof/>
          </w:rPr>
          <w:tab/>
        </w:r>
        <w:r>
          <w:rPr>
            <w:noProof/>
          </w:rPr>
          <w:fldChar w:fldCharType="begin"/>
        </w:r>
        <w:r w:rsidR="0069044A">
          <w:rPr>
            <w:noProof/>
          </w:rPr>
          <w:instrText xml:space="preserve"> PAGEREF _Toc229225488 \h </w:instrText>
        </w:r>
        <w:r>
          <w:rPr>
            <w:noProof/>
          </w:rPr>
        </w:r>
        <w:r>
          <w:rPr>
            <w:noProof/>
          </w:rPr>
          <w:fldChar w:fldCharType="separate"/>
        </w:r>
        <w:r w:rsidR="00731089">
          <w:rPr>
            <w:noProof/>
          </w:rPr>
          <w:t>143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89" w:history="1">
        <w:r w:rsidR="0069044A" w:rsidRPr="004015C7">
          <w:rPr>
            <w:rStyle w:val="af2"/>
            <w:rFonts w:ascii="Times New Roman" w:hAnsi="Times New Roman" w:hint="eastAsia"/>
            <w:noProof/>
          </w:rPr>
          <w:t>二、公证书</w:t>
        </w:r>
        <w:r w:rsidR="0069044A">
          <w:rPr>
            <w:noProof/>
          </w:rPr>
          <w:tab/>
        </w:r>
        <w:r>
          <w:rPr>
            <w:noProof/>
          </w:rPr>
          <w:fldChar w:fldCharType="begin"/>
        </w:r>
        <w:r w:rsidR="0069044A">
          <w:rPr>
            <w:noProof/>
          </w:rPr>
          <w:instrText xml:space="preserve"> PAGEREF _Toc229225489 \h </w:instrText>
        </w:r>
        <w:r>
          <w:rPr>
            <w:noProof/>
          </w:rPr>
        </w:r>
        <w:r>
          <w:rPr>
            <w:noProof/>
          </w:rPr>
          <w:fldChar w:fldCharType="separate"/>
        </w:r>
        <w:r w:rsidR="00731089">
          <w:rPr>
            <w:noProof/>
          </w:rPr>
          <w:t>147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90" w:history="1">
        <w:r w:rsidR="0069044A" w:rsidRPr="004015C7">
          <w:rPr>
            <w:rStyle w:val="af2"/>
            <w:rFonts w:ascii="Times New Roman" w:hAnsi="Times New Roman" w:hint="eastAsia"/>
            <w:noProof/>
          </w:rPr>
          <w:t>三、域外证据或在我国港澳台地区形成的证据</w:t>
        </w:r>
        <w:r w:rsidR="0069044A">
          <w:rPr>
            <w:noProof/>
          </w:rPr>
          <w:tab/>
        </w:r>
        <w:r>
          <w:rPr>
            <w:noProof/>
          </w:rPr>
          <w:fldChar w:fldCharType="begin"/>
        </w:r>
        <w:r w:rsidR="0069044A">
          <w:rPr>
            <w:noProof/>
          </w:rPr>
          <w:instrText xml:space="preserve"> PAGEREF _Toc229225490 \h </w:instrText>
        </w:r>
        <w:r>
          <w:rPr>
            <w:noProof/>
          </w:rPr>
        </w:r>
        <w:r>
          <w:rPr>
            <w:noProof/>
          </w:rPr>
          <w:fldChar w:fldCharType="separate"/>
        </w:r>
        <w:r w:rsidR="00731089">
          <w:rPr>
            <w:noProof/>
          </w:rPr>
          <w:t>147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91" w:history="1">
        <w:r w:rsidR="0069044A" w:rsidRPr="004015C7">
          <w:rPr>
            <w:rStyle w:val="af2"/>
            <w:rFonts w:ascii="Times New Roman" w:hAnsi="Times New Roman" w:hint="eastAsia"/>
            <w:noProof/>
          </w:rPr>
          <w:t>四、自认</w:t>
        </w:r>
        <w:r w:rsidR="0069044A">
          <w:rPr>
            <w:noProof/>
          </w:rPr>
          <w:tab/>
        </w:r>
        <w:r>
          <w:rPr>
            <w:noProof/>
          </w:rPr>
          <w:fldChar w:fldCharType="begin"/>
        </w:r>
        <w:r w:rsidR="0069044A">
          <w:rPr>
            <w:noProof/>
          </w:rPr>
          <w:instrText xml:space="preserve"> PAGEREF _Toc229225491 \h </w:instrText>
        </w:r>
        <w:r>
          <w:rPr>
            <w:noProof/>
          </w:rPr>
        </w:r>
        <w:r>
          <w:rPr>
            <w:noProof/>
          </w:rPr>
          <w:fldChar w:fldCharType="separate"/>
        </w:r>
        <w:r w:rsidR="00731089">
          <w:rPr>
            <w:noProof/>
          </w:rPr>
          <w:t>148</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92" w:history="1">
        <w:r w:rsidR="0069044A" w:rsidRPr="004015C7">
          <w:rPr>
            <w:rStyle w:val="af2"/>
            <w:rFonts w:ascii="Times New Roman" w:hAnsi="Times New Roman" w:hint="eastAsia"/>
            <w:noProof/>
          </w:rPr>
          <w:t>五、认知</w:t>
        </w:r>
        <w:r w:rsidR="0069044A">
          <w:rPr>
            <w:noProof/>
          </w:rPr>
          <w:tab/>
        </w:r>
        <w:r>
          <w:rPr>
            <w:noProof/>
          </w:rPr>
          <w:fldChar w:fldCharType="begin"/>
        </w:r>
        <w:r w:rsidR="0069044A">
          <w:rPr>
            <w:noProof/>
          </w:rPr>
          <w:instrText xml:space="preserve"> PAGEREF _Toc229225492 \h </w:instrText>
        </w:r>
        <w:r>
          <w:rPr>
            <w:noProof/>
          </w:rPr>
        </w:r>
        <w:r>
          <w:rPr>
            <w:noProof/>
          </w:rPr>
          <w:fldChar w:fldCharType="separate"/>
        </w:r>
        <w:r w:rsidR="00731089">
          <w:rPr>
            <w:noProof/>
          </w:rPr>
          <w:t>149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93" w:history="1">
        <w:r w:rsidR="0069044A" w:rsidRPr="004015C7">
          <w:rPr>
            <w:rStyle w:val="af2"/>
            <w:rFonts w:ascii="Times New Roman" w:hAnsi="Times New Roman" w:hint="eastAsia"/>
            <w:noProof/>
          </w:rPr>
          <w:t>六、推定</w:t>
        </w:r>
        <w:r w:rsidR="0069044A">
          <w:rPr>
            <w:noProof/>
          </w:rPr>
          <w:tab/>
        </w:r>
        <w:r>
          <w:rPr>
            <w:noProof/>
          </w:rPr>
          <w:fldChar w:fldCharType="begin"/>
        </w:r>
        <w:r w:rsidR="0069044A">
          <w:rPr>
            <w:noProof/>
          </w:rPr>
          <w:instrText xml:space="preserve"> PAGEREF _Toc229225493 \h </w:instrText>
        </w:r>
        <w:r>
          <w:rPr>
            <w:noProof/>
          </w:rPr>
        </w:r>
        <w:r>
          <w:rPr>
            <w:noProof/>
          </w:rPr>
          <w:fldChar w:fldCharType="separate"/>
        </w:r>
        <w:r w:rsidR="00731089">
          <w:rPr>
            <w:noProof/>
          </w:rPr>
          <w:t>149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94" w:history="1">
        <w:r w:rsidR="0069044A" w:rsidRPr="004015C7">
          <w:rPr>
            <w:rStyle w:val="af2"/>
            <w:rFonts w:ascii="Times New Roman" w:hAnsi="Times New Roman" w:hint="eastAsia"/>
            <w:noProof/>
          </w:rPr>
          <w:t>七、技术调查</w:t>
        </w:r>
        <w:r w:rsidR="0069044A">
          <w:rPr>
            <w:noProof/>
          </w:rPr>
          <w:tab/>
        </w:r>
        <w:r>
          <w:rPr>
            <w:noProof/>
          </w:rPr>
          <w:fldChar w:fldCharType="begin"/>
        </w:r>
        <w:r w:rsidR="0069044A">
          <w:rPr>
            <w:noProof/>
          </w:rPr>
          <w:instrText xml:space="preserve"> PAGEREF _Toc229225494 \h </w:instrText>
        </w:r>
        <w:r>
          <w:rPr>
            <w:noProof/>
          </w:rPr>
        </w:r>
        <w:r>
          <w:rPr>
            <w:noProof/>
          </w:rPr>
          <w:fldChar w:fldCharType="separate"/>
        </w:r>
        <w:r w:rsidR="00731089">
          <w:rPr>
            <w:noProof/>
          </w:rPr>
          <w:t>150</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495" w:history="1">
        <w:r w:rsidR="0069044A" w:rsidRPr="004015C7">
          <w:rPr>
            <w:rStyle w:val="af2"/>
            <w:rFonts w:ascii="Times New Roman" w:hAnsi="Times New Roman" w:hint="eastAsia"/>
            <w:noProof/>
          </w:rPr>
          <w:t>第五节　几种典型证据的审核认定</w:t>
        </w:r>
        <w:r w:rsidR="0069044A">
          <w:rPr>
            <w:noProof/>
          </w:rPr>
          <w:tab/>
        </w:r>
        <w:r>
          <w:rPr>
            <w:noProof/>
          </w:rPr>
          <w:fldChar w:fldCharType="begin"/>
        </w:r>
        <w:r w:rsidR="0069044A">
          <w:rPr>
            <w:noProof/>
          </w:rPr>
          <w:instrText xml:space="preserve"> PAGEREF _Toc229225495 \h </w:instrText>
        </w:r>
        <w:r>
          <w:rPr>
            <w:noProof/>
          </w:rPr>
        </w:r>
        <w:r>
          <w:rPr>
            <w:noProof/>
          </w:rPr>
          <w:fldChar w:fldCharType="separate"/>
        </w:r>
        <w:r w:rsidR="00731089">
          <w:rPr>
            <w:noProof/>
          </w:rPr>
          <w:t>151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96" w:history="1">
        <w:r w:rsidR="0069044A" w:rsidRPr="004015C7">
          <w:rPr>
            <w:rStyle w:val="af2"/>
            <w:rFonts w:ascii="Times New Roman" w:hAnsi="Times New Roman" w:hint="eastAsia"/>
            <w:noProof/>
          </w:rPr>
          <w:t>一、书证</w:t>
        </w:r>
        <w:r w:rsidR="0069044A">
          <w:rPr>
            <w:noProof/>
          </w:rPr>
          <w:tab/>
        </w:r>
        <w:r>
          <w:rPr>
            <w:noProof/>
          </w:rPr>
          <w:fldChar w:fldCharType="begin"/>
        </w:r>
        <w:r w:rsidR="0069044A">
          <w:rPr>
            <w:noProof/>
          </w:rPr>
          <w:instrText xml:space="preserve"> PAGEREF _Toc229225496 \h </w:instrText>
        </w:r>
        <w:r>
          <w:rPr>
            <w:noProof/>
          </w:rPr>
        </w:r>
        <w:r>
          <w:rPr>
            <w:noProof/>
          </w:rPr>
          <w:fldChar w:fldCharType="separate"/>
        </w:r>
        <w:r w:rsidR="00731089">
          <w:rPr>
            <w:noProof/>
          </w:rPr>
          <w:t>151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97" w:history="1">
        <w:r w:rsidR="0069044A" w:rsidRPr="004015C7">
          <w:rPr>
            <w:rStyle w:val="af2"/>
            <w:rFonts w:ascii="Times New Roman" w:hAnsi="Times New Roman" w:hint="eastAsia"/>
            <w:noProof/>
          </w:rPr>
          <w:t>二、物证</w:t>
        </w:r>
        <w:r w:rsidR="0069044A">
          <w:rPr>
            <w:noProof/>
          </w:rPr>
          <w:tab/>
        </w:r>
        <w:r>
          <w:rPr>
            <w:noProof/>
          </w:rPr>
          <w:fldChar w:fldCharType="begin"/>
        </w:r>
        <w:r w:rsidR="0069044A">
          <w:rPr>
            <w:noProof/>
          </w:rPr>
          <w:instrText xml:space="preserve"> PAGEREF _Toc229225497 \h </w:instrText>
        </w:r>
        <w:r>
          <w:rPr>
            <w:noProof/>
          </w:rPr>
        </w:r>
        <w:r>
          <w:rPr>
            <w:noProof/>
          </w:rPr>
          <w:fldChar w:fldCharType="separate"/>
        </w:r>
        <w:r w:rsidR="00731089">
          <w:rPr>
            <w:noProof/>
          </w:rPr>
          <w:t>156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98" w:history="1">
        <w:r w:rsidR="0069044A" w:rsidRPr="004015C7">
          <w:rPr>
            <w:rStyle w:val="af2"/>
            <w:rFonts w:ascii="Times New Roman" w:hAnsi="Times New Roman" w:hint="eastAsia"/>
            <w:noProof/>
          </w:rPr>
          <w:t>三、视听资料</w:t>
        </w:r>
        <w:r w:rsidR="0069044A">
          <w:rPr>
            <w:noProof/>
          </w:rPr>
          <w:tab/>
        </w:r>
        <w:r>
          <w:rPr>
            <w:noProof/>
          </w:rPr>
          <w:fldChar w:fldCharType="begin"/>
        </w:r>
        <w:r w:rsidR="0069044A">
          <w:rPr>
            <w:noProof/>
          </w:rPr>
          <w:instrText xml:space="preserve"> PAGEREF _Toc229225498 \h </w:instrText>
        </w:r>
        <w:r>
          <w:rPr>
            <w:noProof/>
          </w:rPr>
        </w:r>
        <w:r>
          <w:rPr>
            <w:noProof/>
          </w:rPr>
          <w:fldChar w:fldCharType="separate"/>
        </w:r>
        <w:r w:rsidR="00731089">
          <w:rPr>
            <w:noProof/>
          </w:rPr>
          <w:t>159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499" w:history="1">
        <w:r w:rsidR="0069044A" w:rsidRPr="004015C7">
          <w:rPr>
            <w:rStyle w:val="af2"/>
            <w:rFonts w:ascii="Times New Roman" w:hAnsi="Times New Roman" w:hint="eastAsia"/>
            <w:noProof/>
          </w:rPr>
          <w:t>四、当事人陈述及证人证言</w:t>
        </w:r>
        <w:r w:rsidR="0069044A">
          <w:rPr>
            <w:noProof/>
          </w:rPr>
          <w:tab/>
        </w:r>
        <w:r>
          <w:rPr>
            <w:noProof/>
          </w:rPr>
          <w:fldChar w:fldCharType="begin"/>
        </w:r>
        <w:r w:rsidR="0069044A">
          <w:rPr>
            <w:noProof/>
          </w:rPr>
          <w:instrText xml:space="preserve"> PAGEREF _Toc229225499 \h </w:instrText>
        </w:r>
        <w:r>
          <w:rPr>
            <w:noProof/>
          </w:rPr>
        </w:r>
        <w:r>
          <w:rPr>
            <w:noProof/>
          </w:rPr>
          <w:fldChar w:fldCharType="separate"/>
        </w:r>
        <w:r w:rsidR="00731089">
          <w:rPr>
            <w:noProof/>
          </w:rPr>
          <w:t>160</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00" w:history="1">
        <w:r w:rsidR="0069044A" w:rsidRPr="004015C7">
          <w:rPr>
            <w:rStyle w:val="af2"/>
            <w:rFonts w:ascii="Times New Roman" w:hAnsi="Times New Roman" w:hint="eastAsia"/>
            <w:noProof/>
          </w:rPr>
          <w:t>五、鉴定意见</w:t>
        </w:r>
        <w:r w:rsidR="0069044A">
          <w:rPr>
            <w:noProof/>
          </w:rPr>
          <w:tab/>
        </w:r>
        <w:r>
          <w:rPr>
            <w:noProof/>
          </w:rPr>
          <w:fldChar w:fldCharType="begin"/>
        </w:r>
        <w:r w:rsidR="0069044A">
          <w:rPr>
            <w:noProof/>
          </w:rPr>
          <w:instrText xml:space="preserve"> PAGEREF _Toc229225500 \h </w:instrText>
        </w:r>
        <w:r>
          <w:rPr>
            <w:noProof/>
          </w:rPr>
        </w:r>
        <w:r>
          <w:rPr>
            <w:noProof/>
          </w:rPr>
          <w:fldChar w:fldCharType="separate"/>
        </w:r>
        <w:r w:rsidR="00731089">
          <w:rPr>
            <w:noProof/>
          </w:rPr>
          <w:t>164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01" w:history="1">
        <w:r w:rsidR="0069044A" w:rsidRPr="004015C7">
          <w:rPr>
            <w:rStyle w:val="af2"/>
            <w:rFonts w:ascii="Times New Roman" w:hAnsi="Times New Roman" w:hint="eastAsia"/>
            <w:noProof/>
          </w:rPr>
          <w:t>六、笔录及电子证据</w:t>
        </w:r>
        <w:r w:rsidR="0069044A">
          <w:rPr>
            <w:noProof/>
          </w:rPr>
          <w:tab/>
        </w:r>
        <w:r>
          <w:rPr>
            <w:noProof/>
          </w:rPr>
          <w:fldChar w:fldCharType="begin"/>
        </w:r>
        <w:r w:rsidR="0069044A">
          <w:rPr>
            <w:noProof/>
          </w:rPr>
          <w:instrText xml:space="preserve"> PAGEREF _Toc229225501 \h </w:instrText>
        </w:r>
        <w:r>
          <w:rPr>
            <w:noProof/>
          </w:rPr>
        </w:r>
        <w:r>
          <w:rPr>
            <w:noProof/>
          </w:rPr>
          <w:fldChar w:fldCharType="separate"/>
        </w:r>
        <w:r w:rsidR="00731089">
          <w:rPr>
            <w:noProof/>
          </w:rPr>
          <w:t>167</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502" w:history="1">
        <w:r w:rsidR="0069044A" w:rsidRPr="004015C7">
          <w:rPr>
            <w:rStyle w:val="af2"/>
            <w:rFonts w:hint="eastAsia"/>
            <w:noProof/>
            <w:shd w:val="clear" w:color="auto" w:fill="FFFFFF"/>
          </w:rPr>
          <w:t>第五章</w:t>
        </w:r>
        <w:r w:rsidR="0069044A" w:rsidRPr="004015C7">
          <w:rPr>
            <w:rStyle w:val="af2"/>
            <w:rFonts w:hint="eastAsia"/>
            <w:noProof/>
          </w:rPr>
          <w:t xml:space="preserve">　</w:t>
        </w:r>
        <w:r w:rsidR="0069044A" w:rsidRPr="004015C7">
          <w:rPr>
            <w:rStyle w:val="af2"/>
            <w:rFonts w:hint="eastAsia"/>
            <w:noProof/>
            <w:shd w:val="clear" w:color="auto" w:fill="FFFFFF"/>
          </w:rPr>
          <w:t>重大专利侵权纠纷的行政裁决</w:t>
        </w:r>
        <w:r w:rsidR="0069044A">
          <w:rPr>
            <w:noProof/>
          </w:rPr>
          <w:tab/>
        </w:r>
        <w:r>
          <w:rPr>
            <w:noProof/>
          </w:rPr>
          <w:fldChar w:fldCharType="begin"/>
        </w:r>
        <w:r w:rsidR="0069044A">
          <w:rPr>
            <w:noProof/>
          </w:rPr>
          <w:instrText xml:space="preserve"> PAGEREF _Toc229225502 \h </w:instrText>
        </w:r>
        <w:r>
          <w:rPr>
            <w:noProof/>
          </w:rPr>
        </w:r>
        <w:r>
          <w:rPr>
            <w:noProof/>
          </w:rPr>
          <w:fldChar w:fldCharType="separate"/>
        </w:r>
        <w:r w:rsidR="00731089">
          <w:rPr>
            <w:noProof/>
          </w:rPr>
          <w:t>172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03" w:history="1">
        <w:r w:rsidR="0069044A" w:rsidRPr="004015C7">
          <w:rPr>
            <w:rStyle w:val="af2"/>
            <w:rFonts w:ascii="Times New Roman" w:hAnsi="Times New Roman" w:hint="eastAsia"/>
            <w:noProof/>
          </w:rPr>
          <w:t>第一节　受理立案</w:t>
        </w:r>
        <w:r w:rsidR="0069044A">
          <w:rPr>
            <w:noProof/>
          </w:rPr>
          <w:tab/>
        </w:r>
        <w:r>
          <w:rPr>
            <w:noProof/>
          </w:rPr>
          <w:fldChar w:fldCharType="begin"/>
        </w:r>
        <w:r w:rsidR="0069044A">
          <w:rPr>
            <w:noProof/>
          </w:rPr>
          <w:instrText xml:space="preserve"> PAGEREF _Toc229225503 \h </w:instrText>
        </w:r>
        <w:r>
          <w:rPr>
            <w:noProof/>
          </w:rPr>
        </w:r>
        <w:r>
          <w:rPr>
            <w:noProof/>
          </w:rPr>
          <w:fldChar w:fldCharType="separate"/>
        </w:r>
        <w:r w:rsidR="00731089">
          <w:rPr>
            <w:noProof/>
          </w:rPr>
          <w:t>172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04" w:history="1">
        <w:r w:rsidR="0069044A" w:rsidRPr="004015C7">
          <w:rPr>
            <w:rStyle w:val="af2"/>
            <w:rFonts w:ascii="Times New Roman" w:hAnsi="Times New Roman" w:hint="eastAsia"/>
            <w:noProof/>
          </w:rPr>
          <w:t>一、研究立案</w:t>
        </w:r>
        <w:r w:rsidR="0069044A">
          <w:rPr>
            <w:noProof/>
          </w:rPr>
          <w:tab/>
        </w:r>
        <w:r>
          <w:rPr>
            <w:noProof/>
          </w:rPr>
          <w:fldChar w:fldCharType="begin"/>
        </w:r>
        <w:r w:rsidR="0069044A">
          <w:rPr>
            <w:noProof/>
          </w:rPr>
          <w:instrText xml:space="preserve"> PAGEREF _Toc229225504 \h </w:instrText>
        </w:r>
        <w:r>
          <w:rPr>
            <w:noProof/>
          </w:rPr>
        </w:r>
        <w:r>
          <w:rPr>
            <w:noProof/>
          </w:rPr>
          <w:fldChar w:fldCharType="separate"/>
        </w:r>
        <w:r w:rsidR="00731089">
          <w:rPr>
            <w:noProof/>
          </w:rPr>
          <w:t>172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05" w:history="1">
        <w:r w:rsidR="0069044A" w:rsidRPr="004015C7">
          <w:rPr>
            <w:rStyle w:val="af2"/>
            <w:rFonts w:ascii="Times New Roman" w:hAnsi="Times New Roman" w:hint="eastAsia"/>
            <w:noProof/>
          </w:rPr>
          <w:t>第二节　接收材料与立案审批</w:t>
        </w:r>
        <w:r w:rsidR="0069044A">
          <w:rPr>
            <w:noProof/>
          </w:rPr>
          <w:tab/>
        </w:r>
        <w:r>
          <w:rPr>
            <w:noProof/>
          </w:rPr>
          <w:fldChar w:fldCharType="begin"/>
        </w:r>
        <w:r w:rsidR="0069044A">
          <w:rPr>
            <w:noProof/>
          </w:rPr>
          <w:instrText xml:space="preserve"> PAGEREF _Toc229225505 \h </w:instrText>
        </w:r>
        <w:r>
          <w:rPr>
            <w:noProof/>
          </w:rPr>
        </w:r>
        <w:r>
          <w:rPr>
            <w:noProof/>
          </w:rPr>
          <w:fldChar w:fldCharType="separate"/>
        </w:r>
        <w:r w:rsidR="00731089">
          <w:rPr>
            <w:noProof/>
          </w:rPr>
          <w:t>173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06" w:history="1">
        <w:r w:rsidR="0069044A" w:rsidRPr="004015C7">
          <w:rPr>
            <w:rStyle w:val="af2"/>
            <w:rFonts w:ascii="Times New Roman" w:hAnsi="Times New Roman" w:hint="eastAsia"/>
            <w:noProof/>
          </w:rPr>
          <w:t>一、接收材料要求</w:t>
        </w:r>
        <w:r w:rsidR="0069044A">
          <w:rPr>
            <w:noProof/>
          </w:rPr>
          <w:tab/>
        </w:r>
        <w:r>
          <w:rPr>
            <w:noProof/>
          </w:rPr>
          <w:fldChar w:fldCharType="begin"/>
        </w:r>
        <w:r w:rsidR="0069044A">
          <w:rPr>
            <w:noProof/>
          </w:rPr>
          <w:instrText xml:space="preserve"> PAGEREF _Toc229225506 \h </w:instrText>
        </w:r>
        <w:r>
          <w:rPr>
            <w:noProof/>
          </w:rPr>
        </w:r>
        <w:r>
          <w:rPr>
            <w:noProof/>
          </w:rPr>
          <w:fldChar w:fldCharType="separate"/>
        </w:r>
        <w:r w:rsidR="00731089">
          <w:rPr>
            <w:noProof/>
          </w:rPr>
          <w:t>173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07" w:history="1">
        <w:r w:rsidR="0069044A" w:rsidRPr="004015C7">
          <w:rPr>
            <w:rStyle w:val="af2"/>
            <w:rFonts w:ascii="Times New Roman" w:hAnsi="Times New Roman" w:hint="eastAsia"/>
            <w:noProof/>
          </w:rPr>
          <w:t>二、立案审核与通知</w:t>
        </w:r>
        <w:r w:rsidR="0069044A">
          <w:rPr>
            <w:noProof/>
          </w:rPr>
          <w:tab/>
        </w:r>
        <w:r>
          <w:rPr>
            <w:noProof/>
          </w:rPr>
          <w:fldChar w:fldCharType="begin"/>
        </w:r>
        <w:r w:rsidR="0069044A">
          <w:rPr>
            <w:noProof/>
          </w:rPr>
          <w:instrText xml:space="preserve"> PAGEREF _Toc229225507 \h </w:instrText>
        </w:r>
        <w:r>
          <w:rPr>
            <w:noProof/>
          </w:rPr>
        </w:r>
        <w:r>
          <w:rPr>
            <w:noProof/>
          </w:rPr>
          <w:fldChar w:fldCharType="separate"/>
        </w:r>
        <w:r w:rsidR="00731089">
          <w:rPr>
            <w:noProof/>
          </w:rPr>
          <w:t>173</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08" w:history="1">
        <w:r w:rsidR="0069044A" w:rsidRPr="004015C7">
          <w:rPr>
            <w:rStyle w:val="af2"/>
            <w:rFonts w:ascii="Times New Roman" w:hAnsi="Times New Roman" w:hint="eastAsia"/>
            <w:noProof/>
          </w:rPr>
          <w:t>第三节　案件审理</w:t>
        </w:r>
        <w:r w:rsidR="0069044A">
          <w:rPr>
            <w:noProof/>
          </w:rPr>
          <w:tab/>
        </w:r>
        <w:r>
          <w:rPr>
            <w:noProof/>
          </w:rPr>
          <w:fldChar w:fldCharType="begin"/>
        </w:r>
        <w:r w:rsidR="0069044A">
          <w:rPr>
            <w:noProof/>
          </w:rPr>
          <w:instrText xml:space="preserve"> PAGEREF _Toc229225508 \h </w:instrText>
        </w:r>
        <w:r>
          <w:rPr>
            <w:noProof/>
          </w:rPr>
        </w:r>
        <w:r>
          <w:rPr>
            <w:noProof/>
          </w:rPr>
          <w:fldChar w:fldCharType="separate"/>
        </w:r>
        <w:r w:rsidR="00731089">
          <w:rPr>
            <w:noProof/>
          </w:rPr>
          <w:t>173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09" w:history="1">
        <w:r w:rsidR="0069044A" w:rsidRPr="004015C7">
          <w:rPr>
            <w:rStyle w:val="af2"/>
            <w:rFonts w:ascii="Times New Roman" w:hAnsi="Times New Roman" w:hint="eastAsia"/>
            <w:noProof/>
          </w:rPr>
          <w:t>一、审理程序</w:t>
        </w:r>
        <w:r w:rsidR="0069044A">
          <w:rPr>
            <w:noProof/>
          </w:rPr>
          <w:tab/>
        </w:r>
        <w:r>
          <w:rPr>
            <w:noProof/>
          </w:rPr>
          <w:fldChar w:fldCharType="begin"/>
        </w:r>
        <w:r w:rsidR="0069044A">
          <w:rPr>
            <w:noProof/>
          </w:rPr>
          <w:instrText xml:space="preserve"> PAGEREF _Toc229225509 \h </w:instrText>
        </w:r>
        <w:r>
          <w:rPr>
            <w:noProof/>
          </w:rPr>
        </w:r>
        <w:r>
          <w:rPr>
            <w:noProof/>
          </w:rPr>
          <w:fldChar w:fldCharType="separate"/>
        </w:r>
        <w:r w:rsidR="00731089">
          <w:rPr>
            <w:noProof/>
          </w:rPr>
          <w:t>173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10" w:history="1">
        <w:r w:rsidR="0069044A" w:rsidRPr="004015C7">
          <w:rPr>
            <w:rStyle w:val="af2"/>
            <w:rFonts w:ascii="Times New Roman" w:hAnsi="Times New Roman" w:hint="eastAsia"/>
            <w:noProof/>
          </w:rPr>
          <w:t>二、结案</w:t>
        </w:r>
        <w:r w:rsidR="0069044A">
          <w:rPr>
            <w:noProof/>
          </w:rPr>
          <w:tab/>
        </w:r>
        <w:r>
          <w:rPr>
            <w:noProof/>
          </w:rPr>
          <w:fldChar w:fldCharType="begin"/>
        </w:r>
        <w:r w:rsidR="0069044A">
          <w:rPr>
            <w:noProof/>
          </w:rPr>
          <w:instrText xml:space="preserve"> PAGEREF _Toc229225510 \h </w:instrText>
        </w:r>
        <w:r>
          <w:rPr>
            <w:noProof/>
          </w:rPr>
        </w:r>
        <w:r>
          <w:rPr>
            <w:noProof/>
          </w:rPr>
          <w:fldChar w:fldCharType="separate"/>
        </w:r>
        <w:r w:rsidR="00731089">
          <w:rPr>
            <w:noProof/>
          </w:rPr>
          <w:t>174</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511" w:history="1">
        <w:r w:rsidR="0069044A" w:rsidRPr="004015C7">
          <w:rPr>
            <w:rStyle w:val="af2"/>
            <w:rFonts w:cs="黑体" w:hint="eastAsia"/>
            <w:noProof/>
          </w:rPr>
          <w:t>第六章　药品专利纠纷早期解决机制的行政裁决</w:t>
        </w:r>
        <w:r w:rsidR="0069044A">
          <w:rPr>
            <w:noProof/>
          </w:rPr>
          <w:tab/>
        </w:r>
        <w:r>
          <w:rPr>
            <w:noProof/>
          </w:rPr>
          <w:fldChar w:fldCharType="begin"/>
        </w:r>
        <w:r w:rsidR="0069044A">
          <w:rPr>
            <w:noProof/>
          </w:rPr>
          <w:instrText xml:space="preserve"> PAGEREF _Toc229225511 \h </w:instrText>
        </w:r>
        <w:r>
          <w:rPr>
            <w:noProof/>
          </w:rPr>
        </w:r>
        <w:r>
          <w:rPr>
            <w:noProof/>
          </w:rPr>
          <w:fldChar w:fldCharType="separate"/>
        </w:r>
        <w:r w:rsidR="00731089">
          <w:rPr>
            <w:noProof/>
          </w:rPr>
          <w:t>175</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12" w:history="1">
        <w:r w:rsidR="0069044A" w:rsidRPr="004015C7">
          <w:rPr>
            <w:rStyle w:val="af2"/>
            <w:rFonts w:eastAsia="黑体" w:cs="Arial" w:hint="eastAsia"/>
            <w:noProof/>
            <w:spacing w:val="6"/>
            <w:kern w:val="16"/>
          </w:rPr>
          <w:t>第一节　基本概念</w:t>
        </w:r>
        <w:r w:rsidR="0069044A">
          <w:rPr>
            <w:noProof/>
          </w:rPr>
          <w:tab/>
        </w:r>
        <w:r>
          <w:rPr>
            <w:noProof/>
          </w:rPr>
          <w:fldChar w:fldCharType="begin"/>
        </w:r>
        <w:r w:rsidR="0069044A">
          <w:rPr>
            <w:noProof/>
          </w:rPr>
          <w:instrText xml:space="preserve"> PAGEREF _Toc229225512 \h </w:instrText>
        </w:r>
        <w:r>
          <w:rPr>
            <w:noProof/>
          </w:rPr>
        </w:r>
        <w:r>
          <w:rPr>
            <w:noProof/>
          </w:rPr>
          <w:fldChar w:fldCharType="separate"/>
        </w:r>
        <w:r w:rsidR="00731089">
          <w:rPr>
            <w:noProof/>
          </w:rPr>
          <w:t>175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13" w:history="1">
        <w:r w:rsidR="0069044A" w:rsidRPr="004015C7">
          <w:rPr>
            <w:rStyle w:val="af2"/>
            <w:rFonts w:hint="eastAsia"/>
            <w:noProof/>
          </w:rPr>
          <w:t>一、药品信息登记与公开</w:t>
        </w:r>
        <w:r w:rsidR="0069044A">
          <w:rPr>
            <w:noProof/>
          </w:rPr>
          <w:tab/>
        </w:r>
        <w:r>
          <w:rPr>
            <w:noProof/>
          </w:rPr>
          <w:fldChar w:fldCharType="begin"/>
        </w:r>
        <w:r w:rsidR="0069044A">
          <w:rPr>
            <w:noProof/>
          </w:rPr>
          <w:instrText xml:space="preserve"> PAGEREF _Toc229225513 \h </w:instrText>
        </w:r>
        <w:r>
          <w:rPr>
            <w:noProof/>
          </w:rPr>
        </w:r>
        <w:r>
          <w:rPr>
            <w:noProof/>
          </w:rPr>
          <w:fldChar w:fldCharType="separate"/>
        </w:r>
        <w:r w:rsidR="00731089">
          <w:rPr>
            <w:noProof/>
          </w:rPr>
          <w:t>175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14" w:history="1">
        <w:r w:rsidR="0069044A" w:rsidRPr="004015C7">
          <w:rPr>
            <w:rStyle w:val="af2"/>
            <w:rFonts w:hint="eastAsia"/>
            <w:noProof/>
          </w:rPr>
          <w:t>二、仿制药专利声明</w:t>
        </w:r>
        <w:r w:rsidR="0069044A">
          <w:rPr>
            <w:noProof/>
          </w:rPr>
          <w:tab/>
        </w:r>
        <w:r>
          <w:rPr>
            <w:noProof/>
          </w:rPr>
          <w:fldChar w:fldCharType="begin"/>
        </w:r>
        <w:r w:rsidR="0069044A">
          <w:rPr>
            <w:noProof/>
          </w:rPr>
          <w:instrText xml:space="preserve"> PAGEREF _Toc229225514 \h </w:instrText>
        </w:r>
        <w:r>
          <w:rPr>
            <w:noProof/>
          </w:rPr>
        </w:r>
        <w:r>
          <w:rPr>
            <w:noProof/>
          </w:rPr>
          <w:fldChar w:fldCharType="separate"/>
        </w:r>
        <w:r w:rsidR="00731089">
          <w:rPr>
            <w:noProof/>
          </w:rPr>
          <w:t>175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15" w:history="1">
        <w:r w:rsidR="0069044A" w:rsidRPr="004015C7">
          <w:rPr>
            <w:rStyle w:val="af2"/>
            <w:rFonts w:hint="eastAsia"/>
            <w:noProof/>
          </w:rPr>
          <w:t>三、批准等待期</w:t>
        </w:r>
        <w:r w:rsidR="0069044A">
          <w:rPr>
            <w:noProof/>
          </w:rPr>
          <w:tab/>
        </w:r>
        <w:r>
          <w:rPr>
            <w:noProof/>
          </w:rPr>
          <w:fldChar w:fldCharType="begin"/>
        </w:r>
        <w:r w:rsidR="0069044A">
          <w:rPr>
            <w:noProof/>
          </w:rPr>
          <w:instrText xml:space="preserve"> PAGEREF _Toc229225515 \h </w:instrText>
        </w:r>
        <w:r>
          <w:rPr>
            <w:noProof/>
          </w:rPr>
        </w:r>
        <w:r>
          <w:rPr>
            <w:noProof/>
          </w:rPr>
          <w:fldChar w:fldCharType="separate"/>
        </w:r>
        <w:r w:rsidR="00731089">
          <w:rPr>
            <w:noProof/>
          </w:rPr>
          <w:t>175</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16" w:history="1">
        <w:r w:rsidR="0069044A" w:rsidRPr="004015C7">
          <w:rPr>
            <w:rStyle w:val="af2"/>
            <w:rFonts w:hint="eastAsia"/>
            <w:noProof/>
          </w:rPr>
          <w:t>第二节　案件受理</w:t>
        </w:r>
        <w:r w:rsidR="0069044A">
          <w:rPr>
            <w:noProof/>
          </w:rPr>
          <w:tab/>
        </w:r>
        <w:r>
          <w:rPr>
            <w:noProof/>
          </w:rPr>
          <w:fldChar w:fldCharType="begin"/>
        </w:r>
        <w:r w:rsidR="0069044A">
          <w:rPr>
            <w:noProof/>
          </w:rPr>
          <w:instrText xml:space="preserve"> PAGEREF _Toc229225516 \h </w:instrText>
        </w:r>
        <w:r>
          <w:rPr>
            <w:noProof/>
          </w:rPr>
        </w:r>
        <w:r>
          <w:rPr>
            <w:noProof/>
          </w:rPr>
          <w:fldChar w:fldCharType="separate"/>
        </w:r>
        <w:r w:rsidR="00731089">
          <w:rPr>
            <w:noProof/>
          </w:rPr>
          <w:t>176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17" w:history="1">
        <w:r w:rsidR="0069044A" w:rsidRPr="004015C7">
          <w:rPr>
            <w:rStyle w:val="af2"/>
            <w:rFonts w:hint="eastAsia"/>
            <w:noProof/>
          </w:rPr>
          <w:t>一、请求人和被请求人</w:t>
        </w:r>
        <w:r w:rsidR="0069044A">
          <w:rPr>
            <w:noProof/>
          </w:rPr>
          <w:tab/>
        </w:r>
        <w:r>
          <w:rPr>
            <w:noProof/>
          </w:rPr>
          <w:fldChar w:fldCharType="begin"/>
        </w:r>
        <w:r w:rsidR="0069044A">
          <w:rPr>
            <w:noProof/>
          </w:rPr>
          <w:instrText xml:space="preserve"> PAGEREF _Toc229225517 \h </w:instrText>
        </w:r>
        <w:r>
          <w:rPr>
            <w:noProof/>
          </w:rPr>
        </w:r>
        <w:r>
          <w:rPr>
            <w:noProof/>
          </w:rPr>
          <w:fldChar w:fldCharType="separate"/>
        </w:r>
        <w:r w:rsidR="00731089">
          <w:rPr>
            <w:noProof/>
          </w:rPr>
          <w:t>176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18" w:history="1">
        <w:r w:rsidR="0069044A" w:rsidRPr="004015C7">
          <w:rPr>
            <w:rStyle w:val="af2"/>
            <w:rFonts w:hint="eastAsia"/>
            <w:noProof/>
          </w:rPr>
          <w:t>二、药品专利信息</w:t>
        </w:r>
        <w:r w:rsidR="0069044A">
          <w:rPr>
            <w:noProof/>
          </w:rPr>
          <w:tab/>
        </w:r>
        <w:r>
          <w:rPr>
            <w:noProof/>
          </w:rPr>
          <w:fldChar w:fldCharType="begin"/>
        </w:r>
        <w:r w:rsidR="0069044A">
          <w:rPr>
            <w:noProof/>
          </w:rPr>
          <w:instrText xml:space="preserve"> PAGEREF _Toc229225518 \h </w:instrText>
        </w:r>
        <w:r>
          <w:rPr>
            <w:noProof/>
          </w:rPr>
        </w:r>
        <w:r>
          <w:rPr>
            <w:noProof/>
          </w:rPr>
          <w:fldChar w:fldCharType="separate"/>
        </w:r>
        <w:r w:rsidR="00731089">
          <w:rPr>
            <w:noProof/>
          </w:rPr>
          <w:t>176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19" w:history="1">
        <w:r w:rsidR="0069044A" w:rsidRPr="004015C7">
          <w:rPr>
            <w:rStyle w:val="af2"/>
            <w:rFonts w:hint="eastAsia"/>
            <w:noProof/>
          </w:rPr>
          <w:t>三、受理材料</w:t>
        </w:r>
        <w:r w:rsidR="0069044A">
          <w:rPr>
            <w:noProof/>
          </w:rPr>
          <w:tab/>
        </w:r>
        <w:r>
          <w:rPr>
            <w:noProof/>
          </w:rPr>
          <w:fldChar w:fldCharType="begin"/>
        </w:r>
        <w:r w:rsidR="0069044A">
          <w:rPr>
            <w:noProof/>
          </w:rPr>
          <w:instrText xml:space="preserve"> PAGEREF _Toc229225519 \h </w:instrText>
        </w:r>
        <w:r>
          <w:rPr>
            <w:noProof/>
          </w:rPr>
        </w:r>
        <w:r>
          <w:rPr>
            <w:noProof/>
          </w:rPr>
          <w:fldChar w:fldCharType="separate"/>
        </w:r>
        <w:r w:rsidR="00731089">
          <w:rPr>
            <w:noProof/>
          </w:rPr>
          <w:t>177</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20" w:history="1">
        <w:r w:rsidR="0069044A" w:rsidRPr="004015C7">
          <w:rPr>
            <w:rStyle w:val="af2"/>
            <w:rFonts w:hint="eastAsia"/>
            <w:noProof/>
          </w:rPr>
          <w:t>第三节　案件审理</w:t>
        </w:r>
        <w:r w:rsidR="0069044A">
          <w:rPr>
            <w:noProof/>
          </w:rPr>
          <w:tab/>
        </w:r>
        <w:r>
          <w:rPr>
            <w:noProof/>
          </w:rPr>
          <w:fldChar w:fldCharType="begin"/>
        </w:r>
        <w:r w:rsidR="0069044A">
          <w:rPr>
            <w:noProof/>
          </w:rPr>
          <w:instrText xml:space="preserve"> PAGEREF _Toc229225520 \h </w:instrText>
        </w:r>
        <w:r>
          <w:rPr>
            <w:noProof/>
          </w:rPr>
        </w:r>
        <w:r>
          <w:rPr>
            <w:noProof/>
          </w:rPr>
          <w:fldChar w:fldCharType="separate"/>
        </w:r>
        <w:r w:rsidR="00731089">
          <w:rPr>
            <w:noProof/>
          </w:rPr>
          <w:t>178</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21" w:history="1">
        <w:r w:rsidR="0069044A" w:rsidRPr="004015C7">
          <w:rPr>
            <w:rStyle w:val="af2"/>
            <w:rFonts w:hint="eastAsia"/>
            <w:noProof/>
          </w:rPr>
          <w:t>一、审理程序</w:t>
        </w:r>
        <w:r w:rsidR="0069044A">
          <w:rPr>
            <w:noProof/>
          </w:rPr>
          <w:tab/>
        </w:r>
        <w:r>
          <w:rPr>
            <w:noProof/>
          </w:rPr>
          <w:fldChar w:fldCharType="begin"/>
        </w:r>
        <w:r w:rsidR="0069044A">
          <w:rPr>
            <w:noProof/>
          </w:rPr>
          <w:instrText xml:space="preserve"> PAGEREF _Toc229225521 \h </w:instrText>
        </w:r>
        <w:r>
          <w:rPr>
            <w:noProof/>
          </w:rPr>
        </w:r>
        <w:r>
          <w:rPr>
            <w:noProof/>
          </w:rPr>
          <w:fldChar w:fldCharType="separate"/>
        </w:r>
        <w:r w:rsidR="00731089">
          <w:rPr>
            <w:noProof/>
          </w:rPr>
          <w:t>178</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22" w:history="1">
        <w:r w:rsidR="0069044A" w:rsidRPr="004015C7">
          <w:rPr>
            <w:rStyle w:val="af2"/>
            <w:rFonts w:hint="eastAsia"/>
            <w:noProof/>
          </w:rPr>
          <w:t>二、证明责任</w:t>
        </w:r>
        <w:r w:rsidR="0069044A">
          <w:rPr>
            <w:noProof/>
          </w:rPr>
          <w:tab/>
        </w:r>
        <w:r>
          <w:rPr>
            <w:noProof/>
          </w:rPr>
          <w:fldChar w:fldCharType="begin"/>
        </w:r>
        <w:r w:rsidR="0069044A">
          <w:rPr>
            <w:noProof/>
          </w:rPr>
          <w:instrText xml:space="preserve"> PAGEREF _Toc229225522 \h </w:instrText>
        </w:r>
        <w:r>
          <w:rPr>
            <w:noProof/>
          </w:rPr>
        </w:r>
        <w:r>
          <w:rPr>
            <w:noProof/>
          </w:rPr>
          <w:fldChar w:fldCharType="separate"/>
        </w:r>
        <w:r w:rsidR="00731089">
          <w:rPr>
            <w:noProof/>
          </w:rPr>
          <w:t>178</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23" w:history="1">
        <w:r w:rsidR="0069044A" w:rsidRPr="004015C7">
          <w:rPr>
            <w:rStyle w:val="af2"/>
            <w:rFonts w:hint="eastAsia"/>
            <w:noProof/>
          </w:rPr>
          <w:t>三、审理规则</w:t>
        </w:r>
        <w:r w:rsidR="0069044A">
          <w:rPr>
            <w:noProof/>
          </w:rPr>
          <w:tab/>
        </w:r>
        <w:r>
          <w:rPr>
            <w:noProof/>
          </w:rPr>
          <w:fldChar w:fldCharType="begin"/>
        </w:r>
        <w:r w:rsidR="0069044A">
          <w:rPr>
            <w:noProof/>
          </w:rPr>
          <w:instrText xml:space="preserve"> PAGEREF _Toc229225523 \h </w:instrText>
        </w:r>
        <w:r>
          <w:rPr>
            <w:noProof/>
          </w:rPr>
        </w:r>
        <w:r>
          <w:rPr>
            <w:noProof/>
          </w:rPr>
          <w:fldChar w:fldCharType="separate"/>
        </w:r>
        <w:r w:rsidR="00731089">
          <w:rPr>
            <w:noProof/>
          </w:rPr>
          <w:t>179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24" w:history="1">
        <w:r w:rsidR="0069044A" w:rsidRPr="004015C7">
          <w:rPr>
            <w:rStyle w:val="af2"/>
            <w:rFonts w:hint="eastAsia"/>
            <w:noProof/>
          </w:rPr>
          <w:t>四、药品专利纠纷行政裁决书</w:t>
        </w:r>
        <w:r w:rsidR="0069044A">
          <w:rPr>
            <w:noProof/>
          </w:rPr>
          <w:tab/>
        </w:r>
        <w:r>
          <w:rPr>
            <w:noProof/>
          </w:rPr>
          <w:fldChar w:fldCharType="begin"/>
        </w:r>
        <w:r w:rsidR="0069044A">
          <w:rPr>
            <w:noProof/>
          </w:rPr>
          <w:instrText xml:space="preserve"> PAGEREF _Toc229225524 \h </w:instrText>
        </w:r>
        <w:r>
          <w:rPr>
            <w:noProof/>
          </w:rPr>
        </w:r>
        <w:r>
          <w:rPr>
            <w:noProof/>
          </w:rPr>
          <w:fldChar w:fldCharType="separate"/>
        </w:r>
        <w:r w:rsidR="00731089">
          <w:rPr>
            <w:noProof/>
          </w:rPr>
          <w:t>181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25" w:history="1">
        <w:r w:rsidR="0069044A" w:rsidRPr="004015C7">
          <w:rPr>
            <w:rStyle w:val="af2"/>
            <w:rFonts w:hint="eastAsia"/>
            <w:noProof/>
          </w:rPr>
          <w:t>五、行政裁决书的送达和救济</w:t>
        </w:r>
        <w:r w:rsidR="0069044A">
          <w:rPr>
            <w:noProof/>
          </w:rPr>
          <w:tab/>
        </w:r>
        <w:r>
          <w:rPr>
            <w:noProof/>
          </w:rPr>
          <w:fldChar w:fldCharType="begin"/>
        </w:r>
        <w:r w:rsidR="0069044A">
          <w:rPr>
            <w:noProof/>
          </w:rPr>
          <w:instrText xml:space="preserve"> PAGEREF _Toc229225525 \h </w:instrText>
        </w:r>
        <w:r>
          <w:rPr>
            <w:noProof/>
          </w:rPr>
        </w:r>
        <w:r>
          <w:rPr>
            <w:noProof/>
          </w:rPr>
          <w:fldChar w:fldCharType="separate"/>
        </w:r>
        <w:r w:rsidR="00731089">
          <w:rPr>
            <w:noProof/>
          </w:rPr>
          <w:t>181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26" w:history="1">
        <w:r w:rsidR="0069044A" w:rsidRPr="004015C7">
          <w:rPr>
            <w:rStyle w:val="af2"/>
            <w:rFonts w:hint="eastAsia"/>
            <w:noProof/>
          </w:rPr>
          <w:t>六、行政裁决书的公开</w:t>
        </w:r>
        <w:r w:rsidR="0069044A">
          <w:rPr>
            <w:noProof/>
          </w:rPr>
          <w:tab/>
        </w:r>
        <w:r>
          <w:rPr>
            <w:noProof/>
          </w:rPr>
          <w:fldChar w:fldCharType="begin"/>
        </w:r>
        <w:r w:rsidR="0069044A">
          <w:rPr>
            <w:noProof/>
          </w:rPr>
          <w:instrText xml:space="preserve"> PAGEREF _Toc229225526 \h </w:instrText>
        </w:r>
        <w:r>
          <w:rPr>
            <w:noProof/>
          </w:rPr>
        </w:r>
        <w:r>
          <w:rPr>
            <w:noProof/>
          </w:rPr>
          <w:fldChar w:fldCharType="separate"/>
        </w:r>
        <w:r w:rsidR="00731089">
          <w:rPr>
            <w:noProof/>
          </w:rPr>
          <w:t>182</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527" w:history="1">
        <w:r w:rsidR="0069044A" w:rsidRPr="004015C7">
          <w:rPr>
            <w:rStyle w:val="af2"/>
            <w:rFonts w:hint="eastAsia"/>
            <w:noProof/>
          </w:rPr>
          <w:t>第七章　专利纠纷行政裁决行政诉讼</w:t>
        </w:r>
        <w:r w:rsidR="0069044A">
          <w:rPr>
            <w:noProof/>
          </w:rPr>
          <w:tab/>
        </w:r>
        <w:r>
          <w:rPr>
            <w:noProof/>
          </w:rPr>
          <w:fldChar w:fldCharType="begin"/>
        </w:r>
        <w:r w:rsidR="0069044A">
          <w:rPr>
            <w:noProof/>
          </w:rPr>
          <w:instrText xml:space="preserve"> PAGEREF _Toc229225527 \h </w:instrText>
        </w:r>
        <w:r>
          <w:rPr>
            <w:noProof/>
          </w:rPr>
        </w:r>
        <w:r>
          <w:rPr>
            <w:noProof/>
          </w:rPr>
          <w:fldChar w:fldCharType="separate"/>
        </w:r>
        <w:r w:rsidR="00731089">
          <w:rPr>
            <w:noProof/>
          </w:rPr>
          <w:t>183</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28" w:history="1">
        <w:r w:rsidR="0069044A" w:rsidRPr="004015C7">
          <w:rPr>
            <w:rStyle w:val="af2"/>
            <w:rFonts w:ascii="Times New Roman" w:hAnsi="Times New Roman" w:hint="eastAsia"/>
            <w:noProof/>
          </w:rPr>
          <w:t>第一节　基本概念</w:t>
        </w:r>
        <w:r w:rsidR="0069044A">
          <w:rPr>
            <w:noProof/>
          </w:rPr>
          <w:tab/>
        </w:r>
        <w:r>
          <w:rPr>
            <w:noProof/>
          </w:rPr>
          <w:fldChar w:fldCharType="begin"/>
        </w:r>
        <w:r w:rsidR="0069044A">
          <w:rPr>
            <w:noProof/>
          </w:rPr>
          <w:instrText xml:space="preserve"> PAGEREF _Toc229225528 \h </w:instrText>
        </w:r>
        <w:r>
          <w:rPr>
            <w:noProof/>
          </w:rPr>
        </w:r>
        <w:r>
          <w:rPr>
            <w:noProof/>
          </w:rPr>
          <w:fldChar w:fldCharType="separate"/>
        </w:r>
        <w:r w:rsidR="00731089">
          <w:rPr>
            <w:noProof/>
          </w:rPr>
          <w:t>183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29" w:history="1">
        <w:r w:rsidR="0069044A" w:rsidRPr="004015C7">
          <w:rPr>
            <w:rStyle w:val="af2"/>
            <w:rFonts w:ascii="Times New Roman" w:hAnsi="Times New Roman" w:hint="eastAsia"/>
            <w:noProof/>
          </w:rPr>
          <w:t>一、可行政诉讼的情形</w:t>
        </w:r>
        <w:r w:rsidR="0069044A">
          <w:rPr>
            <w:noProof/>
          </w:rPr>
          <w:tab/>
        </w:r>
        <w:r>
          <w:rPr>
            <w:noProof/>
          </w:rPr>
          <w:fldChar w:fldCharType="begin"/>
        </w:r>
        <w:r w:rsidR="0069044A">
          <w:rPr>
            <w:noProof/>
          </w:rPr>
          <w:instrText xml:space="preserve"> PAGEREF _Toc229225529 \h </w:instrText>
        </w:r>
        <w:r>
          <w:rPr>
            <w:noProof/>
          </w:rPr>
        </w:r>
        <w:r>
          <w:rPr>
            <w:noProof/>
          </w:rPr>
          <w:fldChar w:fldCharType="separate"/>
        </w:r>
        <w:r w:rsidR="00731089">
          <w:rPr>
            <w:noProof/>
          </w:rPr>
          <w:t>183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30" w:history="1">
        <w:r w:rsidR="0069044A" w:rsidRPr="004015C7">
          <w:rPr>
            <w:rStyle w:val="af2"/>
            <w:rFonts w:ascii="Times New Roman" w:hAnsi="Times New Roman" w:hint="eastAsia"/>
            <w:noProof/>
          </w:rPr>
          <w:t>二、案件的管辖</w:t>
        </w:r>
        <w:r w:rsidR="0069044A">
          <w:rPr>
            <w:noProof/>
          </w:rPr>
          <w:tab/>
        </w:r>
        <w:r>
          <w:rPr>
            <w:noProof/>
          </w:rPr>
          <w:fldChar w:fldCharType="begin"/>
        </w:r>
        <w:r w:rsidR="0069044A">
          <w:rPr>
            <w:noProof/>
          </w:rPr>
          <w:instrText xml:space="preserve"> PAGEREF _Toc229225530 \h </w:instrText>
        </w:r>
        <w:r>
          <w:rPr>
            <w:noProof/>
          </w:rPr>
        </w:r>
        <w:r>
          <w:rPr>
            <w:noProof/>
          </w:rPr>
          <w:fldChar w:fldCharType="separate"/>
        </w:r>
        <w:r w:rsidR="00731089">
          <w:rPr>
            <w:noProof/>
          </w:rPr>
          <w:t>183</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31" w:history="1">
        <w:r w:rsidR="0069044A" w:rsidRPr="004015C7">
          <w:rPr>
            <w:rStyle w:val="af2"/>
            <w:rFonts w:ascii="Times New Roman" w:hAnsi="Times New Roman" w:hint="eastAsia"/>
            <w:noProof/>
          </w:rPr>
          <w:t>第二节　案件的处理</w:t>
        </w:r>
        <w:r w:rsidR="0069044A">
          <w:rPr>
            <w:noProof/>
          </w:rPr>
          <w:tab/>
        </w:r>
        <w:r>
          <w:rPr>
            <w:noProof/>
          </w:rPr>
          <w:fldChar w:fldCharType="begin"/>
        </w:r>
        <w:r w:rsidR="0069044A">
          <w:rPr>
            <w:noProof/>
          </w:rPr>
          <w:instrText xml:space="preserve"> PAGEREF _Toc229225531 \h </w:instrText>
        </w:r>
        <w:r>
          <w:rPr>
            <w:noProof/>
          </w:rPr>
        </w:r>
        <w:r>
          <w:rPr>
            <w:noProof/>
          </w:rPr>
          <w:fldChar w:fldCharType="separate"/>
        </w:r>
        <w:r w:rsidR="00731089">
          <w:rPr>
            <w:noProof/>
          </w:rPr>
          <w:t>184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32" w:history="1">
        <w:r w:rsidR="0069044A" w:rsidRPr="004015C7">
          <w:rPr>
            <w:rStyle w:val="af2"/>
            <w:rFonts w:ascii="Times New Roman" w:hAnsi="Times New Roman" w:hint="eastAsia"/>
            <w:noProof/>
          </w:rPr>
          <w:t>一、诉讼程序启动</w:t>
        </w:r>
        <w:r w:rsidR="0069044A">
          <w:rPr>
            <w:noProof/>
          </w:rPr>
          <w:tab/>
        </w:r>
        <w:r>
          <w:rPr>
            <w:noProof/>
          </w:rPr>
          <w:fldChar w:fldCharType="begin"/>
        </w:r>
        <w:r w:rsidR="0069044A">
          <w:rPr>
            <w:noProof/>
          </w:rPr>
          <w:instrText xml:space="preserve"> PAGEREF _Toc229225532 \h </w:instrText>
        </w:r>
        <w:r>
          <w:rPr>
            <w:noProof/>
          </w:rPr>
        </w:r>
        <w:r>
          <w:rPr>
            <w:noProof/>
          </w:rPr>
          <w:fldChar w:fldCharType="separate"/>
        </w:r>
        <w:r w:rsidR="00731089">
          <w:rPr>
            <w:noProof/>
          </w:rPr>
          <w:t>184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33" w:history="1">
        <w:r w:rsidR="0069044A" w:rsidRPr="004015C7">
          <w:rPr>
            <w:rStyle w:val="af2"/>
            <w:rFonts w:ascii="Times New Roman" w:hAnsi="Times New Roman" w:hint="eastAsia"/>
            <w:noProof/>
          </w:rPr>
          <w:t>二、立案建档和指派代理人</w:t>
        </w:r>
        <w:r w:rsidR="0069044A">
          <w:rPr>
            <w:noProof/>
          </w:rPr>
          <w:tab/>
        </w:r>
        <w:r>
          <w:rPr>
            <w:noProof/>
          </w:rPr>
          <w:fldChar w:fldCharType="begin"/>
        </w:r>
        <w:r w:rsidR="0069044A">
          <w:rPr>
            <w:noProof/>
          </w:rPr>
          <w:instrText xml:space="preserve"> PAGEREF _Toc229225533 \h </w:instrText>
        </w:r>
        <w:r>
          <w:rPr>
            <w:noProof/>
          </w:rPr>
        </w:r>
        <w:r>
          <w:rPr>
            <w:noProof/>
          </w:rPr>
          <w:fldChar w:fldCharType="separate"/>
        </w:r>
        <w:r w:rsidR="00731089">
          <w:rPr>
            <w:noProof/>
          </w:rPr>
          <w:t>186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34" w:history="1">
        <w:r w:rsidR="0069044A" w:rsidRPr="004015C7">
          <w:rPr>
            <w:rStyle w:val="af2"/>
            <w:rFonts w:ascii="Times New Roman" w:hAnsi="Times New Roman" w:hint="eastAsia"/>
            <w:noProof/>
          </w:rPr>
          <w:t>三、准备诉讼材料</w:t>
        </w:r>
        <w:r w:rsidR="0069044A">
          <w:rPr>
            <w:noProof/>
          </w:rPr>
          <w:tab/>
        </w:r>
        <w:r>
          <w:rPr>
            <w:noProof/>
          </w:rPr>
          <w:fldChar w:fldCharType="begin"/>
        </w:r>
        <w:r w:rsidR="0069044A">
          <w:rPr>
            <w:noProof/>
          </w:rPr>
          <w:instrText xml:space="preserve"> PAGEREF _Toc229225534 \h </w:instrText>
        </w:r>
        <w:r>
          <w:rPr>
            <w:noProof/>
          </w:rPr>
        </w:r>
        <w:r>
          <w:rPr>
            <w:noProof/>
          </w:rPr>
          <w:fldChar w:fldCharType="separate"/>
        </w:r>
        <w:r w:rsidR="00731089">
          <w:rPr>
            <w:noProof/>
          </w:rPr>
          <w:t>186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35" w:history="1">
        <w:r w:rsidR="0069044A" w:rsidRPr="004015C7">
          <w:rPr>
            <w:rStyle w:val="af2"/>
            <w:rFonts w:ascii="Times New Roman" w:hAnsi="Times New Roman" w:hint="eastAsia"/>
            <w:noProof/>
          </w:rPr>
          <w:t>四、出庭前的准备</w:t>
        </w:r>
        <w:r w:rsidR="0069044A">
          <w:rPr>
            <w:noProof/>
          </w:rPr>
          <w:tab/>
        </w:r>
        <w:r>
          <w:rPr>
            <w:noProof/>
          </w:rPr>
          <w:fldChar w:fldCharType="begin"/>
        </w:r>
        <w:r w:rsidR="0069044A">
          <w:rPr>
            <w:noProof/>
          </w:rPr>
          <w:instrText xml:space="preserve"> PAGEREF _Toc229225535 \h </w:instrText>
        </w:r>
        <w:r>
          <w:rPr>
            <w:noProof/>
          </w:rPr>
        </w:r>
        <w:r>
          <w:rPr>
            <w:noProof/>
          </w:rPr>
          <w:fldChar w:fldCharType="separate"/>
        </w:r>
        <w:r w:rsidR="00731089">
          <w:rPr>
            <w:noProof/>
          </w:rPr>
          <w:t>189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36" w:history="1">
        <w:r w:rsidR="0069044A" w:rsidRPr="004015C7">
          <w:rPr>
            <w:rStyle w:val="af2"/>
            <w:rFonts w:ascii="Times New Roman" w:hAnsi="Times New Roman" w:hint="eastAsia"/>
            <w:noProof/>
          </w:rPr>
          <w:t>五、出庭应诉</w:t>
        </w:r>
        <w:r w:rsidR="0069044A">
          <w:rPr>
            <w:noProof/>
          </w:rPr>
          <w:tab/>
        </w:r>
        <w:r>
          <w:rPr>
            <w:noProof/>
          </w:rPr>
          <w:fldChar w:fldCharType="begin"/>
        </w:r>
        <w:r w:rsidR="0069044A">
          <w:rPr>
            <w:noProof/>
          </w:rPr>
          <w:instrText xml:space="preserve"> PAGEREF _Toc229225536 \h </w:instrText>
        </w:r>
        <w:r>
          <w:rPr>
            <w:noProof/>
          </w:rPr>
        </w:r>
        <w:r>
          <w:rPr>
            <w:noProof/>
          </w:rPr>
          <w:fldChar w:fldCharType="separate"/>
        </w:r>
        <w:r w:rsidR="00731089">
          <w:rPr>
            <w:noProof/>
          </w:rPr>
          <w:t>189</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37" w:history="1">
        <w:r w:rsidR="0069044A" w:rsidRPr="004015C7">
          <w:rPr>
            <w:rStyle w:val="af2"/>
            <w:rFonts w:ascii="Times New Roman" w:hAnsi="Times New Roman" w:hint="eastAsia"/>
            <w:noProof/>
          </w:rPr>
          <w:t>第三节　结案</w:t>
        </w:r>
        <w:r w:rsidR="0069044A">
          <w:rPr>
            <w:noProof/>
          </w:rPr>
          <w:tab/>
        </w:r>
        <w:r>
          <w:rPr>
            <w:noProof/>
          </w:rPr>
          <w:fldChar w:fldCharType="begin"/>
        </w:r>
        <w:r w:rsidR="0069044A">
          <w:rPr>
            <w:noProof/>
          </w:rPr>
          <w:instrText xml:space="preserve"> PAGEREF _Toc229225537 \h </w:instrText>
        </w:r>
        <w:r>
          <w:rPr>
            <w:noProof/>
          </w:rPr>
        </w:r>
        <w:r>
          <w:rPr>
            <w:noProof/>
          </w:rPr>
          <w:fldChar w:fldCharType="separate"/>
        </w:r>
        <w:r w:rsidR="00731089">
          <w:rPr>
            <w:noProof/>
          </w:rPr>
          <w:t>191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38" w:history="1">
        <w:r w:rsidR="0069044A" w:rsidRPr="004015C7">
          <w:rPr>
            <w:rStyle w:val="af2"/>
            <w:rFonts w:ascii="Times New Roman" w:hAnsi="Times New Roman" w:hint="eastAsia"/>
            <w:noProof/>
          </w:rPr>
          <w:t>一、庭后事务处理</w:t>
        </w:r>
        <w:r w:rsidR="0069044A">
          <w:rPr>
            <w:noProof/>
          </w:rPr>
          <w:tab/>
        </w:r>
        <w:r>
          <w:rPr>
            <w:noProof/>
          </w:rPr>
          <w:fldChar w:fldCharType="begin"/>
        </w:r>
        <w:r w:rsidR="0069044A">
          <w:rPr>
            <w:noProof/>
          </w:rPr>
          <w:instrText xml:space="preserve"> PAGEREF _Toc229225538 \h </w:instrText>
        </w:r>
        <w:r>
          <w:rPr>
            <w:noProof/>
          </w:rPr>
        </w:r>
        <w:r>
          <w:rPr>
            <w:noProof/>
          </w:rPr>
          <w:fldChar w:fldCharType="separate"/>
        </w:r>
        <w:r w:rsidR="00731089">
          <w:rPr>
            <w:noProof/>
          </w:rPr>
          <w:t>191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39" w:history="1">
        <w:r w:rsidR="0069044A" w:rsidRPr="004015C7">
          <w:rPr>
            <w:rStyle w:val="af2"/>
            <w:rFonts w:ascii="Times New Roman" w:hAnsi="Times New Roman" w:hint="eastAsia"/>
            <w:noProof/>
          </w:rPr>
          <w:t>二、结案归档</w:t>
        </w:r>
        <w:r w:rsidR="0069044A">
          <w:rPr>
            <w:noProof/>
          </w:rPr>
          <w:tab/>
        </w:r>
        <w:r>
          <w:rPr>
            <w:noProof/>
          </w:rPr>
          <w:fldChar w:fldCharType="begin"/>
        </w:r>
        <w:r w:rsidR="0069044A">
          <w:rPr>
            <w:noProof/>
          </w:rPr>
          <w:instrText xml:space="preserve"> PAGEREF _Toc229225539 \h </w:instrText>
        </w:r>
        <w:r>
          <w:rPr>
            <w:noProof/>
          </w:rPr>
        </w:r>
        <w:r>
          <w:rPr>
            <w:noProof/>
          </w:rPr>
          <w:fldChar w:fldCharType="separate"/>
        </w:r>
        <w:r w:rsidR="00731089">
          <w:rPr>
            <w:noProof/>
          </w:rPr>
          <w:t>192</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540" w:history="1">
        <w:r w:rsidR="0069044A" w:rsidRPr="004015C7">
          <w:rPr>
            <w:rStyle w:val="af2"/>
            <w:rFonts w:hint="eastAsia"/>
            <w:noProof/>
          </w:rPr>
          <w:t>第二部分　专利纠纷行政调解</w:t>
        </w:r>
        <w:r w:rsidR="0069044A">
          <w:rPr>
            <w:noProof/>
          </w:rPr>
          <w:tab/>
        </w:r>
        <w:r>
          <w:rPr>
            <w:noProof/>
          </w:rPr>
          <w:fldChar w:fldCharType="begin"/>
        </w:r>
        <w:r w:rsidR="0069044A">
          <w:rPr>
            <w:noProof/>
          </w:rPr>
          <w:instrText xml:space="preserve"> PAGEREF _Toc229225540 \h </w:instrText>
        </w:r>
        <w:r>
          <w:rPr>
            <w:noProof/>
          </w:rPr>
        </w:r>
        <w:r>
          <w:rPr>
            <w:noProof/>
          </w:rPr>
          <w:fldChar w:fldCharType="separate"/>
        </w:r>
        <w:r w:rsidR="00731089">
          <w:rPr>
            <w:noProof/>
          </w:rPr>
          <w:t>194</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541" w:history="1">
        <w:r w:rsidR="0069044A" w:rsidRPr="004015C7">
          <w:rPr>
            <w:rStyle w:val="af2"/>
            <w:rFonts w:cs="宋体" w:hint="eastAsia"/>
            <w:bCs/>
            <w:noProof/>
            <w:spacing w:val="-17"/>
          </w:rPr>
          <w:t>第一章</w:t>
        </w:r>
        <w:r w:rsidR="0069044A" w:rsidRPr="004015C7">
          <w:rPr>
            <w:rStyle w:val="af2"/>
            <w:rFonts w:hint="eastAsia"/>
            <w:noProof/>
          </w:rPr>
          <w:t xml:space="preserve">　</w:t>
        </w:r>
        <w:r w:rsidR="0069044A" w:rsidRPr="004015C7">
          <w:rPr>
            <w:rStyle w:val="af2"/>
            <w:rFonts w:cs="宋体" w:hint="eastAsia"/>
            <w:noProof/>
            <w:spacing w:val="-17"/>
          </w:rPr>
          <w:t>概</w:t>
        </w:r>
        <w:r w:rsidR="0069044A" w:rsidRPr="004015C7">
          <w:rPr>
            <w:rStyle w:val="af2"/>
            <w:rFonts w:cs="宋体" w:hint="eastAsia"/>
            <w:bCs/>
            <w:noProof/>
            <w:spacing w:val="-17"/>
          </w:rPr>
          <w:t>述</w:t>
        </w:r>
        <w:r w:rsidR="0069044A">
          <w:rPr>
            <w:noProof/>
          </w:rPr>
          <w:tab/>
        </w:r>
        <w:r>
          <w:rPr>
            <w:noProof/>
          </w:rPr>
          <w:fldChar w:fldCharType="begin"/>
        </w:r>
        <w:r w:rsidR="0069044A">
          <w:rPr>
            <w:noProof/>
          </w:rPr>
          <w:instrText xml:space="preserve"> PAGEREF _Toc229225541 \h </w:instrText>
        </w:r>
        <w:r>
          <w:rPr>
            <w:noProof/>
          </w:rPr>
        </w:r>
        <w:r>
          <w:rPr>
            <w:noProof/>
          </w:rPr>
          <w:fldChar w:fldCharType="separate"/>
        </w:r>
        <w:r w:rsidR="00731089">
          <w:rPr>
            <w:noProof/>
          </w:rPr>
          <w:t>195</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42" w:history="1">
        <w:r w:rsidR="0069044A" w:rsidRPr="004015C7">
          <w:rPr>
            <w:rStyle w:val="af2"/>
            <w:rFonts w:ascii="Times New Roman" w:hAnsi="Times New Roman" w:hint="eastAsia"/>
            <w:noProof/>
          </w:rPr>
          <w:t>第一节　法律依据、基本原则及管辖</w:t>
        </w:r>
        <w:r w:rsidR="0069044A">
          <w:rPr>
            <w:noProof/>
          </w:rPr>
          <w:tab/>
        </w:r>
        <w:r>
          <w:rPr>
            <w:noProof/>
          </w:rPr>
          <w:fldChar w:fldCharType="begin"/>
        </w:r>
        <w:r w:rsidR="0069044A">
          <w:rPr>
            <w:noProof/>
          </w:rPr>
          <w:instrText xml:space="preserve"> PAGEREF _Toc229225542 \h </w:instrText>
        </w:r>
        <w:r>
          <w:rPr>
            <w:noProof/>
          </w:rPr>
        </w:r>
        <w:r>
          <w:rPr>
            <w:noProof/>
          </w:rPr>
          <w:fldChar w:fldCharType="separate"/>
        </w:r>
        <w:r w:rsidR="00731089">
          <w:rPr>
            <w:noProof/>
          </w:rPr>
          <w:t>195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43" w:history="1">
        <w:r w:rsidR="0069044A" w:rsidRPr="004015C7">
          <w:rPr>
            <w:rStyle w:val="af2"/>
            <w:rFonts w:ascii="Times New Roman" w:hAnsi="Times New Roman" w:hint="eastAsia"/>
            <w:noProof/>
          </w:rPr>
          <w:t>一、法律依据</w:t>
        </w:r>
        <w:r w:rsidR="0069044A">
          <w:rPr>
            <w:noProof/>
          </w:rPr>
          <w:tab/>
        </w:r>
        <w:r>
          <w:rPr>
            <w:noProof/>
          </w:rPr>
          <w:fldChar w:fldCharType="begin"/>
        </w:r>
        <w:r w:rsidR="0069044A">
          <w:rPr>
            <w:noProof/>
          </w:rPr>
          <w:instrText xml:space="preserve"> PAGEREF _Toc229225543 \h </w:instrText>
        </w:r>
        <w:r>
          <w:rPr>
            <w:noProof/>
          </w:rPr>
        </w:r>
        <w:r>
          <w:rPr>
            <w:noProof/>
          </w:rPr>
          <w:fldChar w:fldCharType="separate"/>
        </w:r>
        <w:r w:rsidR="00731089">
          <w:rPr>
            <w:noProof/>
          </w:rPr>
          <w:t>195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44" w:history="1">
        <w:r w:rsidR="0069044A" w:rsidRPr="004015C7">
          <w:rPr>
            <w:rStyle w:val="af2"/>
            <w:rFonts w:ascii="Times New Roman" w:hAnsi="Times New Roman" w:hint="eastAsia"/>
            <w:noProof/>
          </w:rPr>
          <w:t>二、基本原则</w:t>
        </w:r>
        <w:r w:rsidR="0069044A">
          <w:rPr>
            <w:noProof/>
          </w:rPr>
          <w:tab/>
        </w:r>
        <w:r>
          <w:rPr>
            <w:noProof/>
          </w:rPr>
          <w:fldChar w:fldCharType="begin"/>
        </w:r>
        <w:r w:rsidR="0069044A">
          <w:rPr>
            <w:noProof/>
          </w:rPr>
          <w:instrText xml:space="preserve"> PAGEREF _Toc229225544 \h </w:instrText>
        </w:r>
        <w:r>
          <w:rPr>
            <w:noProof/>
          </w:rPr>
        </w:r>
        <w:r>
          <w:rPr>
            <w:noProof/>
          </w:rPr>
          <w:fldChar w:fldCharType="separate"/>
        </w:r>
        <w:r w:rsidR="00731089">
          <w:rPr>
            <w:noProof/>
          </w:rPr>
          <w:t>195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45" w:history="1">
        <w:r w:rsidR="0069044A" w:rsidRPr="004015C7">
          <w:rPr>
            <w:rStyle w:val="af2"/>
            <w:rFonts w:ascii="Times New Roman" w:hAnsi="Times New Roman" w:hint="eastAsia"/>
            <w:noProof/>
          </w:rPr>
          <w:t>三、调解请求的管辖</w:t>
        </w:r>
        <w:r w:rsidR="0069044A">
          <w:rPr>
            <w:noProof/>
          </w:rPr>
          <w:tab/>
        </w:r>
        <w:r>
          <w:rPr>
            <w:noProof/>
          </w:rPr>
          <w:fldChar w:fldCharType="begin"/>
        </w:r>
        <w:r w:rsidR="0069044A">
          <w:rPr>
            <w:noProof/>
          </w:rPr>
          <w:instrText xml:space="preserve"> PAGEREF _Toc229225545 \h </w:instrText>
        </w:r>
        <w:r>
          <w:rPr>
            <w:noProof/>
          </w:rPr>
        </w:r>
        <w:r>
          <w:rPr>
            <w:noProof/>
          </w:rPr>
          <w:fldChar w:fldCharType="separate"/>
        </w:r>
        <w:r w:rsidR="00731089">
          <w:rPr>
            <w:noProof/>
          </w:rPr>
          <w:t>196</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46" w:history="1">
        <w:r w:rsidR="0069044A" w:rsidRPr="004015C7">
          <w:rPr>
            <w:rStyle w:val="af2"/>
            <w:rFonts w:ascii="Times New Roman" w:hAnsi="Times New Roman" w:hint="eastAsia"/>
            <w:noProof/>
          </w:rPr>
          <w:t>第二节　行政调解的专利纠纷的类型</w:t>
        </w:r>
        <w:r w:rsidR="0069044A">
          <w:rPr>
            <w:noProof/>
          </w:rPr>
          <w:tab/>
        </w:r>
        <w:r>
          <w:rPr>
            <w:noProof/>
          </w:rPr>
          <w:fldChar w:fldCharType="begin"/>
        </w:r>
        <w:r w:rsidR="0069044A">
          <w:rPr>
            <w:noProof/>
          </w:rPr>
          <w:instrText xml:space="preserve"> PAGEREF _Toc229225546 \h </w:instrText>
        </w:r>
        <w:r>
          <w:rPr>
            <w:noProof/>
          </w:rPr>
        </w:r>
        <w:r>
          <w:rPr>
            <w:noProof/>
          </w:rPr>
          <w:fldChar w:fldCharType="separate"/>
        </w:r>
        <w:r w:rsidR="00731089">
          <w:rPr>
            <w:noProof/>
          </w:rPr>
          <w:t>196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47" w:history="1">
        <w:r w:rsidR="0069044A" w:rsidRPr="004015C7">
          <w:rPr>
            <w:rStyle w:val="af2"/>
            <w:rFonts w:ascii="Times New Roman" w:hAnsi="Times New Roman" w:hint="eastAsia"/>
            <w:noProof/>
          </w:rPr>
          <w:t>一、专利申请权归属纠纷</w:t>
        </w:r>
        <w:r w:rsidR="0069044A">
          <w:rPr>
            <w:noProof/>
          </w:rPr>
          <w:tab/>
        </w:r>
        <w:r>
          <w:rPr>
            <w:noProof/>
          </w:rPr>
          <w:fldChar w:fldCharType="begin"/>
        </w:r>
        <w:r w:rsidR="0069044A">
          <w:rPr>
            <w:noProof/>
          </w:rPr>
          <w:instrText xml:space="preserve"> PAGEREF _Toc229225547 \h </w:instrText>
        </w:r>
        <w:r>
          <w:rPr>
            <w:noProof/>
          </w:rPr>
        </w:r>
        <w:r>
          <w:rPr>
            <w:noProof/>
          </w:rPr>
          <w:fldChar w:fldCharType="separate"/>
        </w:r>
        <w:r w:rsidR="00731089">
          <w:rPr>
            <w:noProof/>
          </w:rPr>
          <w:t>196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48" w:history="1">
        <w:r w:rsidR="0069044A" w:rsidRPr="004015C7">
          <w:rPr>
            <w:rStyle w:val="af2"/>
            <w:rFonts w:ascii="Times New Roman" w:hAnsi="Times New Roman" w:hint="eastAsia"/>
            <w:noProof/>
          </w:rPr>
          <w:t>二、专利权归属纠纷</w:t>
        </w:r>
        <w:r w:rsidR="0069044A">
          <w:rPr>
            <w:noProof/>
          </w:rPr>
          <w:tab/>
        </w:r>
        <w:r>
          <w:rPr>
            <w:noProof/>
          </w:rPr>
          <w:fldChar w:fldCharType="begin"/>
        </w:r>
        <w:r w:rsidR="0069044A">
          <w:rPr>
            <w:noProof/>
          </w:rPr>
          <w:instrText xml:space="preserve"> PAGEREF _Toc229225548 \h </w:instrText>
        </w:r>
        <w:r>
          <w:rPr>
            <w:noProof/>
          </w:rPr>
        </w:r>
        <w:r>
          <w:rPr>
            <w:noProof/>
          </w:rPr>
          <w:fldChar w:fldCharType="separate"/>
        </w:r>
        <w:r w:rsidR="00731089">
          <w:rPr>
            <w:noProof/>
          </w:rPr>
          <w:t>196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49" w:history="1">
        <w:r w:rsidR="0069044A" w:rsidRPr="004015C7">
          <w:rPr>
            <w:rStyle w:val="af2"/>
            <w:rFonts w:ascii="Times New Roman" w:hAnsi="Times New Roman" w:hint="eastAsia"/>
            <w:noProof/>
          </w:rPr>
          <w:t>三、发明人、设计人资格纠纷</w:t>
        </w:r>
        <w:r w:rsidR="0069044A">
          <w:rPr>
            <w:noProof/>
          </w:rPr>
          <w:tab/>
        </w:r>
        <w:r>
          <w:rPr>
            <w:noProof/>
          </w:rPr>
          <w:fldChar w:fldCharType="begin"/>
        </w:r>
        <w:r w:rsidR="0069044A">
          <w:rPr>
            <w:noProof/>
          </w:rPr>
          <w:instrText xml:space="preserve"> PAGEREF _Toc229225549 \h </w:instrText>
        </w:r>
        <w:r>
          <w:rPr>
            <w:noProof/>
          </w:rPr>
        </w:r>
        <w:r>
          <w:rPr>
            <w:noProof/>
          </w:rPr>
          <w:fldChar w:fldCharType="separate"/>
        </w:r>
        <w:r w:rsidR="00731089">
          <w:rPr>
            <w:noProof/>
          </w:rPr>
          <w:t>197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50" w:history="1">
        <w:r w:rsidR="0069044A" w:rsidRPr="004015C7">
          <w:rPr>
            <w:rStyle w:val="af2"/>
            <w:rFonts w:ascii="Times New Roman" w:hAnsi="Times New Roman" w:hint="eastAsia"/>
            <w:noProof/>
          </w:rPr>
          <w:t>四、奖酬纠纷</w:t>
        </w:r>
        <w:r w:rsidR="0069044A">
          <w:rPr>
            <w:noProof/>
          </w:rPr>
          <w:tab/>
        </w:r>
        <w:r>
          <w:rPr>
            <w:noProof/>
          </w:rPr>
          <w:fldChar w:fldCharType="begin"/>
        </w:r>
        <w:r w:rsidR="0069044A">
          <w:rPr>
            <w:noProof/>
          </w:rPr>
          <w:instrText xml:space="preserve"> PAGEREF _Toc229225550 \h </w:instrText>
        </w:r>
        <w:r>
          <w:rPr>
            <w:noProof/>
          </w:rPr>
        </w:r>
        <w:r>
          <w:rPr>
            <w:noProof/>
          </w:rPr>
          <w:fldChar w:fldCharType="separate"/>
        </w:r>
        <w:r w:rsidR="00731089">
          <w:rPr>
            <w:noProof/>
          </w:rPr>
          <w:t>197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51" w:history="1">
        <w:r w:rsidR="0069044A" w:rsidRPr="004015C7">
          <w:rPr>
            <w:rStyle w:val="af2"/>
            <w:rFonts w:ascii="Times New Roman" w:hAnsi="Times New Roman" w:hint="eastAsia"/>
            <w:noProof/>
          </w:rPr>
          <w:t>五、发明专利临时保护期使用费纠纷</w:t>
        </w:r>
        <w:r w:rsidR="0069044A">
          <w:rPr>
            <w:noProof/>
          </w:rPr>
          <w:tab/>
        </w:r>
        <w:r>
          <w:rPr>
            <w:noProof/>
          </w:rPr>
          <w:fldChar w:fldCharType="begin"/>
        </w:r>
        <w:r w:rsidR="0069044A">
          <w:rPr>
            <w:noProof/>
          </w:rPr>
          <w:instrText xml:space="preserve"> PAGEREF _Toc229225551 \h </w:instrText>
        </w:r>
        <w:r>
          <w:rPr>
            <w:noProof/>
          </w:rPr>
        </w:r>
        <w:r>
          <w:rPr>
            <w:noProof/>
          </w:rPr>
          <w:fldChar w:fldCharType="separate"/>
        </w:r>
        <w:r w:rsidR="00731089">
          <w:rPr>
            <w:noProof/>
          </w:rPr>
          <w:t>197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52" w:history="1">
        <w:r w:rsidR="0069044A" w:rsidRPr="004015C7">
          <w:rPr>
            <w:rStyle w:val="af2"/>
            <w:rFonts w:ascii="Times New Roman" w:hAnsi="Times New Roman" w:hint="eastAsia"/>
            <w:noProof/>
          </w:rPr>
          <w:t>六、侵犯专利权的赔偿数额纠纷</w:t>
        </w:r>
        <w:r w:rsidR="0069044A">
          <w:rPr>
            <w:noProof/>
          </w:rPr>
          <w:tab/>
        </w:r>
        <w:r>
          <w:rPr>
            <w:noProof/>
          </w:rPr>
          <w:fldChar w:fldCharType="begin"/>
        </w:r>
        <w:r w:rsidR="0069044A">
          <w:rPr>
            <w:noProof/>
          </w:rPr>
          <w:instrText xml:space="preserve"> PAGEREF _Toc229225552 \h </w:instrText>
        </w:r>
        <w:r>
          <w:rPr>
            <w:noProof/>
          </w:rPr>
        </w:r>
        <w:r>
          <w:rPr>
            <w:noProof/>
          </w:rPr>
          <w:fldChar w:fldCharType="separate"/>
        </w:r>
        <w:r w:rsidR="00731089">
          <w:rPr>
            <w:noProof/>
          </w:rPr>
          <w:t>197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53" w:history="1">
        <w:r w:rsidR="0069044A" w:rsidRPr="004015C7">
          <w:rPr>
            <w:rStyle w:val="af2"/>
            <w:rFonts w:ascii="Times New Roman" w:hAnsi="Times New Roman" w:hint="eastAsia"/>
            <w:noProof/>
          </w:rPr>
          <w:t>七、其他专利纠纷</w:t>
        </w:r>
        <w:r w:rsidR="0069044A">
          <w:rPr>
            <w:noProof/>
          </w:rPr>
          <w:tab/>
        </w:r>
        <w:r>
          <w:rPr>
            <w:noProof/>
          </w:rPr>
          <w:fldChar w:fldCharType="begin"/>
        </w:r>
        <w:r w:rsidR="0069044A">
          <w:rPr>
            <w:noProof/>
          </w:rPr>
          <w:instrText xml:space="preserve"> PAGEREF _Toc229225553 \h </w:instrText>
        </w:r>
        <w:r>
          <w:rPr>
            <w:noProof/>
          </w:rPr>
        </w:r>
        <w:r>
          <w:rPr>
            <w:noProof/>
          </w:rPr>
          <w:fldChar w:fldCharType="separate"/>
        </w:r>
        <w:r w:rsidR="00731089">
          <w:rPr>
            <w:noProof/>
          </w:rPr>
          <w:t>198</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554" w:history="1">
        <w:r w:rsidR="0069044A" w:rsidRPr="004015C7">
          <w:rPr>
            <w:rStyle w:val="af2"/>
            <w:rFonts w:cs="宋体" w:hint="eastAsia"/>
            <w:bCs/>
            <w:noProof/>
            <w:spacing w:val="-6"/>
          </w:rPr>
          <w:t>第二章</w:t>
        </w:r>
        <w:r w:rsidR="0069044A" w:rsidRPr="004015C7">
          <w:rPr>
            <w:rStyle w:val="af2"/>
            <w:rFonts w:hint="eastAsia"/>
            <w:noProof/>
          </w:rPr>
          <w:t xml:space="preserve">　</w:t>
        </w:r>
        <w:r w:rsidR="0069044A" w:rsidRPr="004015C7">
          <w:rPr>
            <w:rStyle w:val="af2"/>
            <w:rFonts w:cs="宋体" w:hint="eastAsia"/>
            <w:bCs/>
            <w:noProof/>
            <w:spacing w:val="-6"/>
          </w:rPr>
          <w:t>调解专利纠纷的程序</w:t>
        </w:r>
        <w:r w:rsidR="0069044A">
          <w:rPr>
            <w:noProof/>
          </w:rPr>
          <w:tab/>
        </w:r>
        <w:r>
          <w:rPr>
            <w:noProof/>
          </w:rPr>
          <w:fldChar w:fldCharType="begin"/>
        </w:r>
        <w:r w:rsidR="0069044A">
          <w:rPr>
            <w:noProof/>
          </w:rPr>
          <w:instrText xml:space="preserve"> PAGEREF _Toc229225554 \h </w:instrText>
        </w:r>
        <w:r>
          <w:rPr>
            <w:noProof/>
          </w:rPr>
        </w:r>
        <w:r>
          <w:rPr>
            <w:noProof/>
          </w:rPr>
          <w:fldChar w:fldCharType="separate"/>
        </w:r>
        <w:r w:rsidR="00731089">
          <w:rPr>
            <w:noProof/>
          </w:rPr>
          <w:t>199</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55" w:history="1">
        <w:r w:rsidR="0069044A" w:rsidRPr="004015C7">
          <w:rPr>
            <w:rStyle w:val="af2"/>
            <w:rFonts w:ascii="Times New Roman" w:hAnsi="Times New Roman" w:hint="eastAsia"/>
            <w:noProof/>
          </w:rPr>
          <w:t>第一节　受理及立案</w:t>
        </w:r>
        <w:r w:rsidR="0069044A">
          <w:rPr>
            <w:noProof/>
          </w:rPr>
          <w:tab/>
        </w:r>
        <w:r>
          <w:rPr>
            <w:noProof/>
          </w:rPr>
          <w:fldChar w:fldCharType="begin"/>
        </w:r>
        <w:r w:rsidR="0069044A">
          <w:rPr>
            <w:noProof/>
          </w:rPr>
          <w:instrText xml:space="preserve"> PAGEREF _Toc229225555 \h </w:instrText>
        </w:r>
        <w:r>
          <w:rPr>
            <w:noProof/>
          </w:rPr>
        </w:r>
        <w:r>
          <w:rPr>
            <w:noProof/>
          </w:rPr>
          <w:fldChar w:fldCharType="separate"/>
        </w:r>
        <w:r w:rsidR="00731089">
          <w:rPr>
            <w:noProof/>
          </w:rPr>
          <w:t>199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56" w:history="1">
        <w:r w:rsidR="0069044A" w:rsidRPr="004015C7">
          <w:rPr>
            <w:rStyle w:val="af2"/>
            <w:rFonts w:ascii="Times New Roman" w:hAnsi="Times New Roman" w:hint="eastAsia"/>
            <w:noProof/>
          </w:rPr>
          <w:t>一、请求调解专利纠纷的条件</w:t>
        </w:r>
        <w:r w:rsidR="0069044A">
          <w:rPr>
            <w:noProof/>
          </w:rPr>
          <w:tab/>
        </w:r>
        <w:r>
          <w:rPr>
            <w:noProof/>
          </w:rPr>
          <w:fldChar w:fldCharType="begin"/>
        </w:r>
        <w:r w:rsidR="0069044A">
          <w:rPr>
            <w:noProof/>
          </w:rPr>
          <w:instrText xml:space="preserve"> PAGEREF _Toc229225556 \h </w:instrText>
        </w:r>
        <w:r>
          <w:rPr>
            <w:noProof/>
          </w:rPr>
        </w:r>
        <w:r>
          <w:rPr>
            <w:noProof/>
          </w:rPr>
          <w:fldChar w:fldCharType="separate"/>
        </w:r>
        <w:r w:rsidR="00731089">
          <w:rPr>
            <w:noProof/>
          </w:rPr>
          <w:t>199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57" w:history="1">
        <w:r w:rsidR="0069044A" w:rsidRPr="004015C7">
          <w:rPr>
            <w:rStyle w:val="af2"/>
            <w:rFonts w:ascii="Times New Roman" w:hAnsi="Times New Roman" w:hint="eastAsia"/>
            <w:noProof/>
          </w:rPr>
          <w:t>二、请求调解时应当提交的材料</w:t>
        </w:r>
        <w:r w:rsidR="0069044A">
          <w:rPr>
            <w:noProof/>
          </w:rPr>
          <w:tab/>
        </w:r>
        <w:r>
          <w:rPr>
            <w:noProof/>
          </w:rPr>
          <w:fldChar w:fldCharType="begin"/>
        </w:r>
        <w:r w:rsidR="0069044A">
          <w:rPr>
            <w:noProof/>
          </w:rPr>
          <w:instrText xml:space="preserve"> PAGEREF _Toc229225557 \h </w:instrText>
        </w:r>
        <w:r>
          <w:rPr>
            <w:noProof/>
          </w:rPr>
        </w:r>
        <w:r>
          <w:rPr>
            <w:noProof/>
          </w:rPr>
          <w:fldChar w:fldCharType="separate"/>
        </w:r>
        <w:r w:rsidR="00731089">
          <w:rPr>
            <w:noProof/>
          </w:rPr>
          <w:t>200</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58" w:history="1">
        <w:r w:rsidR="0069044A" w:rsidRPr="004015C7">
          <w:rPr>
            <w:rStyle w:val="af2"/>
            <w:rFonts w:ascii="Times New Roman" w:hAnsi="Times New Roman" w:hint="eastAsia"/>
            <w:noProof/>
          </w:rPr>
          <w:t>三、材料的送达</w:t>
        </w:r>
        <w:r w:rsidR="0069044A">
          <w:rPr>
            <w:noProof/>
          </w:rPr>
          <w:tab/>
        </w:r>
        <w:r>
          <w:rPr>
            <w:noProof/>
          </w:rPr>
          <w:fldChar w:fldCharType="begin"/>
        </w:r>
        <w:r w:rsidR="0069044A">
          <w:rPr>
            <w:noProof/>
          </w:rPr>
          <w:instrText xml:space="preserve"> PAGEREF _Toc229225558 \h </w:instrText>
        </w:r>
        <w:r>
          <w:rPr>
            <w:noProof/>
          </w:rPr>
        </w:r>
        <w:r>
          <w:rPr>
            <w:noProof/>
          </w:rPr>
          <w:fldChar w:fldCharType="separate"/>
        </w:r>
        <w:r w:rsidR="00731089">
          <w:rPr>
            <w:noProof/>
          </w:rPr>
          <w:t>200</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59" w:history="1">
        <w:r w:rsidR="0069044A" w:rsidRPr="004015C7">
          <w:rPr>
            <w:rStyle w:val="af2"/>
            <w:rFonts w:ascii="Times New Roman" w:hAnsi="Times New Roman" w:hint="eastAsia"/>
            <w:noProof/>
          </w:rPr>
          <w:t>四、正式立案</w:t>
        </w:r>
        <w:r w:rsidR="0069044A">
          <w:rPr>
            <w:noProof/>
          </w:rPr>
          <w:tab/>
        </w:r>
        <w:r>
          <w:rPr>
            <w:noProof/>
          </w:rPr>
          <w:fldChar w:fldCharType="begin"/>
        </w:r>
        <w:r w:rsidR="0069044A">
          <w:rPr>
            <w:noProof/>
          </w:rPr>
          <w:instrText xml:space="preserve"> PAGEREF _Toc229225559 \h </w:instrText>
        </w:r>
        <w:r>
          <w:rPr>
            <w:noProof/>
          </w:rPr>
        </w:r>
        <w:r>
          <w:rPr>
            <w:noProof/>
          </w:rPr>
          <w:fldChar w:fldCharType="separate"/>
        </w:r>
        <w:r w:rsidR="00731089">
          <w:rPr>
            <w:noProof/>
          </w:rPr>
          <w:t>201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60" w:history="1">
        <w:r w:rsidR="0069044A" w:rsidRPr="004015C7">
          <w:rPr>
            <w:rStyle w:val="af2"/>
            <w:rFonts w:ascii="Times New Roman" w:hAnsi="Times New Roman" w:hint="eastAsia"/>
            <w:noProof/>
          </w:rPr>
          <w:t>五、证据审查</w:t>
        </w:r>
        <w:r w:rsidR="0069044A">
          <w:rPr>
            <w:noProof/>
          </w:rPr>
          <w:tab/>
        </w:r>
        <w:r>
          <w:rPr>
            <w:noProof/>
          </w:rPr>
          <w:fldChar w:fldCharType="begin"/>
        </w:r>
        <w:r w:rsidR="0069044A">
          <w:rPr>
            <w:noProof/>
          </w:rPr>
          <w:instrText xml:space="preserve"> PAGEREF _Toc229225560 \h </w:instrText>
        </w:r>
        <w:r>
          <w:rPr>
            <w:noProof/>
          </w:rPr>
        </w:r>
        <w:r>
          <w:rPr>
            <w:noProof/>
          </w:rPr>
          <w:fldChar w:fldCharType="separate"/>
        </w:r>
        <w:r w:rsidR="00731089">
          <w:rPr>
            <w:noProof/>
          </w:rPr>
          <w:t>201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61" w:history="1">
        <w:r w:rsidR="0069044A" w:rsidRPr="004015C7">
          <w:rPr>
            <w:rStyle w:val="af2"/>
            <w:rFonts w:ascii="Times New Roman" w:hAnsi="Times New Roman" w:hint="eastAsia"/>
            <w:noProof/>
          </w:rPr>
          <w:t>六、举证责任</w:t>
        </w:r>
        <w:r w:rsidR="0069044A">
          <w:rPr>
            <w:noProof/>
          </w:rPr>
          <w:tab/>
        </w:r>
        <w:r>
          <w:rPr>
            <w:noProof/>
          </w:rPr>
          <w:fldChar w:fldCharType="begin"/>
        </w:r>
        <w:r w:rsidR="0069044A">
          <w:rPr>
            <w:noProof/>
          </w:rPr>
          <w:instrText xml:space="preserve"> PAGEREF _Toc229225561 \h </w:instrText>
        </w:r>
        <w:r>
          <w:rPr>
            <w:noProof/>
          </w:rPr>
        </w:r>
        <w:r>
          <w:rPr>
            <w:noProof/>
          </w:rPr>
          <w:fldChar w:fldCharType="separate"/>
        </w:r>
        <w:r w:rsidR="00731089">
          <w:rPr>
            <w:noProof/>
          </w:rPr>
          <w:t>201</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62" w:history="1">
        <w:r w:rsidR="0069044A" w:rsidRPr="004015C7">
          <w:rPr>
            <w:rStyle w:val="af2"/>
            <w:rFonts w:ascii="Times New Roman" w:hAnsi="Times New Roman" w:hint="eastAsia"/>
            <w:noProof/>
          </w:rPr>
          <w:t>第二节　调解工作</w:t>
        </w:r>
        <w:r w:rsidR="0069044A">
          <w:rPr>
            <w:noProof/>
          </w:rPr>
          <w:tab/>
        </w:r>
        <w:r>
          <w:rPr>
            <w:noProof/>
          </w:rPr>
          <w:fldChar w:fldCharType="begin"/>
        </w:r>
        <w:r w:rsidR="0069044A">
          <w:rPr>
            <w:noProof/>
          </w:rPr>
          <w:instrText xml:space="preserve"> PAGEREF _Toc229225562 \h </w:instrText>
        </w:r>
        <w:r>
          <w:rPr>
            <w:noProof/>
          </w:rPr>
        </w:r>
        <w:r>
          <w:rPr>
            <w:noProof/>
          </w:rPr>
          <w:fldChar w:fldCharType="separate"/>
        </w:r>
        <w:r w:rsidR="00731089">
          <w:rPr>
            <w:noProof/>
          </w:rPr>
          <w:t>202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63" w:history="1">
        <w:r w:rsidR="0069044A" w:rsidRPr="004015C7">
          <w:rPr>
            <w:rStyle w:val="af2"/>
            <w:rFonts w:ascii="Times New Roman" w:hAnsi="Times New Roman" w:hint="eastAsia"/>
            <w:noProof/>
          </w:rPr>
          <w:t>一、调解员</w:t>
        </w:r>
        <w:r w:rsidR="0069044A">
          <w:rPr>
            <w:noProof/>
          </w:rPr>
          <w:tab/>
        </w:r>
        <w:r>
          <w:rPr>
            <w:noProof/>
          </w:rPr>
          <w:fldChar w:fldCharType="begin"/>
        </w:r>
        <w:r w:rsidR="0069044A">
          <w:rPr>
            <w:noProof/>
          </w:rPr>
          <w:instrText xml:space="preserve"> PAGEREF _Toc229225563 \h </w:instrText>
        </w:r>
        <w:r>
          <w:rPr>
            <w:noProof/>
          </w:rPr>
        </w:r>
        <w:r>
          <w:rPr>
            <w:noProof/>
          </w:rPr>
          <w:fldChar w:fldCharType="separate"/>
        </w:r>
        <w:r w:rsidR="00731089">
          <w:rPr>
            <w:noProof/>
          </w:rPr>
          <w:t>202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64" w:history="1">
        <w:r w:rsidR="0069044A" w:rsidRPr="004015C7">
          <w:rPr>
            <w:rStyle w:val="af2"/>
            <w:rFonts w:ascii="Times New Roman" w:hAnsi="Times New Roman" w:hint="eastAsia"/>
            <w:noProof/>
          </w:rPr>
          <w:t>二、调解方式</w:t>
        </w:r>
        <w:r w:rsidR="0069044A">
          <w:rPr>
            <w:noProof/>
          </w:rPr>
          <w:tab/>
        </w:r>
        <w:r>
          <w:rPr>
            <w:noProof/>
          </w:rPr>
          <w:fldChar w:fldCharType="begin"/>
        </w:r>
        <w:r w:rsidR="0069044A">
          <w:rPr>
            <w:noProof/>
          </w:rPr>
          <w:instrText xml:space="preserve"> PAGEREF _Toc229225564 \h </w:instrText>
        </w:r>
        <w:r>
          <w:rPr>
            <w:noProof/>
          </w:rPr>
        </w:r>
        <w:r>
          <w:rPr>
            <w:noProof/>
          </w:rPr>
          <w:fldChar w:fldCharType="separate"/>
        </w:r>
        <w:r w:rsidR="00731089">
          <w:rPr>
            <w:noProof/>
          </w:rPr>
          <w:t>202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65" w:history="1">
        <w:r w:rsidR="0069044A" w:rsidRPr="004015C7">
          <w:rPr>
            <w:rStyle w:val="af2"/>
            <w:rFonts w:ascii="Times New Roman" w:hAnsi="Times New Roman" w:hint="eastAsia"/>
            <w:noProof/>
          </w:rPr>
          <w:t>三、中止调解</w:t>
        </w:r>
        <w:r w:rsidR="0069044A">
          <w:rPr>
            <w:noProof/>
          </w:rPr>
          <w:tab/>
        </w:r>
        <w:r>
          <w:rPr>
            <w:noProof/>
          </w:rPr>
          <w:fldChar w:fldCharType="begin"/>
        </w:r>
        <w:r w:rsidR="0069044A">
          <w:rPr>
            <w:noProof/>
          </w:rPr>
          <w:instrText xml:space="preserve"> PAGEREF _Toc229225565 \h </w:instrText>
        </w:r>
        <w:r>
          <w:rPr>
            <w:noProof/>
          </w:rPr>
        </w:r>
        <w:r>
          <w:rPr>
            <w:noProof/>
          </w:rPr>
          <w:fldChar w:fldCharType="separate"/>
        </w:r>
        <w:r w:rsidR="00731089">
          <w:rPr>
            <w:noProof/>
          </w:rPr>
          <w:t>203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66" w:history="1">
        <w:r w:rsidR="0069044A" w:rsidRPr="004015C7">
          <w:rPr>
            <w:rStyle w:val="af2"/>
            <w:rFonts w:ascii="Times New Roman" w:hAnsi="Times New Roman" w:hint="eastAsia"/>
            <w:noProof/>
          </w:rPr>
          <w:t>四、现场调解程序</w:t>
        </w:r>
        <w:r w:rsidR="0069044A">
          <w:rPr>
            <w:noProof/>
          </w:rPr>
          <w:tab/>
        </w:r>
        <w:r>
          <w:rPr>
            <w:noProof/>
          </w:rPr>
          <w:fldChar w:fldCharType="begin"/>
        </w:r>
        <w:r w:rsidR="0069044A">
          <w:rPr>
            <w:noProof/>
          </w:rPr>
          <w:instrText xml:space="preserve"> PAGEREF _Toc229225566 \h </w:instrText>
        </w:r>
        <w:r>
          <w:rPr>
            <w:noProof/>
          </w:rPr>
        </w:r>
        <w:r>
          <w:rPr>
            <w:noProof/>
          </w:rPr>
          <w:fldChar w:fldCharType="separate"/>
        </w:r>
        <w:r w:rsidR="00731089">
          <w:rPr>
            <w:noProof/>
          </w:rPr>
          <w:t>203</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67" w:history="1">
        <w:r w:rsidR="0069044A" w:rsidRPr="004015C7">
          <w:rPr>
            <w:rStyle w:val="af2"/>
            <w:rFonts w:ascii="Times New Roman" w:hAnsi="Times New Roman" w:cs="黑体" w:hint="eastAsia"/>
            <w:bCs/>
            <w:noProof/>
            <w:spacing w:val="25"/>
          </w:rPr>
          <w:t>第三节</w:t>
        </w:r>
        <w:r w:rsidR="0069044A" w:rsidRPr="004015C7">
          <w:rPr>
            <w:rStyle w:val="af2"/>
            <w:rFonts w:ascii="Times New Roman" w:hAnsi="Times New Roman" w:hint="eastAsia"/>
            <w:noProof/>
          </w:rPr>
          <w:t xml:space="preserve">　</w:t>
        </w:r>
        <w:r w:rsidR="0069044A" w:rsidRPr="004015C7">
          <w:rPr>
            <w:rStyle w:val="af2"/>
            <w:rFonts w:ascii="Times New Roman" w:hAnsi="Times New Roman" w:cs="黑体" w:hint="eastAsia"/>
            <w:bCs/>
            <w:noProof/>
            <w:spacing w:val="25"/>
          </w:rPr>
          <w:t>结案</w:t>
        </w:r>
        <w:r w:rsidR="0069044A">
          <w:rPr>
            <w:noProof/>
          </w:rPr>
          <w:tab/>
        </w:r>
        <w:r>
          <w:rPr>
            <w:noProof/>
          </w:rPr>
          <w:fldChar w:fldCharType="begin"/>
        </w:r>
        <w:r w:rsidR="0069044A">
          <w:rPr>
            <w:noProof/>
          </w:rPr>
          <w:instrText xml:space="preserve"> PAGEREF _Toc229225567 \h </w:instrText>
        </w:r>
        <w:r>
          <w:rPr>
            <w:noProof/>
          </w:rPr>
        </w:r>
        <w:r>
          <w:rPr>
            <w:noProof/>
          </w:rPr>
          <w:fldChar w:fldCharType="separate"/>
        </w:r>
        <w:r w:rsidR="00731089">
          <w:rPr>
            <w:noProof/>
          </w:rPr>
          <w:t>204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68" w:history="1">
        <w:r w:rsidR="0069044A" w:rsidRPr="004015C7">
          <w:rPr>
            <w:rStyle w:val="af2"/>
            <w:rFonts w:ascii="Times New Roman" w:hAnsi="Times New Roman" w:hint="eastAsia"/>
            <w:noProof/>
          </w:rPr>
          <w:t>一、调解结案</w:t>
        </w:r>
        <w:r w:rsidR="0069044A">
          <w:rPr>
            <w:noProof/>
          </w:rPr>
          <w:tab/>
        </w:r>
        <w:r>
          <w:rPr>
            <w:noProof/>
          </w:rPr>
          <w:fldChar w:fldCharType="begin"/>
        </w:r>
        <w:r w:rsidR="0069044A">
          <w:rPr>
            <w:noProof/>
          </w:rPr>
          <w:instrText xml:space="preserve"> PAGEREF _Toc229225568 \h </w:instrText>
        </w:r>
        <w:r>
          <w:rPr>
            <w:noProof/>
          </w:rPr>
        </w:r>
        <w:r>
          <w:rPr>
            <w:noProof/>
          </w:rPr>
          <w:fldChar w:fldCharType="separate"/>
        </w:r>
        <w:r w:rsidR="00731089">
          <w:rPr>
            <w:noProof/>
          </w:rPr>
          <w:t>204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69" w:history="1">
        <w:r w:rsidR="0069044A" w:rsidRPr="004015C7">
          <w:rPr>
            <w:rStyle w:val="af2"/>
            <w:rFonts w:ascii="Times New Roman" w:hAnsi="Times New Roman" w:hint="eastAsia"/>
            <w:noProof/>
          </w:rPr>
          <w:t>二、撤销案件</w:t>
        </w:r>
        <w:r w:rsidR="0069044A">
          <w:rPr>
            <w:noProof/>
          </w:rPr>
          <w:tab/>
        </w:r>
        <w:r>
          <w:rPr>
            <w:noProof/>
          </w:rPr>
          <w:fldChar w:fldCharType="begin"/>
        </w:r>
        <w:r w:rsidR="0069044A">
          <w:rPr>
            <w:noProof/>
          </w:rPr>
          <w:instrText xml:space="preserve"> PAGEREF _Toc229225569 \h </w:instrText>
        </w:r>
        <w:r>
          <w:rPr>
            <w:noProof/>
          </w:rPr>
        </w:r>
        <w:r>
          <w:rPr>
            <w:noProof/>
          </w:rPr>
          <w:fldChar w:fldCharType="separate"/>
        </w:r>
        <w:r w:rsidR="00731089">
          <w:rPr>
            <w:noProof/>
          </w:rPr>
          <w:t>204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70" w:history="1">
        <w:r w:rsidR="0069044A" w:rsidRPr="004015C7">
          <w:rPr>
            <w:rStyle w:val="af2"/>
            <w:rFonts w:ascii="Times New Roman" w:hAnsi="Times New Roman" w:hint="eastAsia"/>
            <w:noProof/>
          </w:rPr>
          <w:t>三、调解时限</w:t>
        </w:r>
        <w:r w:rsidR="0069044A">
          <w:rPr>
            <w:noProof/>
          </w:rPr>
          <w:tab/>
        </w:r>
        <w:r>
          <w:rPr>
            <w:noProof/>
          </w:rPr>
          <w:fldChar w:fldCharType="begin"/>
        </w:r>
        <w:r w:rsidR="0069044A">
          <w:rPr>
            <w:noProof/>
          </w:rPr>
          <w:instrText xml:space="preserve"> PAGEREF _Toc229225570 \h </w:instrText>
        </w:r>
        <w:r>
          <w:rPr>
            <w:noProof/>
          </w:rPr>
        </w:r>
        <w:r>
          <w:rPr>
            <w:noProof/>
          </w:rPr>
          <w:fldChar w:fldCharType="separate"/>
        </w:r>
        <w:r w:rsidR="00731089">
          <w:rPr>
            <w:noProof/>
          </w:rPr>
          <w:t>205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71" w:history="1">
        <w:r w:rsidR="0069044A" w:rsidRPr="004015C7">
          <w:rPr>
            <w:rStyle w:val="af2"/>
            <w:rFonts w:ascii="Times New Roman" w:hAnsi="Times New Roman" w:hint="eastAsia"/>
            <w:noProof/>
          </w:rPr>
          <w:t>四、调解效力</w:t>
        </w:r>
        <w:r w:rsidR="0069044A">
          <w:rPr>
            <w:noProof/>
          </w:rPr>
          <w:tab/>
        </w:r>
        <w:r>
          <w:rPr>
            <w:noProof/>
          </w:rPr>
          <w:fldChar w:fldCharType="begin"/>
        </w:r>
        <w:r w:rsidR="0069044A">
          <w:rPr>
            <w:noProof/>
          </w:rPr>
          <w:instrText xml:space="preserve"> PAGEREF _Toc229225571 \h </w:instrText>
        </w:r>
        <w:r>
          <w:rPr>
            <w:noProof/>
          </w:rPr>
        </w:r>
        <w:r>
          <w:rPr>
            <w:noProof/>
          </w:rPr>
          <w:fldChar w:fldCharType="separate"/>
        </w:r>
        <w:r w:rsidR="00731089">
          <w:rPr>
            <w:noProof/>
          </w:rPr>
          <w:t>205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72" w:history="1">
        <w:r w:rsidR="0069044A" w:rsidRPr="004015C7">
          <w:rPr>
            <w:rStyle w:val="af2"/>
            <w:rFonts w:ascii="Times New Roman" w:hAnsi="Times New Roman" w:hint="eastAsia"/>
            <w:noProof/>
          </w:rPr>
          <w:t>五、案卷管理</w:t>
        </w:r>
        <w:r w:rsidR="0069044A">
          <w:rPr>
            <w:noProof/>
          </w:rPr>
          <w:tab/>
        </w:r>
        <w:r>
          <w:rPr>
            <w:noProof/>
          </w:rPr>
          <w:fldChar w:fldCharType="begin"/>
        </w:r>
        <w:r w:rsidR="0069044A">
          <w:rPr>
            <w:noProof/>
          </w:rPr>
          <w:instrText xml:space="preserve"> PAGEREF _Toc229225572 \h </w:instrText>
        </w:r>
        <w:r>
          <w:rPr>
            <w:noProof/>
          </w:rPr>
        </w:r>
        <w:r>
          <w:rPr>
            <w:noProof/>
          </w:rPr>
          <w:fldChar w:fldCharType="separate"/>
        </w:r>
        <w:r w:rsidR="00731089">
          <w:rPr>
            <w:noProof/>
          </w:rPr>
          <w:t>205</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573" w:history="1">
        <w:r w:rsidR="0069044A" w:rsidRPr="004015C7">
          <w:rPr>
            <w:rStyle w:val="af2"/>
            <w:rFonts w:hint="eastAsia"/>
            <w:noProof/>
          </w:rPr>
          <w:t>第三章　专利权属纠纷的行政调解</w:t>
        </w:r>
        <w:r w:rsidR="0069044A">
          <w:rPr>
            <w:noProof/>
          </w:rPr>
          <w:tab/>
        </w:r>
        <w:r>
          <w:rPr>
            <w:noProof/>
          </w:rPr>
          <w:fldChar w:fldCharType="begin"/>
        </w:r>
        <w:r w:rsidR="0069044A">
          <w:rPr>
            <w:noProof/>
          </w:rPr>
          <w:instrText xml:space="preserve"> PAGEREF _Toc229225573 \h </w:instrText>
        </w:r>
        <w:r>
          <w:rPr>
            <w:noProof/>
          </w:rPr>
        </w:r>
        <w:r>
          <w:rPr>
            <w:noProof/>
          </w:rPr>
          <w:fldChar w:fldCharType="separate"/>
        </w:r>
        <w:r w:rsidR="00731089">
          <w:rPr>
            <w:noProof/>
          </w:rPr>
          <w:t>206</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74" w:history="1">
        <w:r w:rsidR="0069044A" w:rsidRPr="004015C7">
          <w:rPr>
            <w:rStyle w:val="af2"/>
            <w:rFonts w:ascii="Times New Roman" w:hAnsi="Times New Roman" w:hint="eastAsia"/>
            <w:noProof/>
          </w:rPr>
          <w:t>第一节　职务发明创造引起的专利权属纠纷的行政调解</w:t>
        </w:r>
        <w:r w:rsidR="0069044A">
          <w:rPr>
            <w:noProof/>
          </w:rPr>
          <w:tab/>
        </w:r>
        <w:r>
          <w:rPr>
            <w:noProof/>
          </w:rPr>
          <w:fldChar w:fldCharType="begin"/>
        </w:r>
        <w:r w:rsidR="0069044A">
          <w:rPr>
            <w:noProof/>
          </w:rPr>
          <w:instrText xml:space="preserve"> PAGEREF _Toc229225574 \h </w:instrText>
        </w:r>
        <w:r>
          <w:rPr>
            <w:noProof/>
          </w:rPr>
        </w:r>
        <w:r>
          <w:rPr>
            <w:noProof/>
          </w:rPr>
          <w:fldChar w:fldCharType="separate"/>
        </w:r>
        <w:r w:rsidR="00731089">
          <w:rPr>
            <w:noProof/>
          </w:rPr>
          <w:t>206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75" w:history="1">
        <w:r w:rsidR="0069044A" w:rsidRPr="004015C7">
          <w:rPr>
            <w:rStyle w:val="af2"/>
            <w:rFonts w:ascii="Times New Roman" w:hAnsi="Times New Roman" w:hint="eastAsia"/>
            <w:noProof/>
          </w:rPr>
          <w:t>一、职务发明创造权属纠纷调解案件的类型</w:t>
        </w:r>
        <w:r w:rsidR="0069044A">
          <w:rPr>
            <w:noProof/>
          </w:rPr>
          <w:tab/>
        </w:r>
        <w:r>
          <w:rPr>
            <w:noProof/>
          </w:rPr>
          <w:fldChar w:fldCharType="begin"/>
        </w:r>
        <w:r w:rsidR="0069044A">
          <w:rPr>
            <w:noProof/>
          </w:rPr>
          <w:instrText xml:space="preserve"> PAGEREF _Toc229225575 \h </w:instrText>
        </w:r>
        <w:r>
          <w:rPr>
            <w:noProof/>
          </w:rPr>
        </w:r>
        <w:r>
          <w:rPr>
            <w:noProof/>
          </w:rPr>
          <w:fldChar w:fldCharType="separate"/>
        </w:r>
        <w:r w:rsidR="00731089">
          <w:rPr>
            <w:noProof/>
          </w:rPr>
          <w:t>206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76" w:history="1">
        <w:r w:rsidR="0069044A" w:rsidRPr="004015C7">
          <w:rPr>
            <w:rStyle w:val="af2"/>
            <w:rFonts w:ascii="Times New Roman" w:hAnsi="Times New Roman" w:hint="eastAsia"/>
            <w:noProof/>
          </w:rPr>
          <w:t>二、职务发明创造的判断</w:t>
        </w:r>
        <w:r w:rsidR="0069044A">
          <w:rPr>
            <w:noProof/>
          </w:rPr>
          <w:tab/>
        </w:r>
        <w:r>
          <w:rPr>
            <w:noProof/>
          </w:rPr>
          <w:fldChar w:fldCharType="begin"/>
        </w:r>
        <w:r w:rsidR="0069044A">
          <w:rPr>
            <w:noProof/>
          </w:rPr>
          <w:instrText xml:space="preserve"> PAGEREF _Toc229225576 \h </w:instrText>
        </w:r>
        <w:r>
          <w:rPr>
            <w:noProof/>
          </w:rPr>
        </w:r>
        <w:r>
          <w:rPr>
            <w:noProof/>
          </w:rPr>
          <w:fldChar w:fldCharType="separate"/>
        </w:r>
        <w:r w:rsidR="00731089">
          <w:rPr>
            <w:noProof/>
          </w:rPr>
          <w:t>206</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77" w:history="1">
        <w:r w:rsidR="0069044A" w:rsidRPr="004015C7">
          <w:rPr>
            <w:rStyle w:val="af2"/>
            <w:rFonts w:ascii="Times New Roman" w:hAnsi="Times New Roman" w:hint="eastAsia"/>
            <w:noProof/>
          </w:rPr>
          <w:t>第二节　委托开发与合作开发引起的专利权属纠纷的行政调解</w:t>
        </w:r>
        <w:r w:rsidR="0069044A">
          <w:rPr>
            <w:noProof/>
          </w:rPr>
          <w:tab/>
        </w:r>
        <w:r>
          <w:rPr>
            <w:noProof/>
          </w:rPr>
          <w:fldChar w:fldCharType="begin"/>
        </w:r>
        <w:r w:rsidR="0069044A">
          <w:rPr>
            <w:noProof/>
          </w:rPr>
          <w:instrText xml:space="preserve"> PAGEREF _Toc229225577 \h </w:instrText>
        </w:r>
        <w:r>
          <w:rPr>
            <w:noProof/>
          </w:rPr>
        </w:r>
        <w:r>
          <w:rPr>
            <w:noProof/>
          </w:rPr>
          <w:fldChar w:fldCharType="separate"/>
        </w:r>
        <w:r w:rsidR="00731089">
          <w:rPr>
            <w:noProof/>
          </w:rPr>
          <w:t>213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78" w:history="1">
        <w:r w:rsidR="0069044A" w:rsidRPr="004015C7">
          <w:rPr>
            <w:rStyle w:val="af2"/>
            <w:rFonts w:ascii="Times New Roman" w:hAnsi="Times New Roman" w:hint="eastAsia"/>
            <w:noProof/>
          </w:rPr>
          <w:t>一、委托开发完成的发明创造</w:t>
        </w:r>
        <w:r w:rsidR="0069044A">
          <w:rPr>
            <w:noProof/>
          </w:rPr>
          <w:tab/>
        </w:r>
        <w:r>
          <w:rPr>
            <w:noProof/>
          </w:rPr>
          <w:fldChar w:fldCharType="begin"/>
        </w:r>
        <w:r w:rsidR="0069044A">
          <w:rPr>
            <w:noProof/>
          </w:rPr>
          <w:instrText xml:space="preserve"> PAGEREF _Toc229225578 \h </w:instrText>
        </w:r>
        <w:r>
          <w:rPr>
            <w:noProof/>
          </w:rPr>
        </w:r>
        <w:r>
          <w:rPr>
            <w:noProof/>
          </w:rPr>
          <w:fldChar w:fldCharType="separate"/>
        </w:r>
        <w:r w:rsidR="00731089">
          <w:rPr>
            <w:noProof/>
          </w:rPr>
          <w:t>213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79" w:history="1">
        <w:r w:rsidR="0069044A" w:rsidRPr="004015C7">
          <w:rPr>
            <w:rStyle w:val="af2"/>
            <w:rFonts w:ascii="Times New Roman" w:hAnsi="Times New Roman" w:hint="eastAsia"/>
            <w:noProof/>
          </w:rPr>
          <w:t>二、合作开发完成的发明创造</w:t>
        </w:r>
        <w:r w:rsidR="0069044A">
          <w:rPr>
            <w:noProof/>
          </w:rPr>
          <w:tab/>
        </w:r>
        <w:r>
          <w:rPr>
            <w:noProof/>
          </w:rPr>
          <w:fldChar w:fldCharType="begin"/>
        </w:r>
        <w:r w:rsidR="0069044A">
          <w:rPr>
            <w:noProof/>
          </w:rPr>
          <w:instrText xml:space="preserve"> PAGEREF _Toc229225579 \h </w:instrText>
        </w:r>
        <w:r>
          <w:rPr>
            <w:noProof/>
          </w:rPr>
        </w:r>
        <w:r>
          <w:rPr>
            <w:noProof/>
          </w:rPr>
          <w:fldChar w:fldCharType="separate"/>
        </w:r>
        <w:r w:rsidR="00731089">
          <w:rPr>
            <w:noProof/>
          </w:rPr>
          <w:t>214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80" w:history="1">
        <w:r w:rsidR="0069044A" w:rsidRPr="004015C7">
          <w:rPr>
            <w:rStyle w:val="af2"/>
            <w:rFonts w:ascii="Times New Roman" w:hAnsi="Times New Roman" w:hint="eastAsia"/>
            <w:noProof/>
          </w:rPr>
          <w:t>三、委托开发与合作开发的判断</w:t>
        </w:r>
        <w:r w:rsidR="0069044A">
          <w:rPr>
            <w:noProof/>
          </w:rPr>
          <w:tab/>
        </w:r>
        <w:r>
          <w:rPr>
            <w:noProof/>
          </w:rPr>
          <w:fldChar w:fldCharType="begin"/>
        </w:r>
        <w:r w:rsidR="0069044A">
          <w:rPr>
            <w:noProof/>
          </w:rPr>
          <w:instrText xml:space="preserve"> PAGEREF _Toc229225580 \h </w:instrText>
        </w:r>
        <w:r>
          <w:rPr>
            <w:noProof/>
          </w:rPr>
        </w:r>
        <w:r>
          <w:rPr>
            <w:noProof/>
          </w:rPr>
          <w:fldChar w:fldCharType="separate"/>
        </w:r>
        <w:r w:rsidR="00731089">
          <w:rPr>
            <w:noProof/>
          </w:rPr>
          <w:t>215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81" w:history="1">
        <w:r w:rsidR="0069044A" w:rsidRPr="004015C7">
          <w:rPr>
            <w:rStyle w:val="af2"/>
            <w:rFonts w:ascii="Times New Roman" w:hAnsi="Times New Roman" w:cs="黑体" w:hint="eastAsia"/>
            <w:bCs/>
            <w:noProof/>
            <w:spacing w:val="15"/>
          </w:rPr>
          <w:t>四、发明创造的内容与合同标的的关系</w:t>
        </w:r>
        <w:r w:rsidR="0069044A">
          <w:rPr>
            <w:noProof/>
          </w:rPr>
          <w:tab/>
        </w:r>
        <w:r>
          <w:rPr>
            <w:noProof/>
          </w:rPr>
          <w:fldChar w:fldCharType="begin"/>
        </w:r>
        <w:r w:rsidR="0069044A">
          <w:rPr>
            <w:noProof/>
          </w:rPr>
          <w:instrText xml:space="preserve"> PAGEREF _Toc229225581 \h </w:instrText>
        </w:r>
        <w:r>
          <w:rPr>
            <w:noProof/>
          </w:rPr>
        </w:r>
        <w:r>
          <w:rPr>
            <w:noProof/>
          </w:rPr>
          <w:fldChar w:fldCharType="separate"/>
        </w:r>
        <w:r w:rsidR="00731089">
          <w:rPr>
            <w:noProof/>
          </w:rPr>
          <w:t>216</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82" w:history="1">
        <w:r w:rsidR="0069044A" w:rsidRPr="004015C7">
          <w:rPr>
            <w:rStyle w:val="af2"/>
            <w:rFonts w:ascii="Times New Roman" w:hAnsi="Times New Roman" w:hint="eastAsia"/>
            <w:noProof/>
          </w:rPr>
          <w:t>第三节　技术转让引起的专利权属纠纷的行政调解</w:t>
        </w:r>
        <w:r w:rsidR="0069044A">
          <w:rPr>
            <w:noProof/>
          </w:rPr>
          <w:tab/>
        </w:r>
        <w:r>
          <w:rPr>
            <w:noProof/>
          </w:rPr>
          <w:fldChar w:fldCharType="begin"/>
        </w:r>
        <w:r w:rsidR="0069044A">
          <w:rPr>
            <w:noProof/>
          </w:rPr>
          <w:instrText xml:space="preserve"> PAGEREF _Toc229225582 \h </w:instrText>
        </w:r>
        <w:r>
          <w:rPr>
            <w:noProof/>
          </w:rPr>
        </w:r>
        <w:r>
          <w:rPr>
            <w:noProof/>
          </w:rPr>
          <w:fldChar w:fldCharType="separate"/>
        </w:r>
        <w:r w:rsidR="00731089">
          <w:rPr>
            <w:noProof/>
          </w:rPr>
          <w:t>217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83" w:history="1">
        <w:r w:rsidR="0069044A" w:rsidRPr="004015C7">
          <w:rPr>
            <w:rStyle w:val="af2"/>
            <w:rFonts w:ascii="Times New Roman" w:hAnsi="Times New Roman" w:hint="eastAsia"/>
            <w:noProof/>
          </w:rPr>
          <w:t>一、权利转让</w:t>
        </w:r>
        <w:r w:rsidR="0069044A">
          <w:rPr>
            <w:noProof/>
          </w:rPr>
          <w:tab/>
        </w:r>
        <w:r>
          <w:rPr>
            <w:noProof/>
          </w:rPr>
          <w:fldChar w:fldCharType="begin"/>
        </w:r>
        <w:r w:rsidR="0069044A">
          <w:rPr>
            <w:noProof/>
          </w:rPr>
          <w:instrText xml:space="preserve"> PAGEREF _Toc229225583 \h </w:instrText>
        </w:r>
        <w:r>
          <w:rPr>
            <w:noProof/>
          </w:rPr>
        </w:r>
        <w:r>
          <w:rPr>
            <w:noProof/>
          </w:rPr>
          <w:fldChar w:fldCharType="separate"/>
        </w:r>
        <w:r w:rsidR="00731089">
          <w:rPr>
            <w:noProof/>
          </w:rPr>
          <w:t>217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84" w:history="1">
        <w:r w:rsidR="0069044A" w:rsidRPr="004015C7">
          <w:rPr>
            <w:rStyle w:val="af2"/>
            <w:rFonts w:ascii="Times New Roman" w:hAnsi="Times New Roman" w:hint="eastAsia"/>
            <w:noProof/>
          </w:rPr>
          <w:t>二、技术秘密转让</w:t>
        </w:r>
        <w:r w:rsidR="0069044A">
          <w:rPr>
            <w:noProof/>
          </w:rPr>
          <w:tab/>
        </w:r>
        <w:r>
          <w:rPr>
            <w:noProof/>
          </w:rPr>
          <w:fldChar w:fldCharType="begin"/>
        </w:r>
        <w:r w:rsidR="0069044A">
          <w:rPr>
            <w:noProof/>
          </w:rPr>
          <w:instrText xml:space="preserve"> PAGEREF _Toc229225584 \h </w:instrText>
        </w:r>
        <w:r>
          <w:rPr>
            <w:noProof/>
          </w:rPr>
        </w:r>
        <w:r>
          <w:rPr>
            <w:noProof/>
          </w:rPr>
          <w:fldChar w:fldCharType="separate"/>
        </w:r>
        <w:r w:rsidR="00731089">
          <w:rPr>
            <w:noProof/>
          </w:rPr>
          <w:t>218</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85" w:history="1">
        <w:r w:rsidR="0069044A" w:rsidRPr="004015C7">
          <w:rPr>
            <w:rStyle w:val="af2"/>
            <w:rFonts w:ascii="Times New Roman" w:hAnsi="Times New Roman" w:hint="eastAsia"/>
            <w:noProof/>
          </w:rPr>
          <w:t>三、技术秘密使用许可</w:t>
        </w:r>
        <w:r w:rsidR="0069044A">
          <w:rPr>
            <w:noProof/>
          </w:rPr>
          <w:tab/>
        </w:r>
        <w:r>
          <w:rPr>
            <w:noProof/>
          </w:rPr>
          <w:fldChar w:fldCharType="begin"/>
        </w:r>
        <w:r w:rsidR="0069044A">
          <w:rPr>
            <w:noProof/>
          </w:rPr>
          <w:instrText xml:space="preserve"> PAGEREF _Toc229225585 \h </w:instrText>
        </w:r>
        <w:r>
          <w:rPr>
            <w:noProof/>
          </w:rPr>
        </w:r>
        <w:r>
          <w:rPr>
            <w:noProof/>
          </w:rPr>
          <w:fldChar w:fldCharType="separate"/>
        </w:r>
        <w:r w:rsidR="00731089">
          <w:rPr>
            <w:noProof/>
          </w:rPr>
          <w:t>219</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586" w:history="1">
        <w:r w:rsidR="0069044A" w:rsidRPr="004015C7">
          <w:rPr>
            <w:rStyle w:val="af2"/>
            <w:rFonts w:hint="eastAsia"/>
            <w:noProof/>
          </w:rPr>
          <w:t>第四章　发明人或设计人署名权纠纷的行政调解</w:t>
        </w:r>
        <w:r w:rsidR="0069044A">
          <w:rPr>
            <w:noProof/>
          </w:rPr>
          <w:tab/>
        </w:r>
        <w:r>
          <w:rPr>
            <w:noProof/>
          </w:rPr>
          <w:fldChar w:fldCharType="begin"/>
        </w:r>
        <w:r w:rsidR="0069044A">
          <w:rPr>
            <w:noProof/>
          </w:rPr>
          <w:instrText xml:space="preserve"> PAGEREF _Toc229225586 \h </w:instrText>
        </w:r>
        <w:r>
          <w:rPr>
            <w:noProof/>
          </w:rPr>
        </w:r>
        <w:r>
          <w:rPr>
            <w:noProof/>
          </w:rPr>
          <w:fldChar w:fldCharType="separate"/>
        </w:r>
        <w:r w:rsidR="00731089">
          <w:rPr>
            <w:noProof/>
          </w:rPr>
          <w:t>221</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87" w:history="1">
        <w:r w:rsidR="0069044A" w:rsidRPr="004015C7">
          <w:rPr>
            <w:rStyle w:val="af2"/>
            <w:rFonts w:ascii="Times New Roman" w:hAnsi="Times New Roman" w:hint="eastAsia"/>
            <w:noProof/>
          </w:rPr>
          <w:t>第一节　发明人或设计人资格的构成要件</w:t>
        </w:r>
        <w:r w:rsidR="0069044A">
          <w:rPr>
            <w:noProof/>
          </w:rPr>
          <w:tab/>
        </w:r>
        <w:r>
          <w:rPr>
            <w:noProof/>
          </w:rPr>
          <w:fldChar w:fldCharType="begin"/>
        </w:r>
        <w:r w:rsidR="0069044A">
          <w:rPr>
            <w:noProof/>
          </w:rPr>
          <w:instrText xml:space="preserve"> PAGEREF _Toc229225587 \h </w:instrText>
        </w:r>
        <w:r>
          <w:rPr>
            <w:noProof/>
          </w:rPr>
        </w:r>
        <w:r>
          <w:rPr>
            <w:noProof/>
          </w:rPr>
          <w:fldChar w:fldCharType="separate"/>
        </w:r>
        <w:r w:rsidR="00731089">
          <w:rPr>
            <w:noProof/>
          </w:rPr>
          <w:t>221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88" w:history="1">
        <w:r w:rsidR="0069044A" w:rsidRPr="004015C7">
          <w:rPr>
            <w:rStyle w:val="af2"/>
            <w:rFonts w:ascii="Times New Roman" w:hAnsi="Times New Roman" w:hint="eastAsia"/>
            <w:noProof/>
          </w:rPr>
          <w:t>一、存在专利法意义上的发明创造</w:t>
        </w:r>
        <w:r w:rsidR="0069044A">
          <w:rPr>
            <w:noProof/>
          </w:rPr>
          <w:tab/>
        </w:r>
        <w:r>
          <w:rPr>
            <w:noProof/>
          </w:rPr>
          <w:fldChar w:fldCharType="begin"/>
        </w:r>
        <w:r w:rsidR="0069044A">
          <w:rPr>
            <w:noProof/>
          </w:rPr>
          <w:instrText xml:space="preserve"> PAGEREF _Toc229225588 \h </w:instrText>
        </w:r>
        <w:r>
          <w:rPr>
            <w:noProof/>
          </w:rPr>
        </w:r>
        <w:r>
          <w:rPr>
            <w:noProof/>
          </w:rPr>
          <w:fldChar w:fldCharType="separate"/>
        </w:r>
        <w:r w:rsidR="00731089">
          <w:rPr>
            <w:noProof/>
          </w:rPr>
          <w:t>221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89" w:history="1">
        <w:r w:rsidR="0069044A" w:rsidRPr="004015C7">
          <w:rPr>
            <w:rStyle w:val="af2"/>
            <w:rFonts w:ascii="Times New Roman" w:hAnsi="Times New Roman" w:hint="eastAsia"/>
            <w:noProof/>
          </w:rPr>
          <w:t>二、是发明创造的实际参与人</w:t>
        </w:r>
        <w:r w:rsidR="0069044A">
          <w:rPr>
            <w:noProof/>
          </w:rPr>
          <w:tab/>
        </w:r>
        <w:r>
          <w:rPr>
            <w:noProof/>
          </w:rPr>
          <w:fldChar w:fldCharType="begin"/>
        </w:r>
        <w:r w:rsidR="0069044A">
          <w:rPr>
            <w:noProof/>
          </w:rPr>
          <w:instrText xml:space="preserve"> PAGEREF _Toc229225589 \h </w:instrText>
        </w:r>
        <w:r>
          <w:rPr>
            <w:noProof/>
          </w:rPr>
        </w:r>
        <w:r>
          <w:rPr>
            <w:noProof/>
          </w:rPr>
          <w:fldChar w:fldCharType="separate"/>
        </w:r>
        <w:r w:rsidR="00731089">
          <w:rPr>
            <w:noProof/>
          </w:rPr>
          <w:t>222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90" w:history="1">
        <w:r w:rsidR="0069044A" w:rsidRPr="004015C7">
          <w:rPr>
            <w:rStyle w:val="af2"/>
            <w:rFonts w:ascii="Times New Roman" w:hAnsi="Times New Roman" w:hint="eastAsia"/>
            <w:noProof/>
          </w:rPr>
          <w:t>三、对发明创造的实质性特点作出创造性贡献</w:t>
        </w:r>
        <w:r w:rsidR="0069044A">
          <w:rPr>
            <w:noProof/>
          </w:rPr>
          <w:tab/>
        </w:r>
        <w:r>
          <w:rPr>
            <w:noProof/>
          </w:rPr>
          <w:fldChar w:fldCharType="begin"/>
        </w:r>
        <w:r w:rsidR="0069044A">
          <w:rPr>
            <w:noProof/>
          </w:rPr>
          <w:instrText xml:space="preserve"> PAGEREF _Toc229225590 \h </w:instrText>
        </w:r>
        <w:r>
          <w:rPr>
            <w:noProof/>
          </w:rPr>
        </w:r>
        <w:r>
          <w:rPr>
            <w:noProof/>
          </w:rPr>
          <w:fldChar w:fldCharType="separate"/>
        </w:r>
        <w:r w:rsidR="00731089">
          <w:rPr>
            <w:noProof/>
          </w:rPr>
          <w:t>223</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91" w:history="1">
        <w:r w:rsidR="0069044A" w:rsidRPr="004015C7">
          <w:rPr>
            <w:rStyle w:val="af2"/>
            <w:rFonts w:ascii="Times New Roman" w:hAnsi="Times New Roman" w:hint="eastAsia"/>
            <w:noProof/>
          </w:rPr>
          <w:t>第二节　判断发明人或设计人资格的考虑因素</w:t>
        </w:r>
        <w:r w:rsidR="0069044A">
          <w:rPr>
            <w:noProof/>
          </w:rPr>
          <w:tab/>
        </w:r>
        <w:r>
          <w:rPr>
            <w:noProof/>
          </w:rPr>
          <w:fldChar w:fldCharType="begin"/>
        </w:r>
        <w:r w:rsidR="0069044A">
          <w:rPr>
            <w:noProof/>
          </w:rPr>
          <w:instrText xml:space="preserve"> PAGEREF _Toc229225591 \h </w:instrText>
        </w:r>
        <w:r>
          <w:rPr>
            <w:noProof/>
          </w:rPr>
        </w:r>
        <w:r>
          <w:rPr>
            <w:noProof/>
          </w:rPr>
          <w:fldChar w:fldCharType="separate"/>
        </w:r>
        <w:r w:rsidR="00731089">
          <w:rPr>
            <w:noProof/>
          </w:rPr>
          <w:t>225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92" w:history="1">
        <w:r w:rsidR="0069044A" w:rsidRPr="004015C7">
          <w:rPr>
            <w:rStyle w:val="af2"/>
            <w:rFonts w:ascii="Times New Roman" w:hAnsi="Times New Roman" w:hint="eastAsia"/>
            <w:noProof/>
          </w:rPr>
          <w:t>一、当事人提交的证据</w:t>
        </w:r>
        <w:r w:rsidR="0069044A">
          <w:rPr>
            <w:noProof/>
          </w:rPr>
          <w:tab/>
        </w:r>
        <w:r>
          <w:rPr>
            <w:noProof/>
          </w:rPr>
          <w:fldChar w:fldCharType="begin"/>
        </w:r>
        <w:r w:rsidR="0069044A">
          <w:rPr>
            <w:noProof/>
          </w:rPr>
          <w:instrText xml:space="preserve"> PAGEREF _Toc229225592 \h </w:instrText>
        </w:r>
        <w:r>
          <w:rPr>
            <w:noProof/>
          </w:rPr>
        </w:r>
        <w:r>
          <w:rPr>
            <w:noProof/>
          </w:rPr>
          <w:fldChar w:fldCharType="separate"/>
        </w:r>
        <w:r w:rsidR="00731089">
          <w:rPr>
            <w:noProof/>
          </w:rPr>
          <w:t>225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93" w:history="1">
        <w:r w:rsidR="0069044A" w:rsidRPr="004015C7">
          <w:rPr>
            <w:rStyle w:val="af2"/>
            <w:rFonts w:ascii="Times New Roman" w:hAnsi="Times New Roman" w:hint="eastAsia"/>
            <w:noProof/>
          </w:rPr>
          <w:t>二、当事人对技术方案的细节及其形成过程的了解程度</w:t>
        </w:r>
        <w:r w:rsidR="0069044A">
          <w:rPr>
            <w:noProof/>
          </w:rPr>
          <w:tab/>
        </w:r>
        <w:r>
          <w:rPr>
            <w:noProof/>
          </w:rPr>
          <w:fldChar w:fldCharType="begin"/>
        </w:r>
        <w:r w:rsidR="0069044A">
          <w:rPr>
            <w:noProof/>
          </w:rPr>
          <w:instrText xml:space="preserve"> PAGEREF _Toc229225593 \h </w:instrText>
        </w:r>
        <w:r>
          <w:rPr>
            <w:noProof/>
          </w:rPr>
        </w:r>
        <w:r>
          <w:rPr>
            <w:noProof/>
          </w:rPr>
          <w:fldChar w:fldCharType="separate"/>
        </w:r>
        <w:r w:rsidR="00731089">
          <w:rPr>
            <w:noProof/>
          </w:rPr>
          <w:t>225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94" w:history="1">
        <w:r w:rsidR="0069044A" w:rsidRPr="004015C7">
          <w:rPr>
            <w:rStyle w:val="af2"/>
            <w:rFonts w:ascii="Times New Roman" w:hAnsi="Times New Roman" w:hint="eastAsia"/>
            <w:noProof/>
          </w:rPr>
          <w:t>三、当事人在发明创造过程中承担的角色</w:t>
        </w:r>
        <w:r w:rsidR="0069044A">
          <w:rPr>
            <w:noProof/>
          </w:rPr>
          <w:tab/>
        </w:r>
        <w:r>
          <w:rPr>
            <w:noProof/>
          </w:rPr>
          <w:fldChar w:fldCharType="begin"/>
        </w:r>
        <w:r w:rsidR="0069044A">
          <w:rPr>
            <w:noProof/>
          </w:rPr>
          <w:instrText xml:space="preserve"> PAGEREF _Toc229225594 \h </w:instrText>
        </w:r>
        <w:r>
          <w:rPr>
            <w:noProof/>
          </w:rPr>
        </w:r>
        <w:r>
          <w:rPr>
            <w:noProof/>
          </w:rPr>
          <w:fldChar w:fldCharType="separate"/>
        </w:r>
        <w:r w:rsidR="00731089">
          <w:rPr>
            <w:noProof/>
          </w:rPr>
          <w:t>226</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95" w:history="1">
        <w:r w:rsidR="0069044A" w:rsidRPr="004015C7">
          <w:rPr>
            <w:rStyle w:val="af2"/>
            <w:rFonts w:ascii="Times New Roman" w:hAnsi="Times New Roman" w:hint="eastAsia"/>
            <w:noProof/>
          </w:rPr>
          <w:t>第三节　判断发明人或设计人资格的注意事项</w:t>
        </w:r>
        <w:r w:rsidR="0069044A">
          <w:rPr>
            <w:noProof/>
          </w:rPr>
          <w:tab/>
        </w:r>
        <w:r>
          <w:rPr>
            <w:noProof/>
          </w:rPr>
          <w:fldChar w:fldCharType="begin"/>
        </w:r>
        <w:r w:rsidR="0069044A">
          <w:rPr>
            <w:noProof/>
          </w:rPr>
          <w:instrText xml:space="preserve"> PAGEREF _Toc229225595 \h </w:instrText>
        </w:r>
        <w:r>
          <w:rPr>
            <w:noProof/>
          </w:rPr>
        </w:r>
        <w:r>
          <w:rPr>
            <w:noProof/>
          </w:rPr>
          <w:fldChar w:fldCharType="separate"/>
        </w:r>
        <w:r w:rsidR="00731089">
          <w:rPr>
            <w:noProof/>
          </w:rPr>
          <w:t>228</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96" w:history="1">
        <w:r w:rsidR="0069044A" w:rsidRPr="004015C7">
          <w:rPr>
            <w:rStyle w:val="af2"/>
            <w:rFonts w:ascii="Times New Roman" w:hAnsi="Times New Roman" w:hint="eastAsia"/>
            <w:noProof/>
          </w:rPr>
          <w:t>一、发明人或设计人署名权的性质</w:t>
        </w:r>
        <w:r w:rsidR="0069044A">
          <w:rPr>
            <w:noProof/>
          </w:rPr>
          <w:tab/>
        </w:r>
        <w:r>
          <w:rPr>
            <w:noProof/>
          </w:rPr>
          <w:fldChar w:fldCharType="begin"/>
        </w:r>
        <w:r w:rsidR="0069044A">
          <w:rPr>
            <w:noProof/>
          </w:rPr>
          <w:instrText xml:space="preserve"> PAGEREF _Toc229225596 \h </w:instrText>
        </w:r>
        <w:r>
          <w:rPr>
            <w:noProof/>
          </w:rPr>
        </w:r>
        <w:r>
          <w:rPr>
            <w:noProof/>
          </w:rPr>
          <w:fldChar w:fldCharType="separate"/>
        </w:r>
        <w:r w:rsidR="00731089">
          <w:rPr>
            <w:noProof/>
          </w:rPr>
          <w:t>228</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597" w:history="1">
        <w:r w:rsidR="0069044A" w:rsidRPr="004015C7">
          <w:rPr>
            <w:rStyle w:val="af2"/>
            <w:rFonts w:ascii="Times New Roman" w:hAnsi="Times New Roman" w:hint="eastAsia"/>
            <w:noProof/>
          </w:rPr>
          <w:t>二、发明人或设计人署名权纠纷中的举证</w:t>
        </w:r>
        <w:r w:rsidR="0069044A">
          <w:rPr>
            <w:noProof/>
          </w:rPr>
          <w:tab/>
        </w:r>
        <w:r>
          <w:rPr>
            <w:noProof/>
          </w:rPr>
          <w:fldChar w:fldCharType="begin"/>
        </w:r>
        <w:r w:rsidR="0069044A">
          <w:rPr>
            <w:noProof/>
          </w:rPr>
          <w:instrText xml:space="preserve"> PAGEREF _Toc229225597 \h </w:instrText>
        </w:r>
        <w:r>
          <w:rPr>
            <w:noProof/>
          </w:rPr>
        </w:r>
        <w:r>
          <w:rPr>
            <w:noProof/>
          </w:rPr>
          <w:fldChar w:fldCharType="separate"/>
        </w:r>
        <w:r w:rsidR="00731089">
          <w:rPr>
            <w:noProof/>
          </w:rPr>
          <w:t>229</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598" w:history="1">
        <w:r w:rsidR="0069044A" w:rsidRPr="004015C7">
          <w:rPr>
            <w:rStyle w:val="af2"/>
            <w:rFonts w:hint="eastAsia"/>
            <w:noProof/>
          </w:rPr>
          <w:t>第五章　奖酬纠纷的行政调解</w:t>
        </w:r>
        <w:r w:rsidR="0069044A">
          <w:rPr>
            <w:noProof/>
          </w:rPr>
          <w:tab/>
        </w:r>
        <w:r>
          <w:rPr>
            <w:noProof/>
          </w:rPr>
          <w:fldChar w:fldCharType="begin"/>
        </w:r>
        <w:r w:rsidR="0069044A">
          <w:rPr>
            <w:noProof/>
          </w:rPr>
          <w:instrText xml:space="preserve"> PAGEREF _Toc229225598 \h </w:instrText>
        </w:r>
        <w:r>
          <w:rPr>
            <w:noProof/>
          </w:rPr>
        </w:r>
        <w:r>
          <w:rPr>
            <w:noProof/>
          </w:rPr>
          <w:fldChar w:fldCharType="separate"/>
        </w:r>
        <w:r w:rsidR="00731089">
          <w:rPr>
            <w:noProof/>
          </w:rPr>
          <w:t>231</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599" w:history="1">
        <w:r w:rsidR="0069044A" w:rsidRPr="004015C7">
          <w:rPr>
            <w:rStyle w:val="af2"/>
            <w:rFonts w:ascii="Times New Roman" w:hAnsi="Times New Roman" w:hint="eastAsia"/>
            <w:noProof/>
          </w:rPr>
          <w:t>第一节　基本概念</w:t>
        </w:r>
        <w:r w:rsidR="0069044A">
          <w:rPr>
            <w:noProof/>
          </w:rPr>
          <w:tab/>
        </w:r>
        <w:r>
          <w:rPr>
            <w:noProof/>
          </w:rPr>
          <w:fldChar w:fldCharType="begin"/>
        </w:r>
        <w:r w:rsidR="0069044A">
          <w:rPr>
            <w:noProof/>
          </w:rPr>
          <w:instrText xml:space="preserve"> PAGEREF _Toc229225599 \h </w:instrText>
        </w:r>
        <w:r>
          <w:rPr>
            <w:noProof/>
          </w:rPr>
        </w:r>
        <w:r>
          <w:rPr>
            <w:noProof/>
          </w:rPr>
          <w:fldChar w:fldCharType="separate"/>
        </w:r>
        <w:r w:rsidR="00731089">
          <w:rPr>
            <w:noProof/>
          </w:rPr>
          <w:t>231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00" w:history="1">
        <w:r w:rsidR="0069044A" w:rsidRPr="004015C7">
          <w:rPr>
            <w:rStyle w:val="af2"/>
            <w:rFonts w:ascii="Times New Roman" w:hAnsi="Times New Roman" w:hint="eastAsia"/>
            <w:noProof/>
          </w:rPr>
          <w:t>一、奖励和报酬</w:t>
        </w:r>
        <w:r w:rsidR="0069044A">
          <w:rPr>
            <w:noProof/>
          </w:rPr>
          <w:tab/>
        </w:r>
        <w:r>
          <w:rPr>
            <w:noProof/>
          </w:rPr>
          <w:fldChar w:fldCharType="begin"/>
        </w:r>
        <w:r w:rsidR="0069044A">
          <w:rPr>
            <w:noProof/>
          </w:rPr>
          <w:instrText xml:space="preserve"> PAGEREF _Toc229225600 \h </w:instrText>
        </w:r>
        <w:r>
          <w:rPr>
            <w:noProof/>
          </w:rPr>
        </w:r>
        <w:r>
          <w:rPr>
            <w:noProof/>
          </w:rPr>
          <w:fldChar w:fldCharType="separate"/>
        </w:r>
        <w:r w:rsidR="00731089">
          <w:rPr>
            <w:noProof/>
          </w:rPr>
          <w:t>231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01" w:history="1">
        <w:r w:rsidR="0069044A" w:rsidRPr="004015C7">
          <w:rPr>
            <w:rStyle w:val="af2"/>
            <w:rFonts w:ascii="Times New Roman" w:hAnsi="Times New Roman" w:hint="eastAsia"/>
            <w:noProof/>
          </w:rPr>
          <w:t>二、被授予专利权的单位</w:t>
        </w:r>
        <w:r w:rsidR="0069044A">
          <w:rPr>
            <w:noProof/>
          </w:rPr>
          <w:tab/>
        </w:r>
        <w:r>
          <w:rPr>
            <w:noProof/>
          </w:rPr>
          <w:fldChar w:fldCharType="begin"/>
        </w:r>
        <w:r w:rsidR="0069044A">
          <w:rPr>
            <w:noProof/>
          </w:rPr>
          <w:instrText xml:space="preserve"> PAGEREF _Toc229225601 \h </w:instrText>
        </w:r>
        <w:r>
          <w:rPr>
            <w:noProof/>
          </w:rPr>
        </w:r>
        <w:r>
          <w:rPr>
            <w:noProof/>
          </w:rPr>
          <w:fldChar w:fldCharType="separate"/>
        </w:r>
        <w:r w:rsidR="00731089">
          <w:rPr>
            <w:noProof/>
          </w:rPr>
          <w:t>231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02" w:history="1">
        <w:r w:rsidR="0069044A" w:rsidRPr="004015C7">
          <w:rPr>
            <w:rStyle w:val="af2"/>
            <w:rFonts w:ascii="Times New Roman" w:hAnsi="Times New Roman" w:hint="eastAsia"/>
            <w:noProof/>
          </w:rPr>
          <w:t>三、职务发明人或设计人</w:t>
        </w:r>
        <w:r w:rsidR="0069044A">
          <w:rPr>
            <w:noProof/>
          </w:rPr>
          <w:tab/>
        </w:r>
        <w:r>
          <w:rPr>
            <w:noProof/>
          </w:rPr>
          <w:fldChar w:fldCharType="begin"/>
        </w:r>
        <w:r w:rsidR="0069044A">
          <w:rPr>
            <w:noProof/>
          </w:rPr>
          <w:instrText xml:space="preserve"> PAGEREF _Toc229225602 \h </w:instrText>
        </w:r>
        <w:r>
          <w:rPr>
            <w:noProof/>
          </w:rPr>
        </w:r>
        <w:r>
          <w:rPr>
            <w:noProof/>
          </w:rPr>
          <w:fldChar w:fldCharType="separate"/>
        </w:r>
        <w:r w:rsidR="00731089">
          <w:rPr>
            <w:noProof/>
          </w:rPr>
          <w:t>232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03" w:history="1">
        <w:r w:rsidR="0069044A" w:rsidRPr="004015C7">
          <w:rPr>
            <w:rStyle w:val="af2"/>
            <w:rFonts w:ascii="Times New Roman" w:hAnsi="Times New Roman" w:hint="eastAsia"/>
            <w:noProof/>
          </w:rPr>
          <w:t>四、约定优先原则</w:t>
        </w:r>
        <w:r w:rsidR="0069044A">
          <w:rPr>
            <w:noProof/>
          </w:rPr>
          <w:tab/>
        </w:r>
        <w:r>
          <w:rPr>
            <w:noProof/>
          </w:rPr>
          <w:fldChar w:fldCharType="begin"/>
        </w:r>
        <w:r w:rsidR="0069044A">
          <w:rPr>
            <w:noProof/>
          </w:rPr>
          <w:instrText xml:space="preserve"> PAGEREF _Toc229225603 \h </w:instrText>
        </w:r>
        <w:r>
          <w:rPr>
            <w:noProof/>
          </w:rPr>
        </w:r>
        <w:r>
          <w:rPr>
            <w:noProof/>
          </w:rPr>
          <w:fldChar w:fldCharType="separate"/>
        </w:r>
        <w:r w:rsidR="00731089">
          <w:rPr>
            <w:noProof/>
          </w:rPr>
          <w:t>232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04" w:history="1">
        <w:r w:rsidR="0069044A" w:rsidRPr="004015C7">
          <w:rPr>
            <w:rStyle w:val="af2"/>
            <w:rFonts w:ascii="Times New Roman" w:hAnsi="Times New Roman" w:hint="eastAsia"/>
            <w:noProof/>
          </w:rPr>
          <w:t>第二节　奖励纠纷的行政调解</w:t>
        </w:r>
        <w:r w:rsidR="0069044A">
          <w:rPr>
            <w:noProof/>
          </w:rPr>
          <w:tab/>
        </w:r>
        <w:r>
          <w:rPr>
            <w:noProof/>
          </w:rPr>
          <w:fldChar w:fldCharType="begin"/>
        </w:r>
        <w:r w:rsidR="0069044A">
          <w:rPr>
            <w:noProof/>
          </w:rPr>
          <w:instrText xml:space="preserve"> PAGEREF _Toc229225604 \h </w:instrText>
        </w:r>
        <w:r>
          <w:rPr>
            <w:noProof/>
          </w:rPr>
        </w:r>
        <w:r>
          <w:rPr>
            <w:noProof/>
          </w:rPr>
          <w:fldChar w:fldCharType="separate"/>
        </w:r>
        <w:r w:rsidR="00731089">
          <w:rPr>
            <w:noProof/>
          </w:rPr>
          <w:t>234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05" w:history="1">
        <w:r w:rsidR="0069044A" w:rsidRPr="004015C7">
          <w:rPr>
            <w:rStyle w:val="af2"/>
            <w:rFonts w:ascii="Times New Roman" w:hAnsi="Times New Roman" w:hint="eastAsia"/>
            <w:noProof/>
          </w:rPr>
          <w:t>一、获得奖励的条件</w:t>
        </w:r>
        <w:r w:rsidR="0069044A">
          <w:rPr>
            <w:noProof/>
          </w:rPr>
          <w:tab/>
        </w:r>
        <w:r>
          <w:rPr>
            <w:noProof/>
          </w:rPr>
          <w:fldChar w:fldCharType="begin"/>
        </w:r>
        <w:r w:rsidR="0069044A">
          <w:rPr>
            <w:noProof/>
          </w:rPr>
          <w:instrText xml:space="preserve"> PAGEREF _Toc229225605 \h </w:instrText>
        </w:r>
        <w:r>
          <w:rPr>
            <w:noProof/>
          </w:rPr>
        </w:r>
        <w:r>
          <w:rPr>
            <w:noProof/>
          </w:rPr>
          <w:fldChar w:fldCharType="separate"/>
        </w:r>
        <w:r w:rsidR="00731089">
          <w:rPr>
            <w:noProof/>
          </w:rPr>
          <w:t>234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06" w:history="1">
        <w:r w:rsidR="0069044A" w:rsidRPr="004015C7">
          <w:rPr>
            <w:rStyle w:val="af2"/>
            <w:rFonts w:ascii="Times New Roman" w:hAnsi="Times New Roman" w:hint="eastAsia"/>
            <w:noProof/>
          </w:rPr>
          <w:t>二、奖励的方式和数额</w:t>
        </w:r>
        <w:r w:rsidR="0069044A">
          <w:rPr>
            <w:noProof/>
          </w:rPr>
          <w:tab/>
        </w:r>
        <w:r>
          <w:rPr>
            <w:noProof/>
          </w:rPr>
          <w:fldChar w:fldCharType="begin"/>
        </w:r>
        <w:r w:rsidR="0069044A">
          <w:rPr>
            <w:noProof/>
          </w:rPr>
          <w:instrText xml:space="preserve"> PAGEREF _Toc229225606 \h </w:instrText>
        </w:r>
        <w:r>
          <w:rPr>
            <w:noProof/>
          </w:rPr>
        </w:r>
        <w:r>
          <w:rPr>
            <w:noProof/>
          </w:rPr>
          <w:fldChar w:fldCharType="separate"/>
        </w:r>
        <w:r w:rsidR="00731089">
          <w:rPr>
            <w:noProof/>
          </w:rPr>
          <w:t>235</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07" w:history="1">
        <w:r w:rsidR="0069044A" w:rsidRPr="004015C7">
          <w:rPr>
            <w:rStyle w:val="af2"/>
            <w:rFonts w:ascii="Times New Roman" w:hAnsi="Times New Roman" w:hint="eastAsia"/>
            <w:noProof/>
          </w:rPr>
          <w:t>第三节　报酬纠纷的行政调解</w:t>
        </w:r>
        <w:r w:rsidR="0069044A">
          <w:rPr>
            <w:noProof/>
          </w:rPr>
          <w:tab/>
        </w:r>
        <w:r>
          <w:rPr>
            <w:noProof/>
          </w:rPr>
          <w:fldChar w:fldCharType="begin"/>
        </w:r>
        <w:r w:rsidR="0069044A">
          <w:rPr>
            <w:noProof/>
          </w:rPr>
          <w:instrText xml:space="preserve"> PAGEREF _Toc229225607 \h </w:instrText>
        </w:r>
        <w:r>
          <w:rPr>
            <w:noProof/>
          </w:rPr>
        </w:r>
        <w:r>
          <w:rPr>
            <w:noProof/>
          </w:rPr>
          <w:fldChar w:fldCharType="separate"/>
        </w:r>
        <w:r w:rsidR="00731089">
          <w:rPr>
            <w:noProof/>
          </w:rPr>
          <w:t>236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08" w:history="1">
        <w:r w:rsidR="0069044A" w:rsidRPr="004015C7">
          <w:rPr>
            <w:rStyle w:val="af2"/>
            <w:rFonts w:ascii="Times New Roman" w:hAnsi="Times New Roman" w:hint="eastAsia"/>
            <w:noProof/>
          </w:rPr>
          <w:t>一、支付报酬的条件</w:t>
        </w:r>
        <w:r w:rsidR="0069044A">
          <w:rPr>
            <w:noProof/>
          </w:rPr>
          <w:tab/>
        </w:r>
        <w:r>
          <w:rPr>
            <w:noProof/>
          </w:rPr>
          <w:fldChar w:fldCharType="begin"/>
        </w:r>
        <w:r w:rsidR="0069044A">
          <w:rPr>
            <w:noProof/>
          </w:rPr>
          <w:instrText xml:space="preserve"> PAGEREF _Toc229225608 \h </w:instrText>
        </w:r>
        <w:r>
          <w:rPr>
            <w:noProof/>
          </w:rPr>
        </w:r>
        <w:r>
          <w:rPr>
            <w:noProof/>
          </w:rPr>
          <w:fldChar w:fldCharType="separate"/>
        </w:r>
        <w:r w:rsidR="00731089">
          <w:rPr>
            <w:noProof/>
          </w:rPr>
          <w:t>236</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09" w:history="1">
        <w:r w:rsidR="0069044A" w:rsidRPr="004015C7">
          <w:rPr>
            <w:rStyle w:val="af2"/>
            <w:rFonts w:ascii="Times New Roman" w:hAnsi="Times New Roman" w:hint="eastAsia"/>
            <w:noProof/>
          </w:rPr>
          <w:t>二、支付报酬的数额</w:t>
        </w:r>
        <w:r w:rsidR="0069044A">
          <w:rPr>
            <w:noProof/>
          </w:rPr>
          <w:tab/>
        </w:r>
        <w:r>
          <w:rPr>
            <w:noProof/>
          </w:rPr>
          <w:fldChar w:fldCharType="begin"/>
        </w:r>
        <w:r w:rsidR="0069044A">
          <w:rPr>
            <w:noProof/>
          </w:rPr>
          <w:instrText xml:space="preserve"> PAGEREF _Toc229225609 \h </w:instrText>
        </w:r>
        <w:r>
          <w:rPr>
            <w:noProof/>
          </w:rPr>
        </w:r>
        <w:r>
          <w:rPr>
            <w:noProof/>
          </w:rPr>
          <w:fldChar w:fldCharType="separate"/>
        </w:r>
        <w:r w:rsidR="00731089">
          <w:rPr>
            <w:noProof/>
          </w:rPr>
          <w:t>238</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10" w:history="1">
        <w:r w:rsidR="0069044A" w:rsidRPr="004015C7">
          <w:rPr>
            <w:rStyle w:val="af2"/>
            <w:rFonts w:ascii="Times New Roman" w:hAnsi="Times New Roman" w:hint="eastAsia"/>
            <w:noProof/>
          </w:rPr>
          <w:t>第四节　多个发明人或设计人之间的奖酬纠纷的调解原则</w:t>
        </w:r>
        <w:r w:rsidR="0069044A">
          <w:rPr>
            <w:noProof/>
          </w:rPr>
          <w:tab/>
        </w:r>
        <w:r>
          <w:rPr>
            <w:noProof/>
          </w:rPr>
          <w:fldChar w:fldCharType="begin"/>
        </w:r>
        <w:r w:rsidR="0069044A">
          <w:rPr>
            <w:noProof/>
          </w:rPr>
          <w:instrText xml:space="preserve"> PAGEREF _Toc229225610 \h </w:instrText>
        </w:r>
        <w:r>
          <w:rPr>
            <w:noProof/>
          </w:rPr>
        </w:r>
        <w:r>
          <w:rPr>
            <w:noProof/>
          </w:rPr>
          <w:fldChar w:fldCharType="separate"/>
        </w:r>
        <w:r w:rsidR="00731089">
          <w:rPr>
            <w:noProof/>
          </w:rPr>
          <w:t>241</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611" w:history="1">
        <w:r w:rsidR="0069044A" w:rsidRPr="004015C7">
          <w:rPr>
            <w:rStyle w:val="af2"/>
            <w:rFonts w:hint="eastAsia"/>
            <w:noProof/>
          </w:rPr>
          <w:t>第六章　发明专利临时保护期使用费纠纷的行政调解</w:t>
        </w:r>
        <w:r w:rsidR="0069044A">
          <w:rPr>
            <w:noProof/>
          </w:rPr>
          <w:tab/>
        </w:r>
        <w:r>
          <w:rPr>
            <w:noProof/>
          </w:rPr>
          <w:fldChar w:fldCharType="begin"/>
        </w:r>
        <w:r w:rsidR="0069044A">
          <w:rPr>
            <w:noProof/>
          </w:rPr>
          <w:instrText xml:space="preserve"> PAGEREF _Toc229225611 \h </w:instrText>
        </w:r>
        <w:r>
          <w:rPr>
            <w:noProof/>
          </w:rPr>
        </w:r>
        <w:r>
          <w:rPr>
            <w:noProof/>
          </w:rPr>
          <w:fldChar w:fldCharType="separate"/>
        </w:r>
        <w:r w:rsidR="00731089">
          <w:rPr>
            <w:noProof/>
          </w:rPr>
          <w:t>243</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12" w:history="1">
        <w:r w:rsidR="0069044A" w:rsidRPr="004015C7">
          <w:rPr>
            <w:rStyle w:val="af2"/>
            <w:rFonts w:ascii="Times New Roman" w:hAnsi="Times New Roman" w:hint="eastAsia"/>
            <w:noProof/>
          </w:rPr>
          <w:t>第一节　临时保护的构成条件</w:t>
        </w:r>
        <w:r w:rsidR="0069044A">
          <w:rPr>
            <w:noProof/>
          </w:rPr>
          <w:tab/>
        </w:r>
        <w:r>
          <w:rPr>
            <w:noProof/>
          </w:rPr>
          <w:fldChar w:fldCharType="begin"/>
        </w:r>
        <w:r w:rsidR="0069044A">
          <w:rPr>
            <w:noProof/>
          </w:rPr>
          <w:instrText xml:space="preserve"> PAGEREF _Toc229225612 \h </w:instrText>
        </w:r>
        <w:r>
          <w:rPr>
            <w:noProof/>
          </w:rPr>
        </w:r>
        <w:r>
          <w:rPr>
            <w:noProof/>
          </w:rPr>
          <w:fldChar w:fldCharType="separate"/>
        </w:r>
        <w:r w:rsidR="00731089">
          <w:rPr>
            <w:noProof/>
          </w:rPr>
          <w:t>243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13" w:history="1">
        <w:r w:rsidR="0069044A" w:rsidRPr="004015C7">
          <w:rPr>
            <w:rStyle w:val="af2"/>
            <w:rFonts w:ascii="Times New Roman" w:hAnsi="Times New Roman" w:hint="eastAsia"/>
            <w:noProof/>
          </w:rPr>
          <w:t>一、涉案专利仅限于发明专利</w:t>
        </w:r>
        <w:r w:rsidR="0069044A">
          <w:rPr>
            <w:noProof/>
          </w:rPr>
          <w:tab/>
        </w:r>
        <w:r>
          <w:rPr>
            <w:noProof/>
          </w:rPr>
          <w:fldChar w:fldCharType="begin"/>
        </w:r>
        <w:r w:rsidR="0069044A">
          <w:rPr>
            <w:noProof/>
          </w:rPr>
          <w:instrText xml:space="preserve"> PAGEREF _Toc229225613 \h </w:instrText>
        </w:r>
        <w:r>
          <w:rPr>
            <w:noProof/>
          </w:rPr>
        </w:r>
        <w:r>
          <w:rPr>
            <w:noProof/>
          </w:rPr>
          <w:fldChar w:fldCharType="separate"/>
        </w:r>
        <w:r w:rsidR="00731089">
          <w:rPr>
            <w:noProof/>
          </w:rPr>
          <w:t>243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14" w:history="1">
        <w:r w:rsidR="0069044A" w:rsidRPr="004015C7">
          <w:rPr>
            <w:rStyle w:val="af2"/>
            <w:rFonts w:ascii="Times New Roman" w:hAnsi="Times New Roman" w:hint="eastAsia"/>
            <w:noProof/>
          </w:rPr>
          <w:t>二、涉案专利被授予专利权，且请求人在专利授权后提出调解请求</w:t>
        </w:r>
        <w:r w:rsidR="0069044A">
          <w:rPr>
            <w:noProof/>
          </w:rPr>
          <w:tab/>
        </w:r>
        <w:r>
          <w:rPr>
            <w:noProof/>
          </w:rPr>
          <w:fldChar w:fldCharType="begin"/>
        </w:r>
        <w:r w:rsidR="0069044A">
          <w:rPr>
            <w:noProof/>
          </w:rPr>
          <w:instrText xml:space="preserve"> PAGEREF _Toc229225614 \h </w:instrText>
        </w:r>
        <w:r>
          <w:rPr>
            <w:noProof/>
          </w:rPr>
        </w:r>
        <w:r>
          <w:rPr>
            <w:noProof/>
          </w:rPr>
          <w:fldChar w:fldCharType="separate"/>
        </w:r>
        <w:r w:rsidR="00731089">
          <w:rPr>
            <w:noProof/>
          </w:rPr>
          <w:t>243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15" w:history="1">
        <w:r w:rsidR="0069044A" w:rsidRPr="004015C7">
          <w:rPr>
            <w:rStyle w:val="af2"/>
            <w:rFonts w:ascii="Times New Roman" w:hAnsi="Times New Roman" w:hint="eastAsia"/>
            <w:noProof/>
          </w:rPr>
          <w:t>三、他人的实施行为发生在临时保护期</w:t>
        </w:r>
        <w:r w:rsidR="0069044A">
          <w:rPr>
            <w:noProof/>
          </w:rPr>
          <w:tab/>
        </w:r>
        <w:r>
          <w:rPr>
            <w:noProof/>
          </w:rPr>
          <w:fldChar w:fldCharType="begin"/>
        </w:r>
        <w:r w:rsidR="0069044A">
          <w:rPr>
            <w:noProof/>
          </w:rPr>
          <w:instrText xml:space="preserve"> PAGEREF _Toc229225615 \h </w:instrText>
        </w:r>
        <w:r>
          <w:rPr>
            <w:noProof/>
          </w:rPr>
        </w:r>
        <w:r>
          <w:rPr>
            <w:noProof/>
          </w:rPr>
          <w:fldChar w:fldCharType="separate"/>
        </w:r>
        <w:r w:rsidR="00731089">
          <w:rPr>
            <w:noProof/>
          </w:rPr>
          <w:t>244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16" w:history="1">
        <w:r w:rsidR="0069044A" w:rsidRPr="004015C7">
          <w:rPr>
            <w:rStyle w:val="af2"/>
            <w:rFonts w:ascii="Times New Roman" w:hAnsi="Times New Roman" w:hint="eastAsia"/>
            <w:noProof/>
          </w:rPr>
          <w:t>四、他人的实施行为落入专利保护范围</w:t>
        </w:r>
        <w:r w:rsidR="0069044A">
          <w:rPr>
            <w:noProof/>
          </w:rPr>
          <w:tab/>
        </w:r>
        <w:r>
          <w:rPr>
            <w:noProof/>
          </w:rPr>
          <w:fldChar w:fldCharType="begin"/>
        </w:r>
        <w:r w:rsidR="0069044A">
          <w:rPr>
            <w:noProof/>
          </w:rPr>
          <w:instrText xml:space="preserve"> PAGEREF _Toc229225616 \h </w:instrText>
        </w:r>
        <w:r>
          <w:rPr>
            <w:noProof/>
          </w:rPr>
        </w:r>
        <w:r>
          <w:rPr>
            <w:noProof/>
          </w:rPr>
          <w:fldChar w:fldCharType="separate"/>
        </w:r>
        <w:r w:rsidR="00731089">
          <w:rPr>
            <w:noProof/>
          </w:rPr>
          <w:t>245</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17" w:history="1">
        <w:r w:rsidR="0069044A" w:rsidRPr="004015C7">
          <w:rPr>
            <w:rStyle w:val="af2"/>
            <w:rFonts w:ascii="Times New Roman" w:hAnsi="Times New Roman" w:hint="eastAsia"/>
            <w:noProof/>
          </w:rPr>
          <w:t>第二节　临时保护期使用费的确定</w:t>
        </w:r>
        <w:r w:rsidR="0069044A">
          <w:rPr>
            <w:noProof/>
          </w:rPr>
          <w:tab/>
        </w:r>
        <w:r>
          <w:rPr>
            <w:noProof/>
          </w:rPr>
          <w:fldChar w:fldCharType="begin"/>
        </w:r>
        <w:r w:rsidR="0069044A">
          <w:rPr>
            <w:noProof/>
          </w:rPr>
          <w:instrText xml:space="preserve"> PAGEREF _Toc229225617 \h </w:instrText>
        </w:r>
        <w:r>
          <w:rPr>
            <w:noProof/>
          </w:rPr>
        </w:r>
        <w:r>
          <w:rPr>
            <w:noProof/>
          </w:rPr>
          <w:fldChar w:fldCharType="separate"/>
        </w:r>
        <w:r w:rsidR="00731089">
          <w:rPr>
            <w:noProof/>
          </w:rPr>
          <w:t>247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18" w:history="1">
        <w:r w:rsidR="0069044A" w:rsidRPr="004015C7">
          <w:rPr>
            <w:rStyle w:val="af2"/>
            <w:rFonts w:ascii="Times New Roman" w:hAnsi="Times New Roman" w:hint="eastAsia"/>
            <w:noProof/>
          </w:rPr>
          <w:t>一、确定补偿费用的原则</w:t>
        </w:r>
        <w:r w:rsidR="0069044A">
          <w:rPr>
            <w:noProof/>
          </w:rPr>
          <w:tab/>
        </w:r>
        <w:r>
          <w:rPr>
            <w:noProof/>
          </w:rPr>
          <w:fldChar w:fldCharType="begin"/>
        </w:r>
        <w:r w:rsidR="0069044A">
          <w:rPr>
            <w:noProof/>
          </w:rPr>
          <w:instrText xml:space="preserve"> PAGEREF _Toc229225618 \h </w:instrText>
        </w:r>
        <w:r>
          <w:rPr>
            <w:noProof/>
          </w:rPr>
        </w:r>
        <w:r>
          <w:rPr>
            <w:noProof/>
          </w:rPr>
          <w:fldChar w:fldCharType="separate"/>
        </w:r>
        <w:r w:rsidR="00731089">
          <w:rPr>
            <w:noProof/>
          </w:rPr>
          <w:t>247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19" w:history="1">
        <w:r w:rsidR="0069044A" w:rsidRPr="004015C7">
          <w:rPr>
            <w:rStyle w:val="af2"/>
            <w:rFonts w:ascii="Times New Roman" w:hAnsi="Times New Roman" w:hint="eastAsia"/>
            <w:noProof/>
          </w:rPr>
          <w:t>二、确定补偿费用的考虑因素</w:t>
        </w:r>
        <w:r w:rsidR="0069044A">
          <w:rPr>
            <w:noProof/>
          </w:rPr>
          <w:tab/>
        </w:r>
        <w:r>
          <w:rPr>
            <w:noProof/>
          </w:rPr>
          <w:fldChar w:fldCharType="begin"/>
        </w:r>
        <w:r w:rsidR="0069044A">
          <w:rPr>
            <w:noProof/>
          </w:rPr>
          <w:instrText xml:space="preserve"> PAGEREF _Toc229225619 \h </w:instrText>
        </w:r>
        <w:r>
          <w:rPr>
            <w:noProof/>
          </w:rPr>
        </w:r>
        <w:r>
          <w:rPr>
            <w:noProof/>
          </w:rPr>
          <w:fldChar w:fldCharType="separate"/>
        </w:r>
        <w:r w:rsidR="00731089">
          <w:rPr>
            <w:noProof/>
          </w:rPr>
          <w:t>247</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620" w:history="1">
        <w:r w:rsidR="0069044A" w:rsidRPr="004015C7">
          <w:rPr>
            <w:rStyle w:val="af2"/>
            <w:rFonts w:hint="eastAsia"/>
            <w:noProof/>
          </w:rPr>
          <w:t>第七章　专利开放许可实施纠纷的行政调解</w:t>
        </w:r>
        <w:r w:rsidR="0069044A">
          <w:rPr>
            <w:noProof/>
          </w:rPr>
          <w:tab/>
        </w:r>
        <w:r>
          <w:rPr>
            <w:noProof/>
          </w:rPr>
          <w:fldChar w:fldCharType="begin"/>
        </w:r>
        <w:r w:rsidR="0069044A">
          <w:rPr>
            <w:noProof/>
          </w:rPr>
          <w:instrText xml:space="preserve"> PAGEREF _Toc229225620 \h </w:instrText>
        </w:r>
        <w:r>
          <w:rPr>
            <w:noProof/>
          </w:rPr>
        </w:r>
        <w:r>
          <w:rPr>
            <w:noProof/>
          </w:rPr>
          <w:fldChar w:fldCharType="separate"/>
        </w:r>
        <w:r w:rsidR="00731089">
          <w:rPr>
            <w:noProof/>
          </w:rPr>
          <w:t>249</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21" w:history="1">
        <w:r w:rsidR="0069044A" w:rsidRPr="004015C7">
          <w:rPr>
            <w:rStyle w:val="af2"/>
            <w:rFonts w:ascii="Times New Roman" w:hAnsi="Times New Roman" w:hint="eastAsia"/>
            <w:noProof/>
          </w:rPr>
          <w:t>第一节　专利开放许可的构成要件</w:t>
        </w:r>
        <w:r w:rsidR="0069044A">
          <w:rPr>
            <w:noProof/>
          </w:rPr>
          <w:tab/>
        </w:r>
        <w:r>
          <w:rPr>
            <w:noProof/>
          </w:rPr>
          <w:fldChar w:fldCharType="begin"/>
        </w:r>
        <w:r w:rsidR="0069044A">
          <w:rPr>
            <w:noProof/>
          </w:rPr>
          <w:instrText xml:space="preserve"> PAGEREF _Toc229225621 \h </w:instrText>
        </w:r>
        <w:r>
          <w:rPr>
            <w:noProof/>
          </w:rPr>
        </w:r>
        <w:r>
          <w:rPr>
            <w:noProof/>
          </w:rPr>
          <w:fldChar w:fldCharType="separate"/>
        </w:r>
        <w:r w:rsidR="00731089">
          <w:rPr>
            <w:noProof/>
          </w:rPr>
          <w:t>249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22" w:history="1">
        <w:r w:rsidR="0069044A" w:rsidRPr="004015C7">
          <w:rPr>
            <w:rStyle w:val="af2"/>
            <w:rFonts w:ascii="Times New Roman" w:hAnsi="Times New Roman" w:hint="eastAsia"/>
            <w:noProof/>
          </w:rPr>
          <w:t>一、有效的专利开放许可声明</w:t>
        </w:r>
        <w:r w:rsidR="0069044A">
          <w:rPr>
            <w:noProof/>
          </w:rPr>
          <w:tab/>
        </w:r>
        <w:r>
          <w:rPr>
            <w:noProof/>
          </w:rPr>
          <w:fldChar w:fldCharType="begin"/>
        </w:r>
        <w:r w:rsidR="0069044A">
          <w:rPr>
            <w:noProof/>
          </w:rPr>
          <w:instrText xml:space="preserve"> PAGEREF _Toc229225622 \h </w:instrText>
        </w:r>
        <w:r>
          <w:rPr>
            <w:noProof/>
          </w:rPr>
        </w:r>
        <w:r>
          <w:rPr>
            <w:noProof/>
          </w:rPr>
          <w:fldChar w:fldCharType="separate"/>
        </w:r>
        <w:r w:rsidR="00731089">
          <w:rPr>
            <w:noProof/>
          </w:rPr>
          <w:t>249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23" w:history="1">
        <w:r w:rsidR="0069044A" w:rsidRPr="004015C7">
          <w:rPr>
            <w:rStyle w:val="af2"/>
            <w:rFonts w:ascii="Times New Roman" w:hAnsi="Times New Roman" w:hint="eastAsia"/>
            <w:noProof/>
          </w:rPr>
          <w:t>二、专利开放许可的许可人</w:t>
        </w:r>
        <w:r w:rsidR="0069044A">
          <w:rPr>
            <w:noProof/>
          </w:rPr>
          <w:tab/>
        </w:r>
        <w:r>
          <w:rPr>
            <w:noProof/>
          </w:rPr>
          <w:fldChar w:fldCharType="begin"/>
        </w:r>
        <w:r w:rsidR="0069044A">
          <w:rPr>
            <w:noProof/>
          </w:rPr>
          <w:instrText xml:space="preserve"> PAGEREF _Toc229225623 \h </w:instrText>
        </w:r>
        <w:r>
          <w:rPr>
            <w:noProof/>
          </w:rPr>
        </w:r>
        <w:r>
          <w:rPr>
            <w:noProof/>
          </w:rPr>
          <w:fldChar w:fldCharType="separate"/>
        </w:r>
        <w:r w:rsidR="00731089">
          <w:rPr>
            <w:noProof/>
          </w:rPr>
          <w:t>251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24" w:history="1">
        <w:r w:rsidR="0069044A" w:rsidRPr="004015C7">
          <w:rPr>
            <w:rStyle w:val="af2"/>
            <w:rFonts w:ascii="Times New Roman" w:hAnsi="Times New Roman" w:hint="eastAsia"/>
            <w:noProof/>
          </w:rPr>
          <w:t>三、实施专利许可的被许可人</w:t>
        </w:r>
        <w:r w:rsidR="0069044A">
          <w:rPr>
            <w:noProof/>
          </w:rPr>
          <w:tab/>
        </w:r>
        <w:r>
          <w:rPr>
            <w:noProof/>
          </w:rPr>
          <w:fldChar w:fldCharType="begin"/>
        </w:r>
        <w:r w:rsidR="0069044A">
          <w:rPr>
            <w:noProof/>
          </w:rPr>
          <w:instrText xml:space="preserve"> PAGEREF _Toc229225624 \h </w:instrText>
        </w:r>
        <w:r>
          <w:rPr>
            <w:noProof/>
          </w:rPr>
        </w:r>
        <w:r>
          <w:rPr>
            <w:noProof/>
          </w:rPr>
          <w:fldChar w:fldCharType="separate"/>
        </w:r>
        <w:r w:rsidR="00731089">
          <w:rPr>
            <w:noProof/>
          </w:rPr>
          <w:t>252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25" w:history="1">
        <w:r w:rsidR="0069044A" w:rsidRPr="004015C7">
          <w:rPr>
            <w:rStyle w:val="af2"/>
            <w:rFonts w:ascii="Times New Roman" w:hAnsi="Times New Roman" w:hint="eastAsia"/>
            <w:noProof/>
          </w:rPr>
          <w:t>第二节　专利开放许可实施纠纷行政调解的一般程序</w:t>
        </w:r>
        <w:r w:rsidR="0069044A">
          <w:rPr>
            <w:noProof/>
          </w:rPr>
          <w:tab/>
        </w:r>
        <w:r>
          <w:rPr>
            <w:noProof/>
          </w:rPr>
          <w:fldChar w:fldCharType="begin"/>
        </w:r>
        <w:r w:rsidR="0069044A">
          <w:rPr>
            <w:noProof/>
          </w:rPr>
          <w:instrText xml:space="preserve"> PAGEREF _Toc229225625 \h </w:instrText>
        </w:r>
        <w:r>
          <w:rPr>
            <w:noProof/>
          </w:rPr>
        </w:r>
        <w:r>
          <w:rPr>
            <w:noProof/>
          </w:rPr>
          <w:fldChar w:fldCharType="separate"/>
        </w:r>
        <w:r w:rsidR="00731089">
          <w:rPr>
            <w:noProof/>
          </w:rPr>
          <w:t>253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26" w:history="1">
        <w:r w:rsidR="0069044A" w:rsidRPr="004015C7">
          <w:rPr>
            <w:rStyle w:val="af2"/>
            <w:rFonts w:ascii="Times New Roman" w:hAnsi="Times New Roman" w:hint="eastAsia"/>
            <w:noProof/>
          </w:rPr>
          <w:t>一、受理及立案</w:t>
        </w:r>
        <w:r w:rsidR="0069044A">
          <w:rPr>
            <w:noProof/>
          </w:rPr>
          <w:tab/>
        </w:r>
        <w:r>
          <w:rPr>
            <w:noProof/>
          </w:rPr>
          <w:fldChar w:fldCharType="begin"/>
        </w:r>
        <w:r w:rsidR="0069044A">
          <w:rPr>
            <w:noProof/>
          </w:rPr>
          <w:instrText xml:space="preserve"> PAGEREF _Toc229225626 \h </w:instrText>
        </w:r>
        <w:r>
          <w:rPr>
            <w:noProof/>
          </w:rPr>
        </w:r>
        <w:r>
          <w:rPr>
            <w:noProof/>
          </w:rPr>
          <w:fldChar w:fldCharType="separate"/>
        </w:r>
        <w:r w:rsidR="00731089">
          <w:rPr>
            <w:noProof/>
          </w:rPr>
          <w:t>253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27" w:history="1">
        <w:r w:rsidR="0069044A" w:rsidRPr="004015C7">
          <w:rPr>
            <w:rStyle w:val="af2"/>
            <w:rFonts w:ascii="Times New Roman" w:hAnsi="Times New Roman" w:hint="eastAsia"/>
            <w:noProof/>
          </w:rPr>
          <w:t>二、中止与结案</w:t>
        </w:r>
        <w:r w:rsidR="0069044A">
          <w:rPr>
            <w:noProof/>
          </w:rPr>
          <w:tab/>
        </w:r>
        <w:r>
          <w:rPr>
            <w:noProof/>
          </w:rPr>
          <w:fldChar w:fldCharType="begin"/>
        </w:r>
        <w:r w:rsidR="0069044A">
          <w:rPr>
            <w:noProof/>
          </w:rPr>
          <w:instrText xml:space="preserve"> PAGEREF _Toc229225627 \h </w:instrText>
        </w:r>
        <w:r>
          <w:rPr>
            <w:noProof/>
          </w:rPr>
        </w:r>
        <w:r>
          <w:rPr>
            <w:noProof/>
          </w:rPr>
          <w:fldChar w:fldCharType="separate"/>
        </w:r>
        <w:r w:rsidR="00731089">
          <w:rPr>
            <w:noProof/>
          </w:rPr>
          <w:t>254</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28" w:history="1">
        <w:r w:rsidR="0069044A" w:rsidRPr="004015C7">
          <w:rPr>
            <w:rStyle w:val="af2"/>
            <w:rFonts w:ascii="Times New Roman" w:hAnsi="Times New Roman" w:hint="eastAsia"/>
            <w:noProof/>
          </w:rPr>
          <w:t>第三节　专利开放许可实施纠纷行政调解案件的类型</w:t>
        </w:r>
        <w:r w:rsidR="0069044A">
          <w:rPr>
            <w:noProof/>
          </w:rPr>
          <w:tab/>
        </w:r>
        <w:r>
          <w:rPr>
            <w:noProof/>
          </w:rPr>
          <w:fldChar w:fldCharType="begin"/>
        </w:r>
        <w:r w:rsidR="0069044A">
          <w:rPr>
            <w:noProof/>
          </w:rPr>
          <w:instrText xml:space="preserve"> PAGEREF _Toc229225628 \h </w:instrText>
        </w:r>
        <w:r>
          <w:rPr>
            <w:noProof/>
          </w:rPr>
        </w:r>
        <w:r>
          <w:rPr>
            <w:noProof/>
          </w:rPr>
          <w:fldChar w:fldCharType="separate"/>
        </w:r>
        <w:r w:rsidR="00731089">
          <w:rPr>
            <w:noProof/>
          </w:rPr>
          <w:t>255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29" w:history="1">
        <w:r w:rsidR="0069044A" w:rsidRPr="004015C7">
          <w:rPr>
            <w:rStyle w:val="af2"/>
            <w:rFonts w:ascii="Times New Roman" w:hAnsi="Times New Roman" w:hint="eastAsia"/>
            <w:noProof/>
          </w:rPr>
          <w:t>一、专利开放许可合同效力引起的纠纷</w:t>
        </w:r>
        <w:r w:rsidR="0069044A">
          <w:rPr>
            <w:noProof/>
          </w:rPr>
          <w:tab/>
        </w:r>
        <w:r>
          <w:rPr>
            <w:noProof/>
          </w:rPr>
          <w:fldChar w:fldCharType="begin"/>
        </w:r>
        <w:r w:rsidR="0069044A">
          <w:rPr>
            <w:noProof/>
          </w:rPr>
          <w:instrText xml:space="preserve"> PAGEREF _Toc229225629 \h </w:instrText>
        </w:r>
        <w:r>
          <w:rPr>
            <w:noProof/>
          </w:rPr>
        </w:r>
        <w:r>
          <w:rPr>
            <w:noProof/>
          </w:rPr>
          <w:fldChar w:fldCharType="separate"/>
        </w:r>
        <w:r w:rsidR="00731089">
          <w:rPr>
            <w:noProof/>
          </w:rPr>
          <w:t>255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30" w:history="1">
        <w:r w:rsidR="0069044A" w:rsidRPr="004015C7">
          <w:rPr>
            <w:rStyle w:val="af2"/>
            <w:rFonts w:ascii="Times New Roman" w:hAnsi="Times New Roman" w:hint="eastAsia"/>
            <w:noProof/>
          </w:rPr>
          <w:t>二、专利开放许可合同的履行引起的纠纷</w:t>
        </w:r>
        <w:r w:rsidR="0069044A">
          <w:rPr>
            <w:noProof/>
          </w:rPr>
          <w:tab/>
        </w:r>
        <w:r>
          <w:rPr>
            <w:noProof/>
          </w:rPr>
          <w:fldChar w:fldCharType="begin"/>
        </w:r>
        <w:r w:rsidR="0069044A">
          <w:rPr>
            <w:noProof/>
          </w:rPr>
          <w:instrText xml:space="preserve"> PAGEREF _Toc229225630 \h </w:instrText>
        </w:r>
        <w:r>
          <w:rPr>
            <w:noProof/>
          </w:rPr>
        </w:r>
        <w:r>
          <w:rPr>
            <w:noProof/>
          </w:rPr>
          <w:fldChar w:fldCharType="separate"/>
        </w:r>
        <w:r w:rsidR="00731089">
          <w:rPr>
            <w:noProof/>
          </w:rPr>
          <w:t>257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31" w:history="1">
        <w:r w:rsidR="0069044A" w:rsidRPr="004015C7">
          <w:rPr>
            <w:rStyle w:val="af2"/>
            <w:rFonts w:ascii="Times New Roman" w:hAnsi="Times New Roman" w:hint="eastAsia"/>
            <w:noProof/>
          </w:rPr>
          <w:t>三、专利开放许可合同约定内容的争议引起的纠纷</w:t>
        </w:r>
        <w:r w:rsidR="0069044A">
          <w:rPr>
            <w:noProof/>
          </w:rPr>
          <w:tab/>
        </w:r>
        <w:r>
          <w:rPr>
            <w:noProof/>
          </w:rPr>
          <w:fldChar w:fldCharType="begin"/>
        </w:r>
        <w:r w:rsidR="0069044A">
          <w:rPr>
            <w:noProof/>
          </w:rPr>
          <w:instrText xml:space="preserve"> PAGEREF _Toc229225631 \h </w:instrText>
        </w:r>
        <w:r>
          <w:rPr>
            <w:noProof/>
          </w:rPr>
        </w:r>
        <w:r>
          <w:rPr>
            <w:noProof/>
          </w:rPr>
          <w:fldChar w:fldCharType="separate"/>
        </w:r>
        <w:r w:rsidR="00731089">
          <w:rPr>
            <w:noProof/>
          </w:rPr>
          <w:t>259</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632" w:history="1">
        <w:r w:rsidR="0069044A" w:rsidRPr="004015C7">
          <w:rPr>
            <w:rStyle w:val="af2"/>
            <w:rFonts w:hint="eastAsia"/>
            <w:noProof/>
          </w:rPr>
          <w:t>第八章　专利侵权赔偿数额的调解</w:t>
        </w:r>
        <w:r w:rsidR="0069044A">
          <w:rPr>
            <w:noProof/>
          </w:rPr>
          <w:tab/>
        </w:r>
        <w:r>
          <w:rPr>
            <w:noProof/>
          </w:rPr>
          <w:fldChar w:fldCharType="begin"/>
        </w:r>
        <w:r w:rsidR="0069044A">
          <w:rPr>
            <w:noProof/>
          </w:rPr>
          <w:instrText xml:space="preserve"> PAGEREF _Toc229225632 \h </w:instrText>
        </w:r>
        <w:r>
          <w:rPr>
            <w:noProof/>
          </w:rPr>
        </w:r>
        <w:r>
          <w:rPr>
            <w:noProof/>
          </w:rPr>
          <w:fldChar w:fldCharType="separate"/>
        </w:r>
        <w:r w:rsidR="00731089">
          <w:rPr>
            <w:noProof/>
          </w:rPr>
          <w:t>261</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33" w:history="1">
        <w:r w:rsidR="0069044A" w:rsidRPr="004015C7">
          <w:rPr>
            <w:rStyle w:val="af2"/>
            <w:rFonts w:ascii="Times New Roman" w:hAnsi="Times New Roman" w:hint="eastAsia"/>
            <w:noProof/>
          </w:rPr>
          <w:t>第一节　权利人的实际损失</w:t>
        </w:r>
        <w:r w:rsidR="0069044A">
          <w:rPr>
            <w:noProof/>
          </w:rPr>
          <w:tab/>
        </w:r>
        <w:r>
          <w:rPr>
            <w:noProof/>
          </w:rPr>
          <w:fldChar w:fldCharType="begin"/>
        </w:r>
        <w:r w:rsidR="0069044A">
          <w:rPr>
            <w:noProof/>
          </w:rPr>
          <w:instrText xml:space="preserve"> PAGEREF _Toc229225633 \h </w:instrText>
        </w:r>
        <w:r>
          <w:rPr>
            <w:noProof/>
          </w:rPr>
        </w:r>
        <w:r>
          <w:rPr>
            <w:noProof/>
          </w:rPr>
          <w:fldChar w:fldCharType="separate"/>
        </w:r>
        <w:r w:rsidR="00731089">
          <w:rPr>
            <w:noProof/>
          </w:rPr>
          <w:t>261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34" w:history="1">
        <w:r w:rsidR="0069044A" w:rsidRPr="004015C7">
          <w:rPr>
            <w:rStyle w:val="af2"/>
            <w:rFonts w:ascii="Times New Roman" w:hAnsi="Times New Roman" w:hint="eastAsia"/>
            <w:noProof/>
          </w:rPr>
          <w:t>一、权利人实际损失的计算</w:t>
        </w:r>
        <w:r w:rsidR="0069044A">
          <w:rPr>
            <w:noProof/>
          </w:rPr>
          <w:tab/>
        </w:r>
        <w:r>
          <w:rPr>
            <w:noProof/>
          </w:rPr>
          <w:fldChar w:fldCharType="begin"/>
        </w:r>
        <w:r w:rsidR="0069044A">
          <w:rPr>
            <w:noProof/>
          </w:rPr>
          <w:instrText xml:space="preserve"> PAGEREF _Toc229225634 \h </w:instrText>
        </w:r>
        <w:r>
          <w:rPr>
            <w:noProof/>
          </w:rPr>
        </w:r>
        <w:r>
          <w:rPr>
            <w:noProof/>
          </w:rPr>
          <w:fldChar w:fldCharType="separate"/>
        </w:r>
        <w:r w:rsidR="00731089">
          <w:rPr>
            <w:noProof/>
          </w:rPr>
          <w:t>261</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35" w:history="1">
        <w:r w:rsidR="0069044A" w:rsidRPr="004015C7">
          <w:rPr>
            <w:rStyle w:val="af2"/>
            <w:rFonts w:ascii="Times New Roman" w:hAnsi="Times New Roman" w:hint="eastAsia"/>
            <w:noProof/>
          </w:rPr>
          <w:t>二、确定权利人实际损失时的考虑因素</w:t>
        </w:r>
        <w:r w:rsidR="0069044A">
          <w:rPr>
            <w:noProof/>
          </w:rPr>
          <w:tab/>
        </w:r>
        <w:r>
          <w:rPr>
            <w:noProof/>
          </w:rPr>
          <w:fldChar w:fldCharType="begin"/>
        </w:r>
        <w:r w:rsidR="0069044A">
          <w:rPr>
            <w:noProof/>
          </w:rPr>
          <w:instrText xml:space="preserve"> PAGEREF _Toc229225635 \h </w:instrText>
        </w:r>
        <w:r>
          <w:rPr>
            <w:noProof/>
          </w:rPr>
        </w:r>
        <w:r>
          <w:rPr>
            <w:noProof/>
          </w:rPr>
          <w:fldChar w:fldCharType="separate"/>
        </w:r>
        <w:r w:rsidR="00731089">
          <w:rPr>
            <w:noProof/>
          </w:rPr>
          <w:t>262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36" w:history="1">
        <w:r w:rsidR="0069044A" w:rsidRPr="004015C7">
          <w:rPr>
            <w:rStyle w:val="af2"/>
            <w:rFonts w:ascii="Times New Roman" w:hAnsi="Times New Roman" w:hint="eastAsia"/>
            <w:noProof/>
          </w:rPr>
          <w:t>第二节　侵权人获得的利益</w:t>
        </w:r>
        <w:r w:rsidR="0069044A">
          <w:rPr>
            <w:noProof/>
          </w:rPr>
          <w:tab/>
        </w:r>
        <w:r>
          <w:rPr>
            <w:noProof/>
          </w:rPr>
          <w:fldChar w:fldCharType="begin"/>
        </w:r>
        <w:r w:rsidR="0069044A">
          <w:rPr>
            <w:noProof/>
          </w:rPr>
          <w:instrText xml:space="preserve"> PAGEREF _Toc229225636 \h </w:instrText>
        </w:r>
        <w:r>
          <w:rPr>
            <w:noProof/>
          </w:rPr>
        </w:r>
        <w:r>
          <w:rPr>
            <w:noProof/>
          </w:rPr>
          <w:fldChar w:fldCharType="separate"/>
        </w:r>
        <w:r w:rsidR="00731089">
          <w:rPr>
            <w:noProof/>
          </w:rPr>
          <w:t>264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37" w:history="1">
        <w:r w:rsidR="0069044A" w:rsidRPr="004015C7">
          <w:rPr>
            <w:rStyle w:val="af2"/>
            <w:rFonts w:ascii="Times New Roman" w:hAnsi="Times New Roman" w:hint="eastAsia"/>
            <w:noProof/>
          </w:rPr>
          <w:t>一、侵权人获得的利益的计算</w:t>
        </w:r>
        <w:r w:rsidR="0069044A">
          <w:rPr>
            <w:noProof/>
          </w:rPr>
          <w:tab/>
        </w:r>
        <w:r>
          <w:rPr>
            <w:noProof/>
          </w:rPr>
          <w:fldChar w:fldCharType="begin"/>
        </w:r>
        <w:r w:rsidR="0069044A">
          <w:rPr>
            <w:noProof/>
          </w:rPr>
          <w:instrText xml:space="preserve"> PAGEREF _Toc229225637 \h </w:instrText>
        </w:r>
        <w:r>
          <w:rPr>
            <w:noProof/>
          </w:rPr>
        </w:r>
        <w:r>
          <w:rPr>
            <w:noProof/>
          </w:rPr>
          <w:fldChar w:fldCharType="separate"/>
        </w:r>
        <w:r w:rsidR="00731089">
          <w:rPr>
            <w:noProof/>
          </w:rPr>
          <w:t>264</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38" w:history="1">
        <w:r w:rsidR="0069044A" w:rsidRPr="004015C7">
          <w:rPr>
            <w:rStyle w:val="af2"/>
            <w:rFonts w:ascii="Times New Roman" w:hAnsi="Times New Roman" w:hint="eastAsia"/>
            <w:noProof/>
          </w:rPr>
          <w:t>二、确定侵权人获得的利益时的考虑因素</w:t>
        </w:r>
        <w:r w:rsidR="0069044A">
          <w:rPr>
            <w:noProof/>
          </w:rPr>
          <w:tab/>
        </w:r>
        <w:r>
          <w:rPr>
            <w:noProof/>
          </w:rPr>
          <w:fldChar w:fldCharType="begin"/>
        </w:r>
        <w:r w:rsidR="0069044A">
          <w:rPr>
            <w:noProof/>
          </w:rPr>
          <w:instrText xml:space="preserve"> PAGEREF _Toc229225638 \h </w:instrText>
        </w:r>
        <w:r>
          <w:rPr>
            <w:noProof/>
          </w:rPr>
        </w:r>
        <w:r>
          <w:rPr>
            <w:noProof/>
          </w:rPr>
          <w:fldChar w:fldCharType="separate"/>
        </w:r>
        <w:r w:rsidR="00731089">
          <w:rPr>
            <w:noProof/>
          </w:rPr>
          <w:t>265</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39" w:history="1">
        <w:r w:rsidR="0069044A" w:rsidRPr="004015C7">
          <w:rPr>
            <w:rStyle w:val="af2"/>
            <w:rFonts w:ascii="Times New Roman" w:hAnsi="Times New Roman" w:hint="eastAsia"/>
            <w:noProof/>
          </w:rPr>
          <w:t>三、侵权人获得的利益的举证责任分配</w:t>
        </w:r>
        <w:r w:rsidR="0069044A">
          <w:rPr>
            <w:noProof/>
          </w:rPr>
          <w:tab/>
        </w:r>
        <w:r>
          <w:rPr>
            <w:noProof/>
          </w:rPr>
          <w:fldChar w:fldCharType="begin"/>
        </w:r>
        <w:r w:rsidR="0069044A">
          <w:rPr>
            <w:noProof/>
          </w:rPr>
          <w:instrText xml:space="preserve"> PAGEREF _Toc229225639 \h </w:instrText>
        </w:r>
        <w:r>
          <w:rPr>
            <w:noProof/>
          </w:rPr>
        </w:r>
        <w:r>
          <w:rPr>
            <w:noProof/>
          </w:rPr>
          <w:fldChar w:fldCharType="separate"/>
        </w:r>
        <w:r w:rsidR="00731089">
          <w:rPr>
            <w:noProof/>
          </w:rPr>
          <w:t>266</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40" w:history="1">
        <w:r w:rsidR="0069044A" w:rsidRPr="004015C7">
          <w:rPr>
            <w:rStyle w:val="af2"/>
            <w:rFonts w:ascii="Times New Roman" w:hAnsi="Times New Roman" w:hint="eastAsia"/>
            <w:noProof/>
          </w:rPr>
          <w:t>第三节　专利许可使用费的合理倍数</w:t>
        </w:r>
        <w:r w:rsidR="0069044A">
          <w:rPr>
            <w:noProof/>
          </w:rPr>
          <w:tab/>
        </w:r>
        <w:r>
          <w:rPr>
            <w:noProof/>
          </w:rPr>
          <w:fldChar w:fldCharType="begin"/>
        </w:r>
        <w:r w:rsidR="0069044A">
          <w:rPr>
            <w:noProof/>
          </w:rPr>
          <w:instrText xml:space="preserve"> PAGEREF _Toc229225640 \h </w:instrText>
        </w:r>
        <w:r>
          <w:rPr>
            <w:noProof/>
          </w:rPr>
        </w:r>
        <w:r>
          <w:rPr>
            <w:noProof/>
          </w:rPr>
          <w:fldChar w:fldCharType="separate"/>
        </w:r>
        <w:r w:rsidR="00731089">
          <w:rPr>
            <w:noProof/>
          </w:rPr>
          <w:t>267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41" w:history="1">
        <w:r w:rsidR="0069044A" w:rsidRPr="004015C7">
          <w:rPr>
            <w:rStyle w:val="af2"/>
            <w:rFonts w:ascii="Times New Roman" w:hAnsi="Times New Roman" w:hint="eastAsia"/>
            <w:noProof/>
          </w:rPr>
          <w:t>一、许可使用费的确定</w:t>
        </w:r>
        <w:r w:rsidR="0069044A">
          <w:rPr>
            <w:noProof/>
          </w:rPr>
          <w:tab/>
        </w:r>
        <w:r>
          <w:rPr>
            <w:noProof/>
          </w:rPr>
          <w:fldChar w:fldCharType="begin"/>
        </w:r>
        <w:r w:rsidR="0069044A">
          <w:rPr>
            <w:noProof/>
          </w:rPr>
          <w:instrText xml:space="preserve"> PAGEREF _Toc229225641 \h </w:instrText>
        </w:r>
        <w:r>
          <w:rPr>
            <w:noProof/>
          </w:rPr>
        </w:r>
        <w:r>
          <w:rPr>
            <w:noProof/>
          </w:rPr>
          <w:fldChar w:fldCharType="separate"/>
        </w:r>
        <w:r w:rsidR="00731089">
          <w:rPr>
            <w:noProof/>
          </w:rPr>
          <w:t>267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42" w:history="1">
        <w:r w:rsidR="0069044A" w:rsidRPr="004015C7">
          <w:rPr>
            <w:rStyle w:val="af2"/>
            <w:rFonts w:ascii="Times New Roman" w:hAnsi="Times New Roman" w:hint="eastAsia"/>
            <w:noProof/>
          </w:rPr>
          <w:t>二、以许可使用费为依据确定赔偿数额时的注意事项</w:t>
        </w:r>
        <w:r w:rsidR="0069044A">
          <w:rPr>
            <w:noProof/>
          </w:rPr>
          <w:tab/>
        </w:r>
        <w:r>
          <w:rPr>
            <w:noProof/>
          </w:rPr>
          <w:fldChar w:fldCharType="begin"/>
        </w:r>
        <w:r w:rsidR="0069044A">
          <w:rPr>
            <w:noProof/>
          </w:rPr>
          <w:instrText xml:space="preserve"> PAGEREF _Toc229225642 \h </w:instrText>
        </w:r>
        <w:r>
          <w:rPr>
            <w:noProof/>
          </w:rPr>
        </w:r>
        <w:r>
          <w:rPr>
            <w:noProof/>
          </w:rPr>
          <w:fldChar w:fldCharType="separate"/>
        </w:r>
        <w:r w:rsidR="00731089">
          <w:rPr>
            <w:noProof/>
          </w:rPr>
          <w:t>268</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43" w:history="1">
        <w:r w:rsidR="0069044A" w:rsidRPr="004015C7">
          <w:rPr>
            <w:rStyle w:val="af2"/>
            <w:rFonts w:ascii="Times New Roman" w:hAnsi="Times New Roman" w:hint="eastAsia"/>
            <w:noProof/>
          </w:rPr>
          <w:t>第四节　法定赔偿</w:t>
        </w:r>
        <w:r w:rsidR="0069044A">
          <w:rPr>
            <w:noProof/>
          </w:rPr>
          <w:tab/>
        </w:r>
        <w:r>
          <w:rPr>
            <w:noProof/>
          </w:rPr>
          <w:fldChar w:fldCharType="begin"/>
        </w:r>
        <w:r w:rsidR="0069044A">
          <w:rPr>
            <w:noProof/>
          </w:rPr>
          <w:instrText xml:space="preserve"> PAGEREF _Toc229225643 \h </w:instrText>
        </w:r>
        <w:r>
          <w:rPr>
            <w:noProof/>
          </w:rPr>
        </w:r>
        <w:r>
          <w:rPr>
            <w:noProof/>
          </w:rPr>
          <w:fldChar w:fldCharType="separate"/>
        </w:r>
        <w:r w:rsidR="00731089">
          <w:rPr>
            <w:noProof/>
          </w:rPr>
          <w:t>269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44" w:history="1">
        <w:r w:rsidR="0069044A" w:rsidRPr="004015C7">
          <w:rPr>
            <w:rStyle w:val="af2"/>
            <w:rFonts w:ascii="Times New Roman" w:hAnsi="Times New Roman" w:hint="eastAsia"/>
            <w:noProof/>
          </w:rPr>
          <w:t>一、确定法定赔偿数额的方法</w:t>
        </w:r>
        <w:r w:rsidR="0069044A">
          <w:rPr>
            <w:noProof/>
          </w:rPr>
          <w:tab/>
        </w:r>
        <w:r>
          <w:rPr>
            <w:noProof/>
          </w:rPr>
          <w:fldChar w:fldCharType="begin"/>
        </w:r>
        <w:r w:rsidR="0069044A">
          <w:rPr>
            <w:noProof/>
          </w:rPr>
          <w:instrText xml:space="preserve"> PAGEREF _Toc229225644 \h </w:instrText>
        </w:r>
        <w:r>
          <w:rPr>
            <w:noProof/>
          </w:rPr>
        </w:r>
        <w:r>
          <w:rPr>
            <w:noProof/>
          </w:rPr>
          <w:fldChar w:fldCharType="separate"/>
        </w:r>
        <w:r w:rsidR="00731089">
          <w:rPr>
            <w:noProof/>
          </w:rPr>
          <w:t>269</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45" w:history="1">
        <w:r w:rsidR="0069044A" w:rsidRPr="004015C7">
          <w:rPr>
            <w:rStyle w:val="af2"/>
            <w:rFonts w:ascii="Times New Roman" w:hAnsi="Times New Roman" w:hint="eastAsia"/>
            <w:noProof/>
          </w:rPr>
          <w:t>二、需要考虑的其他因素</w:t>
        </w:r>
        <w:r w:rsidR="0069044A">
          <w:rPr>
            <w:noProof/>
          </w:rPr>
          <w:tab/>
        </w:r>
        <w:r>
          <w:rPr>
            <w:noProof/>
          </w:rPr>
          <w:fldChar w:fldCharType="begin"/>
        </w:r>
        <w:r w:rsidR="0069044A">
          <w:rPr>
            <w:noProof/>
          </w:rPr>
          <w:instrText xml:space="preserve"> PAGEREF _Toc229225645 \h </w:instrText>
        </w:r>
        <w:r>
          <w:rPr>
            <w:noProof/>
          </w:rPr>
        </w:r>
        <w:r>
          <w:rPr>
            <w:noProof/>
          </w:rPr>
          <w:fldChar w:fldCharType="separate"/>
        </w:r>
        <w:r w:rsidR="00731089">
          <w:rPr>
            <w:noProof/>
          </w:rPr>
          <w:t>270</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46" w:history="1">
        <w:r w:rsidR="0069044A" w:rsidRPr="004015C7">
          <w:rPr>
            <w:rStyle w:val="af2"/>
            <w:rFonts w:ascii="Times New Roman" w:hAnsi="Times New Roman" w:hint="eastAsia"/>
            <w:noProof/>
          </w:rPr>
          <w:t>第五节　合理开支</w:t>
        </w:r>
        <w:r w:rsidR="0069044A">
          <w:rPr>
            <w:noProof/>
          </w:rPr>
          <w:tab/>
        </w:r>
        <w:r>
          <w:rPr>
            <w:noProof/>
          </w:rPr>
          <w:fldChar w:fldCharType="begin"/>
        </w:r>
        <w:r w:rsidR="0069044A">
          <w:rPr>
            <w:noProof/>
          </w:rPr>
          <w:instrText xml:space="preserve"> PAGEREF _Toc229225646 \h </w:instrText>
        </w:r>
        <w:r>
          <w:rPr>
            <w:noProof/>
          </w:rPr>
        </w:r>
        <w:r>
          <w:rPr>
            <w:noProof/>
          </w:rPr>
          <w:fldChar w:fldCharType="separate"/>
        </w:r>
        <w:r w:rsidR="00731089">
          <w:rPr>
            <w:noProof/>
          </w:rPr>
          <w:t>271</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647" w:history="1">
        <w:r w:rsidR="0069044A" w:rsidRPr="004015C7">
          <w:rPr>
            <w:rStyle w:val="af2"/>
            <w:rFonts w:hint="eastAsia"/>
            <w:noProof/>
          </w:rPr>
          <w:t>第九章　其他专利纠纷的行政调解</w:t>
        </w:r>
        <w:r w:rsidR="0069044A">
          <w:rPr>
            <w:noProof/>
          </w:rPr>
          <w:tab/>
        </w:r>
        <w:r>
          <w:rPr>
            <w:noProof/>
          </w:rPr>
          <w:fldChar w:fldCharType="begin"/>
        </w:r>
        <w:r w:rsidR="0069044A">
          <w:rPr>
            <w:noProof/>
          </w:rPr>
          <w:instrText xml:space="preserve"> PAGEREF _Toc229225647 \h </w:instrText>
        </w:r>
        <w:r>
          <w:rPr>
            <w:noProof/>
          </w:rPr>
        </w:r>
        <w:r>
          <w:rPr>
            <w:noProof/>
          </w:rPr>
          <w:fldChar w:fldCharType="separate"/>
        </w:r>
        <w:r w:rsidR="00731089">
          <w:rPr>
            <w:noProof/>
          </w:rPr>
          <w:t>272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48" w:history="1">
        <w:r w:rsidR="0069044A" w:rsidRPr="004015C7">
          <w:rPr>
            <w:rStyle w:val="af2"/>
            <w:rFonts w:ascii="Times New Roman" w:hAnsi="Times New Roman" w:hint="eastAsia"/>
            <w:noProof/>
          </w:rPr>
          <w:t>第一节　其他专利纠纷的常见类型</w:t>
        </w:r>
        <w:r w:rsidR="0069044A">
          <w:rPr>
            <w:noProof/>
          </w:rPr>
          <w:tab/>
        </w:r>
        <w:r>
          <w:rPr>
            <w:noProof/>
          </w:rPr>
          <w:fldChar w:fldCharType="begin"/>
        </w:r>
        <w:r w:rsidR="0069044A">
          <w:rPr>
            <w:noProof/>
          </w:rPr>
          <w:instrText xml:space="preserve"> PAGEREF _Toc229225648 \h </w:instrText>
        </w:r>
        <w:r>
          <w:rPr>
            <w:noProof/>
          </w:rPr>
        </w:r>
        <w:r>
          <w:rPr>
            <w:noProof/>
          </w:rPr>
          <w:fldChar w:fldCharType="separate"/>
        </w:r>
        <w:r w:rsidR="00731089">
          <w:rPr>
            <w:noProof/>
          </w:rPr>
          <w:t>272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49" w:history="1">
        <w:r w:rsidR="0069044A" w:rsidRPr="004015C7">
          <w:rPr>
            <w:rStyle w:val="af2"/>
            <w:rFonts w:ascii="Times New Roman" w:hAnsi="Times New Roman" w:hint="eastAsia"/>
            <w:noProof/>
          </w:rPr>
          <w:t>一、合同的基本概念</w:t>
        </w:r>
        <w:r w:rsidR="0069044A">
          <w:rPr>
            <w:noProof/>
          </w:rPr>
          <w:tab/>
        </w:r>
        <w:r>
          <w:rPr>
            <w:noProof/>
          </w:rPr>
          <w:fldChar w:fldCharType="begin"/>
        </w:r>
        <w:r w:rsidR="0069044A">
          <w:rPr>
            <w:noProof/>
          </w:rPr>
          <w:instrText xml:space="preserve"> PAGEREF _Toc229225649 \h </w:instrText>
        </w:r>
        <w:r>
          <w:rPr>
            <w:noProof/>
          </w:rPr>
        </w:r>
        <w:r>
          <w:rPr>
            <w:noProof/>
          </w:rPr>
          <w:fldChar w:fldCharType="separate"/>
        </w:r>
        <w:r w:rsidR="00731089">
          <w:rPr>
            <w:noProof/>
          </w:rPr>
          <w:t>272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50" w:history="1">
        <w:r w:rsidR="0069044A" w:rsidRPr="004015C7">
          <w:rPr>
            <w:rStyle w:val="af2"/>
            <w:rFonts w:ascii="Times New Roman" w:hAnsi="Times New Roman" w:hint="eastAsia"/>
            <w:noProof/>
          </w:rPr>
          <w:t>二、专利转让合同纠纷</w:t>
        </w:r>
        <w:r w:rsidR="0069044A">
          <w:rPr>
            <w:noProof/>
          </w:rPr>
          <w:tab/>
        </w:r>
        <w:r>
          <w:rPr>
            <w:noProof/>
          </w:rPr>
          <w:fldChar w:fldCharType="begin"/>
        </w:r>
        <w:r w:rsidR="0069044A">
          <w:rPr>
            <w:noProof/>
          </w:rPr>
          <w:instrText xml:space="preserve"> PAGEREF _Toc229225650 \h </w:instrText>
        </w:r>
        <w:r>
          <w:rPr>
            <w:noProof/>
          </w:rPr>
        </w:r>
        <w:r>
          <w:rPr>
            <w:noProof/>
          </w:rPr>
          <w:fldChar w:fldCharType="separate"/>
        </w:r>
        <w:r w:rsidR="00731089">
          <w:rPr>
            <w:noProof/>
          </w:rPr>
          <w:t>272</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51" w:history="1">
        <w:r w:rsidR="0069044A" w:rsidRPr="004015C7">
          <w:rPr>
            <w:rStyle w:val="af2"/>
            <w:rFonts w:ascii="Times New Roman" w:hAnsi="Times New Roman" w:hint="eastAsia"/>
            <w:noProof/>
          </w:rPr>
          <w:t>三、专利实施许可合同纠纷</w:t>
        </w:r>
        <w:r w:rsidR="0069044A">
          <w:rPr>
            <w:noProof/>
          </w:rPr>
          <w:tab/>
        </w:r>
        <w:r>
          <w:rPr>
            <w:noProof/>
          </w:rPr>
          <w:fldChar w:fldCharType="begin"/>
        </w:r>
        <w:r w:rsidR="0069044A">
          <w:rPr>
            <w:noProof/>
          </w:rPr>
          <w:instrText xml:space="preserve"> PAGEREF _Toc229225651 \h </w:instrText>
        </w:r>
        <w:r>
          <w:rPr>
            <w:noProof/>
          </w:rPr>
        </w:r>
        <w:r>
          <w:rPr>
            <w:noProof/>
          </w:rPr>
          <w:fldChar w:fldCharType="separate"/>
        </w:r>
        <w:r w:rsidR="00731089">
          <w:rPr>
            <w:noProof/>
          </w:rPr>
          <w:t>272</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52" w:history="1">
        <w:r w:rsidR="0069044A" w:rsidRPr="004015C7">
          <w:rPr>
            <w:rStyle w:val="af2"/>
            <w:rFonts w:ascii="Times New Roman" w:hAnsi="Times New Roman" w:hint="eastAsia"/>
            <w:noProof/>
          </w:rPr>
          <w:t>第二节　专利转让与许可合同纠纷的行政调解</w:t>
        </w:r>
        <w:r w:rsidR="0069044A">
          <w:rPr>
            <w:noProof/>
          </w:rPr>
          <w:tab/>
        </w:r>
        <w:r>
          <w:rPr>
            <w:noProof/>
          </w:rPr>
          <w:fldChar w:fldCharType="begin"/>
        </w:r>
        <w:r w:rsidR="0069044A">
          <w:rPr>
            <w:noProof/>
          </w:rPr>
          <w:instrText xml:space="preserve"> PAGEREF _Toc229225652 \h </w:instrText>
        </w:r>
        <w:r>
          <w:rPr>
            <w:noProof/>
          </w:rPr>
        </w:r>
        <w:r>
          <w:rPr>
            <w:noProof/>
          </w:rPr>
          <w:fldChar w:fldCharType="separate"/>
        </w:r>
        <w:r w:rsidR="00731089">
          <w:rPr>
            <w:noProof/>
          </w:rPr>
          <w:t>273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53" w:history="1">
        <w:r w:rsidR="0069044A" w:rsidRPr="004015C7">
          <w:rPr>
            <w:rStyle w:val="af2"/>
            <w:rFonts w:ascii="Times New Roman" w:hAnsi="Times New Roman" w:hint="eastAsia"/>
            <w:noProof/>
          </w:rPr>
          <w:t>一、合同双方的权利与义务</w:t>
        </w:r>
        <w:r w:rsidR="0069044A" w:rsidRPr="004015C7">
          <w:rPr>
            <w:rStyle w:val="af2"/>
            <w:rFonts w:ascii="MS Mincho" w:eastAsia="MS Mincho" w:hAnsi="MS Mincho" w:cs="MS Mincho" w:hint="cs"/>
            <w:noProof/>
          </w:rPr>
          <w:t>‌</w:t>
        </w:r>
        <w:r w:rsidR="0069044A">
          <w:rPr>
            <w:noProof/>
          </w:rPr>
          <w:tab/>
        </w:r>
        <w:r>
          <w:rPr>
            <w:noProof/>
          </w:rPr>
          <w:fldChar w:fldCharType="begin"/>
        </w:r>
        <w:r w:rsidR="0069044A">
          <w:rPr>
            <w:noProof/>
          </w:rPr>
          <w:instrText xml:space="preserve"> PAGEREF _Toc229225653 \h </w:instrText>
        </w:r>
        <w:r>
          <w:rPr>
            <w:noProof/>
          </w:rPr>
        </w:r>
        <w:r>
          <w:rPr>
            <w:noProof/>
          </w:rPr>
          <w:fldChar w:fldCharType="separate"/>
        </w:r>
        <w:r w:rsidR="00731089">
          <w:rPr>
            <w:noProof/>
          </w:rPr>
          <w:t>273</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54" w:history="1">
        <w:r w:rsidR="0069044A" w:rsidRPr="004015C7">
          <w:rPr>
            <w:rStyle w:val="af2"/>
            <w:rFonts w:ascii="Times New Roman" w:hAnsi="Times New Roman" w:hint="eastAsia"/>
            <w:noProof/>
          </w:rPr>
          <w:t>二、专利转让与许可</w:t>
        </w:r>
        <w:r w:rsidR="0069044A" w:rsidRPr="004015C7">
          <w:rPr>
            <w:rStyle w:val="af2"/>
            <w:rFonts w:hint="eastAsia"/>
            <w:noProof/>
          </w:rPr>
          <w:t>合同纠纷行政调解案件的</w:t>
        </w:r>
        <w:r w:rsidR="0069044A" w:rsidRPr="004015C7">
          <w:rPr>
            <w:rStyle w:val="af2"/>
            <w:rFonts w:eastAsia="MS Mincho" w:hAnsi="Times New Roman" w:cs="MS Mincho" w:hint="cs"/>
            <w:bCs/>
            <w:noProof/>
            <w:spacing w:val="18"/>
          </w:rPr>
          <w:t>‌</w:t>
        </w:r>
        <w:r w:rsidR="0069044A" w:rsidRPr="004015C7">
          <w:rPr>
            <w:rStyle w:val="af2"/>
            <w:rFonts w:cs="MS Mincho" w:hint="eastAsia"/>
            <w:bCs/>
            <w:noProof/>
            <w:spacing w:val="18"/>
          </w:rPr>
          <w:t>类型</w:t>
        </w:r>
        <w:r w:rsidR="0069044A">
          <w:rPr>
            <w:noProof/>
          </w:rPr>
          <w:tab/>
        </w:r>
        <w:r>
          <w:rPr>
            <w:noProof/>
          </w:rPr>
          <w:fldChar w:fldCharType="begin"/>
        </w:r>
        <w:r w:rsidR="0069044A">
          <w:rPr>
            <w:noProof/>
          </w:rPr>
          <w:instrText xml:space="preserve"> PAGEREF _Toc229225654 \h </w:instrText>
        </w:r>
        <w:r>
          <w:rPr>
            <w:noProof/>
          </w:rPr>
        </w:r>
        <w:r>
          <w:rPr>
            <w:noProof/>
          </w:rPr>
          <w:fldChar w:fldCharType="separate"/>
        </w:r>
        <w:r w:rsidR="00731089">
          <w:rPr>
            <w:noProof/>
          </w:rPr>
          <w:t>273</w:t>
        </w:r>
        <w:r>
          <w:rPr>
            <w:noProof/>
          </w:rPr>
          <w:fldChar w:fldCharType="end"/>
        </w:r>
      </w:hyperlink>
    </w:p>
    <w:p w:rsidR="0069044A" w:rsidRDefault="00C22A7B">
      <w:pPr>
        <w:pStyle w:val="21"/>
        <w:rPr>
          <w:rFonts w:asciiTheme="minorHAnsi" w:eastAsiaTheme="minorEastAsia" w:hAnsiTheme="minorHAnsi" w:cstheme="minorBidi"/>
          <w:noProof/>
          <w:kern w:val="2"/>
          <w:szCs w:val="22"/>
        </w:rPr>
      </w:pPr>
      <w:hyperlink w:anchor="_Toc229225655" w:history="1">
        <w:r w:rsidR="0069044A" w:rsidRPr="004015C7">
          <w:rPr>
            <w:rStyle w:val="af2"/>
            <w:rFonts w:ascii="Times New Roman" w:hAnsi="Times New Roman" w:hint="eastAsia"/>
            <w:noProof/>
          </w:rPr>
          <w:t>第三节　专利权有效性对合同效力的影响</w:t>
        </w:r>
        <w:r w:rsidR="0069044A">
          <w:rPr>
            <w:noProof/>
          </w:rPr>
          <w:tab/>
        </w:r>
        <w:r>
          <w:rPr>
            <w:noProof/>
          </w:rPr>
          <w:fldChar w:fldCharType="begin"/>
        </w:r>
        <w:r w:rsidR="0069044A">
          <w:rPr>
            <w:noProof/>
          </w:rPr>
          <w:instrText xml:space="preserve"> PAGEREF _Toc229225655 \h </w:instrText>
        </w:r>
        <w:r>
          <w:rPr>
            <w:noProof/>
          </w:rPr>
        </w:r>
        <w:r>
          <w:rPr>
            <w:noProof/>
          </w:rPr>
          <w:fldChar w:fldCharType="separate"/>
        </w:r>
        <w:r w:rsidR="00731089">
          <w:rPr>
            <w:noProof/>
          </w:rPr>
          <w:t>277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56" w:history="1">
        <w:r w:rsidR="0069044A" w:rsidRPr="004015C7">
          <w:rPr>
            <w:rStyle w:val="af2"/>
            <w:rFonts w:ascii="Times New Roman" w:hAnsi="Times New Roman" w:hint="eastAsia"/>
            <w:noProof/>
          </w:rPr>
          <w:t>一、专利权被宣告无效对合同已履行部分效力的影响</w:t>
        </w:r>
        <w:r w:rsidR="0069044A">
          <w:rPr>
            <w:noProof/>
          </w:rPr>
          <w:tab/>
        </w:r>
        <w:r>
          <w:rPr>
            <w:noProof/>
          </w:rPr>
          <w:fldChar w:fldCharType="begin"/>
        </w:r>
        <w:r w:rsidR="0069044A">
          <w:rPr>
            <w:noProof/>
          </w:rPr>
          <w:instrText xml:space="preserve"> PAGEREF _Toc229225656 \h </w:instrText>
        </w:r>
        <w:r>
          <w:rPr>
            <w:noProof/>
          </w:rPr>
        </w:r>
        <w:r>
          <w:rPr>
            <w:noProof/>
          </w:rPr>
          <w:fldChar w:fldCharType="separate"/>
        </w:r>
        <w:r w:rsidR="00731089">
          <w:rPr>
            <w:noProof/>
          </w:rPr>
          <w:t>277</w:t>
        </w:r>
        <w:r>
          <w:rPr>
            <w:noProof/>
          </w:rPr>
          <w:fldChar w:fldCharType="end"/>
        </w:r>
      </w:hyperlink>
    </w:p>
    <w:p w:rsidR="0069044A" w:rsidRDefault="00C22A7B">
      <w:pPr>
        <w:pStyle w:val="30"/>
        <w:rPr>
          <w:rFonts w:asciiTheme="minorHAnsi" w:eastAsiaTheme="minorEastAsia" w:hAnsiTheme="minorHAnsi" w:cstheme="minorBidi"/>
          <w:noProof/>
          <w:kern w:val="2"/>
          <w:szCs w:val="22"/>
        </w:rPr>
      </w:pPr>
      <w:hyperlink w:anchor="_Toc229225657" w:history="1">
        <w:r w:rsidR="0069044A" w:rsidRPr="004015C7">
          <w:rPr>
            <w:rStyle w:val="af2"/>
            <w:rFonts w:ascii="Times New Roman" w:hAnsi="Times New Roman" w:hint="eastAsia"/>
            <w:noProof/>
          </w:rPr>
          <w:t>二、专利权被宣告无效对合同尚未履行部分效力的影响</w:t>
        </w:r>
        <w:r w:rsidR="0069044A">
          <w:rPr>
            <w:noProof/>
          </w:rPr>
          <w:tab/>
        </w:r>
        <w:r>
          <w:rPr>
            <w:noProof/>
          </w:rPr>
          <w:fldChar w:fldCharType="begin"/>
        </w:r>
        <w:r w:rsidR="0069044A">
          <w:rPr>
            <w:noProof/>
          </w:rPr>
          <w:instrText xml:space="preserve"> PAGEREF _Toc229225657 \h </w:instrText>
        </w:r>
        <w:r>
          <w:rPr>
            <w:noProof/>
          </w:rPr>
        </w:r>
        <w:r>
          <w:rPr>
            <w:noProof/>
          </w:rPr>
          <w:fldChar w:fldCharType="separate"/>
        </w:r>
        <w:r w:rsidR="00731089">
          <w:rPr>
            <w:noProof/>
          </w:rPr>
          <w:t>278</w:t>
        </w:r>
        <w:r>
          <w:rPr>
            <w:noProof/>
          </w:rPr>
          <w:fldChar w:fldCharType="end"/>
        </w:r>
      </w:hyperlink>
    </w:p>
    <w:p w:rsidR="0069044A" w:rsidRDefault="00C22A7B" w:rsidP="0069044A">
      <w:pPr>
        <w:pStyle w:val="10"/>
        <w:spacing w:before="120"/>
        <w:rPr>
          <w:rFonts w:asciiTheme="minorHAnsi" w:eastAsiaTheme="minorEastAsia" w:hAnsiTheme="minorHAnsi" w:cstheme="minorBidi"/>
          <w:noProof/>
          <w:spacing w:val="0"/>
          <w:kern w:val="2"/>
          <w:szCs w:val="22"/>
        </w:rPr>
      </w:pPr>
      <w:hyperlink w:anchor="_Toc229225658" w:history="1">
        <w:r w:rsidR="0069044A" w:rsidRPr="004015C7">
          <w:rPr>
            <w:rStyle w:val="af2"/>
            <w:rFonts w:ascii="黑体" w:hAnsi="宋体" w:cs="Arial" w:hint="eastAsia"/>
            <w:noProof/>
          </w:rPr>
          <w:t>附件</w:t>
        </w:r>
        <w:r w:rsidR="0069044A">
          <w:rPr>
            <w:noProof/>
          </w:rPr>
          <w:tab/>
        </w:r>
        <w:r>
          <w:rPr>
            <w:noProof/>
          </w:rPr>
          <w:fldChar w:fldCharType="begin"/>
        </w:r>
        <w:r w:rsidR="0069044A">
          <w:rPr>
            <w:noProof/>
          </w:rPr>
          <w:instrText xml:space="preserve"> PAGEREF _Toc229225658 \h </w:instrText>
        </w:r>
        <w:r>
          <w:rPr>
            <w:noProof/>
          </w:rPr>
        </w:r>
        <w:r>
          <w:rPr>
            <w:noProof/>
          </w:rPr>
          <w:fldChar w:fldCharType="separate"/>
        </w:r>
        <w:r w:rsidR="00731089">
          <w:rPr>
            <w:noProof/>
          </w:rPr>
          <w:t>279</w:t>
        </w:r>
        <w:r>
          <w:rPr>
            <w:noProof/>
          </w:rPr>
          <w:fldChar w:fldCharType="end"/>
        </w:r>
      </w:hyperlink>
    </w:p>
    <w:p w:rsidR="00800760" w:rsidRDefault="00C22A7B" w:rsidP="0069044A">
      <w:r>
        <w:fldChar w:fldCharType="end"/>
      </w:r>
    </w:p>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69044A" w:rsidRDefault="0069044A" w:rsidP="0069044A"/>
    <w:p w:rsidR="009F5E1C" w:rsidRDefault="009F5E1C" w:rsidP="0069044A">
      <w:pPr>
        <w:sectPr w:rsidR="009F5E1C" w:rsidSect="008175D7">
          <w:headerReference w:type="even" r:id="rId9"/>
          <w:headerReference w:type="default" r:id="rId10"/>
          <w:footerReference w:type="even" r:id="rId11"/>
          <w:footerReference w:type="default" r:id="rId12"/>
          <w:headerReference w:type="first" r:id="rId13"/>
          <w:footerReference w:type="first" r:id="rId14"/>
          <w:pgSz w:w="11907" w:h="16839" w:code="9"/>
          <w:pgMar w:top="715" w:right="1075" w:bottom="1233" w:left="1078" w:header="432" w:footer="968" w:gutter="0"/>
          <w:pgNumType w:start="1"/>
          <w:cols w:space="720"/>
          <w:docGrid w:linePitch="286"/>
        </w:sectPr>
      </w:pPr>
    </w:p>
    <w:p w:rsidR="0069044A" w:rsidRDefault="0069044A" w:rsidP="0069044A"/>
    <w:p w:rsidR="00800760" w:rsidRDefault="00800760">
      <w:pPr>
        <w:pStyle w:val="1"/>
      </w:pPr>
    </w:p>
    <w:p w:rsidR="00800760" w:rsidRDefault="00800760">
      <w:pPr>
        <w:pStyle w:val="1"/>
      </w:pPr>
    </w:p>
    <w:p w:rsidR="0069044A" w:rsidRDefault="0069044A" w:rsidP="0069044A"/>
    <w:p w:rsidR="0069044A" w:rsidRDefault="0069044A" w:rsidP="0069044A"/>
    <w:p w:rsidR="0069044A" w:rsidRDefault="0069044A" w:rsidP="0069044A"/>
    <w:p w:rsidR="0069044A" w:rsidRDefault="0069044A" w:rsidP="0069044A"/>
    <w:p w:rsidR="0069044A" w:rsidRPr="0069044A" w:rsidRDefault="0069044A" w:rsidP="0069044A"/>
    <w:p w:rsidR="00800760" w:rsidRDefault="00800760">
      <w:pPr>
        <w:pStyle w:val="1"/>
      </w:pPr>
    </w:p>
    <w:p w:rsidR="00800760" w:rsidRDefault="00800760">
      <w:pPr>
        <w:pStyle w:val="1"/>
      </w:pPr>
    </w:p>
    <w:p w:rsidR="00800760" w:rsidRDefault="00800760">
      <w:pPr>
        <w:pStyle w:val="1"/>
      </w:pPr>
    </w:p>
    <w:p w:rsidR="00800760" w:rsidRDefault="00235733">
      <w:pPr>
        <w:pStyle w:val="1"/>
        <w:ind w:firstLineChars="0" w:firstLine="0"/>
      </w:pPr>
      <w:bookmarkStart w:id="0" w:name="_Toc11273"/>
      <w:bookmarkStart w:id="1" w:name="_Toc29488"/>
      <w:bookmarkStart w:id="2" w:name="_Toc14334"/>
      <w:bookmarkStart w:id="3" w:name="_Toc24963"/>
      <w:bookmarkStart w:id="4" w:name="_Toc6620"/>
      <w:bookmarkStart w:id="5" w:name="_Toc6049"/>
      <w:bookmarkStart w:id="6" w:name="_Toc25297"/>
      <w:bookmarkStart w:id="7" w:name="_Toc11124"/>
      <w:bookmarkStart w:id="8" w:name="_Toc16213"/>
      <w:bookmarkStart w:id="9" w:name="_Toc14516"/>
      <w:bookmarkStart w:id="10" w:name="_Toc23907"/>
      <w:bookmarkStart w:id="11" w:name="_Toc2764"/>
      <w:bookmarkStart w:id="12" w:name="_Toc191"/>
      <w:bookmarkStart w:id="13" w:name="_Toc32344"/>
      <w:bookmarkStart w:id="14" w:name="_Toc17373"/>
      <w:bookmarkStart w:id="15" w:name="_Toc29982"/>
      <w:bookmarkStart w:id="16" w:name="_Toc7407"/>
      <w:bookmarkStart w:id="17" w:name="_Toc25586"/>
      <w:bookmarkStart w:id="18" w:name="_Toc2165"/>
      <w:bookmarkStart w:id="19" w:name="_Toc7625"/>
      <w:bookmarkStart w:id="20" w:name="_Toc2845"/>
      <w:bookmarkStart w:id="21" w:name="_Toc28433"/>
      <w:bookmarkStart w:id="22" w:name="_Toc27338"/>
      <w:bookmarkStart w:id="23" w:name="_Toc18618"/>
      <w:bookmarkStart w:id="24" w:name="_Toc28392"/>
      <w:bookmarkStart w:id="25" w:name="_Toc25356"/>
      <w:bookmarkStart w:id="26" w:name="_Toc3032"/>
      <w:bookmarkStart w:id="27" w:name="_Toc5360"/>
      <w:bookmarkStart w:id="28" w:name="_Toc24931"/>
      <w:bookmarkStart w:id="29" w:name="_Toc26799"/>
      <w:bookmarkStart w:id="30" w:name="_Toc18427"/>
      <w:bookmarkStart w:id="31" w:name="_Toc26942"/>
      <w:bookmarkStart w:id="32" w:name="_Toc31598"/>
      <w:bookmarkStart w:id="33" w:name="_Toc4880"/>
      <w:bookmarkStart w:id="34" w:name="_Toc15783"/>
      <w:bookmarkStart w:id="35" w:name="_Toc22736"/>
      <w:bookmarkStart w:id="36" w:name="_Toc16053"/>
      <w:bookmarkStart w:id="37" w:name="_Toc22299"/>
      <w:bookmarkStart w:id="38" w:name="_Toc30268"/>
      <w:bookmarkStart w:id="39" w:name="_Toc4621"/>
      <w:bookmarkStart w:id="40" w:name="_Toc5158"/>
      <w:bookmarkStart w:id="41" w:name="_Toc30178"/>
      <w:bookmarkStart w:id="42" w:name="_Toc31085"/>
      <w:bookmarkStart w:id="43" w:name="_Toc6399"/>
      <w:bookmarkStart w:id="44" w:name="_Toc229114319"/>
      <w:bookmarkStart w:id="45" w:name="_Toc229225415"/>
      <w:r>
        <w:rPr>
          <w:rFonts w:hint="eastAsia"/>
        </w:rPr>
        <w:t>第一部分　专利侵权纠纷行政裁决</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800760" w:rsidRDefault="00800760"/>
    <w:p w:rsidR="00800760" w:rsidRDefault="00235733">
      <w:pPr>
        <w:pStyle w:val="1"/>
        <w:pageBreakBefore/>
        <w:widowControl/>
        <w:ind w:firstLineChars="0" w:firstLine="0"/>
      </w:pPr>
      <w:bookmarkStart w:id="46" w:name="_Toc217908589"/>
      <w:bookmarkStart w:id="47" w:name="_Toc229114320"/>
      <w:bookmarkStart w:id="48" w:name="_Toc229225416"/>
      <w:bookmarkStart w:id="49" w:name="_Toc17029"/>
      <w:r>
        <w:t>第一章　概述</w:t>
      </w:r>
      <w:bookmarkEnd w:id="46"/>
      <w:bookmarkEnd w:id="47"/>
      <w:bookmarkEnd w:id="48"/>
    </w:p>
    <w:p w:rsidR="00800760" w:rsidRDefault="00235733">
      <w:pPr>
        <w:pStyle w:val="12"/>
        <w:spacing w:line="336" w:lineRule="auto"/>
        <w:ind w:firstLine="420"/>
        <w:rPr>
          <w:rFonts w:ascii="Times New Roman" w:eastAsia="宋体" w:hAnsi="Times New Roman" w:cs="宋体"/>
          <w:sz w:val="21"/>
          <w:szCs w:val="21"/>
        </w:rPr>
      </w:pPr>
      <w:r>
        <w:rPr>
          <w:rFonts w:ascii="Times New Roman" w:eastAsia="宋体" w:hAnsi="Times New Roman" w:cs="宋体"/>
          <w:sz w:val="21"/>
          <w:szCs w:val="21"/>
        </w:rPr>
        <w:t>为贯彻落实党中央、国务院关于加强知识产权保护工作的决策部署，深入推进依法行政，确保专利侵权纠纷行政裁决的质量和效率，维护专利权人和社会公众的合法权益，深化知识产权领域改革，推动知识产权事业稳中求进、高质量发展，根据《中华人民共和国专利法》（以下简称《专利法》）、《中华人民共和国专利法实施细则》（以下简称《专利法实施细则》）、《专利纠纷行政裁决和调解办法》和有关法律、法规，制定本指南。</w:t>
      </w:r>
    </w:p>
    <w:p w:rsidR="00800760" w:rsidRDefault="00235733">
      <w:pPr>
        <w:pStyle w:val="2"/>
        <w:widowControl/>
        <w:topLinePunct/>
        <w:ind w:firstLineChars="0" w:firstLine="0"/>
        <w:rPr>
          <w:rFonts w:ascii="Times New Roman" w:hAnsi="Times New Roman"/>
          <w:color w:val="000000"/>
          <w:kern w:val="2"/>
        </w:rPr>
      </w:pPr>
      <w:bookmarkStart w:id="50" w:name="_Toc23698"/>
      <w:bookmarkStart w:id="51" w:name="_Toc9313"/>
      <w:bookmarkStart w:id="52" w:name="_Toc8002"/>
      <w:bookmarkStart w:id="53" w:name="_Toc21434"/>
      <w:bookmarkStart w:id="54" w:name="_Toc15300"/>
      <w:bookmarkStart w:id="55" w:name="_Toc7533"/>
      <w:bookmarkStart w:id="56" w:name="_Toc10582"/>
      <w:bookmarkStart w:id="57" w:name="_Toc5048"/>
      <w:bookmarkStart w:id="58" w:name="_Toc21421"/>
      <w:bookmarkStart w:id="59" w:name="_Toc5056"/>
      <w:bookmarkStart w:id="60" w:name="_Toc4995"/>
      <w:bookmarkStart w:id="61" w:name="_Toc344"/>
      <w:bookmarkStart w:id="62" w:name="_Toc15777"/>
      <w:bookmarkStart w:id="63" w:name="_Toc217908590"/>
      <w:bookmarkStart w:id="64" w:name="_Toc1886"/>
      <w:bookmarkStart w:id="65" w:name="_Toc16376"/>
      <w:bookmarkStart w:id="66" w:name="_Toc9054"/>
      <w:bookmarkStart w:id="67" w:name="_Toc1055"/>
      <w:bookmarkStart w:id="68" w:name="_Toc1263"/>
      <w:bookmarkStart w:id="69" w:name="_Toc32522"/>
      <w:bookmarkStart w:id="70" w:name="_Toc27910"/>
      <w:bookmarkStart w:id="71" w:name="_Toc19035"/>
      <w:bookmarkStart w:id="72" w:name="_Toc30355"/>
      <w:bookmarkStart w:id="73" w:name="_Toc26315"/>
      <w:bookmarkStart w:id="74" w:name="_Toc28956"/>
      <w:bookmarkStart w:id="75" w:name="_Toc26444"/>
      <w:bookmarkStart w:id="76" w:name="_Toc11440"/>
      <w:bookmarkStart w:id="77" w:name="_Toc28307"/>
      <w:bookmarkStart w:id="78" w:name="_Toc32629"/>
      <w:bookmarkStart w:id="79" w:name="_Toc12571"/>
      <w:bookmarkStart w:id="80" w:name="_Toc26432"/>
      <w:bookmarkStart w:id="81" w:name="_Toc20041"/>
      <w:bookmarkStart w:id="82" w:name="_Toc2391"/>
      <w:bookmarkStart w:id="83" w:name="_Toc12593"/>
      <w:bookmarkStart w:id="84" w:name="_Toc28593084"/>
      <w:bookmarkStart w:id="85" w:name="_Toc10217"/>
      <w:bookmarkStart w:id="86" w:name="_Toc733"/>
      <w:bookmarkStart w:id="87" w:name="_Toc8075"/>
      <w:bookmarkStart w:id="88" w:name="_Toc28780"/>
      <w:bookmarkStart w:id="89" w:name="_Toc19339"/>
      <w:bookmarkStart w:id="90" w:name="_Toc28459"/>
      <w:bookmarkStart w:id="91" w:name="_Toc2171"/>
      <w:bookmarkStart w:id="92" w:name="_Toc13882"/>
      <w:bookmarkStart w:id="93" w:name="_Toc32233"/>
      <w:bookmarkStart w:id="94" w:name="_Toc229114321"/>
      <w:bookmarkStart w:id="95" w:name="_Toc229225417"/>
      <w:r>
        <w:rPr>
          <w:rFonts w:ascii="Times New Roman" w:hAnsi="Times New Roman"/>
          <w:color w:val="000000"/>
          <w:kern w:val="2"/>
        </w:rPr>
        <w:t>第一节　专利侵权纠纷与行政裁决</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专利侵权行为，是指在专利权有效期限内，任何单位或个人未经专利权人许可实施其专利的行为。因专利侵权行为而引起的纠纷为专利侵权纠纷。</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行政裁决，是指行政机关根据当事人申请，依据法律法规授权，居中对与行政管理活动密切相关的民事纠纷进行裁处的行为。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发生专利侵权纠纷后，当事人可以自行协商解决；不愿协商或者协商不成的，专利权人或者利害关系人可以向人民法院起诉，也可以请求管理专利工作的部门处理。除当事人达成调解协议并撤回处理请求的以外，管理专利工作的部门应当作出专利侵权纠纷行政裁决，认定侵权行为是否成立；认定侵权行为成立的，可以责令侵权人立即停止侵权行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专利侵权纠纷行政裁决具有效率高、成本低、专业性强、程序简便等特点，有利于促成专利侵权纠纷的快速解决，起到化解民事纠纷的</w:t>
      </w:r>
      <w:r>
        <w:rPr>
          <w:rFonts w:asciiTheme="minorEastAsia" w:eastAsiaTheme="minorEastAsia" w:hAnsiTheme="minorEastAsia" w:cs="宋体"/>
          <w:sz w:val="21"/>
          <w:szCs w:val="21"/>
        </w:rPr>
        <w:t>“</w:t>
      </w:r>
      <w:r>
        <w:rPr>
          <w:rFonts w:ascii="Times New Roman" w:eastAsia="宋体" w:hAnsi="Times New Roman" w:cs="宋体"/>
          <w:sz w:val="21"/>
          <w:szCs w:val="21"/>
        </w:rPr>
        <w:t>分流阀</w:t>
      </w:r>
      <w:r>
        <w:rPr>
          <w:rFonts w:asciiTheme="minorEastAsia" w:eastAsiaTheme="minorEastAsia" w:hAnsiTheme="minorEastAsia" w:cs="宋体"/>
          <w:sz w:val="21"/>
          <w:szCs w:val="21"/>
        </w:rPr>
        <w:t>”</w:t>
      </w:r>
      <w:r>
        <w:rPr>
          <w:rFonts w:ascii="Times New Roman" w:eastAsia="宋体" w:hAnsi="Times New Roman" w:cs="宋体"/>
          <w:sz w:val="21"/>
          <w:szCs w:val="21"/>
        </w:rPr>
        <w:t>的作用。</w:t>
      </w:r>
    </w:p>
    <w:p w:rsidR="00800760" w:rsidRDefault="00235733">
      <w:pPr>
        <w:pStyle w:val="2"/>
        <w:widowControl/>
        <w:topLinePunct/>
        <w:ind w:firstLineChars="0" w:firstLine="0"/>
        <w:rPr>
          <w:rFonts w:ascii="Times New Roman" w:hAnsi="Times New Roman"/>
          <w:color w:val="000000"/>
          <w:kern w:val="2"/>
        </w:rPr>
      </w:pPr>
      <w:bookmarkStart w:id="96" w:name="_Toc26391"/>
      <w:bookmarkStart w:id="97" w:name="_Toc676"/>
      <w:bookmarkStart w:id="98" w:name="_Toc16580"/>
      <w:bookmarkStart w:id="99" w:name="_Toc22724"/>
      <w:bookmarkStart w:id="100" w:name="_Toc5143"/>
      <w:bookmarkStart w:id="101" w:name="_Toc23808"/>
      <w:bookmarkStart w:id="102" w:name="_Toc5800"/>
      <w:bookmarkStart w:id="103" w:name="_Toc217908591"/>
      <w:bookmarkStart w:id="104" w:name="_Toc5391"/>
      <w:bookmarkStart w:id="105" w:name="_Toc6911"/>
      <w:bookmarkStart w:id="106" w:name="_Toc28243"/>
      <w:bookmarkStart w:id="107" w:name="_Toc17922"/>
      <w:bookmarkStart w:id="108" w:name="_Toc18796"/>
      <w:bookmarkStart w:id="109" w:name="_Toc13546"/>
      <w:bookmarkStart w:id="110" w:name="_Toc28593085"/>
      <w:bookmarkStart w:id="111" w:name="_Toc12365"/>
      <w:bookmarkStart w:id="112" w:name="_Toc30823"/>
      <w:bookmarkStart w:id="113" w:name="_Toc5532"/>
      <w:bookmarkStart w:id="114" w:name="_Toc9470"/>
      <w:bookmarkStart w:id="115" w:name="_Toc24230"/>
      <w:bookmarkStart w:id="116" w:name="_Toc27732"/>
      <w:bookmarkStart w:id="117" w:name="_Toc29987"/>
      <w:bookmarkStart w:id="118" w:name="_Toc5680"/>
      <w:bookmarkStart w:id="119" w:name="_Toc6343"/>
      <w:bookmarkStart w:id="120" w:name="_Toc2913"/>
      <w:bookmarkStart w:id="121" w:name="_Toc15342"/>
      <w:bookmarkStart w:id="122" w:name="_Toc14454"/>
      <w:bookmarkStart w:id="123" w:name="_Toc31400"/>
      <w:bookmarkStart w:id="124" w:name="_Toc17680"/>
      <w:bookmarkStart w:id="125" w:name="_Toc32471"/>
      <w:bookmarkStart w:id="126" w:name="_Toc18600"/>
      <w:bookmarkStart w:id="127" w:name="_Toc22889"/>
      <w:bookmarkStart w:id="128" w:name="_Toc14419"/>
      <w:bookmarkStart w:id="129" w:name="_Toc24099"/>
      <w:bookmarkStart w:id="130" w:name="_Toc1696"/>
      <w:bookmarkStart w:id="131" w:name="_Toc30733"/>
      <w:bookmarkStart w:id="132" w:name="_Toc13348"/>
      <w:bookmarkStart w:id="133" w:name="_Toc26678"/>
      <w:bookmarkStart w:id="134" w:name="_Toc28489"/>
      <w:bookmarkStart w:id="135" w:name="_Toc17119"/>
      <w:bookmarkStart w:id="136" w:name="_Toc22287"/>
      <w:bookmarkStart w:id="137" w:name="_Toc6012"/>
      <w:bookmarkStart w:id="138" w:name="_Toc8903"/>
      <w:bookmarkStart w:id="139" w:name="_Toc25237"/>
      <w:bookmarkStart w:id="140" w:name="_Toc229114322"/>
      <w:bookmarkStart w:id="141" w:name="_Toc229225418"/>
      <w:r>
        <w:rPr>
          <w:rFonts w:ascii="Times New Roman" w:hAnsi="Times New Roman"/>
          <w:color w:val="000000"/>
          <w:kern w:val="2"/>
        </w:rPr>
        <w:t xml:space="preserve">第二节　</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ascii="Times New Roman" w:hAnsi="Times New Roman" w:hint="eastAsia"/>
          <w:color w:val="000000"/>
          <w:kern w:val="2"/>
        </w:rPr>
        <w:t>管辖</w:t>
      </w:r>
      <w:bookmarkEnd w:id="140"/>
      <w:bookmarkEnd w:id="141"/>
    </w:p>
    <w:p w:rsidR="00800760" w:rsidRDefault="00235733">
      <w:pPr>
        <w:pStyle w:val="3"/>
        <w:widowControl/>
        <w:topLinePunct/>
        <w:spacing w:before="240"/>
        <w:ind w:firstLine="444"/>
        <w:rPr>
          <w:rFonts w:ascii="Times New Roman" w:hAnsi="Times New Roman"/>
          <w:color w:val="000000"/>
        </w:rPr>
      </w:pPr>
      <w:bookmarkStart w:id="142" w:name="_Toc16477"/>
      <w:bookmarkStart w:id="143" w:name="_Toc20785"/>
      <w:bookmarkStart w:id="144" w:name="_Toc1204"/>
      <w:bookmarkStart w:id="145" w:name="_Toc30680"/>
      <w:bookmarkStart w:id="146" w:name="_Toc1835"/>
      <w:bookmarkStart w:id="147" w:name="_Toc4700"/>
      <w:bookmarkStart w:id="148" w:name="_Toc24686"/>
      <w:bookmarkStart w:id="149" w:name="_Toc24032"/>
      <w:bookmarkStart w:id="150" w:name="_Toc16992"/>
      <w:bookmarkStart w:id="151" w:name="_Toc24485"/>
      <w:bookmarkStart w:id="152" w:name="_Toc13689"/>
      <w:bookmarkStart w:id="153" w:name="_Toc15896"/>
      <w:bookmarkStart w:id="154" w:name="_Toc14536"/>
      <w:bookmarkStart w:id="155" w:name="_Toc8871"/>
      <w:bookmarkStart w:id="156" w:name="_Toc105"/>
      <w:bookmarkStart w:id="157" w:name="_Toc4512"/>
      <w:bookmarkStart w:id="158" w:name="_Toc28593086"/>
      <w:bookmarkStart w:id="159" w:name="_Toc9865"/>
      <w:bookmarkStart w:id="160" w:name="_Toc5747"/>
      <w:bookmarkStart w:id="161" w:name="_Toc8592"/>
      <w:bookmarkStart w:id="162" w:name="_Toc25590"/>
      <w:bookmarkStart w:id="163" w:name="_Toc32017"/>
      <w:bookmarkStart w:id="164" w:name="_Toc1298"/>
      <w:bookmarkStart w:id="165" w:name="_Toc23608"/>
      <w:bookmarkStart w:id="166" w:name="_Toc5383"/>
      <w:bookmarkStart w:id="167" w:name="_Toc1980"/>
      <w:bookmarkStart w:id="168" w:name="_Toc7301"/>
      <w:bookmarkStart w:id="169" w:name="_Toc30094"/>
      <w:bookmarkStart w:id="170" w:name="_Toc21447"/>
      <w:bookmarkStart w:id="171" w:name="_Toc25169"/>
      <w:bookmarkStart w:id="172" w:name="_Toc12587"/>
      <w:bookmarkStart w:id="173" w:name="_Toc13923"/>
      <w:bookmarkStart w:id="174" w:name="_Toc25167"/>
      <w:bookmarkStart w:id="175" w:name="_Toc12183"/>
      <w:bookmarkStart w:id="176" w:name="_Toc17956"/>
      <w:bookmarkStart w:id="177" w:name="_Toc8705"/>
      <w:bookmarkStart w:id="178" w:name="_Toc13199"/>
      <w:bookmarkStart w:id="179" w:name="_Toc29751"/>
      <w:bookmarkStart w:id="180" w:name="_Toc22212"/>
      <w:bookmarkStart w:id="181" w:name="_Toc14757"/>
      <w:bookmarkStart w:id="182" w:name="_Toc29253"/>
      <w:bookmarkStart w:id="183" w:name="_Toc217908592"/>
      <w:bookmarkStart w:id="184" w:name="_Toc10578"/>
      <w:bookmarkStart w:id="185" w:name="_Toc10646"/>
      <w:bookmarkStart w:id="186" w:name="_Toc229114323"/>
      <w:bookmarkStart w:id="187" w:name="_Toc229225419"/>
      <w:r>
        <w:rPr>
          <w:rFonts w:ascii="Times New Roman" w:hAnsi="Times New Roman"/>
          <w:color w:val="000000"/>
        </w:rPr>
        <w:t>一、</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rFonts w:ascii="Times New Roman" w:hAnsi="Times New Roman" w:hint="eastAsia"/>
          <w:color w:val="000000"/>
        </w:rPr>
        <w:t>级别管辖</w:t>
      </w:r>
      <w:bookmarkEnd w:id="186"/>
      <w:bookmarkEnd w:id="187"/>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国家知识产权局负责全国专利侵权纠纷行政裁决工作的指导、管理和监督。对于有重大影响的专利侵权纠纷案件，国家知识产权局在必要时可以组织有关管理专利工作的部门处理。对于跨省、自治区、直辖市的重大专利侵权纠纷案件，国家知识产权局在必要时可以协调处理。</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省、自治区、直辖市管理专利工作的部门可以处理辖区内涉外、涉港澳台或者侵权行为地涉及两个以上地级行政区的有重大影响的专利纠纷行政裁决和调解案件。专利管理工作量大又有实际处理能力的地级市、自治州、盟、地区和直辖市的区管理专利工作的部门负责处理辖区内发生的专利侵权纠纷案件。不设区的县（市、区、旗）级管理专利工作的部门在上一级管理专利工作的部门指导下，依法处理辖区内发生的专利侵权纠纷案件。</w:t>
      </w:r>
      <w:bookmarkStart w:id="188" w:name="_Toc487793373"/>
    </w:p>
    <w:p w:rsidR="00800760" w:rsidRDefault="00235733">
      <w:pPr>
        <w:pStyle w:val="3"/>
        <w:widowControl/>
        <w:spacing w:before="240"/>
        <w:ind w:firstLine="444"/>
        <w:rPr>
          <w:rFonts w:ascii="Times New Roman" w:hAnsi="Times New Roman"/>
          <w:color w:val="000000"/>
        </w:rPr>
      </w:pPr>
      <w:bookmarkStart w:id="189" w:name="_Toc28593088"/>
      <w:bookmarkStart w:id="190" w:name="_Toc229114324"/>
      <w:bookmarkStart w:id="191" w:name="_Toc229225420"/>
      <w:r>
        <w:rPr>
          <w:rFonts w:ascii="Times New Roman" w:hAnsi="Times New Roman" w:hint="eastAsia"/>
          <w:color w:val="000000"/>
        </w:rPr>
        <w:t>二、地域管辖</w:t>
      </w:r>
      <w:bookmarkEnd w:id="188"/>
      <w:bookmarkEnd w:id="189"/>
      <w:bookmarkEnd w:id="190"/>
      <w:bookmarkEnd w:id="191"/>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专利侵权纠纷的行政裁决案件由侵权行为地或者被请求人住所地的管理专利工作的部门管辖。侵权行为地包括侵权行为实施地和侵权结果发生地，</w:t>
      </w:r>
      <w:r>
        <w:rPr>
          <w:rFonts w:ascii="Times New Roman" w:eastAsia="宋体" w:hAnsi="Times New Roman" w:cs="宋体" w:hint="eastAsia"/>
          <w:sz w:val="21"/>
          <w:szCs w:val="21"/>
        </w:rPr>
        <w:t>侵权行为地包括：被控侵犯发明、实用新型专利权的产品的制造、使用、许诺销售、销售、进口等行为的实施地；专利方法使用行为的实施地，依照该专利方法直接获得的产品的使用、许诺销售、销售、进口等行为的实施地；外观设计专利产品的制造、许诺销售、销售、进口等行为的实施地，上述侵权行为的侵权结果发生地</w:t>
      </w:r>
      <w:r>
        <w:rPr>
          <w:rFonts w:ascii="Times New Roman" w:eastAsia="宋体" w:hAnsi="Times New Roman" w:cs="宋体"/>
          <w:sz w:val="21"/>
          <w:szCs w:val="21"/>
        </w:rPr>
        <w:t>。两个以上管理专利工作的部门都有管辖权的专利侵权纠纷，当事人可以向其中一个管理专利工作的部门提出请求；当事人向两个以上有管辖权的管理专利工作的部门提出请求的，由最先受理的管理专利工作的部门管辖。</w:t>
      </w:r>
      <w:bookmarkStart w:id="192" w:name="_Toc487793374"/>
      <w:r>
        <w:rPr>
          <w:rFonts w:ascii="Times New Roman" w:eastAsia="宋体" w:hAnsi="Times New Roman" w:cs="宋体"/>
          <w:sz w:val="21"/>
          <w:szCs w:val="21"/>
        </w:rPr>
        <w:t>对于同一被请求人在不同地区实施的多个侵权行为，可依据请求人的选择，由最先受理的管理专利工作的部门商具有管辖权的其他管理专利工作的部门同意后，进行集中管辖。</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在互联网、电子商务平台等网络销售</w:t>
      </w:r>
      <w:r>
        <w:rPr>
          <w:rFonts w:ascii="Times New Roman" w:eastAsia="宋体" w:hAnsi="Times New Roman" w:cs="宋体" w:hint="eastAsia"/>
          <w:sz w:val="21"/>
          <w:szCs w:val="21"/>
        </w:rPr>
        <w:t>平台</w:t>
      </w:r>
      <w:r>
        <w:rPr>
          <w:rFonts w:ascii="Times New Roman" w:eastAsia="宋体" w:hAnsi="Times New Roman" w:cs="宋体"/>
          <w:sz w:val="21"/>
          <w:szCs w:val="21"/>
        </w:rPr>
        <w:t>发生许诺销售、销售行为，导致出现专利侵权纠纷的，由被请求人住所地或者侵权行为地管理专利工作的部门管辖，侵权行为地包括实施被控侵权行为的网络服务器、计算机终端等设备所在地。对难以确定侵权行为地和被请求人住所地的，请求人发现侵权内容的计算机终端等设备所在地可以视为侵权行为地。请求人通过网络购买被控侵权产品，仅以收货地作为侵权行为地管辖依据的，一般不予支持。</w:t>
      </w:r>
    </w:p>
    <w:p w:rsidR="00800760" w:rsidRDefault="00235733">
      <w:pPr>
        <w:pStyle w:val="3"/>
        <w:spacing w:before="240"/>
        <w:ind w:firstLine="444"/>
      </w:pPr>
      <w:bookmarkStart w:id="193" w:name="_Toc229114325"/>
      <w:bookmarkStart w:id="194" w:name="_Toc28593089"/>
      <w:bookmarkStart w:id="195" w:name="_Toc229225421"/>
      <w:r>
        <w:rPr>
          <w:rFonts w:hint="eastAsia"/>
        </w:rPr>
        <w:t>三、</w:t>
      </w:r>
      <w:r>
        <w:t>移送管辖和指定管辖</w:t>
      </w:r>
      <w:bookmarkEnd w:id="192"/>
      <w:bookmarkEnd w:id="193"/>
      <w:bookmarkEnd w:id="194"/>
      <w:bookmarkEnd w:id="195"/>
    </w:p>
    <w:p w:rsidR="00800760" w:rsidRDefault="00235733">
      <w:pPr>
        <w:pStyle w:val="NoSpacing1"/>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发现专利侵权纠纷案件不属于该部门管辖的，不予立案。若立案后发现不属于受案管理专利工作的部门的管辖范围，应作撤案处理。同时，应当将案件线索移送有管辖权的管理专利工作的部门处理，移送前告知请求人。受移送的管理专利工作的部门应当受理。受移送的管理专利工作的部门认为受移送的案件依照规定不属于其管辖的，应当逐级报请共同上级管理专利工作的部门指定管辖，不得再自行移送。</w:t>
      </w:r>
    </w:p>
    <w:p w:rsidR="00800760" w:rsidRDefault="00235733">
      <w:pPr>
        <w:pStyle w:val="NoSpacing1"/>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上级管理专利工作的部门可以将下级管理专利工作的部门管辖的专利侵权纠纷案件提级处理，也可以指定有管辖权的下级管理专利工作的部门管辖专利纠纷案件。</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下级管理专利工作的部门认为不宜由自己管辖的专利侵权纠纷案件，报经上级管理专利工作的部门同意后，可以移送上级管理专利工作的部门管辖。</w:t>
      </w:r>
    </w:p>
    <w:p w:rsidR="00800760" w:rsidRDefault="00235733">
      <w:pPr>
        <w:pStyle w:val="NoSpacing1"/>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对管辖权发生争议的，由争议双方协商解决；协商不成的，由其共同的上级人民政府管理专利工作的部门指定管辖；无共同上级人民政府管理专利工作的部门的，由国务院专利行政部门指定管辖。</w:t>
      </w:r>
      <w:bookmarkStart w:id="196" w:name="_Toc28593090"/>
      <w:bookmarkStart w:id="197" w:name="_Toc487793375"/>
    </w:p>
    <w:p w:rsidR="00800760" w:rsidRDefault="00235733">
      <w:pPr>
        <w:pStyle w:val="3"/>
        <w:spacing w:before="240"/>
        <w:ind w:firstLine="444"/>
      </w:pPr>
      <w:bookmarkStart w:id="198" w:name="_Toc229114326"/>
      <w:bookmarkStart w:id="199" w:name="_Toc229225422"/>
      <w:r>
        <w:rPr>
          <w:rFonts w:hint="eastAsia"/>
        </w:rPr>
        <w:t>四、</w:t>
      </w:r>
      <w:r>
        <w:t>管辖权异议</w:t>
      </w:r>
      <w:bookmarkEnd w:id="196"/>
      <w:bookmarkEnd w:id="197"/>
      <w:bookmarkEnd w:id="198"/>
      <w:bookmarkEnd w:id="199"/>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当事人对管辖权有异议的，应当在提交答辩书期间提出，受理或者立案的管理专利工作的部门应当在收到管辖权异议书之日起</w:t>
      </w:r>
      <w:r>
        <w:rPr>
          <w:rFonts w:ascii="Times New Roman" w:eastAsia="宋体" w:hAnsi="Times New Roman"/>
          <w:sz w:val="21"/>
          <w:szCs w:val="21"/>
        </w:rPr>
        <w:t>5</w:t>
      </w:r>
      <w:r>
        <w:rPr>
          <w:rFonts w:ascii="Times New Roman" w:eastAsia="宋体" w:hAnsi="Times New Roman" w:cs="宋体"/>
          <w:sz w:val="21"/>
          <w:szCs w:val="21"/>
        </w:rPr>
        <w:t>个工作日内作出决定。异议成立的，作出将案件移送有管辖权的管理专利工作的部门办理的决定；异议不成立的，作出驳回管辖权异议的决定。</w:t>
      </w:r>
    </w:p>
    <w:p w:rsidR="00800760" w:rsidRDefault="00235733">
      <w:pPr>
        <w:pStyle w:val="12"/>
        <w:widowControl/>
        <w:topLinePunct/>
        <w:spacing w:line="336" w:lineRule="auto"/>
        <w:ind w:firstLine="428"/>
        <w:rPr>
          <w:rFonts w:ascii="Times New Roman" w:eastAsia="宋体" w:hAnsi="Times New Roman"/>
          <w:spacing w:val="2"/>
          <w:sz w:val="21"/>
          <w:szCs w:val="21"/>
        </w:rPr>
      </w:pPr>
      <w:r>
        <w:rPr>
          <w:rFonts w:ascii="Times New Roman" w:eastAsia="宋体" w:hAnsi="Times New Roman" w:cs="宋体"/>
          <w:spacing w:val="2"/>
          <w:sz w:val="21"/>
          <w:szCs w:val="21"/>
        </w:rPr>
        <w:t>当事人对管理专利工作的部门作出的管辖权异议决定不服的，可以自收到决定之日起</w:t>
      </w:r>
      <w:r>
        <w:rPr>
          <w:rFonts w:ascii="Times New Roman" w:eastAsia="宋体" w:hAnsi="Times New Roman" w:cs="宋体"/>
          <w:spacing w:val="2"/>
          <w:sz w:val="21"/>
          <w:szCs w:val="21"/>
        </w:rPr>
        <w:t>5</w:t>
      </w:r>
      <w:r>
        <w:rPr>
          <w:rFonts w:ascii="Times New Roman" w:eastAsia="宋体" w:hAnsi="Times New Roman" w:cs="宋体"/>
          <w:spacing w:val="2"/>
          <w:sz w:val="21"/>
          <w:szCs w:val="21"/>
        </w:rPr>
        <w:t>个工作日内向上一级管理专利工作的部门申请复核，复核期间不停止案件处理。</w:t>
      </w:r>
    </w:p>
    <w:p w:rsidR="00800760" w:rsidRDefault="00235733">
      <w:pPr>
        <w:pStyle w:val="3"/>
        <w:spacing w:before="240"/>
        <w:ind w:firstLine="444"/>
      </w:pPr>
      <w:bookmarkStart w:id="200" w:name="_Toc229114327"/>
      <w:bookmarkStart w:id="201" w:name="_Toc229225423"/>
      <w:r>
        <w:rPr>
          <w:rFonts w:hint="eastAsia"/>
        </w:rPr>
        <w:t>五、</w:t>
      </w:r>
      <w:r>
        <w:t>委托办案</w:t>
      </w:r>
      <w:bookmarkEnd w:id="200"/>
      <w:bookmarkEnd w:id="201"/>
    </w:p>
    <w:p w:rsidR="00800760" w:rsidRDefault="00235733">
      <w:pPr>
        <w:pStyle w:val="12"/>
        <w:widowControl/>
        <w:topLinePunct/>
        <w:spacing w:line="336" w:lineRule="auto"/>
        <w:ind w:firstLine="420"/>
        <w:rPr>
          <w:rFonts w:ascii="Times New Roman" w:hAnsi="Times New Roman"/>
          <w:sz w:val="21"/>
          <w:szCs w:val="21"/>
        </w:rPr>
      </w:pPr>
      <w:r>
        <w:rPr>
          <w:rFonts w:ascii="Times New Roman" w:eastAsia="宋体" w:hAnsi="Times New Roman" w:cs="宋体"/>
          <w:sz w:val="21"/>
          <w:szCs w:val="21"/>
        </w:rPr>
        <w:t>国务院专利行政部门、管理专利工作的部门可以委托依法成立并具有管理知识产权公共事务职能的组织在法定授权范围内具体承办辖区内专利侵权纠纷行政裁决工作。委托方应当对受托方侵权纠纷行政裁决的工作进行监督和指导，并承担法律责任。</w:t>
      </w:r>
      <w:r>
        <w:rPr>
          <w:rFonts w:ascii="Times New Roman" w:eastAsia="宋体" w:hAnsi="Times New Roman"/>
          <w:sz w:val="21"/>
          <w:szCs w:val="21"/>
        </w:rPr>
        <w:t xml:space="preserve"> </w:t>
      </w:r>
    </w:p>
    <w:p w:rsidR="00800760" w:rsidRDefault="00235733">
      <w:pPr>
        <w:pStyle w:val="4"/>
        <w:spacing w:before="240"/>
        <w:ind w:firstLine="444"/>
      </w:pPr>
      <w:r>
        <w:rPr>
          <w:rFonts w:hint="eastAsia"/>
        </w:rPr>
        <w:t>（一）委托主体</w:t>
      </w:r>
      <w:r>
        <w:t xml:space="preserve"> </w:t>
      </w:r>
    </w:p>
    <w:p w:rsidR="00800760" w:rsidRDefault="00235733">
      <w:pPr>
        <w:pStyle w:val="12"/>
        <w:widowControl/>
        <w:spacing w:line="336" w:lineRule="auto"/>
        <w:ind w:firstLine="420"/>
        <w:rPr>
          <w:rFonts w:ascii="Times New Roman" w:eastAsia="宋体" w:hAnsi="Times New Roman"/>
          <w:sz w:val="21"/>
          <w:szCs w:val="21"/>
        </w:rPr>
      </w:pPr>
      <w:r>
        <w:rPr>
          <w:rFonts w:ascii="Times New Roman" w:eastAsia="宋体" w:hAnsi="Times New Roman" w:cs="宋体"/>
          <w:sz w:val="21"/>
          <w:szCs w:val="21"/>
        </w:rPr>
        <w:t>国务院专利行政部门以及省、自治区、直辖市等符合《办法》第七条级别管辖规定的各级管理专利工作的部门均可以是实施委托办案的主体，委托办案的委托主体必须是行政机关，对于参照公务员管理的事业单位，不能直接开展委托办案工作。</w:t>
      </w:r>
    </w:p>
    <w:p w:rsidR="00800760" w:rsidRDefault="00235733">
      <w:pPr>
        <w:pStyle w:val="4"/>
        <w:spacing w:before="240"/>
        <w:ind w:firstLine="444"/>
      </w:pPr>
      <w:r>
        <w:rPr>
          <w:rFonts w:hint="eastAsia"/>
        </w:rPr>
        <w:t>（二）受委托主体</w:t>
      </w:r>
    </w:p>
    <w:p w:rsidR="00800760" w:rsidRDefault="00235733">
      <w:r>
        <w:rPr>
          <w:rFonts w:hint="eastAsia"/>
        </w:rPr>
        <w:t>受委托主体至少应符合以下两个基本条件：一是依法成立并具有管理知识产权公共事务职能的组织，如国家级知识产权保护中心、快速维权中心等承担一定知识产权保护业务的组织；二是具有三名以上专利侵权纠纷行政裁决办案人员，这是受委托开展专利侵权纠纷行政裁决工作的前提条件。</w:t>
      </w:r>
    </w:p>
    <w:p w:rsidR="00800760" w:rsidRDefault="00235733">
      <w:pPr>
        <w:pStyle w:val="4"/>
        <w:spacing w:before="240"/>
        <w:ind w:firstLine="444"/>
      </w:pPr>
      <w:r>
        <w:rPr>
          <w:rFonts w:hint="eastAsia"/>
        </w:rPr>
        <w:t>（三）委托办案基本要求</w:t>
      </w:r>
    </w:p>
    <w:p w:rsidR="00800760" w:rsidRDefault="00235733">
      <w:pPr>
        <w:pStyle w:val="12"/>
        <w:widowControl/>
        <w:topLinePunct/>
        <w:spacing w:line="336" w:lineRule="auto"/>
        <w:ind w:firstLine="420"/>
        <w:rPr>
          <w:rFonts w:ascii="Times New Roman" w:hAnsi="Times New Roman"/>
          <w:sz w:val="21"/>
          <w:szCs w:val="21"/>
        </w:rPr>
      </w:pPr>
      <w:r>
        <w:rPr>
          <w:rFonts w:ascii="Times New Roman" w:eastAsia="宋体" w:hAnsi="Times New Roman" w:cs="宋体" w:hint="eastAsia"/>
          <w:sz w:val="21"/>
          <w:szCs w:val="21"/>
          <w:lang w:val="en-US"/>
        </w:rPr>
        <w:t xml:space="preserve">1. </w:t>
      </w:r>
      <w:r>
        <w:rPr>
          <w:rFonts w:ascii="Times New Roman" w:eastAsia="宋体" w:hAnsi="Times New Roman" w:cs="宋体"/>
          <w:sz w:val="21"/>
          <w:szCs w:val="21"/>
        </w:rPr>
        <w:t>委托授权应当清晰规范</w:t>
      </w:r>
    </w:p>
    <w:p w:rsidR="00800760" w:rsidRDefault="00235733">
      <w:pPr>
        <w:pStyle w:val="12"/>
        <w:widowControl/>
        <w:topLinePunct/>
        <w:spacing w:line="336" w:lineRule="auto"/>
        <w:ind w:firstLine="420"/>
        <w:rPr>
          <w:rFonts w:ascii="Times New Roman" w:hAnsi="Times New Roman"/>
          <w:sz w:val="21"/>
          <w:szCs w:val="21"/>
        </w:rPr>
      </w:pPr>
      <w:r>
        <w:rPr>
          <w:rFonts w:ascii="Times New Roman" w:eastAsia="宋体" w:hAnsi="Times New Roman" w:cs="宋体"/>
          <w:sz w:val="21"/>
          <w:szCs w:val="21"/>
        </w:rPr>
        <w:t>授权是委托办案的基础和关键环节，委托应以书面形式进行，由委托主体与受委托主体签订书面委托办案协议，明确委托办案的具体区域、范围、程序、委托期限、撤销委托的条件、监督、考核、过错责任追究等内容。</w:t>
      </w:r>
    </w:p>
    <w:p w:rsidR="00800760" w:rsidRDefault="00235733">
      <w:pPr>
        <w:pStyle w:val="12"/>
        <w:widowControl/>
        <w:topLinePunct/>
        <w:spacing w:line="336" w:lineRule="auto"/>
        <w:ind w:firstLine="420"/>
        <w:rPr>
          <w:rFonts w:ascii="Times New Roman" w:hAnsi="Times New Roman"/>
          <w:sz w:val="21"/>
          <w:szCs w:val="21"/>
        </w:rPr>
      </w:pPr>
      <w:r>
        <w:rPr>
          <w:rFonts w:ascii="Times New Roman" w:eastAsia="宋体" w:hAnsi="Times New Roman" w:cs="宋体" w:hint="eastAsia"/>
          <w:sz w:val="21"/>
          <w:szCs w:val="21"/>
          <w:lang w:val="en-US"/>
        </w:rPr>
        <w:t xml:space="preserve">2. </w:t>
      </w:r>
      <w:r>
        <w:rPr>
          <w:rFonts w:ascii="Times New Roman" w:eastAsia="宋体" w:hAnsi="Times New Roman" w:cs="宋体"/>
          <w:sz w:val="21"/>
          <w:szCs w:val="21"/>
        </w:rPr>
        <w:t>委托主体承担法律责任</w:t>
      </w:r>
    </w:p>
    <w:p w:rsidR="00800760" w:rsidRDefault="00235733">
      <w:pPr>
        <w:pStyle w:val="12"/>
        <w:widowControl/>
        <w:topLinePunct/>
        <w:spacing w:line="336" w:lineRule="auto"/>
        <w:ind w:firstLine="420"/>
        <w:rPr>
          <w:rFonts w:ascii="Times New Roman" w:hAnsi="Times New Roman"/>
          <w:sz w:val="21"/>
          <w:szCs w:val="21"/>
        </w:rPr>
      </w:pPr>
      <w:r>
        <w:rPr>
          <w:rFonts w:ascii="Times New Roman" w:eastAsia="宋体" w:hAnsi="Times New Roman" w:cs="宋体"/>
          <w:sz w:val="21"/>
          <w:szCs w:val="21"/>
        </w:rPr>
        <w:t>受委托主体以委托主体的名义行使职权，由委托主体承担相应的法律后果。委托主体应加强对受委托主体办案工作的监督，尤其应做好人员培训、制度建设等相关工作，规范办案人员的行为，牢固树立依法行政的理念，确保委托办案的规范进行。</w:t>
      </w:r>
    </w:p>
    <w:p w:rsidR="00800760" w:rsidRDefault="00235733">
      <w:pPr>
        <w:pStyle w:val="4"/>
        <w:spacing w:before="240"/>
        <w:ind w:firstLine="444"/>
      </w:pPr>
      <w:r>
        <w:rPr>
          <w:rFonts w:hint="eastAsia"/>
        </w:rPr>
        <w:t>（四）不得转委托</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委托办案是基于对受委托主体能力的信任，受委托主体接受委托后，只能由受委托主体自行开展办案工作，受委托主体不能再转委托其他组织和个人。</w:t>
      </w:r>
    </w:p>
    <w:p w:rsidR="00800760" w:rsidRDefault="00235733">
      <w:pPr>
        <w:pStyle w:val="2"/>
        <w:widowControl/>
        <w:topLinePunct/>
        <w:ind w:firstLineChars="0" w:firstLine="0"/>
        <w:rPr>
          <w:rFonts w:ascii="Times New Roman" w:hAnsi="Times New Roman"/>
          <w:color w:val="000000"/>
          <w:kern w:val="2"/>
        </w:rPr>
      </w:pPr>
      <w:bookmarkStart w:id="202" w:name="_Toc229114328"/>
      <w:bookmarkStart w:id="203" w:name="_Toc229225424"/>
      <w:bookmarkStart w:id="204" w:name="_Toc26721"/>
      <w:bookmarkStart w:id="205" w:name="_Toc10747"/>
      <w:bookmarkStart w:id="206" w:name="_Toc16278"/>
      <w:bookmarkStart w:id="207" w:name="_Toc1007"/>
      <w:bookmarkStart w:id="208" w:name="_Toc16677"/>
      <w:bookmarkStart w:id="209" w:name="_Toc22713"/>
      <w:bookmarkStart w:id="210" w:name="_Toc217908593"/>
      <w:bookmarkStart w:id="211" w:name="_Toc13622"/>
      <w:bookmarkStart w:id="212" w:name="_Toc21037"/>
      <w:bookmarkStart w:id="213" w:name="_Toc23695"/>
      <w:bookmarkStart w:id="214" w:name="_Toc7290"/>
      <w:bookmarkStart w:id="215" w:name="_Toc3499"/>
      <w:bookmarkStart w:id="216" w:name="_Toc25921"/>
      <w:bookmarkStart w:id="217" w:name="_Toc10974"/>
      <w:bookmarkStart w:id="218" w:name="_Toc5848"/>
      <w:bookmarkStart w:id="219" w:name="_Toc13310"/>
      <w:bookmarkStart w:id="220" w:name="_Toc17224"/>
      <w:bookmarkStart w:id="221" w:name="_Toc20380"/>
      <w:bookmarkStart w:id="222" w:name="_Toc30753"/>
      <w:bookmarkStart w:id="223" w:name="_Toc16378"/>
      <w:bookmarkStart w:id="224" w:name="_Toc14807"/>
      <w:bookmarkStart w:id="225" w:name="_Toc28451"/>
      <w:bookmarkStart w:id="226" w:name="_Toc10776"/>
      <w:bookmarkStart w:id="227" w:name="_Toc29534"/>
      <w:bookmarkStart w:id="228" w:name="_Toc5230"/>
      <w:bookmarkStart w:id="229" w:name="_Toc17427"/>
      <w:bookmarkStart w:id="230" w:name="_Toc23660"/>
      <w:bookmarkStart w:id="231" w:name="_Toc28892"/>
      <w:bookmarkStart w:id="232" w:name="_Toc18356"/>
      <w:bookmarkStart w:id="233" w:name="_Toc20897"/>
      <w:bookmarkStart w:id="234" w:name="_Toc1169"/>
      <w:bookmarkStart w:id="235" w:name="_Toc4234"/>
      <w:bookmarkStart w:id="236" w:name="_Toc31528"/>
      <w:bookmarkStart w:id="237" w:name="_Toc4684"/>
      <w:bookmarkStart w:id="238" w:name="_Toc11086"/>
      <w:bookmarkStart w:id="239" w:name="_Toc3463"/>
      <w:bookmarkStart w:id="240" w:name="_Toc20459"/>
      <w:bookmarkStart w:id="241" w:name="_Toc8265"/>
      <w:bookmarkStart w:id="242" w:name="_Toc18563"/>
      <w:bookmarkStart w:id="243" w:name="_Toc6383"/>
      <w:bookmarkStart w:id="244" w:name="_Toc28593091"/>
      <w:bookmarkStart w:id="245" w:name="_Toc24050"/>
      <w:bookmarkStart w:id="246" w:name="_Toc13754"/>
      <w:bookmarkStart w:id="247" w:name="_Toc10527"/>
      <w:r>
        <w:rPr>
          <w:rFonts w:ascii="Times New Roman" w:hAnsi="Times New Roman"/>
          <w:color w:val="000000"/>
          <w:kern w:val="2"/>
        </w:rPr>
        <w:t>第</w:t>
      </w:r>
      <w:r>
        <w:rPr>
          <w:rFonts w:ascii="Times New Roman" w:hAnsi="Times New Roman" w:hint="eastAsia"/>
          <w:color w:val="000000"/>
          <w:kern w:val="2"/>
        </w:rPr>
        <w:t>三</w:t>
      </w:r>
      <w:r>
        <w:rPr>
          <w:rFonts w:ascii="Times New Roman" w:hAnsi="Times New Roman"/>
          <w:color w:val="000000"/>
          <w:kern w:val="2"/>
        </w:rPr>
        <w:t xml:space="preserve">节　</w:t>
      </w:r>
      <w:r>
        <w:rPr>
          <w:rFonts w:ascii="Times New Roman" w:hAnsi="Times New Roman" w:hint="eastAsia"/>
          <w:color w:val="000000"/>
          <w:kern w:val="2"/>
        </w:rPr>
        <w:t>回避</w:t>
      </w:r>
      <w:bookmarkEnd w:id="202"/>
      <w:bookmarkEnd w:id="203"/>
    </w:p>
    <w:p w:rsidR="00800760" w:rsidRDefault="00235733">
      <w:pPr>
        <w:pStyle w:val="3"/>
        <w:spacing w:before="240"/>
        <w:ind w:firstLine="444"/>
      </w:pPr>
      <w:bookmarkStart w:id="248" w:name="_Toc28593092"/>
      <w:bookmarkStart w:id="249" w:name="_Toc487793377"/>
      <w:bookmarkStart w:id="250" w:name="_Toc229114329"/>
      <w:bookmarkStart w:id="251" w:name="_Toc229225425"/>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rPr>
        <w:t>一、</w:t>
      </w:r>
      <w:r>
        <w:t>自行回避</w:t>
      </w:r>
      <w:bookmarkEnd w:id="248"/>
      <w:bookmarkEnd w:id="249"/>
      <w:bookmarkEnd w:id="250"/>
      <w:bookmarkEnd w:id="251"/>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承办专利侵权纠纷案件的办案人员有下列情形之一的，应当自行回避：</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1</w:t>
      </w:r>
      <w:r>
        <w:rPr>
          <w:rFonts w:ascii="Times New Roman" w:eastAsia="宋体" w:hAnsi="Times New Roman" w:cs="宋体"/>
          <w:sz w:val="21"/>
          <w:szCs w:val="21"/>
        </w:rPr>
        <w:t>）是涉案当事人或者与当事人、代理人有直系血亲、三代以内旁系血亲及近姻亲关系的；</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2</w:t>
      </w:r>
      <w:r>
        <w:rPr>
          <w:rFonts w:ascii="Times New Roman" w:eastAsia="宋体" w:hAnsi="Times New Roman" w:cs="宋体"/>
          <w:sz w:val="21"/>
          <w:szCs w:val="21"/>
        </w:rPr>
        <w:t>）本人或者其近亲属与涉案专利申请或者专利权有利害关系的；</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3</w:t>
      </w:r>
      <w:r>
        <w:rPr>
          <w:rFonts w:ascii="Times New Roman" w:eastAsia="宋体" w:hAnsi="Times New Roman" w:cs="宋体"/>
          <w:sz w:val="21"/>
          <w:szCs w:val="21"/>
        </w:rPr>
        <w:t>）是涉案专利的专利代理师或者审查员的；</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4</w:t>
      </w:r>
      <w:r>
        <w:rPr>
          <w:rFonts w:ascii="Times New Roman" w:eastAsia="宋体" w:hAnsi="Times New Roman" w:cs="宋体"/>
          <w:sz w:val="21"/>
          <w:szCs w:val="21"/>
        </w:rPr>
        <w:t>）与案件有其他利害关系，可能影响案件公正处理的。</w:t>
      </w:r>
      <w:bookmarkStart w:id="252" w:name="_Toc487793378"/>
    </w:p>
    <w:p w:rsidR="00800760" w:rsidRDefault="00235733">
      <w:pPr>
        <w:pStyle w:val="3"/>
        <w:spacing w:before="240"/>
        <w:ind w:firstLine="444"/>
      </w:pPr>
      <w:bookmarkStart w:id="253" w:name="_Toc28593093"/>
      <w:bookmarkStart w:id="254" w:name="_Toc229114330"/>
      <w:bookmarkStart w:id="255" w:name="_Toc229225426"/>
      <w:r>
        <w:rPr>
          <w:rFonts w:hint="eastAsia"/>
        </w:rPr>
        <w:t>二、</w:t>
      </w:r>
      <w:r>
        <w:t>请求回避</w:t>
      </w:r>
      <w:bookmarkEnd w:id="252"/>
      <w:bookmarkEnd w:id="253"/>
      <w:bookmarkEnd w:id="254"/>
      <w:bookmarkEnd w:id="255"/>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办案人员有以上情形之一的，当事人及其代理人有权以口头或书面形式申请其回避。办案人员有接受当事人、代理人请客送礼，或者违反规定会见当事人、代理人情形的，当事人也有权以口头或者书面形式申请其回避。</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当事人申请回避的，管理专利工作的部门应当要求其说明理由。最迟在知道或者应当知道办案人员名单之日起</w:t>
      </w:r>
      <w:r>
        <w:rPr>
          <w:rFonts w:ascii="Times New Roman" w:eastAsia="宋体" w:hAnsi="Times New Roman"/>
          <w:sz w:val="21"/>
          <w:szCs w:val="21"/>
        </w:rPr>
        <w:t>3</w:t>
      </w:r>
      <w:r>
        <w:rPr>
          <w:rFonts w:ascii="Times New Roman" w:eastAsia="宋体" w:hAnsi="Times New Roman" w:cs="宋体"/>
          <w:sz w:val="21"/>
          <w:szCs w:val="21"/>
        </w:rPr>
        <w:t>个工作日内提出；决定口头审理的，可以最迟在案件开始口头审理时提出；回避事由在案件开始口头审理后知道的，也可以在口头审理终结前提出。当事人以口头形式提出回避申请的，应当制作陈述笔录并由回避申请人签名。管理专利工作的部门应当自申请回避之日起</w:t>
      </w:r>
      <w:r>
        <w:rPr>
          <w:rFonts w:ascii="Times New Roman" w:eastAsia="宋体" w:hAnsi="Times New Roman"/>
          <w:sz w:val="21"/>
          <w:szCs w:val="21"/>
        </w:rPr>
        <w:t>3</w:t>
      </w:r>
      <w:r>
        <w:rPr>
          <w:rFonts w:ascii="Times New Roman" w:eastAsia="宋体" w:hAnsi="Times New Roman" w:cs="宋体"/>
          <w:sz w:val="21"/>
          <w:szCs w:val="21"/>
        </w:rPr>
        <w:t>个工作日内决定是否回避，并以口头或者书面形式通知当事人。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被申请回避的人员在管理专利工作的部门作出是否回避的决定前，应当暂停参与案件的工作，但需要采取紧急措施的除外。</w:t>
      </w:r>
    </w:p>
    <w:p w:rsidR="00800760" w:rsidRDefault="00235733">
      <w:pPr>
        <w:pStyle w:val="12"/>
        <w:widowControl/>
        <w:topLinePunct/>
        <w:spacing w:line="336" w:lineRule="auto"/>
        <w:ind w:firstLine="412"/>
        <w:rPr>
          <w:rFonts w:ascii="Times New Roman" w:eastAsia="宋体" w:hAnsi="Times New Roman"/>
          <w:spacing w:val="-2"/>
          <w:sz w:val="21"/>
          <w:szCs w:val="21"/>
        </w:rPr>
      </w:pPr>
      <w:r>
        <w:rPr>
          <w:rFonts w:ascii="Times New Roman" w:eastAsia="宋体" w:hAnsi="Times New Roman" w:cs="宋体"/>
          <w:spacing w:val="-2"/>
          <w:sz w:val="21"/>
          <w:szCs w:val="21"/>
        </w:rPr>
        <w:t>当事人对决定不服的，可以在接到决定时申请复议一次。管理专利工作的部门应当在</w:t>
      </w:r>
      <w:r>
        <w:rPr>
          <w:rFonts w:ascii="Times New Roman" w:eastAsia="宋体" w:hAnsi="Times New Roman"/>
          <w:spacing w:val="-2"/>
          <w:sz w:val="21"/>
          <w:szCs w:val="21"/>
        </w:rPr>
        <w:t>3</w:t>
      </w:r>
      <w:r>
        <w:rPr>
          <w:rFonts w:ascii="Times New Roman" w:eastAsia="宋体" w:hAnsi="Times New Roman" w:cs="宋体"/>
          <w:spacing w:val="-2"/>
          <w:sz w:val="21"/>
          <w:szCs w:val="21"/>
        </w:rPr>
        <w:t>个工作日内作出复议决定，并通知当事人。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复议期间，被申请回避的办案人员不停止参与案件办理工作。</w:t>
      </w:r>
      <w:bookmarkStart w:id="256" w:name="_Toc487793379"/>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上述规定适用于技术调查官、书记员、翻译人员、鉴定人、辅助人员。</w:t>
      </w:r>
    </w:p>
    <w:p w:rsidR="00800760" w:rsidRDefault="00235733">
      <w:pPr>
        <w:pStyle w:val="3"/>
        <w:spacing w:before="240"/>
        <w:ind w:firstLine="444"/>
      </w:pPr>
      <w:bookmarkStart w:id="257" w:name="_Toc28593094"/>
      <w:bookmarkStart w:id="258" w:name="_Toc229114331"/>
      <w:bookmarkStart w:id="259" w:name="_Toc229225427"/>
      <w:r>
        <w:rPr>
          <w:rFonts w:hint="eastAsia"/>
        </w:rPr>
        <w:t>三、</w:t>
      </w:r>
      <w:r>
        <w:t>回避的审批</w:t>
      </w:r>
      <w:bookmarkEnd w:id="256"/>
      <w:bookmarkEnd w:id="257"/>
      <w:bookmarkEnd w:id="258"/>
      <w:bookmarkEnd w:id="259"/>
    </w:p>
    <w:p w:rsidR="00800760" w:rsidRDefault="00235733">
      <w:pPr>
        <w:pStyle w:val="12"/>
        <w:widowControl/>
        <w:topLinePunct/>
        <w:spacing w:line="336" w:lineRule="auto"/>
        <w:ind w:firstLine="412"/>
        <w:rPr>
          <w:rFonts w:ascii="Times New Roman" w:eastAsia="宋体" w:hAnsi="Times New Roman"/>
          <w:spacing w:val="-2"/>
          <w:sz w:val="21"/>
          <w:szCs w:val="21"/>
        </w:rPr>
      </w:pPr>
      <w:r>
        <w:rPr>
          <w:rFonts w:ascii="Times New Roman" w:eastAsia="宋体" w:hAnsi="Times New Roman" w:cs="宋体"/>
          <w:spacing w:val="-2"/>
          <w:sz w:val="21"/>
          <w:szCs w:val="21"/>
        </w:rPr>
        <w:t>办案人员的回避，由管理专利工作的部门负责人决定；部门负责人的回避，由部门主要负责人决定；部门主要负责人的回避，由管理专利工作的部门负责人集体会议决定，部门主要负责人不参加会议。</w:t>
      </w:r>
    </w:p>
    <w:p w:rsidR="00800760" w:rsidRDefault="00235733">
      <w:pPr>
        <w:pStyle w:val="2"/>
        <w:widowControl/>
        <w:topLinePunct/>
        <w:ind w:firstLineChars="0" w:firstLine="0"/>
        <w:rPr>
          <w:rFonts w:ascii="Times New Roman" w:hAnsi="Times New Roman"/>
          <w:color w:val="000000"/>
          <w:kern w:val="2"/>
        </w:rPr>
      </w:pPr>
      <w:bookmarkStart w:id="260" w:name="_Toc229114332"/>
      <w:bookmarkStart w:id="261" w:name="_Toc229225428"/>
      <w:bookmarkStart w:id="262" w:name="_Toc29202"/>
      <w:bookmarkStart w:id="263" w:name="_Toc12307"/>
      <w:bookmarkStart w:id="264" w:name="_Toc27533"/>
      <w:bookmarkStart w:id="265" w:name="_Toc26258"/>
      <w:bookmarkStart w:id="266" w:name="_Toc13250"/>
      <w:bookmarkStart w:id="267" w:name="_Toc27233"/>
      <w:bookmarkStart w:id="268" w:name="_Toc26498"/>
      <w:bookmarkStart w:id="269" w:name="_Toc25420"/>
      <w:bookmarkStart w:id="270" w:name="_Toc20502"/>
      <w:bookmarkStart w:id="271" w:name="_Toc3913"/>
      <w:bookmarkStart w:id="272" w:name="_Toc14897"/>
      <w:bookmarkStart w:id="273" w:name="_Toc10087"/>
      <w:bookmarkStart w:id="274" w:name="_Toc28593095"/>
      <w:bookmarkStart w:id="275" w:name="_Toc19068"/>
      <w:bookmarkStart w:id="276" w:name="_Toc7243"/>
      <w:bookmarkStart w:id="277" w:name="_Toc1074"/>
      <w:bookmarkStart w:id="278" w:name="_Toc217908594"/>
      <w:bookmarkStart w:id="279" w:name="_Toc6785"/>
      <w:bookmarkStart w:id="280" w:name="_Toc23172"/>
      <w:bookmarkStart w:id="281" w:name="_Toc13392"/>
      <w:bookmarkStart w:id="282" w:name="_Toc31184"/>
      <w:bookmarkStart w:id="283" w:name="_Toc29540"/>
      <w:bookmarkStart w:id="284" w:name="_Toc10345"/>
      <w:bookmarkStart w:id="285" w:name="_Toc25985"/>
      <w:bookmarkStart w:id="286" w:name="_Toc19872"/>
      <w:bookmarkStart w:id="287" w:name="_Toc17097"/>
      <w:bookmarkStart w:id="288" w:name="_Toc30042"/>
      <w:bookmarkStart w:id="289" w:name="_Toc24344"/>
      <w:bookmarkStart w:id="290" w:name="_Toc11658"/>
      <w:bookmarkStart w:id="291" w:name="_Toc19427"/>
      <w:bookmarkStart w:id="292" w:name="_Toc26138"/>
      <w:bookmarkStart w:id="293" w:name="_Toc26748"/>
      <w:bookmarkStart w:id="294" w:name="_Toc29186"/>
      <w:bookmarkStart w:id="295" w:name="_Toc2609"/>
      <w:bookmarkStart w:id="296" w:name="_Toc22560"/>
      <w:bookmarkStart w:id="297" w:name="_Toc28787"/>
      <w:bookmarkStart w:id="298" w:name="_Toc1885"/>
      <w:bookmarkStart w:id="299" w:name="_Toc866"/>
      <w:bookmarkStart w:id="300" w:name="_Toc26174"/>
      <w:bookmarkStart w:id="301" w:name="_Toc31976"/>
      <w:bookmarkStart w:id="302" w:name="_Toc8305"/>
      <w:bookmarkStart w:id="303" w:name="_Toc31153"/>
      <w:bookmarkStart w:id="304" w:name="_Toc12719"/>
      <w:bookmarkStart w:id="305" w:name="_Toc30992"/>
      <w:r>
        <w:rPr>
          <w:rFonts w:ascii="Times New Roman" w:hAnsi="Times New Roman"/>
          <w:color w:val="000000"/>
          <w:kern w:val="2"/>
        </w:rPr>
        <w:t>第</w:t>
      </w:r>
      <w:r>
        <w:rPr>
          <w:rFonts w:ascii="Times New Roman" w:hAnsi="Times New Roman" w:hint="eastAsia"/>
          <w:color w:val="000000"/>
          <w:kern w:val="2"/>
        </w:rPr>
        <w:t>四</w:t>
      </w:r>
      <w:r>
        <w:rPr>
          <w:rFonts w:ascii="Times New Roman" w:hAnsi="Times New Roman"/>
          <w:color w:val="000000"/>
          <w:kern w:val="2"/>
        </w:rPr>
        <w:t xml:space="preserve">节　</w:t>
      </w:r>
      <w:r>
        <w:rPr>
          <w:rFonts w:ascii="Times New Roman" w:hAnsi="Times New Roman" w:hint="eastAsia"/>
          <w:color w:val="000000"/>
          <w:kern w:val="2"/>
        </w:rPr>
        <w:t>代理</w:t>
      </w:r>
      <w:bookmarkEnd w:id="260"/>
      <w:bookmarkEnd w:id="261"/>
    </w:p>
    <w:p w:rsidR="00800760" w:rsidRDefault="00235733">
      <w:pPr>
        <w:pStyle w:val="3"/>
        <w:spacing w:before="240"/>
        <w:ind w:firstLine="444"/>
      </w:pPr>
      <w:bookmarkStart w:id="306" w:name="_Toc28593096"/>
      <w:bookmarkStart w:id="307" w:name="_Toc229114333"/>
      <w:bookmarkStart w:id="308" w:name="_Toc487793381"/>
      <w:bookmarkStart w:id="309" w:name="_Toc229225429"/>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rFonts w:hint="eastAsia"/>
        </w:rPr>
        <w:t>一、</w:t>
      </w:r>
      <w:r>
        <w:t>法定代理和委托代理</w:t>
      </w:r>
      <w:bookmarkEnd w:id="306"/>
      <w:bookmarkEnd w:id="307"/>
      <w:bookmarkEnd w:id="308"/>
      <w:bookmarkEnd w:id="309"/>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无民事行为能力人、限制民事行为能力人由其监护人作为法定代理人代为参加专利侵权纠纷的处理。当事人、法定代理人可以委托</w:t>
      </w:r>
      <w:r>
        <w:rPr>
          <w:rFonts w:ascii="Times New Roman" w:eastAsia="宋体" w:hAnsi="Times New Roman"/>
          <w:sz w:val="21"/>
          <w:szCs w:val="21"/>
        </w:rPr>
        <w:t>1</w:t>
      </w:r>
      <w:r>
        <w:rPr>
          <w:rFonts w:ascii="Times New Roman" w:eastAsia="宋体" w:hAnsi="Times New Roman" w:cs="宋体"/>
          <w:sz w:val="21"/>
          <w:szCs w:val="21"/>
        </w:rPr>
        <w:t>～</w:t>
      </w:r>
      <w:r>
        <w:rPr>
          <w:rFonts w:ascii="Times New Roman" w:eastAsia="宋体" w:hAnsi="Times New Roman"/>
          <w:sz w:val="21"/>
          <w:szCs w:val="21"/>
        </w:rPr>
        <w:t>2</w:t>
      </w:r>
      <w:r>
        <w:rPr>
          <w:rFonts w:ascii="Times New Roman" w:eastAsia="宋体" w:hAnsi="Times New Roman" w:cs="宋体"/>
          <w:sz w:val="21"/>
          <w:szCs w:val="21"/>
        </w:rPr>
        <w:t>人作为代理人。</w:t>
      </w:r>
      <w:bookmarkStart w:id="310" w:name="_Toc487793382"/>
    </w:p>
    <w:p w:rsidR="00800760" w:rsidRDefault="00235733">
      <w:pPr>
        <w:pStyle w:val="3"/>
        <w:spacing w:before="240"/>
        <w:ind w:firstLine="444"/>
      </w:pPr>
      <w:bookmarkStart w:id="311" w:name="_Toc229114334"/>
      <w:bookmarkStart w:id="312" w:name="_Toc28593097"/>
      <w:bookmarkStart w:id="313" w:name="_Toc229225430"/>
      <w:r>
        <w:rPr>
          <w:rFonts w:hint="eastAsia"/>
        </w:rPr>
        <w:t>二、</w:t>
      </w:r>
      <w:r>
        <w:t>委托代理注意事项</w:t>
      </w:r>
      <w:bookmarkEnd w:id="310"/>
      <w:bookmarkEnd w:id="311"/>
      <w:bookmarkEnd w:id="312"/>
      <w:bookmarkEnd w:id="313"/>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委托他人代为参加专利侵权纠纷处理的，必须向管理专利工作的部门提交由委托人签字或者盖章的授权委托书。</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授权委托书必须记载委托事项和代理权限。代理人代为承认、放弃、变更请求以及进行和解等涉及当事人重大权益的代理权限，必须有被代理人的特别授权。授权委托书记载的委托权限为特别授权的，应当要求委托人明确特别授权的具体事务。未明确委托权限的，视为一般代理。</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中国香港特别行政区、澳门特别行政区、台湾地区的当事人提交的授权委托书，应当履行公证、认证或其他证明手续。</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在中华人民共和国领域内没有住所的外国人、无国籍人、外国企业和组织提交的中华人民共和国外形成的授权委托书，应当经所在国公证机关证明，并经中华人民共和国驻该国的使领馆认证，或者履行中华人民共和国与该所在国订立的有关条约中规定的证明手续后，才具有效力。</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外国当事人所在国与中华人民共和国没有建立外交关系的，可以经该国公证机关公证，经与中华人民共和国有外交关系的第三国驻该国使领馆认证，再转由中华人民共和国驻该第三国使领馆认证。</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根据《关于取消外国公文认证要求的公约》，即海牙公约的相关规定，缔约国的当事人提交的授权委托书，经所在国公证机关证明后，由所在国外交部或其他主管机关出具附加证明书后，即具有效力。</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侨居在国外的中华人民共和国公民从国外寄交或者托交的授权委托书，必须经中华人民共和国驻该国的使领馆证明；没有使领馆的，由与中华人民共和国有外交关系的第三国驻该国的使领馆证明，再转由中华人民共和国驻该第三国使领馆证明，或者由当地的爱国华侨团体证明。在境内签署的授权委托书，在办案人员见证下签署或者经中华人民共和国公证机构公证签署的，应予认可。</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授权委托书为外文的，应当附由具有翻译资质的机构翻译的或者为其他翻译准确的中文译本，由翻译机构盖章或者翻译人员签名。未提供中文译本的，该授权委托书视为无效。</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委托代理机构的，代理人必须参加案件审理。</w:t>
      </w:r>
    </w:p>
    <w:p w:rsidR="00800760" w:rsidRDefault="00235733">
      <w:pPr>
        <w:pStyle w:val="2"/>
        <w:widowControl/>
        <w:topLinePunct/>
        <w:ind w:firstLineChars="0" w:firstLine="0"/>
        <w:rPr>
          <w:rFonts w:ascii="Times New Roman" w:hAnsi="Times New Roman"/>
          <w:color w:val="000000"/>
          <w:kern w:val="2"/>
        </w:rPr>
      </w:pPr>
      <w:bookmarkStart w:id="314" w:name="_Toc229114335"/>
      <w:bookmarkStart w:id="315" w:name="_Toc229225431"/>
      <w:bookmarkStart w:id="316" w:name="_Toc21900"/>
      <w:bookmarkStart w:id="317" w:name="_Toc17832"/>
      <w:bookmarkStart w:id="318" w:name="_Toc15990"/>
      <w:bookmarkStart w:id="319" w:name="_Toc26533"/>
      <w:bookmarkStart w:id="320" w:name="_Toc20791"/>
      <w:bookmarkStart w:id="321" w:name="_Toc18938"/>
      <w:bookmarkStart w:id="322" w:name="_Toc27505"/>
      <w:bookmarkStart w:id="323" w:name="_Toc15558"/>
      <w:bookmarkStart w:id="324" w:name="_Toc6220"/>
      <w:bookmarkStart w:id="325" w:name="_Toc32184"/>
      <w:bookmarkStart w:id="326" w:name="_Toc19957"/>
      <w:bookmarkStart w:id="327" w:name="_Toc30631"/>
      <w:bookmarkStart w:id="328" w:name="_Toc7271"/>
      <w:bookmarkStart w:id="329" w:name="_Toc28593098"/>
      <w:bookmarkStart w:id="330" w:name="_Toc217908595"/>
      <w:bookmarkStart w:id="331" w:name="_Toc11305"/>
      <w:bookmarkStart w:id="332" w:name="_Toc17328"/>
      <w:bookmarkStart w:id="333" w:name="_Toc26807"/>
      <w:bookmarkStart w:id="334" w:name="_Toc16023"/>
      <w:bookmarkStart w:id="335" w:name="_Toc9933"/>
      <w:bookmarkStart w:id="336" w:name="_Toc14445"/>
      <w:bookmarkStart w:id="337" w:name="_Toc20533"/>
      <w:bookmarkStart w:id="338" w:name="_Toc20189"/>
      <w:bookmarkStart w:id="339" w:name="_Toc27526"/>
      <w:bookmarkStart w:id="340" w:name="_Toc23615"/>
      <w:bookmarkStart w:id="341" w:name="_Toc32390"/>
      <w:bookmarkStart w:id="342" w:name="_Toc2784"/>
      <w:bookmarkStart w:id="343" w:name="_Toc15989"/>
      <w:bookmarkStart w:id="344" w:name="_Toc27452"/>
      <w:bookmarkStart w:id="345" w:name="_Toc4721"/>
      <w:bookmarkStart w:id="346" w:name="_Toc2314"/>
      <w:bookmarkStart w:id="347" w:name="_Toc16706"/>
      <w:bookmarkStart w:id="348" w:name="_Toc13114"/>
      <w:bookmarkStart w:id="349" w:name="_Toc13891"/>
      <w:bookmarkStart w:id="350" w:name="_Toc15124"/>
      <w:bookmarkStart w:id="351" w:name="_Toc29892"/>
      <w:bookmarkStart w:id="352" w:name="_Toc30969"/>
      <w:bookmarkStart w:id="353" w:name="_Toc32075"/>
      <w:bookmarkStart w:id="354" w:name="_Toc25573"/>
      <w:bookmarkStart w:id="355" w:name="_Toc7655"/>
      <w:bookmarkStart w:id="356" w:name="_Toc19674"/>
      <w:bookmarkStart w:id="357" w:name="_Toc3224"/>
      <w:bookmarkStart w:id="358" w:name="_Toc20250"/>
      <w:bookmarkStart w:id="359" w:name="_Toc23910"/>
      <w:r>
        <w:rPr>
          <w:rFonts w:ascii="Times New Roman" w:hAnsi="Times New Roman"/>
          <w:color w:val="000000"/>
          <w:kern w:val="2"/>
        </w:rPr>
        <w:t>第</w:t>
      </w:r>
      <w:r>
        <w:rPr>
          <w:rFonts w:ascii="Times New Roman" w:hAnsi="Times New Roman" w:hint="eastAsia"/>
          <w:color w:val="000000"/>
          <w:kern w:val="2"/>
        </w:rPr>
        <w:t>五</w:t>
      </w:r>
      <w:r>
        <w:rPr>
          <w:rFonts w:ascii="Times New Roman" w:hAnsi="Times New Roman"/>
          <w:color w:val="000000"/>
          <w:kern w:val="2"/>
        </w:rPr>
        <w:t xml:space="preserve">节　</w:t>
      </w:r>
      <w:r>
        <w:rPr>
          <w:rFonts w:ascii="Times New Roman" w:hAnsi="Times New Roman" w:hint="eastAsia"/>
          <w:color w:val="000000"/>
          <w:kern w:val="2"/>
        </w:rPr>
        <w:t>送达</w:t>
      </w:r>
      <w:bookmarkEnd w:id="314"/>
      <w:bookmarkEnd w:id="315"/>
    </w:p>
    <w:p w:rsidR="00800760" w:rsidRDefault="00235733">
      <w:pPr>
        <w:pStyle w:val="3"/>
        <w:spacing w:before="240"/>
        <w:ind w:firstLine="444"/>
      </w:pPr>
      <w:bookmarkStart w:id="360" w:name="_Toc229114336"/>
      <w:bookmarkStart w:id="361" w:name="_Toc487793384"/>
      <w:bookmarkStart w:id="362" w:name="_Toc28593099"/>
      <w:bookmarkStart w:id="363" w:name="_Toc229225432"/>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rPr>
          <w:rFonts w:hint="eastAsia"/>
        </w:rPr>
        <w:t>一、</w:t>
      </w:r>
      <w:r>
        <w:t>送达和送达回证</w:t>
      </w:r>
      <w:bookmarkEnd w:id="360"/>
      <w:bookmarkEnd w:id="361"/>
      <w:bookmarkEnd w:id="362"/>
      <w:bookmarkEnd w:id="363"/>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受送达人指依照法律法规规章的规定，需要将有关法律文书送达的案件当事人或者与案件有关的人员或组织。</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送达文书必须有送达回证，由受送达人在送达回证上记明收到日期，并签名或者盖章。</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受送达人在送达回证上的签收日期为送达日期。</w:t>
      </w:r>
      <w:bookmarkStart w:id="364" w:name="_Toc487793385"/>
    </w:p>
    <w:p w:rsidR="00800760" w:rsidRDefault="00235733">
      <w:pPr>
        <w:pStyle w:val="3"/>
        <w:spacing w:before="240"/>
        <w:ind w:firstLine="444"/>
      </w:pPr>
      <w:bookmarkStart w:id="365" w:name="_Toc229114337"/>
      <w:bookmarkStart w:id="366" w:name="_Toc28593100"/>
      <w:bookmarkStart w:id="367" w:name="_Toc229225433"/>
      <w:r>
        <w:rPr>
          <w:rFonts w:hint="eastAsia"/>
        </w:rPr>
        <w:t>二、</w:t>
      </w:r>
      <w:r>
        <w:t>送达方式</w:t>
      </w:r>
      <w:bookmarkEnd w:id="364"/>
      <w:bookmarkEnd w:id="365"/>
      <w:bookmarkEnd w:id="366"/>
      <w:bookmarkEnd w:id="367"/>
    </w:p>
    <w:p w:rsidR="00800760" w:rsidRDefault="00235733">
      <w:pPr>
        <w:pStyle w:val="5"/>
        <w:spacing w:before="120"/>
        <w:rPr>
          <w:color w:val="000000"/>
        </w:rPr>
      </w:pPr>
      <w:bookmarkStart w:id="368" w:name="_Toc28593101"/>
      <w:r>
        <w:rPr>
          <w:rFonts w:hint="eastAsia"/>
          <w:color w:val="000000"/>
        </w:rPr>
        <w:t>（一）</w:t>
      </w:r>
      <w:r>
        <w:rPr>
          <w:rFonts w:cs="黑体" w:hint="eastAsia"/>
          <w:color w:val="000000"/>
        </w:rPr>
        <w:t>直接送达</w:t>
      </w:r>
      <w:bookmarkEnd w:id="368"/>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送达文书，应当直接送交受送达人。受送达人是公民的，本人不在时交他的同住成年家属签收；受送达人是法人或者其他组织的，应当由法人的法定代表人、其他组织的主要负责人或者该法人、组织负责收件的人签收；受送达人有代理人的，可以送交其代理人签收；受送达人已向管理专利工作的部门指定代收人的，送交代收人签收。</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受送达人的同住成年家属、法人或者其他组织的负责收件的人、代理人或者代收人在送达回证上签收的日期为送达日期。</w:t>
      </w:r>
    </w:p>
    <w:p w:rsidR="00800760" w:rsidRDefault="00235733">
      <w:pPr>
        <w:pStyle w:val="5"/>
        <w:spacing w:before="120"/>
        <w:rPr>
          <w:color w:val="000000"/>
        </w:rPr>
      </w:pPr>
      <w:r>
        <w:rPr>
          <w:rFonts w:hint="eastAsia"/>
          <w:color w:val="000000"/>
        </w:rPr>
        <w:t>（二）</w:t>
      </w:r>
      <w:bookmarkStart w:id="369" w:name="_Toc28593102"/>
      <w:r>
        <w:rPr>
          <w:rFonts w:cs="黑体" w:hint="eastAsia"/>
          <w:color w:val="000000"/>
        </w:rPr>
        <w:t>留置送达</w:t>
      </w:r>
      <w:bookmarkEnd w:id="369"/>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受送达人或者他的同住成年家属拒绝接收文书的，送达人可以邀请有关基层组织或者所在单位的代表到场见证，说明情况，在送达回证上记明拒收事由和日期，由送达人、见证人签名或者盖章，把文书留在受送达人的住所；也可以把文书留在受送达人的住所，并采用拍照、摄像等方式记录送达过程，即视为送达。</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调解书应当直接送达当事人本人，不适用留置送达。当事人本人因故不能签收的，可由其指定的代收人签收。</w:t>
      </w:r>
    </w:p>
    <w:p w:rsidR="00800760" w:rsidRDefault="00235733">
      <w:pPr>
        <w:pStyle w:val="5"/>
        <w:spacing w:before="120"/>
        <w:rPr>
          <w:color w:val="000000"/>
        </w:rPr>
      </w:pPr>
      <w:r>
        <w:rPr>
          <w:rFonts w:hint="eastAsia"/>
          <w:color w:val="000000"/>
        </w:rPr>
        <w:t>（三）</w:t>
      </w:r>
      <w:bookmarkStart w:id="370" w:name="_Toc28593103"/>
      <w:r>
        <w:rPr>
          <w:rFonts w:cs="黑体" w:hint="eastAsia"/>
          <w:color w:val="000000"/>
        </w:rPr>
        <w:t>邮寄送达</w:t>
      </w:r>
      <w:bookmarkEnd w:id="370"/>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直接送达文书有困难或者当事人要求邮寄送达的，可以邮寄送达。邮寄送达应当通过中国邮政并采用给据邮件方式，不得采用中国邮政以外的商业快递进行邮寄，以从邮局查询的受送达人实际收到日期为送达日期。</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邮寄送达时应当附有送达回证。受送达人未在送达回证上签收但在邮件回执上签收的，视为送达，签收日期为送达日期。邮寄送达受送达人没有寄回送达回证的，应当另行制作送达回证，将给据邮件寄件人存单粘贴在送达回证上，并在备注栏由案件承办人员写明情况，签名并注明日期。</w:t>
      </w:r>
    </w:p>
    <w:p w:rsidR="00800760" w:rsidRDefault="00235733">
      <w:pPr>
        <w:pStyle w:val="5"/>
        <w:spacing w:before="120"/>
        <w:rPr>
          <w:color w:val="000000"/>
        </w:rPr>
      </w:pPr>
      <w:bookmarkStart w:id="371" w:name="_Toc28593104"/>
      <w:r>
        <w:rPr>
          <w:rFonts w:hint="eastAsia"/>
          <w:color w:val="000000"/>
        </w:rPr>
        <w:t>（四）</w:t>
      </w:r>
      <w:r>
        <w:rPr>
          <w:rFonts w:cs="黑体" w:hint="eastAsia"/>
          <w:color w:val="000000"/>
        </w:rPr>
        <w:t>电子送达</w:t>
      </w:r>
      <w:bookmarkEnd w:id="371"/>
    </w:p>
    <w:p w:rsidR="00800760" w:rsidRDefault="00235733">
      <w:pPr>
        <w:pStyle w:val="12"/>
        <w:widowControl/>
        <w:topLinePunct/>
        <w:spacing w:line="336" w:lineRule="auto"/>
        <w:ind w:firstLine="420"/>
        <w:rPr>
          <w:rFonts w:ascii="Times New Roman" w:hAnsi="Times New Roman"/>
          <w:sz w:val="21"/>
          <w:szCs w:val="21"/>
        </w:rPr>
      </w:pPr>
      <w:r>
        <w:rPr>
          <w:rFonts w:ascii="Times New Roman" w:eastAsia="宋体" w:hAnsi="Times New Roman" w:cs="宋体"/>
          <w:sz w:val="21"/>
          <w:szCs w:val="21"/>
        </w:rPr>
        <w:t>经受送达人同意，可以采用手机短信、传真、电子邮件、即时通信等能够确认其收悉的电子方式送达文书，同时应当通过拍照、截屏、录音、录像等方式予以记录，受送达人提出需要纸质文书的，管理专利工作的部门应当提供。手机短信、传真、电子邮件、即时通信信息等到达受送达人特定系统的日期为送达日期。</w:t>
      </w:r>
      <w:bookmarkStart w:id="372" w:name="_Toc28593105"/>
    </w:p>
    <w:p w:rsidR="00800760" w:rsidRDefault="00235733">
      <w:pPr>
        <w:pStyle w:val="5"/>
        <w:spacing w:before="120"/>
        <w:rPr>
          <w:color w:val="000000"/>
        </w:rPr>
      </w:pPr>
      <w:r>
        <w:rPr>
          <w:rFonts w:hint="eastAsia"/>
          <w:color w:val="000000"/>
        </w:rPr>
        <w:t>（五）</w:t>
      </w:r>
      <w:r>
        <w:rPr>
          <w:rFonts w:cs="黑体" w:hint="eastAsia"/>
          <w:color w:val="000000"/>
        </w:rPr>
        <w:t>公告送达</w:t>
      </w:r>
      <w:bookmarkEnd w:id="372"/>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受送达人下落不明，或者用本节规定的其他方式无法送达的，可以公告送达。自发出公告之日起，经过</w:t>
      </w:r>
      <w:r>
        <w:rPr>
          <w:rFonts w:ascii="Times New Roman" w:eastAsia="宋体" w:hAnsi="Times New Roman"/>
          <w:sz w:val="21"/>
          <w:szCs w:val="21"/>
        </w:rPr>
        <w:t>30</w:t>
      </w:r>
      <w:r>
        <w:rPr>
          <w:rFonts w:ascii="Times New Roman" w:eastAsia="宋体" w:hAnsi="Times New Roman" w:cs="宋体"/>
          <w:sz w:val="21"/>
          <w:szCs w:val="21"/>
        </w:rPr>
        <w:t>日，即视为送达。公告送达，应当在案卷中记明原因和经过。</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公告送达，可以在管理专利工作的部门公告栏、官方网站、受送达人原住所地张贴公告，也可以在当地主要报纸上刊登公告；对公告送达方式有特殊要求的，应按要求的方式进行公告。公告送达请求书副本的，应说明请求书要点、受送达人答辩期限及逾期不答辩的法律后果；公告送达口头审理通知，应说明出席口头审理的地点、时间及逾期不参加的法律后果；公告送达行政裁决书、其他通知书的，应说明行政裁决书或通知书的主要内容，同时告知当事人的救济途径。</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公告送达时，应当制作送达回证，将公告文书和相关载体（包括报纸原件等；如果是网站公告的，应当将公告网页页面采用带日期、带网址的方式全部打印，并由案件承办人员在上面签名并注明日期）粘贴在送达回证上，并在备注栏由案件承办人员写明情况，签名并注明日期。</w:t>
      </w:r>
    </w:p>
    <w:p w:rsidR="00800760" w:rsidRDefault="00235733">
      <w:pPr>
        <w:pStyle w:val="2"/>
        <w:widowControl/>
        <w:topLinePunct/>
        <w:ind w:firstLineChars="0" w:firstLine="0"/>
        <w:rPr>
          <w:rFonts w:ascii="Times New Roman" w:hAnsi="Times New Roman"/>
          <w:color w:val="000000"/>
          <w:kern w:val="2"/>
        </w:rPr>
      </w:pPr>
      <w:bookmarkStart w:id="373" w:name="_Toc229114338"/>
      <w:bookmarkStart w:id="374" w:name="_Toc229225434"/>
      <w:bookmarkStart w:id="375" w:name="_Toc18092"/>
      <w:bookmarkStart w:id="376" w:name="_Toc12107"/>
      <w:bookmarkStart w:id="377" w:name="_Toc3245"/>
      <w:bookmarkStart w:id="378" w:name="_Toc217908596"/>
      <w:bookmarkStart w:id="379" w:name="_Toc1073"/>
      <w:bookmarkStart w:id="380" w:name="_Toc13711"/>
      <w:bookmarkStart w:id="381" w:name="_Toc8950"/>
      <w:bookmarkStart w:id="382" w:name="_Toc13274"/>
      <w:bookmarkStart w:id="383" w:name="_Toc30526"/>
      <w:bookmarkStart w:id="384" w:name="_Toc987"/>
      <w:bookmarkStart w:id="385" w:name="_Toc610"/>
      <w:bookmarkStart w:id="386" w:name="_Toc24497"/>
      <w:bookmarkStart w:id="387" w:name="_Toc28519"/>
      <w:bookmarkStart w:id="388" w:name="_Toc13042"/>
      <w:bookmarkStart w:id="389" w:name="_Toc16708"/>
      <w:bookmarkStart w:id="390" w:name="_Toc10566"/>
      <w:bookmarkStart w:id="391" w:name="_Toc570"/>
      <w:bookmarkStart w:id="392" w:name="_Toc19086"/>
      <w:bookmarkStart w:id="393" w:name="_Toc1392"/>
      <w:bookmarkStart w:id="394" w:name="_Toc27984"/>
      <w:bookmarkStart w:id="395" w:name="_Toc26874"/>
      <w:bookmarkStart w:id="396" w:name="_Toc24689"/>
      <w:bookmarkStart w:id="397" w:name="_Toc8234"/>
      <w:bookmarkStart w:id="398" w:name="_Toc10612"/>
      <w:bookmarkStart w:id="399" w:name="_Toc4876"/>
      <w:bookmarkStart w:id="400" w:name="_Toc1061"/>
      <w:bookmarkStart w:id="401" w:name="_Toc28593212"/>
      <w:bookmarkStart w:id="402" w:name="_Toc15230"/>
      <w:bookmarkStart w:id="403" w:name="_Toc2813"/>
      <w:bookmarkStart w:id="404" w:name="_Toc31276"/>
      <w:bookmarkStart w:id="405" w:name="_Toc3813"/>
      <w:bookmarkStart w:id="406" w:name="_Toc23995"/>
      <w:bookmarkStart w:id="407" w:name="_Toc3801"/>
      <w:bookmarkStart w:id="408" w:name="_Toc5052"/>
      <w:bookmarkStart w:id="409" w:name="_Toc29170"/>
      <w:bookmarkStart w:id="410" w:name="_Toc31577"/>
      <w:bookmarkStart w:id="411" w:name="_Toc10166"/>
      <w:bookmarkStart w:id="412" w:name="_Toc28687"/>
      <w:bookmarkStart w:id="413" w:name="_Toc5434"/>
      <w:bookmarkStart w:id="414" w:name="_Toc1155"/>
      <w:bookmarkStart w:id="415" w:name="_Toc29014"/>
      <w:bookmarkStart w:id="416" w:name="_Toc31574"/>
      <w:bookmarkStart w:id="417" w:name="_Toc2793"/>
      <w:bookmarkStart w:id="418" w:name="_Toc10537"/>
      <w:r>
        <w:rPr>
          <w:rFonts w:ascii="Times New Roman" w:hAnsi="Times New Roman"/>
          <w:color w:val="000000"/>
          <w:kern w:val="2"/>
        </w:rPr>
        <w:t>第</w:t>
      </w:r>
      <w:r>
        <w:rPr>
          <w:rFonts w:ascii="Times New Roman" w:hAnsi="Times New Roman" w:hint="eastAsia"/>
          <w:color w:val="000000"/>
          <w:kern w:val="2"/>
        </w:rPr>
        <w:t>六</w:t>
      </w:r>
      <w:r>
        <w:rPr>
          <w:rFonts w:ascii="Times New Roman" w:hAnsi="Times New Roman"/>
          <w:color w:val="000000"/>
          <w:kern w:val="2"/>
        </w:rPr>
        <w:t xml:space="preserve">节　</w:t>
      </w:r>
      <w:r>
        <w:rPr>
          <w:rFonts w:ascii="Times New Roman" w:hAnsi="Times New Roman"/>
          <w:color w:val="000000"/>
        </w:rPr>
        <w:t>执行与公开</w:t>
      </w:r>
      <w:bookmarkEnd w:id="373"/>
      <w:bookmarkEnd w:id="374"/>
    </w:p>
    <w:p w:rsidR="00800760" w:rsidRDefault="00235733">
      <w:pPr>
        <w:pStyle w:val="3"/>
        <w:spacing w:before="240"/>
        <w:ind w:firstLine="444"/>
      </w:pPr>
      <w:bookmarkStart w:id="419" w:name="_Toc229114339"/>
      <w:bookmarkStart w:id="420" w:name="_Toc229225435"/>
      <w:r>
        <w:rPr>
          <w:rFonts w:hint="eastAsia"/>
        </w:rPr>
        <w:t>一</w:t>
      </w:r>
      <w:r>
        <w:t>、执行</w:t>
      </w:r>
      <w:bookmarkEnd w:id="419"/>
      <w:bookmarkEnd w:id="420"/>
    </w:p>
    <w:bookmarkStart w:id="421" w:name="_Toc48779342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rsidR="00800760" w:rsidRDefault="00C22A7B">
      <w:pPr>
        <w:pStyle w:val="4"/>
        <w:widowControl/>
        <w:spacing w:before="240"/>
        <w:rPr>
          <w:rFonts w:ascii="Times New Roman" w:hAnsi="Times New Roman"/>
          <w:color w:val="000000"/>
        </w:rPr>
      </w:pPr>
      <w:r>
        <w:fldChar w:fldCharType="begin"/>
      </w:r>
      <w:r w:rsidR="00235733">
        <w:rPr>
          <w:rFonts w:ascii="Times New Roman" w:hAnsi="Times New Roman"/>
          <w:color w:val="000000"/>
        </w:rPr>
        <w:instrText>= 1 \* GB4</w:instrText>
      </w:r>
      <w:r w:rsidRPr="00C22A7B">
        <w:rPr>
          <w:rFonts w:ascii="Times New Roman" w:hAnsi="Times New Roman"/>
          <w:color w:val="000000"/>
        </w:rPr>
        <w:fldChar w:fldCharType="separate"/>
      </w:r>
      <w:bookmarkStart w:id="422" w:name="_Toc28593213"/>
      <w:r w:rsidR="00235733">
        <w:rPr>
          <w:rFonts w:ascii="Times New Roman" w:hAnsi="Times New Roman"/>
          <w:color w:val="000000"/>
        </w:rPr>
        <w:t>（一）</w:t>
      </w:r>
      <w:r>
        <w:fldChar w:fldCharType="end"/>
      </w:r>
      <w:r w:rsidR="00235733">
        <w:rPr>
          <w:rFonts w:ascii="Times New Roman" w:hAnsi="Times New Roman"/>
          <w:color w:val="000000"/>
        </w:rPr>
        <w:t>行政裁决的效力</w:t>
      </w:r>
      <w:bookmarkEnd w:id="421"/>
      <w:bookmarkEnd w:id="422"/>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行政裁决一经作出即生效。当事人提起行政诉讼的，不停止行政裁决的执行。但具有下列情形之一的，应当停止执行：</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w:t>
      </w:r>
      <w:r>
        <w:rPr>
          <w:rFonts w:ascii="Times New Roman" w:eastAsia="宋体" w:hAnsi="Times New Roman"/>
          <w:sz w:val="21"/>
          <w:szCs w:val="21"/>
        </w:rPr>
        <w:t>1</w:t>
      </w:r>
      <w:r>
        <w:rPr>
          <w:rFonts w:ascii="Times New Roman" w:eastAsia="宋体" w:hAnsi="Times New Roman"/>
          <w:sz w:val="21"/>
          <w:szCs w:val="21"/>
        </w:rPr>
        <w:t>）</w:t>
      </w:r>
      <w:r>
        <w:rPr>
          <w:rFonts w:ascii="Times New Roman" w:eastAsia="宋体" w:hAnsi="Times New Roman" w:cs="宋体"/>
          <w:sz w:val="21"/>
          <w:szCs w:val="21"/>
        </w:rPr>
        <w:t>法律规定停止执行的；</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w:t>
      </w:r>
      <w:r>
        <w:rPr>
          <w:rFonts w:ascii="Times New Roman" w:eastAsia="宋体" w:hAnsi="Times New Roman"/>
          <w:sz w:val="21"/>
          <w:szCs w:val="21"/>
        </w:rPr>
        <w:t>2</w:t>
      </w:r>
      <w:r>
        <w:rPr>
          <w:rFonts w:ascii="Times New Roman" w:eastAsia="宋体" w:hAnsi="Times New Roman"/>
          <w:sz w:val="21"/>
          <w:szCs w:val="21"/>
        </w:rPr>
        <w:t>）</w:t>
      </w:r>
      <w:r>
        <w:rPr>
          <w:rFonts w:ascii="Times New Roman" w:eastAsia="宋体" w:hAnsi="Times New Roman" w:cs="宋体"/>
          <w:sz w:val="21"/>
          <w:szCs w:val="21"/>
        </w:rPr>
        <w:t>人民法院裁定停止执行的；</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w:t>
      </w:r>
      <w:r>
        <w:rPr>
          <w:rFonts w:ascii="Times New Roman" w:eastAsia="宋体" w:hAnsi="Times New Roman"/>
          <w:sz w:val="21"/>
          <w:szCs w:val="21"/>
        </w:rPr>
        <w:t>3</w:t>
      </w:r>
      <w:r>
        <w:rPr>
          <w:rFonts w:ascii="Times New Roman" w:eastAsia="宋体" w:hAnsi="Times New Roman"/>
          <w:sz w:val="21"/>
          <w:szCs w:val="21"/>
        </w:rPr>
        <w:t>）</w:t>
      </w:r>
      <w:r>
        <w:rPr>
          <w:rFonts w:ascii="Times New Roman" w:eastAsia="宋体" w:hAnsi="Times New Roman" w:cs="宋体"/>
          <w:sz w:val="21"/>
          <w:szCs w:val="21"/>
        </w:rPr>
        <w:t>作出行政裁决的管理专利工作的部门认为需要停止执行的。</w:t>
      </w:r>
      <w:bookmarkStart w:id="423" w:name="_Toc487793425"/>
    </w:p>
    <w:p w:rsidR="00800760" w:rsidRDefault="00C22A7B">
      <w:pPr>
        <w:pStyle w:val="4"/>
        <w:widowControl/>
        <w:spacing w:before="240"/>
        <w:rPr>
          <w:rFonts w:ascii="Times New Roman" w:hAnsi="Times New Roman"/>
          <w:color w:val="000000"/>
        </w:rPr>
      </w:pPr>
      <w:r>
        <w:fldChar w:fldCharType="begin"/>
      </w:r>
      <w:r w:rsidR="00235733">
        <w:rPr>
          <w:rFonts w:ascii="Times New Roman" w:hAnsi="Times New Roman"/>
          <w:color w:val="000000"/>
        </w:rPr>
        <w:instrText>= 2 \* GB4</w:instrText>
      </w:r>
      <w:r w:rsidRPr="00C22A7B">
        <w:rPr>
          <w:rFonts w:ascii="Times New Roman" w:hAnsi="Times New Roman"/>
          <w:color w:val="000000"/>
        </w:rPr>
        <w:fldChar w:fldCharType="separate"/>
      </w:r>
      <w:bookmarkStart w:id="424" w:name="_Toc28593214"/>
      <w:r w:rsidR="00235733">
        <w:rPr>
          <w:rFonts w:ascii="Times New Roman" w:hAnsi="Times New Roman"/>
          <w:color w:val="000000"/>
        </w:rPr>
        <w:t>（二）</w:t>
      </w:r>
      <w:r>
        <w:fldChar w:fldCharType="end"/>
      </w:r>
      <w:r w:rsidR="00235733">
        <w:rPr>
          <w:rFonts w:ascii="Times New Roman" w:hAnsi="Times New Roman"/>
          <w:color w:val="000000"/>
        </w:rPr>
        <w:t>自觉履行与现场监督</w:t>
      </w:r>
      <w:bookmarkEnd w:id="423"/>
      <w:bookmarkEnd w:id="424"/>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当事人自愿履行行政裁决的，应一方当事人或者双方当事人请求，合议组可以指定</w:t>
      </w:r>
      <w:r>
        <w:rPr>
          <w:rFonts w:ascii="Times New Roman" w:eastAsia="宋体" w:hAnsi="Times New Roman"/>
          <w:sz w:val="21"/>
          <w:szCs w:val="21"/>
        </w:rPr>
        <w:t>2</w:t>
      </w:r>
      <w:r>
        <w:rPr>
          <w:rFonts w:ascii="Times New Roman" w:eastAsia="宋体" w:hAnsi="Times New Roman" w:cs="宋体"/>
          <w:sz w:val="21"/>
          <w:szCs w:val="21"/>
        </w:rPr>
        <w:t>名成员现场监督当事人履行义务，并制作执行笔录。执行笔录应当由在场当事人和在场执法人员签名。</w:t>
      </w:r>
      <w:bookmarkStart w:id="425" w:name="_Toc487793426"/>
    </w:p>
    <w:p w:rsidR="00800760" w:rsidRDefault="00C22A7B">
      <w:pPr>
        <w:pStyle w:val="4"/>
        <w:widowControl/>
        <w:spacing w:before="240"/>
        <w:rPr>
          <w:rFonts w:ascii="Times New Roman" w:hAnsi="Times New Roman"/>
          <w:color w:val="000000"/>
        </w:rPr>
      </w:pPr>
      <w:r>
        <w:fldChar w:fldCharType="begin"/>
      </w:r>
      <w:r w:rsidR="00235733">
        <w:rPr>
          <w:rFonts w:ascii="Times New Roman" w:hAnsi="Times New Roman"/>
          <w:color w:val="000000"/>
        </w:rPr>
        <w:instrText>= 3 \* GB4</w:instrText>
      </w:r>
      <w:r w:rsidRPr="00C22A7B">
        <w:rPr>
          <w:rFonts w:ascii="Times New Roman" w:hAnsi="Times New Roman"/>
          <w:color w:val="000000"/>
        </w:rPr>
        <w:fldChar w:fldCharType="separate"/>
      </w:r>
      <w:bookmarkStart w:id="426" w:name="_Toc28593215"/>
      <w:r w:rsidR="00235733">
        <w:rPr>
          <w:rFonts w:ascii="Times New Roman" w:hAnsi="Times New Roman"/>
          <w:color w:val="000000"/>
        </w:rPr>
        <w:t>（三）</w:t>
      </w:r>
      <w:r>
        <w:fldChar w:fldCharType="end"/>
      </w:r>
      <w:r w:rsidR="00235733">
        <w:rPr>
          <w:rFonts w:ascii="Times New Roman" w:hAnsi="Times New Roman"/>
          <w:color w:val="000000"/>
        </w:rPr>
        <w:t>申请强制执行</w:t>
      </w:r>
      <w:bookmarkEnd w:id="425"/>
      <w:bookmarkEnd w:id="426"/>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管理专利工作的部门认定侵权行为成立的，可以责令侵权人立即停止侵权行为。当事人不服的，可以自收到裁决书之日起</w:t>
      </w:r>
      <w:r>
        <w:rPr>
          <w:rFonts w:ascii="Times New Roman" w:eastAsia="宋体" w:hAnsi="Times New Roman"/>
          <w:sz w:val="21"/>
          <w:szCs w:val="21"/>
        </w:rPr>
        <w:t>15</w:t>
      </w:r>
      <w:r>
        <w:rPr>
          <w:rFonts w:ascii="Times New Roman" w:eastAsia="宋体" w:hAnsi="Times New Roman" w:cs="宋体"/>
          <w:sz w:val="21"/>
          <w:szCs w:val="21"/>
        </w:rPr>
        <w:t>日内依照《中华人民共和国行政诉讼法》（以下简称《行政诉讼法》）向人民法院起诉；侵权人期满不起诉又不停止侵权行为的，管理专利工作的部门可以申请人民法院强制执行。</w:t>
      </w:r>
    </w:p>
    <w:p w:rsidR="00800760" w:rsidRDefault="00C22A7B">
      <w:pPr>
        <w:pStyle w:val="5"/>
        <w:spacing w:before="120"/>
        <w:rPr>
          <w:color w:val="000000"/>
        </w:rPr>
      </w:pPr>
      <w:r w:rsidRPr="00C22A7B">
        <w:rPr>
          <w:color w:val="000000"/>
        </w:rPr>
        <w:fldChar w:fldCharType="begin"/>
      </w:r>
      <w:r w:rsidR="00235733">
        <w:rPr>
          <w:color w:val="000000"/>
        </w:rPr>
        <w:instrText>= 1 \* GB1</w:instrText>
      </w:r>
      <w:r w:rsidRPr="00C22A7B">
        <w:rPr>
          <w:color w:val="000000"/>
        </w:rPr>
        <w:fldChar w:fldCharType="separate"/>
      </w:r>
      <w:bookmarkStart w:id="427" w:name="_Toc28593216"/>
      <w:r w:rsidR="00235733">
        <w:rPr>
          <w:color w:val="000000"/>
        </w:rPr>
        <w:t xml:space="preserve">1. </w:t>
      </w:r>
      <w:r>
        <w:fldChar w:fldCharType="end"/>
      </w:r>
      <w:r w:rsidR="00235733">
        <w:rPr>
          <w:rFonts w:cs="黑体" w:hint="eastAsia"/>
          <w:color w:val="000000"/>
        </w:rPr>
        <w:t>强制执行的管辖</w:t>
      </w:r>
      <w:bookmarkEnd w:id="427"/>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管理专利工作的部门依法作出的行政裁决，由被执行人住所地或财产所在地的省、自治区、直辖市、设区的市有权受理专利纠纷案件的中级人民法院执行。</w:t>
      </w:r>
    </w:p>
    <w:p w:rsidR="00800760" w:rsidRDefault="00C22A7B">
      <w:pPr>
        <w:pStyle w:val="5"/>
        <w:spacing w:before="120"/>
        <w:rPr>
          <w:color w:val="000000"/>
        </w:rPr>
      </w:pPr>
      <w:r w:rsidRPr="00C22A7B">
        <w:rPr>
          <w:color w:val="000000"/>
        </w:rPr>
        <w:fldChar w:fldCharType="begin"/>
      </w:r>
      <w:r w:rsidR="00235733">
        <w:rPr>
          <w:color w:val="000000"/>
        </w:rPr>
        <w:instrText>= 2 \* GB1</w:instrText>
      </w:r>
      <w:r w:rsidRPr="00C22A7B">
        <w:rPr>
          <w:color w:val="000000"/>
        </w:rPr>
        <w:fldChar w:fldCharType="separate"/>
      </w:r>
      <w:bookmarkStart w:id="428" w:name="_Toc28593217"/>
      <w:r w:rsidR="00235733">
        <w:rPr>
          <w:color w:val="000000"/>
        </w:rPr>
        <w:t xml:space="preserve">2. </w:t>
      </w:r>
      <w:r>
        <w:fldChar w:fldCharType="end"/>
      </w:r>
      <w:r w:rsidR="00235733">
        <w:rPr>
          <w:rFonts w:cs="黑体" w:hint="eastAsia"/>
          <w:color w:val="000000"/>
        </w:rPr>
        <w:t>强制执行的提出</w:t>
      </w:r>
      <w:bookmarkEnd w:id="428"/>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侵权人期满不起诉又不停止侵权行为的，请求人可以请求管理专利工作的部门申请法院强制执行。请求申请强制执行的，请求人应当于被执行人的履行期限届满后提出，并填写《专利侵权纠纷行政裁决强制执行请求书》。</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管理专利工作的部门也可以自行申请人民法院强制执行。</w:t>
      </w:r>
    </w:p>
    <w:p w:rsidR="00800760" w:rsidRDefault="00C22A7B">
      <w:pPr>
        <w:pStyle w:val="5"/>
        <w:spacing w:before="120"/>
        <w:rPr>
          <w:color w:val="000000"/>
        </w:rPr>
      </w:pPr>
      <w:r w:rsidRPr="00C22A7B">
        <w:rPr>
          <w:color w:val="000000"/>
        </w:rPr>
        <w:fldChar w:fldCharType="begin"/>
      </w:r>
      <w:r w:rsidR="00235733">
        <w:rPr>
          <w:color w:val="000000"/>
        </w:rPr>
        <w:instrText>= 3 \* GB1</w:instrText>
      </w:r>
      <w:r w:rsidRPr="00C22A7B">
        <w:rPr>
          <w:color w:val="000000"/>
        </w:rPr>
        <w:fldChar w:fldCharType="separate"/>
      </w:r>
      <w:bookmarkStart w:id="429" w:name="_Toc28593218"/>
      <w:r w:rsidR="00235733">
        <w:rPr>
          <w:color w:val="000000"/>
        </w:rPr>
        <w:t xml:space="preserve">3. </w:t>
      </w:r>
      <w:r>
        <w:fldChar w:fldCharType="end"/>
      </w:r>
      <w:r w:rsidR="00235733">
        <w:rPr>
          <w:rFonts w:cs="黑体" w:hint="eastAsia"/>
          <w:color w:val="000000"/>
        </w:rPr>
        <w:t>申请强制执行的期限</w:t>
      </w:r>
      <w:bookmarkEnd w:id="429"/>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管理专利工作的部门应当在被执行人的履行期限届满之日起</w:t>
      </w:r>
      <w:r>
        <w:rPr>
          <w:rFonts w:ascii="Times New Roman" w:eastAsia="宋体" w:hAnsi="Times New Roman"/>
          <w:sz w:val="21"/>
          <w:szCs w:val="21"/>
        </w:rPr>
        <w:t>3</w:t>
      </w:r>
      <w:r>
        <w:rPr>
          <w:rFonts w:ascii="Times New Roman" w:eastAsia="宋体" w:hAnsi="Times New Roman" w:cs="宋体"/>
          <w:sz w:val="21"/>
          <w:szCs w:val="21"/>
        </w:rPr>
        <w:t>个月内提出。管理专利工作的部门在上述申请执行的期限内未申请人民法院强制执行的，生效的行政裁决确定的权利人或者其继承人、权利承受人在</w:t>
      </w:r>
      <w:r>
        <w:rPr>
          <w:rFonts w:ascii="Times New Roman" w:eastAsia="宋体" w:hAnsi="Times New Roman"/>
          <w:sz w:val="21"/>
          <w:szCs w:val="21"/>
        </w:rPr>
        <w:t>6</w:t>
      </w:r>
      <w:r>
        <w:rPr>
          <w:rFonts w:ascii="Times New Roman" w:eastAsia="宋体" w:hAnsi="Times New Roman" w:cs="宋体"/>
          <w:sz w:val="21"/>
          <w:szCs w:val="21"/>
        </w:rPr>
        <w:t>个月内可以申请人民法院强制执行。</w:t>
      </w:r>
    </w:p>
    <w:p w:rsidR="00800760" w:rsidRDefault="00C22A7B">
      <w:pPr>
        <w:pStyle w:val="5"/>
        <w:spacing w:before="120"/>
        <w:rPr>
          <w:color w:val="000000"/>
        </w:rPr>
      </w:pPr>
      <w:r w:rsidRPr="00C22A7B">
        <w:rPr>
          <w:color w:val="000000"/>
        </w:rPr>
        <w:fldChar w:fldCharType="begin"/>
      </w:r>
      <w:r w:rsidR="00235733">
        <w:rPr>
          <w:color w:val="000000"/>
        </w:rPr>
        <w:instrText>= 4 \* GB1</w:instrText>
      </w:r>
      <w:r w:rsidRPr="00C22A7B">
        <w:rPr>
          <w:color w:val="000000"/>
        </w:rPr>
        <w:fldChar w:fldCharType="separate"/>
      </w:r>
      <w:bookmarkStart w:id="430" w:name="_Toc28593219"/>
      <w:r w:rsidR="00235733">
        <w:rPr>
          <w:color w:val="000000"/>
        </w:rPr>
        <w:t xml:space="preserve">4. </w:t>
      </w:r>
      <w:r>
        <w:fldChar w:fldCharType="end"/>
      </w:r>
      <w:r w:rsidR="00235733">
        <w:rPr>
          <w:rFonts w:cs="黑体" w:hint="eastAsia"/>
          <w:color w:val="000000"/>
        </w:rPr>
        <w:t>申请执行的程序</w:t>
      </w:r>
      <w:bookmarkEnd w:id="430"/>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管理专利工作的部门申请人民法院强制执行前，应当催告当事人履行义务。催告书送达</w:t>
      </w:r>
      <w:r>
        <w:rPr>
          <w:rFonts w:ascii="Times New Roman" w:eastAsia="宋体" w:hAnsi="Times New Roman"/>
          <w:sz w:val="21"/>
          <w:szCs w:val="21"/>
        </w:rPr>
        <w:t>10</w:t>
      </w:r>
      <w:r>
        <w:rPr>
          <w:rFonts w:ascii="Times New Roman" w:eastAsia="宋体" w:hAnsi="Times New Roman" w:cs="宋体"/>
          <w:sz w:val="21"/>
          <w:szCs w:val="21"/>
        </w:rPr>
        <w:t>日后当事人仍未履行义务的，管理专利工作的部门可以向有管辖权的人民法院申请强制执行。</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管理专利工作的部门申请强制执行，应当向人民法院提交下列材料：</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1</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强制执行申请书；</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2</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行政裁决书及作出决定的事实、理由和依据；</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3</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当事人的意见及行政机关催告情况；</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4</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申请强制执行标的情况；</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5</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法律、法规规定的其他材料。</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强制执行申请书应当加盖管理专利工作的部门的公章，并注明日期。</w:t>
      </w:r>
    </w:p>
    <w:p w:rsidR="00800760" w:rsidRDefault="00C22A7B">
      <w:pPr>
        <w:pStyle w:val="5"/>
        <w:spacing w:before="120"/>
        <w:rPr>
          <w:color w:val="000000"/>
        </w:rPr>
      </w:pPr>
      <w:r w:rsidRPr="00C22A7B">
        <w:rPr>
          <w:color w:val="000000"/>
        </w:rPr>
        <w:fldChar w:fldCharType="begin"/>
      </w:r>
      <w:r w:rsidR="00235733">
        <w:rPr>
          <w:color w:val="000000"/>
        </w:rPr>
        <w:instrText>= 5 \* GB1</w:instrText>
      </w:r>
      <w:r w:rsidRPr="00C22A7B">
        <w:rPr>
          <w:color w:val="000000"/>
        </w:rPr>
        <w:fldChar w:fldCharType="separate"/>
      </w:r>
      <w:bookmarkStart w:id="431" w:name="_Toc28593220"/>
      <w:r w:rsidR="00235733">
        <w:rPr>
          <w:color w:val="000000"/>
        </w:rPr>
        <w:t xml:space="preserve">5. </w:t>
      </w:r>
      <w:r>
        <w:fldChar w:fldCharType="end"/>
      </w:r>
      <w:r w:rsidR="00235733">
        <w:rPr>
          <w:rFonts w:cs="黑体" w:hint="eastAsia"/>
          <w:color w:val="000000"/>
        </w:rPr>
        <w:t>配合协助执行</w:t>
      </w:r>
      <w:bookmarkEnd w:id="431"/>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人民法院受理并开展执行工作时，管理专利工作的部门应当给予配合和协助。</w:t>
      </w:r>
      <w:bookmarkStart w:id="432" w:name="_Toc487793427"/>
    </w:p>
    <w:p w:rsidR="00800760" w:rsidRDefault="00235733">
      <w:pPr>
        <w:pStyle w:val="4"/>
        <w:widowControl/>
        <w:spacing w:before="240"/>
        <w:ind w:firstLine="444"/>
        <w:rPr>
          <w:rFonts w:ascii="Times New Roman" w:hAnsi="Times New Roman"/>
        </w:rPr>
      </w:pPr>
      <w:r>
        <w:rPr>
          <w:rFonts w:ascii="Times New Roman" w:hAnsi="Times New Roman"/>
        </w:rPr>
        <w:t>（四）相关法律责任</w:t>
      </w:r>
    </w:p>
    <w:p w:rsidR="00800760" w:rsidRDefault="00235733">
      <w:pPr>
        <w:pStyle w:val="5"/>
        <w:spacing w:before="120"/>
      </w:pPr>
      <w:r>
        <w:t xml:space="preserve">1. </w:t>
      </w:r>
      <w:r>
        <w:rPr>
          <w:rFonts w:cs="黑体" w:hint="eastAsia"/>
        </w:rPr>
        <w:t>妨碍公务</w:t>
      </w:r>
    </w:p>
    <w:p w:rsidR="00800760" w:rsidRDefault="00235733">
      <w:pPr>
        <w:pStyle w:val="12"/>
        <w:widowControl/>
        <w:topLinePunct/>
        <w:spacing w:line="336" w:lineRule="auto"/>
        <w:ind w:firstLine="420"/>
        <w:rPr>
          <w:rFonts w:ascii="Times New Roman" w:eastAsia="宋体" w:hAnsi="Times New Roman"/>
          <w:color w:val="auto"/>
          <w:sz w:val="21"/>
          <w:szCs w:val="21"/>
        </w:rPr>
      </w:pPr>
      <w:r>
        <w:rPr>
          <w:rFonts w:ascii="Times New Roman" w:eastAsia="宋体" w:hAnsi="Times New Roman" w:cs="宋体"/>
          <w:color w:val="auto"/>
          <w:sz w:val="21"/>
          <w:szCs w:val="21"/>
        </w:rPr>
        <w:t>拒绝、阻挠管理专利工作的部门依法行使职权，涉嫌违反治安管理行为的，应当移交公安机关处理；涉嫌犯罪的，应当依法追究刑事责任。</w:t>
      </w:r>
    </w:p>
    <w:p w:rsidR="00800760" w:rsidRDefault="00235733">
      <w:pPr>
        <w:pStyle w:val="5"/>
        <w:spacing w:before="120"/>
      </w:pPr>
      <w:r>
        <w:t xml:space="preserve">2. </w:t>
      </w:r>
      <w:r>
        <w:rPr>
          <w:rFonts w:cs="黑体" w:hint="eastAsia"/>
        </w:rPr>
        <w:t>当事人违反保密义务</w:t>
      </w:r>
    </w:p>
    <w:p w:rsidR="00800760" w:rsidRDefault="00235733">
      <w:pPr>
        <w:pStyle w:val="12"/>
        <w:widowControl/>
        <w:topLinePunct/>
        <w:spacing w:line="336" w:lineRule="auto"/>
        <w:ind w:firstLine="420"/>
        <w:rPr>
          <w:rFonts w:ascii="Times New Roman" w:eastAsia="宋体" w:hAnsi="Times New Roman"/>
          <w:color w:val="auto"/>
          <w:sz w:val="21"/>
          <w:szCs w:val="21"/>
        </w:rPr>
      </w:pPr>
      <w:r>
        <w:rPr>
          <w:rFonts w:ascii="Times New Roman" w:eastAsia="宋体" w:hAnsi="Times New Roman" w:cs="宋体"/>
          <w:color w:val="auto"/>
          <w:sz w:val="21"/>
          <w:szCs w:val="21"/>
        </w:rPr>
        <w:t>当事人对其在案件程序中知悉的国家秘密、商业秘密或者个人隐私负有保密义务，擅自披露、使用或者允许他人使用上述信息的，应当承担相应法律责任。</w:t>
      </w:r>
    </w:p>
    <w:p w:rsidR="00800760" w:rsidRDefault="00235733">
      <w:pPr>
        <w:pStyle w:val="5"/>
        <w:spacing w:before="120"/>
      </w:pPr>
      <w:r>
        <w:t xml:space="preserve">3. </w:t>
      </w:r>
      <w:r>
        <w:rPr>
          <w:rFonts w:cs="黑体" w:hint="eastAsia"/>
        </w:rPr>
        <w:t>工作人员违反纪律</w:t>
      </w:r>
    </w:p>
    <w:p w:rsidR="00800760" w:rsidRDefault="00235733">
      <w:pPr>
        <w:pStyle w:val="12"/>
        <w:widowControl/>
        <w:topLinePunct/>
        <w:spacing w:line="336" w:lineRule="auto"/>
        <w:ind w:firstLine="420"/>
        <w:rPr>
          <w:rFonts w:ascii="Times New Roman" w:eastAsia="宋体" w:hAnsi="Times New Roman"/>
          <w:color w:val="auto"/>
          <w:sz w:val="21"/>
          <w:szCs w:val="21"/>
        </w:rPr>
      </w:pPr>
      <w:r>
        <w:rPr>
          <w:rFonts w:ascii="Times New Roman" w:eastAsia="宋体" w:hAnsi="Times New Roman" w:cs="宋体"/>
          <w:color w:val="auto"/>
          <w:sz w:val="21"/>
          <w:szCs w:val="21"/>
        </w:rPr>
        <w:t>办案人员以及其他工作人员滥用职权、玩忽职守、徇私舞弊或者泄露处理过程中知悉的国家秘密、商业秘密或者个人隐私，尚不构成犯罪的，依法给予处分；涉嫌犯罪的，移送司法机关处理。</w:t>
      </w:r>
    </w:p>
    <w:p w:rsidR="00800760" w:rsidRDefault="00235733">
      <w:pPr>
        <w:pStyle w:val="3"/>
        <w:spacing w:before="240"/>
        <w:ind w:firstLine="444"/>
      </w:pPr>
      <w:bookmarkStart w:id="433" w:name="_Toc28593221"/>
      <w:bookmarkStart w:id="434" w:name="_Toc229114340"/>
      <w:bookmarkStart w:id="435" w:name="_Toc229225436"/>
      <w:r>
        <w:rPr>
          <w:rFonts w:hint="eastAsia"/>
        </w:rPr>
        <w:t>二、</w:t>
      </w:r>
      <w:r>
        <w:t>案件信息公开</w:t>
      </w:r>
      <w:bookmarkEnd w:id="432"/>
      <w:bookmarkEnd w:id="433"/>
      <w:bookmarkEnd w:id="434"/>
      <w:bookmarkEnd w:id="435"/>
    </w:p>
    <w:p w:rsidR="00800760" w:rsidRDefault="00235733">
      <w:pPr>
        <w:pStyle w:val="5"/>
        <w:spacing w:before="120"/>
        <w:rPr>
          <w:color w:val="000000"/>
        </w:rPr>
      </w:pPr>
      <w:bookmarkStart w:id="436" w:name="_Toc28593222"/>
      <w:r>
        <w:rPr>
          <w:rFonts w:hint="eastAsia"/>
          <w:color w:val="000000"/>
        </w:rPr>
        <w:t>（一）</w:t>
      </w:r>
      <w:r>
        <w:rPr>
          <w:rFonts w:cs="黑体" w:hint="eastAsia"/>
          <w:color w:val="000000"/>
        </w:rPr>
        <w:t>裁决结果可以公开的内容</w:t>
      </w:r>
      <w:bookmarkEnd w:id="436"/>
    </w:p>
    <w:p w:rsidR="00800760" w:rsidRDefault="00235733">
      <w:pPr>
        <w:pStyle w:val="12"/>
        <w:widowControl/>
        <w:topLinePunct/>
        <w:spacing w:line="336" w:lineRule="auto"/>
        <w:ind w:firstLine="420"/>
        <w:rPr>
          <w:rFonts w:ascii="Times New Roman" w:eastAsia="宋体" w:hAnsi="Times New Roman" w:cs="宋体"/>
          <w:sz w:val="21"/>
          <w:szCs w:val="21"/>
        </w:rPr>
      </w:pPr>
      <w:r>
        <w:rPr>
          <w:rFonts w:ascii="Times New Roman" w:eastAsia="宋体" w:hAnsi="Times New Roman" w:cs="宋体"/>
          <w:sz w:val="21"/>
          <w:szCs w:val="21"/>
        </w:rPr>
        <w:t>认定侵权事实成立、作出行政裁决的专利侵权纠纷案件，公开内容应当包括：行政裁决书文号、案件名称、违法法人或者其他组织名称或自然人姓名、违法法人或者其他组织的组织机构代码或统一社会信用代码及法定代表人或者负责人姓名、主要违法事实、行政裁决的依据及履行方式和期限、作出行政裁决的机关名称和日期。</w:t>
      </w:r>
    </w:p>
    <w:p w:rsidR="00800760" w:rsidRDefault="00235733">
      <w:pPr>
        <w:pStyle w:val="22"/>
        <w:topLinePunct/>
        <w:spacing w:line="336" w:lineRule="auto"/>
        <w:ind w:firstLine="420"/>
        <w:rPr>
          <w:rFonts w:ascii="Times New Roman" w:eastAsia="宋体" w:hAnsi="Times New Roman" w:cs="宋体"/>
          <w:sz w:val="21"/>
          <w:szCs w:val="21"/>
        </w:rPr>
      </w:pPr>
      <w:r>
        <w:rPr>
          <w:rFonts w:ascii="Times New Roman" w:eastAsia="宋体" w:hAnsi="Times New Roman" w:cs="宋体"/>
          <w:sz w:val="21"/>
          <w:szCs w:val="21"/>
        </w:rPr>
        <w:t>对于涉及国家秘密、商业秘密、个人隐私的内容，应当作删除、遮盖等处理。</w:t>
      </w:r>
    </w:p>
    <w:p w:rsidR="00800760" w:rsidRDefault="00235733">
      <w:pPr>
        <w:pStyle w:val="5"/>
        <w:spacing w:before="120"/>
        <w:rPr>
          <w:color w:val="000000"/>
        </w:rPr>
      </w:pPr>
      <w:bookmarkStart w:id="437" w:name="_Toc28593223"/>
      <w:r>
        <w:rPr>
          <w:rFonts w:hint="eastAsia"/>
          <w:color w:val="000000"/>
        </w:rPr>
        <w:t>（二）</w:t>
      </w:r>
      <w:r>
        <w:rPr>
          <w:rFonts w:cs="黑体" w:hint="eastAsia"/>
          <w:color w:val="000000"/>
        </w:rPr>
        <w:t>公开的时限</w:t>
      </w:r>
      <w:bookmarkEnd w:id="437"/>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对于认定侵权事实成立、作出行政裁决的专利侵权纠纷案件，自作出行政裁决之日起</w:t>
      </w:r>
      <w:r>
        <w:rPr>
          <w:rFonts w:ascii="Times New Roman" w:eastAsia="宋体" w:hAnsi="Times New Roman"/>
          <w:sz w:val="21"/>
          <w:szCs w:val="21"/>
        </w:rPr>
        <w:t>20</w:t>
      </w:r>
      <w:r>
        <w:rPr>
          <w:rFonts w:ascii="Times New Roman" w:eastAsia="宋体" w:hAnsi="Times New Roman" w:cs="宋体"/>
          <w:sz w:val="21"/>
          <w:szCs w:val="21"/>
        </w:rPr>
        <w:t>个工作日内依法主动公开相关信息，如有其他规定从其规定；因行政诉讼发生变更或撤销的，要在行政裁决变更或撤销之日起</w:t>
      </w:r>
      <w:r>
        <w:rPr>
          <w:rFonts w:ascii="Times New Roman" w:eastAsia="宋体" w:hAnsi="Times New Roman"/>
          <w:sz w:val="21"/>
          <w:szCs w:val="21"/>
        </w:rPr>
        <w:t>20</w:t>
      </w:r>
      <w:r>
        <w:rPr>
          <w:rFonts w:ascii="Times New Roman" w:eastAsia="宋体" w:hAnsi="Times New Roman" w:cs="宋体"/>
          <w:sz w:val="21"/>
          <w:szCs w:val="21"/>
        </w:rPr>
        <w:t>个工作日内，公开有关变更或撤销的信息。</w:t>
      </w:r>
    </w:p>
    <w:p w:rsidR="00800760" w:rsidRDefault="00235733">
      <w:pPr>
        <w:pStyle w:val="5"/>
        <w:spacing w:before="120"/>
        <w:rPr>
          <w:color w:val="000000"/>
        </w:rPr>
      </w:pPr>
      <w:bookmarkStart w:id="438" w:name="_Toc28593224"/>
      <w:r>
        <w:rPr>
          <w:rFonts w:hint="eastAsia"/>
          <w:color w:val="000000"/>
        </w:rPr>
        <w:t>（三）</w:t>
      </w:r>
      <w:r>
        <w:rPr>
          <w:rFonts w:cs="黑体" w:hint="eastAsia"/>
          <w:color w:val="000000"/>
        </w:rPr>
        <w:t>公开的方式</w:t>
      </w:r>
      <w:bookmarkEnd w:id="438"/>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管理专利工作的部门应当主要通过本单位官方网站公开行政裁决案件信息，也可以选择公告栏、新闻发布会以及报刊、广播、电视等便于公众知晓的方式予以公开。公开的案件信息应以适当方式便于公众查询。</w:t>
      </w:r>
    </w:p>
    <w:p w:rsidR="00800760" w:rsidRDefault="00235733">
      <w:pPr>
        <w:pStyle w:val="1"/>
        <w:pageBreakBefore/>
        <w:widowControl/>
        <w:ind w:firstLineChars="0" w:firstLine="0"/>
      </w:pPr>
      <w:bookmarkStart w:id="439" w:name="_Toc229114341"/>
      <w:bookmarkStart w:id="440" w:name="_Toc217908597"/>
      <w:bookmarkStart w:id="441" w:name="_Toc229225437"/>
      <w:bookmarkStart w:id="442" w:name="_Toc23260"/>
      <w:bookmarkStart w:id="443" w:name="_Toc13550"/>
      <w:bookmarkStart w:id="444" w:name="_Toc26775"/>
      <w:bookmarkStart w:id="445" w:name="_Toc22301"/>
      <w:bookmarkStart w:id="446" w:name="_Toc30461"/>
      <w:bookmarkStart w:id="447" w:name="_Toc29223"/>
      <w:bookmarkStart w:id="448" w:name="_Toc5511"/>
      <w:bookmarkStart w:id="449" w:name="_Toc32140"/>
      <w:bookmarkStart w:id="450" w:name="_Toc16773"/>
      <w:bookmarkStart w:id="451" w:name="_Toc9876"/>
      <w:bookmarkStart w:id="452" w:name="_Toc9118"/>
      <w:bookmarkStart w:id="453" w:name="_Toc9625"/>
      <w:bookmarkStart w:id="454" w:name="_Toc32659"/>
      <w:bookmarkStart w:id="455" w:name="_Toc9166"/>
      <w:bookmarkStart w:id="456" w:name="_Toc18725"/>
      <w:bookmarkStart w:id="457" w:name="_Toc32218"/>
      <w:bookmarkStart w:id="458" w:name="_Toc8001"/>
      <w:bookmarkStart w:id="459" w:name="_Toc9180"/>
      <w:bookmarkStart w:id="460" w:name="_Toc5219"/>
      <w:bookmarkStart w:id="461" w:name="_Toc17615"/>
      <w:bookmarkStart w:id="462" w:name="_Toc17651"/>
      <w:bookmarkStart w:id="463" w:name="_Toc31689"/>
      <w:bookmarkStart w:id="464" w:name="_Toc26376"/>
      <w:bookmarkStart w:id="465" w:name="_Toc7676"/>
      <w:bookmarkStart w:id="466" w:name="_Toc7710"/>
      <w:bookmarkStart w:id="467" w:name="_Toc21132"/>
      <w:bookmarkStart w:id="468" w:name="_Toc31363"/>
      <w:bookmarkStart w:id="469" w:name="_Toc2768"/>
      <w:bookmarkStart w:id="470" w:name="_Toc23122"/>
      <w:bookmarkStart w:id="471" w:name="_Toc5785"/>
      <w:bookmarkStart w:id="472" w:name="_Toc5846"/>
      <w:bookmarkStart w:id="473" w:name="_Toc19137"/>
      <w:bookmarkStart w:id="474" w:name="_Toc27286"/>
      <w:bookmarkStart w:id="475" w:name="_Toc6671"/>
      <w:bookmarkStart w:id="476" w:name="_Toc12194"/>
      <w:bookmarkStart w:id="477" w:name="_Toc4502"/>
      <w:bookmarkStart w:id="478" w:name="_Toc27484"/>
      <w:bookmarkStart w:id="479" w:name="_Toc28326"/>
      <w:bookmarkStart w:id="480" w:name="_Toc24865"/>
      <w:bookmarkStart w:id="481" w:name="_Toc9870"/>
      <w:bookmarkStart w:id="482" w:name="_Toc27543"/>
      <w:bookmarkStart w:id="483" w:name="_Toc13057"/>
      <w:bookmarkStart w:id="484" w:name="_Toc21566"/>
      <w:bookmarkStart w:id="485" w:name="_Toc27140"/>
      <w:bookmarkEnd w:id="49"/>
      <w:r>
        <w:t>第二章　办案程序</w:t>
      </w:r>
      <w:bookmarkEnd w:id="439"/>
      <w:bookmarkEnd w:id="440"/>
      <w:bookmarkEnd w:id="441"/>
    </w:p>
    <w:p w:rsidR="00800760" w:rsidRDefault="00235733">
      <w:pPr>
        <w:pStyle w:val="2"/>
        <w:widowControl/>
        <w:topLinePunct/>
        <w:ind w:firstLineChars="0" w:firstLine="0"/>
        <w:rPr>
          <w:rFonts w:ascii="Times New Roman" w:hAnsi="Times New Roman"/>
          <w:color w:val="000000"/>
          <w:kern w:val="2"/>
        </w:rPr>
      </w:pPr>
      <w:bookmarkStart w:id="486" w:name="_Toc20152"/>
      <w:bookmarkStart w:id="487" w:name="_Toc17831"/>
      <w:bookmarkStart w:id="488" w:name="_Toc15463"/>
      <w:bookmarkStart w:id="489" w:name="_Toc18952"/>
      <w:bookmarkStart w:id="490" w:name="_Toc30757"/>
      <w:bookmarkStart w:id="491" w:name="_Toc17991"/>
      <w:bookmarkStart w:id="492" w:name="_Toc6549"/>
      <w:bookmarkStart w:id="493" w:name="_Toc21971"/>
      <w:bookmarkStart w:id="494" w:name="_Toc16614"/>
      <w:bookmarkStart w:id="495" w:name="_Toc32104"/>
      <w:bookmarkStart w:id="496" w:name="_Toc12989"/>
      <w:bookmarkStart w:id="497" w:name="_Toc6172"/>
      <w:bookmarkStart w:id="498" w:name="_Toc5513"/>
      <w:bookmarkStart w:id="499" w:name="_Toc32655"/>
      <w:bookmarkStart w:id="500" w:name="_Toc32562"/>
      <w:bookmarkStart w:id="501" w:name="_Toc25536"/>
      <w:bookmarkStart w:id="502" w:name="_Toc3236"/>
      <w:bookmarkStart w:id="503" w:name="_Toc19286"/>
      <w:bookmarkStart w:id="504" w:name="_Toc22821"/>
      <w:bookmarkStart w:id="505" w:name="_Toc30324"/>
      <w:bookmarkStart w:id="506" w:name="_Toc2684"/>
      <w:bookmarkStart w:id="507" w:name="_Toc92"/>
      <w:bookmarkStart w:id="508" w:name="_Toc7755"/>
      <w:bookmarkStart w:id="509" w:name="_Toc6227"/>
      <w:bookmarkStart w:id="510" w:name="_Toc3354"/>
      <w:bookmarkStart w:id="511" w:name="_Toc20806"/>
      <w:bookmarkStart w:id="512" w:name="_Toc3018"/>
      <w:bookmarkStart w:id="513" w:name="_Toc4046"/>
      <w:bookmarkStart w:id="514" w:name="_Toc8810"/>
      <w:bookmarkStart w:id="515" w:name="_Toc12504"/>
      <w:bookmarkStart w:id="516" w:name="_Toc29764"/>
      <w:bookmarkStart w:id="517" w:name="_Toc27434"/>
      <w:bookmarkStart w:id="518" w:name="_Toc18391"/>
      <w:bookmarkStart w:id="519" w:name="_Toc13970"/>
      <w:bookmarkStart w:id="520" w:name="_Toc23785"/>
      <w:bookmarkStart w:id="521" w:name="_Toc30251"/>
      <w:bookmarkStart w:id="522" w:name="_Toc12876"/>
      <w:bookmarkStart w:id="523" w:name="_Toc24936"/>
      <w:bookmarkStart w:id="524" w:name="_Toc16912"/>
      <w:bookmarkStart w:id="525" w:name="_Toc6461"/>
      <w:bookmarkStart w:id="526" w:name="_Toc9392"/>
      <w:bookmarkStart w:id="527" w:name="_Toc28593107"/>
      <w:bookmarkStart w:id="528" w:name="_Toc217908598"/>
      <w:bookmarkStart w:id="529" w:name="_Toc12320"/>
      <w:bookmarkStart w:id="530" w:name="_Toc229114342"/>
      <w:bookmarkStart w:id="531" w:name="_Toc229225438"/>
      <w:r>
        <w:rPr>
          <w:rFonts w:ascii="Times New Roman" w:hAnsi="Times New Roman"/>
          <w:color w:val="000000"/>
          <w:kern w:val="2"/>
        </w:rPr>
        <w:t>第一节　案件受理与</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r>
        <w:rPr>
          <w:rFonts w:ascii="Times New Roman" w:hAnsi="Times New Roman" w:hint="eastAsia"/>
          <w:color w:val="000000"/>
          <w:kern w:val="2"/>
        </w:rPr>
        <w:t>立案</w:t>
      </w:r>
      <w:bookmarkEnd w:id="530"/>
      <w:bookmarkEnd w:id="531"/>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专利侵权纠纷案件因请求人提出处理请求而启动。</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管理专利工作的部门应当依据有关规定对请求人的请求是否符合受理条件进行审查，以决定是否受理。</w:t>
      </w:r>
      <w:bookmarkStart w:id="532" w:name="_Toc487793389"/>
    </w:p>
    <w:p w:rsidR="00800760" w:rsidRDefault="00235733">
      <w:pPr>
        <w:pStyle w:val="3"/>
        <w:widowControl/>
        <w:topLinePunct/>
        <w:spacing w:before="240"/>
        <w:ind w:firstLine="444"/>
        <w:rPr>
          <w:rFonts w:ascii="Times New Roman" w:hAnsi="Times New Roman"/>
          <w:color w:val="000000"/>
        </w:rPr>
      </w:pPr>
      <w:bookmarkStart w:id="533" w:name="_Toc28974"/>
      <w:bookmarkStart w:id="534" w:name="_Toc24256"/>
      <w:bookmarkStart w:id="535" w:name="_Toc15187"/>
      <w:bookmarkStart w:id="536" w:name="_Toc18360"/>
      <w:bookmarkStart w:id="537" w:name="_Toc9240"/>
      <w:bookmarkStart w:id="538" w:name="_Toc21338"/>
      <w:bookmarkStart w:id="539" w:name="_Toc14622"/>
      <w:bookmarkStart w:id="540" w:name="_Toc12647"/>
      <w:bookmarkStart w:id="541" w:name="_Toc4613"/>
      <w:bookmarkStart w:id="542" w:name="_Toc16589"/>
      <w:bookmarkStart w:id="543" w:name="_Toc6899"/>
      <w:bookmarkStart w:id="544" w:name="_Toc22959"/>
      <w:bookmarkStart w:id="545" w:name="_Toc31841"/>
      <w:bookmarkStart w:id="546" w:name="_Toc16275"/>
      <w:bookmarkStart w:id="547" w:name="_Toc28593108"/>
      <w:bookmarkStart w:id="548" w:name="_Toc21234"/>
      <w:bookmarkStart w:id="549" w:name="_Toc22224"/>
      <w:bookmarkStart w:id="550" w:name="_Toc16115"/>
      <w:bookmarkStart w:id="551" w:name="_Toc31097"/>
      <w:bookmarkStart w:id="552" w:name="_Toc10164"/>
      <w:bookmarkStart w:id="553" w:name="_Toc30596"/>
      <w:bookmarkStart w:id="554" w:name="_Toc11656"/>
      <w:bookmarkStart w:id="555" w:name="_Toc18960"/>
      <w:bookmarkStart w:id="556" w:name="_Toc11781"/>
      <w:bookmarkStart w:id="557" w:name="_Toc27555"/>
      <w:bookmarkStart w:id="558" w:name="_Toc11670"/>
      <w:bookmarkStart w:id="559" w:name="_Toc27432"/>
      <w:bookmarkStart w:id="560" w:name="_Toc4163"/>
      <w:bookmarkStart w:id="561" w:name="_Toc7603"/>
      <w:bookmarkStart w:id="562" w:name="_Toc12980"/>
      <w:bookmarkStart w:id="563" w:name="_Toc9806"/>
      <w:bookmarkStart w:id="564" w:name="_Toc217908599"/>
      <w:bookmarkStart w:id="565" w:name="_Toc4550"/>
      <w:bookmarkStart w:id="566" w:name="_Toc27450"/>
      <w:bookmarkStart w:id="567" w:name="_Toc6563"/>
      <w:bookmarkStart w:id="568" w:name="_Toc18951"/>
      <w:bookmarkStart w:id="569" w:name="_Toc18238"/>
      <w:bookmarkStart w:id="570" w:name="_Toc20889"/>
      <w:bookmarkStart w:id="571" w:name="_Toc20085"/>
      <w:bookmarkStart w:id="572" w:name="_Toc12033"/>
      <w:bookmarkStart w:id="573" w:name="_Toc18889"/>
      <w:bookmarkStart w:id="574" w:name="_Toc229114343"/>
      <w:bookmarkStart w:id="575" w:name="_Toc23467"/>
      <w:bookmarkStart w:id="576" w:name="_Toc11603"/>
      <w:bookmarkStart w:id="577" w:name="_Toc31699"/>
      <w:bookmarkStart w:id="578" w:name="_Toc229225439"/>
      <w:r>
        <w:rPr>
          <w:rFonts w:ascii="Times New Roman" w:hAnsi="Times New Roman"/>
          <w:color w:val="000000"/>
        </w:rPr>
        <w:t>一、当事人</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1 \* GB4</w:instrText>
      </w:r>
      <w:r w:rsidRPr="00C22A7B">
        <w:rPr>
          <w:rFonts w:ascii="Times New Roman" w:hAnsi="Times New Roman"/>
          <w:color w:val="000000"/>
        </w:rPr>
        <w:fldChar w:fldCharType="separate"/>
      </w:r>
      <w:bookmarkStart w:id="579" w:name="_Toc28593109"/>
      <w:r w:rsidR="00235733">
        <w:rPr>
          <w:rFonts w:ascii="Times New Roman" w:hAnsi="Times New Roman"/>
          <w:color w:val="000000"/>
        </w:rPr>
        <w:t>（一）</w:t>
      </w:r>
      <w:r>
        <w:fldChar w:fldCharType="end"/>
      </w:r>
      <w:r w:rsidR="00235733">
        <w:rPr>
          <w:rFonts w:ascii="Times New Roman" w:hAnsi="Times New Roman"/>
          <w:color w:val="000000"/>
        </w:rPr>
        <w:t>请求人</w:t>
      </w:r>
      <w:bookmarkEnd w:id="579"/>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请求人应当是专利权人或者利害关系人：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1</w:t>
      </w:r>
      <w:r>
        <w:rPr>
          <w:rFonts w:ascii="Times New Roman" w:eastAsia="宋体" w:hAnsi="Times New Roman" w:cs="宋体"/>
          <w:sz w:val="21"/>
          <w:szCs w:val="21"/>
        </w:rPr>
        <w:t>）专利权人是指该专利权的合法所有人；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2</w:t>
      </w:r>
      <w:r>
        <w:rPr>
          <w:rFonts w:ascii="Times New Roman" w:eastAsia="宋体" w:hAnsi="Times New Roman" w:cs="宋体"/>
          <w:sz w:val="21"/>
          <w:szCs w:val="21"/>
        </w:rPr>
        <w:t>）利害关系人包括专利实施许可合同的被许可人、专利权的合法继承人。</w:t>
      </w:r>
    </w:p>
    <w:p w:rsidR="00800760" w:rsidRDefault="00235733">
      <w:pPr>
        <w:pStyle w:val="12"/>
        <w:widowControl/>
        <w:topLinePunct/>
        <w:spacing w:line="336" w:lineRule="auto"/>
        <w:ind w:firstLine="428"/>
        <w:rPr>
          <w:rFonts w:ascii="Times New Roman" w:eastAsia="宋体" w:hAnsi="Times New Roman"/>
          <w:spacing w:val="2"/>
          <w:sz w:val="21"/>
          <w:szCs w:val="21"/>
        </w:rPr>
      </w:pPr>
      <w:r>
        <w:rPr>
          <w:rFonts w:ascii="Times New Roman" w:eastAsia="宋体" w:hAnsi="Times New Roman" w:cs="宋体"/>
          <w:spacing w:val="2"/>
          <w:sz w:val="21"/>
          <w:szCs w:val="21"/>
        </w:rPr>
        <w:t>独占实施许可合同的被许可人可以单独提出请求；排他实施许可合同的被许可人在专利权人不请求的情况下，可以单独提出请求；除合同另有约定或者经专利权人另行授权外，普通实施许可合同的被许可人不能单独提出请求。</w:t>
      </w:r>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2 \* GB4</w:instrText>
      </w:r>
      <w:r w:rsidRPr="00C22A7B">
        <w:rPr>
          <w:rFonts w:ascii="Times New Roman" w:hAnsi="Times New Roman"/>
          <w:color w:val="000000"/>
        </w:rPr>
        <w:fldChar w:fldCharType="separate"/>
      </w:r>
      <w:bookmarkStart w:id="580" w:name="_Toc28593110"/>
      <w:r w:rsidR="00235733">
        <w:rPr>
          <w:rFonts w:ascii="Times New Roman" w:hAnsi="Times New Roman"/>
          <w:color w:val="000000"/>
        </w:rPr>
        <w:t>（二）</w:t>
      </w:r>
      <w:r>
        <w:fldChar w:fldCharType="end"/>
      </w:r>
      <w:r w:rsidR="00235733">
        <w:rPr>
          <w:rFonts w:ascii="Times New Roman" w:hAnsi="Times New Roman"/>
          <w:color w:val="000000"/>
        </w:rPr>
        <w:t>被请求人</w:t>
      </w:r>
      <w:bookmarkEnd w:id="580"/>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被请求人应当为自然人、法人或非法人组织。</w:t>
      </w:r>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3 \* GB4</w:instrText>
      </w:r>
      <w:r w:rsidRPr="00C22A7B">
        <w:rPr>
          <w:rFonts w:ascii="Times New Roman" w:hAnsi="Times New Roman"/>
          <w:color w:val="000000"/>
        </w:rPr>
        <w:fldChar w:fldCharType="separate"/>
      </w:r>
      <w:bookmarkStart w:id="581" w:name="_Toc28593111"/>
      <w:r w:rsidR="00235733">
        <w:rPr>
          <w:rFonts w:ascii="Times New Roman" w:hAnsi="Times New Roman"/>
          <w:color w:val="000000"/>
        </w:rPr>
        <w:t>（三）</w:t>
      </w:r>
      <w:r>
        <w:fldChar w:fldCharType="end"/>
      </w:r>
      <w:r w:rsidR="00235733">
        <w:rPr>
          <w:rFonts w:ascii="Times New Roman" w:hAnsi="Times New Roman"/>
          <w:color w:val="000000"/>
        </w:rPr>
        <w:t>共同请求人或共同被请求人</w:t>
      </w:r>
      <w:bookmarkEnd w:id="581"/>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专利侵权纠纷有下列情形之一的，有关自然人、法人或者非法人组织应当共同参加案件的处理：</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1</w:t>
      </w:r>
      <w:r>
        <w:rPr>
          <w:rFonts w:ascii="Times New Roman" w:eastAsia="宋体" w:hAnsi="Times New Roman" w:cs="宋体"/>
          <w:sz w:val="21"/>
          <w:szCs w:val="21"/>
        </w:rPr>
        <w:t>）涉案专利权有</w:t>
      </w:r>
      <w:r>
        <w:rPr>
          <w:rFonts w:ascii="Times New Roman" w:eastAsia="宋体" w:hAnsi="Times New Roman"/>
          <w:sz w:val="21"/>
          <w:szCs w:val="21"/>
        </w:rPr>
        <w:t>2</w:t>
      </w:r>
      <w:r>
        <w:rPr>
          <w:rFonts w:ascii="Times New Roman" w:eastAsia="宋体" w:hAnsi="Times New Roman" w:cs="宋体"/>
          <w:sz w:val="21"/>
          <w:szCs w:val="21"/>
        </w:rPr>
        <w:t>个以上权利所有人的，全体共有权人作为共同请求人，部分共有专利权人明确表示放弃有关实体权利的除外；</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2</w:t>
      </w:r>
      <w:r>
        <w:rPr>
          <w:rFonts w:ascii="Times New Roman" w:eastAsia="宋体" w:hAnsi="Times New Roman" w:cs="宋体"/>
          <w:sz w:val="21"/>
          <w:szCs w:val="21"/>
        </w:rPr>
        <w:t>）被请求人为个体工商户且营业执照上登记的经营者与实际经营者不一致的，登记的经营者和实际经营者为共同被请求人；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3</w:t>
      </w:r>
      <w:r>
        <w:rPr>
          <w:rFonts w:ascii="Times New Roman" w:eastAsia="宋体" w:hAnsi="Times New Roman" w:cs="宋体"/>
          <w:sz w:val="21"/>
          <w:szCs w:val="21"/>
        </w:rPr>
        <w:t>）被请求人为个人合伙的，全体合伙人为共同被请求人；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4</w:t>
      </w:r>
      <w:r>
        <w:rPr>
          <w:rFonts w:ascii="Times New Roman" w:eastAsia="宋体" w:hAnsi="Times New Roman" w:cs="宋体"/>
          <w:sz w:val="21"/>
          <w:szCs w:val="21"/>
        </w:rPr>
        <w:t>）法律、法规规定的其他情形。</w:t>
      </w:r>
    </w:p>
    <w:p w:rsidR="00800760" w:rsidRDefault="00235733">
      <w:pPr>
        <w:pStyle w:val="4"/>
        <w:widowControl/>
        <w:spacing w:before="240"/>
        <w:ind w:firstLine="444"/>
        <w:rPr>
          <w:rFonts w:ascii="Times New Roman" w:hAnsi="Times New Roman"/>
          <w:color w:val="000000"/>
        </w:rPr>
      </w:pPr>
      <w:r>
        <w:rPr>
          <w:rFonts w:ascii="Times New Roman" w:hAnsi="Times New Roman"/>
          <w:color w:val="000000"/>
        </w:rPr>
        <w:t>（四）当事人或第三人的追加</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案件处理过程中，请求人提出申请追加被请求人，符合受理条件的，管理专利工作的部门应当裁定追加并通知其他当事人。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对于被请求人提出追加其他当事人为被请求人的，应当书面告知请求人。请求人同意追加的，裁定准许追加。请求人不同意，但案件处理结果同该当事人有法律上的利害关系的，管理专利工作的部门通知其可以参加案件审理，该当事人申请参加的，应当追加其为第三人，该第三人有当事人的相关权利义务。</w:t>
      </w:r>
    </w:p>
    <w:p w:rsidR="00800760" w:rsidRDefault="00235733">
      <w:pPr>
        <w:pStyle w:val="3"/>
        <w:widowControl/>
        <w:topLinePunct/>
        <w:spacing w:before="240"/>
        <w:ind w:firstLine="444"/>
        <w:rPr>
          <w:rFonts w:ascii="Times New Roman" w:hAnsi="Times New Roman"/>
          <w:color w:val="000000"/>
        </w:rPr>
      </w:pPr>
      <w:bookmarkStart w:id="582" w:name="_Toc28593112"/>
      <w:bookmarkStart w:id="583" w:name="_Toc217908600"/>
      <w:bookmarkStart w:id="584" w:name="_Toc11712"/>
      <w:bookmarkStart w:id="585" w:name="_Toc6609"/>
      <w:bookmarkStart w:id="586" w:name="_Toc438"/>
      <w:bookmarkStart w:id="587" w:name="_Toc29560"/>
      <w:bookmarkStart w:id="588" w:name="_Toc1481"/>
      <w:bookmarkStart w:id="589" w:name="_Toc13245"/>
      <w:bookmarkStart w:id="590" w:name="_Toc963"/>
      <w:bookmarkStart w:id="591" w:name="_Toc18099"/>
      <w:bookmarkStart w:id="592" w:name="_Toc23532"/>
      <w:bookmarkStart w:id="593" w:name="_Toc12721"/>
      <w:bookmarkStart w:id="594" w:name="_Toc9139"/>
      <w:bookmarkStart w:id="595" w:name="_Toc2435"/>
      <w:bookmarkStart w:id="596" w:name="_Toc4913"/>
      <w:bookmarkStart w:id="597" w:name="_Toc4040"/>
      <w:bookmarkStart w:id="598" w:name="_Toc19915"/>
      <w:bookmarkStart w:id="599" w:name="_Toc20371"/>
      <w:bookmarkStart w:id="600" w:name="_Toc14908"/>
      <w:bookmarkStart w:id="601" w:name="_Toc25213"/>
      <w:bookmarkStart w:id="602" w:name="_Toc20935"/>
      <w:bookmarkStart w:id="603" w:name="_Toc21665"/>
      <w:bookmarkStart w:id="604" w:name="_Toc26330"/>
      <w:bookmarkStart w:id="605" w:name="_Toc229114344"/>
      <w:bookmarkStart w:id="606" w:name="_Toc21316"/>
      <w:bookmarkStart w:id="607" w:name="_Toc13296"/>
      <w:bookmarkStart w:id="608" w:name="_Toc31570"/>
      <w:bookmarkStart w:id="609" w:name="_Toc16096"/>
      <w:bookmarkStart w:id="610" w:name="_Toc18751"/>
      <w:bookmarkStart w:id="611" w:name="_Toc4612"/>
      <w:bookmarkStart w:id="612" w:name="_Toc4623"/>
      <w:bookmarkStart w:id="613" w:name="_Toc13018"/>
      <w:bookmarkStart w:id="614" w:name="_Toc6453"/>
      <w:bookmarkStart w:id="615" w:name="_Toc29106"/>
      <w:bookmarkStart w:id="616" w:name="_Toc23494"/>
      <w:bookmarkStart w:id="617" w:name="_Toc18455"/>
      <w:bookmarkStart w:id="618" w:name="_Toc18039"/>
      <w:bookmarkStart w:id="619" w:name="_Toc8578"/>
      <w:bookmarkStart w:id="620" w:name="_Toc20411"/>
      <w:bookmarkStart w:id="621" w:name="_Toc14045"/>
      <w:bookmarkStart w:id="622" w:name="_Toc31579"/>
      <w:bookmarkStart w:id="623" w:name="_Toc21919"/>
      <w:bookmarkStart w:id="624" w:name="_Toc18649"/>
      <w:bookmarkStart w:id="625" w:name="_Toc24509"/>
      <w:bookmarkStart w:id="626" w:name="_Toc13325"/>
      <w:bookmarkStart w:id="627" w:name="_Toc229225440"/>
      <w:r>
        <w:rPr>
          <w:rFonts w:ascii="Times New Roman" w:hAnsi="Times New Roman"/>
          <w:color w:val="000000"/>
        </w:rPr>
        <w:t>二、</w:t>
      </w:r>
      <w:bookmarkEnd w:id="582"/>
      <w:r>
        <w:rPr>
          <w:rFonts w:ascii="Times New Roman" w:hAnsi="Times New Roman"/>
          <w:color w:val="000000"/>
        </w:rPr>
        <w:t>案件的受理</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rsidR="00800760" w:rsidRDefault="00235733">
      <w:pPr>
        <w:pStyle w:val="4"/>
        <w:widowControl/>
        <w:spacing w:before="240"/>
        <w:ind w:firstLine="444"/>
        <w:rPr>
          <w:rFonts w:ascii="Times New Roman" w:hAnsi="Times New Roman"/>
          <w:color w:val="000000"/>
        </w:rPr>
      </w:pPr>
      <w:r>
        <w:rPr>
          <w:rFonts w:ascii="Times New Roman" w:hAnsi="Times New Roman"/>
          <w:color w:val="000000"/>
        </w:rPr>
        <w:t>（一）请求时限</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专利侵权纠纷行政裁决请求时限为</w:t>
      </w:r>
      <w:r>
        <w:rPr>
          <w:rFonts w:ascii="Times New Roman" w:eastAsia="宋体" w:hAnsi="Times New Roman" w:cs="宋体"/>
          <w:sz w:val="21"/>
          <w:szCs w:val="21"/>
        </w:rPr>
        <w:t>3</w:t>
      </w:r>
      <w:r>
        <w:rPr>
          <w:rFonts w:ascii="Times New Roman" w:eastAsia="宋体" w:hAnsi="Times New Roman" w:cs="宋体"/>
          <w:sz w:val="21"/>
          <w:szCs w:val="21"/>
        </w:rPr>
        <w:t>年，自专利权人或者利害关系人知道或者应当知道侵权行为以及侵权人之日起算。</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请求时限的中止指在请求时限期间的最后</w:t>
      </w:r>
      <w:r>
        <w:rPr>
          <w:rFonts w:ascii="Times New Roman" w:eastAsia="宋体" w:hAnsi="Times New Roman" w:cs="宋体"/>
          <w:sz w:val="21"/>
          <w:szCs w:val="21"/>
        </w:rPr>
        <w:t>6</w:t>
      </w:r>
      <w:r>
        <w:rPr>
          <w:rFonts w:ascii="Times New Roman" w:eastAsia="宋体" w:hAnsi="Times New Roman" w:cs="宋体"/>
          <w:sz w:val="21"/>
          <w:szCs w:val="21"/>
        </w:rPr>
        <w:t>个月内，因不可抗力或者其他障碍不能行使请求权的，请求时限中止。从中止的原因消除之日起，请求时限期间继续计算。</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请求时限的中断指在请求时限期间进行中，因指定事由的发生，致使已经经过的请求时限期间全部归于无效，待中断事由消除后，请求时限期间重新计算。引起请求时限中断的指定事由主要有</w:t>
      </w:r>
      <w:r>
        <w:rPr>
          <w:rFonts w:ascii="Times New Roman" w:eastAsia="宋体" w:hAnsi="Times New Roman"/>
          <w:sz w:val="21"/>
          <w:szCs w:val="21"/>
        </w:rPr>
        <w:t>3</w:t>
      </w:r>
      <w:r>
        <w:rPr>
          <w:rFonts w:ascii="Times New Roman" w:eastAsia="宋体" w:hAnsi="Times New Roman" w:cs="宋体"/>
          <w:sz w:val="21"/>
          <w:szCs w:val="21"/>
        </w:rPr>
        <w:t>种：</w:t>
      </w:r>
    </w:p>
    <w:p w:rsidR="00800760" w:rsidRDefault="00235733">
      <w:pPr>
        <w:pStyle w:val="12"/>
        <w:widowControl/>
        <w:topLinePunct/>
        <w:spacing w:line="336" w:lineRule="auto"/>
        <w:ind w:firstLine="420"/>
        <w:rPr>
          <w:rFonts w:ascii="Times New Roman" w:eastAsia="宋体" w:hAnsi="Times New Roman"/>
          <w:sz w:val="21"/>
          <w:szCs w:val="21"/>
        </w:rPr>
      </w:pPr>
      <w:r>
        <w:rPr>
          <w:rFonts w:ascii="宋体" w:eastAsia="宋体" w:hAnsi="宋体" w:cs="宋体"/>
          <w:sz w:val="21"/>
          <w:szCs w:val="21"/>
        </w:rPr>
        <w:t>①</w:t>
      </w:r>
      <w:r>
        <w:rPr>
          <w:rFonts w:ascii="Times New Roman" w:eastAsia="宋体" w:hAnsi="Times New Roman" w:cs="宋体"/>
          <w:sz w:val="21"/>
          <w:szCs w:val="21"/>
        </w:rPr>
        <w:t>权利人提起诉讼或者申请仲裁等其他纠纷解决机制；</w:t>
      </w:r>
    </w:p>
    <w:p w:rsidR="00800760" w:rsidRDefault="00235733">
      <w:pPr>
        <w:pStyle w:val="12"/>
        <w:widowControl/>
        <w:topLinePunct/>
        <w:spacing w:line="336" w:lineRule="auto"/>
        <w:ind w:firstLine="420"/>
        <w:rPr>
          <w:rFonts w:ascii="Times New Roman" w:eastAsia="宋体" w:hAnsi="Times New Roman"/>
          <w:sz w:val="21"/>
          <w:szCs w:val="21"/>
        </w:rPr>
      </w:pPr>
      <w:r>
        <w:rPr>
          <w:rFonts w:ascii="宋体" w:eastAsia="宋体" w:hAnsi="宋体" w:cs="宋体"/>
          <w:sz w:val="21"/>
          <w:szCs w:val="21"/>
        </w:rPr>
        <w:t>②</w:t>
      </w:r>
      <w:r>
        <w:rPr>
          <w:rFonts w:ascii="Times New Roman" w:eastAsia="宋体" w:hAnsi="Times New Roman" w:cs="宋体"/>
          <w:sz w:val="21"/>
          <w:szCs w:val="21"/>
        </w:rPr>
        <w:t>权利人以请求、通知和催告等方式主张权利；</w:t>
      </w:r>
    </w:p>
    <w:p w:rsidR="00800760" w:rsidRDefault="00235733">
      <w:pPr>
        <w:pStyle w:val="12"/>
        <w:widowControl/>
        <w:topLinePunct/>
        <w:spacing w:line="336" w:lineRule="auto"/>
        <w:ind w:firstLine="420"/>
        <w:rPr>
          <w:rFonts w:ascii="Times New Roman" w:eastAsia="宋体" w:hAnsi="Times New Roman"/>
          <w:sz w:val="21"/>
          <w:szCs w:val="21"/>
        </w:rPr>
      </w:pPr>
      <w:r>
        <w:rPr>
          <w:rFonts w:ascii="宋体" w:eastAsia="宋体" w:hAnsi="宋体" w:cs="宋体"/>
          <w:sz w:val="21"/>
          <w:szCs w:val="21"/>
        </w:rPr>
        <w:t>③</w:t>
      </w:r>
      <w:r>
        <w:rPr>
          <w:rFonts w:ascii="Times New Roman" w:eastAsia="宋体" w:hAnsi="Times New Roman" w:cs="宋体"/>
          <w:sz w:val="21"/>
          <w:szCs w:val="21"/>
        </w:rPr>
        <w:t>被请求人同意履行义务。</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请求人超过行政裁决请求时限提出专利侵权纠纷行政裁决处理请求的，如果涉嫌侵权的行为在请求时仍在继续，且在涉案专利权有效期内，管理专利工作的部门应当予以受理。</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关于专利权有效期，发明专利权的期限为</w:t>
      </w:r>
      <w:r>
        <w:rPr>
          <w:rFonts w:ascii="Times New Roman" w:eastAsia="宋体" w:hAnsi="Times New Roman" w:cs="宋体"/>
          <w:sz w:val="21"/>
          <w:szCs w:val="21"/>
        </w:rPr>
        <w:t>20</w:t>
      </w:r>
      <w:r>
        <w:rPr>
          <w:rFonts w:ascii="Times New Roman" w:eastAsia="宋体" w:hAnsi="Times New Roman" w:cs="宋体"/>
          <w:sz w:val="21"/>
          <w:szCs w:val="21"/>
        </w:rPr>
        <w:t>年，实用新型专利权的期限为</w:t>
      </w:r>
      <w:r>
        <w:rPr>
          <w:rFonts w:ascii="Times New Roman" w:eastAsia="宋体" w:hAnsi="Times New Roman" w:cs="宋体"/>
          <w:sz w:val="21"/>
          <w:szCs w:val="21"/>
        </w:rPr>
        <w:t>10</w:t>
      </w:r>
      <w:r>
        <w:rPr>
          <w:rFonts w:ascii="Times New Roman" w:eastAsia="宋体" w:hAnsi="Times New Roman" w:cs="宋体"/>
          <w:sz w:val="21"/>
          <w:szCs w:val="21"/>
        </w:rPr>
        <w:t>年，外观设计专利权的期限为</w:t>
      </w:r>
      <w:r>
        <w:rPr>
          <w:rFonts w:ascii="Times New Roman" w:eastAsia="宋体" w:hAnsi="Times New Roman" w:cs="宋体"/>
          <w:sz w:val="21"/>
          <w:szCs w:val="21"/>
        </w:rPr>
        <w:t>15</w:t>
      </w:r>
      <w:r>
        <w:rPr>
          <w:rFonts w:ascii="Times New Roman" w:eastAsia="宋体" w:hAnsi="Times New Roman" w:cs="宋体"/>
          <w:sz w:val="21"/>
          <w:szCs w:val="21"/>
        </w:rPr>
        <w:t>年，均自申请日起计算。对于专利权有效期，还需要注意的是发明专利的专利权期限补偿，对于自发明专利申请日起满</w:t>
      </w:r>
      <w:r>
        <w:rPr>
          <w:rFonts w:ascii="Times New Roman" w:eastAsia="宋体" w:hAnsi="Times New Roman" w:cs="宋体"/>
          <w:sz w:val="21"/>
          <w:szCs w:val="21"/>
        </w:rPr>
        <w:t>4</w:t>
      </w:r>
      <w:r>
        <w:rPr>
          <w:rFonts w:ascii="Times New Roman" w:eastAsia="宋体" w:hAnsi="Times New Roman" w:cs="宋体"/>
          <w:sz w:val="21"/>
          <w:szCs w:val="21"/>
        </w:rPr>
        <w:t>年，且自实质审查请求之日起满</w:t>
      </w:r>
      <w:r>
        <w:rPr>
          <w:rFonts w:ascii="Times New Roman" w:eastAsia="宋体" w:hAnsi="Times New Roman" w:cs="宋体"/>
          <w:sz w:val="21"/>
          <w:szCs w:val="21"/>
        </w:rPr>
        <w:t>3</w:t>
      </w:r>
      <w:r>
        <w:rPr>
          <w:rFonts w:ascii="Times New Roman" w:eastAsia="宋体" w:hAnsi="Times New Roman" w:cs="宋体"/>
          <w:sz w:val="21"/>
          <w:szCs w:val="21"/>
        </w:rPr>
        <w:t>年后授予发明专利权的发明专利，国务院专利行政部门应专利权人的请求，就该专利在授权过程中的不合理延迟给予专利权期限补偿，但由申请人引起的不合理延迟除外。为补偿新药上市审评审批占用的时间，对在中国获得上市许可的新药相关发明专利，国务院专利行政部门应专利权人的请求给予专利权期限补偿。补偿期限不超过</w:t>
      </w:r>
      <w:r>
        <w:rPr>
          <w:rFonts w:ascii="Times New Roman" w:eastAsia="宋体" w:hAnsi="Times New Roman" w:cs="宋体"/>
          <w:sz w:val="21"/>
          <w:szCs w:val="21"/>
        </w:rPr>
        <w:t>5</w:t>
      </w:r>
      <w:r>
        <w:rPr>
          <w:rFonts w:ascii="Times New Roman" w:eastAsia="宋体" w:hAnsi="Times New Roman" w:cs="宋体"/>
          <w:sz w:val="21"/>
          <w:szCs w:val="21"/>
        </w:rPr>
        <w:t>年，新药批准上市后总有效专利权期限不超过</w:t>
      </w:r>
      <w:r>
        <w:rPr>
          <w:rFonts w:ascii="Times New Roman" w:eastAsia="宋体" w:hAnsi="Times New Roman" w:cs="宋体"/>
          <w:sz w:val="21"/>
          <w:szCs w:val="21"/>
        </w:rPr>
        <w:t>14</w:t>
      </w:r>
      <w:r>
        <w:rPr>
          <w:rFonts w:ascii="Times New Roman" w:eastAsia="宋体" w:hAnsi="Times New Roman" w:cs="宋体"/>
          <w:sz w:val="21"/>
          <w:szCs w:val="21"/>
        </w:rPr>
        <w:t>年。</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受理后被请求人提出行政裁决请求时限抗辩，且查明无行政裁决请求时限中止、中断、延长事由的，应当撤案处理。</w:t>
      </w:r>
    </w:p>
    <w:p w:rsidR="00800760" w:rsidRDefault="00235733">
      <w:pPr>
        <w:pStyle w:val="4"/>
        <w:widowControl/>
        <w:spacing w:before="240"/>
        <w:ind w:firstLine="444"/>
        <w:rPr>
          <w:rFonts w:ascii="Times New Roman" w:hAnsi="Times New Roman"/>
          <w:color w:val="000000"/>
        </w:rPr>
      </w:pPr>
      <w:r>
        <w:rPr>
          <w:rFonts w:ascii="Times New Roman" w:hAnsi="Times New Roman"/>
          <w:color w:val="000000"/>
        </w:rPr>
        <w:t>（二）受理条件</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请求管理专利工作的部门处理专利侵权纠纷应当符合下列条件：</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1</w:t>
      </w:r>
      <w:r>
        <w:rPr>
          <w:rFonts w:ascii="Times New Roman" w:eastAsia="宋体" w:hAnsi="Times New Roman" w:cs="宋体"/>
          <w:sz w:val="21"/>
          <w:szCs w:val="21"/>
        </w:rPr>
        <w:t>）请求人是专利权人或者利害关系人；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2</w:t>
      </w:r>
      <w:r>
        <w:rPr>
          <w:rFonts w:ascii="Times New Roman" w:eastAsia="宋体" w:hAnsi="Times New Roman" w:cs="宋体"/>
          <w:sz w:val="21"/>
          <w:szCs w:val="21"/>
        </w:rPr>
        <w:t>）有明确的被请求人，被请求人应当为自然人、法人或者非法人组织；</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3</w:t>
      </w:r>
      <w:r>
        <w:rPr>
          <w:rFonts w:ascii="Times New Roman" w:eastAsia="宋体" w:hAnsi="Times New Roman" w:cs="宋体"/>
          <w:sz w:val="21"/>
          <w:szCs w:val="21"/>
        </w:rPr>
        <w:t>）有明确的请求事项和具体事实、理由；</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4</w:t>
      </w:r>
      <w:r>
        <w:rPr>
          <w:rFonts w:ascii="Times New Roman" w:eastAsia="宋体" w:hAnsi="Times New Roman" w:cs="宋体"/>
          <w:sz w:val="21"/>
          <w:szCs w:val="21"/>
        </w:rPr>
        <w:t>）属于受案管理专利工作的部门的受案和管辖范围；</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5</w:t>
      </w:r>
      <w:r>
        <w:rPr>
          <w:rFonts w:ascii="Times New Roman" w:eastAsia="宋体" w:hAnsi="Times New Roman" w:cs="宋体"/>
          <w:sz w:val="21"/>
          <w:szCs w:val="21"/>
        </w:rPr>
        <w:t>）当事人任何一方均未就该专利侵权纠纷向人民法院起诉，且双方没有约定其他纠纷解决方式。</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提出专利侵权纠纷处理请求的，应当提交请求书，请求书的内容审查按照本章有关</w:t>
      </w:r>
      <w:r>
        <w:rPr>
          <w:rFonts w:asciiTheme="minorEastAsia" w:eastAsiaTheme="minorEastAsia" w:hAnsiTheme="minorEastAsia" w:cs="宋体"/>
          <w:sz w:val="21"/>
          <w:szCs w:val="21"/>
        </w:rPr>
        <w:t>“</w:t>
      </w:r>
      <w:r>
        <w:rPr>
          <w:rFonts w:ascii="Times New Roman" w:eastAsia="宋体" w:hAnsi="Times New Roman" w:cs="宋体"/>
          <w:sz w:val="21"/>
          <w:szCs w:val="21"/>
        </w:rPr>
        <w:t>请求书</w:t>
      </w:r>
      <w:r>
        <w:rPr>
          <w:rFonts w:asciiTheme="minorEastAsia" w:eastAsiaTheme="minorEastAsia" w:hAnsiTheme="minorEastAsia" w:cs="宋体"/>
          <w:sz w:val="21"/>
          <w:szCs w:val="21"/>
        </w:rPr>
        <w:t>”</w:t>
      </w:r>
      <w:r>
        <w:rPr>
          <w:rFonts w:ascii="Times New Roman" w:eastAsia="宋体" w:hAnsi="Times New Roman" w:cs="宋体"/>
          <w:sz w:val="21"/>
          <w:szCs w:val="21"/>
        </w:rPr>
        <w:t>的规定执行。</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办案人员经审查认为符合受理条件的，应当自收到请求书之日起</w:t>
      </w:r>
      <w:r>
        <w:rPr>
          <w:rFonts w:ascii="Times New Roman" w:eastAsia="宋体" w:hAnsi="Times New Roman"/>
          <w:sz w:val="21"/>
          <w:szCs w:val="21"/>
        </w:rPr>
        <w:t>5</w:t>
      </w:r>
      <w:r>
        <w:rPr>
          <w:rFonts w:ascii="Times New Roman" w:eastAsia="宋体" w:hAnsi="Times New Roman" w:cs="宋体"/>
          <w:sz w:val="21"/>
          <w:szCs w:val="21"/>
        </w:rPr>
        <w:t>个工作日内立案并向请求人发送《专利侵权纠纷处理请求</w:t>
      </w:r>
      <w:r>
        <w:rPr>
          <w:rFonts w:ascii="Times New Roman" w:eastAsia="宋体" w:hAnsi="Times New Roman" w:cs="宋体" w:hint="eastAsia"/>
          <w:sz w:val="21"/>
          <w:szCs w:val="21"/>
        </w:rPr>
        <w:t>立案</w:t>
      </w:r>
      <w:r>
        <w:rPr>
          <w:rFonts w:ascii="Times New Roman" w:eastAsia="宋体" w:hAnsi="Times New Roman" w:cs="宋体"/>
          <w:sz w:val="21"/>
          <w:szCs w:val="21"/>
        </w:rPr>
        <w:t>通知书》；认为不符合受理条件的，应当自收到请求书之日起</w:t>
      </w:r>
      <w:r>
        <w:rPr>
          <w:rFonts w:ascii="Times New Roman" w:eastAsia="宋体" w:hAnsi="Times New Roman"/>
          <w:sz w:val="21"/>
          <w:szCs w:val="21"/>
        </w:rPr>
        <w:t>5</w:t>
      </w:r>
      <w:r>
        <w:rPr>
          <w:rFonts w:ascii="Times New Roman" w:eastAsia="宋体" w:hAnsi="Times New Roman" w:cs="宋体"/>
          <w:sz w:val="21"/>
          <w:szCs w:val="21"/>
        </w:rPr>
        <w:t>个工作日内向请求人发送《专利侵权纠纷处理请求不予</w:t>
      </w:r>
      <w:r>
        <w:rPr>
          <w:rFonts w:ascii="Times New Roman" w:eastAsia="宋体" w:hAnsi="Times New Roman" w:cs="宋体" w:hint="eastAsia"/>
          <w:sz w:val="21"/>
          <w:szCs w:val="21"/>
        </w:rPr>
        <w:t>立案</w:t>
      </w:r>
      <w:r>
        <w:rPr>
          <w:rFonts w:ascii="Times New Roman" w:eastAsia="宋体" w:hAnsi="Times New Roman" w:cs="宋体"/>
          <w:sz w:val="21"/>
          <w:szCs w:val="21"/>
        </w:rPr>
        <w:t>通知书》，并说明理由。立案后发现请求不符合受理条件的，管理专利工作的部门可以要求请求人在指定期限内补充提供相关资料，期满无正当理由仍未提供的，可以依法撤销案件，并向请求人发送《撤销专利侵权纠纷案件决定书》。</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案情特别复杂或者有其他特殊情况的，经管理专利工作的部门负责人批准，立案期限可以延长</w:t>
      </w:r>
      <w:r>
        <w:rPr>
          <w:rFonts w:ascii="Times New Roman" w:eastAsia="宋体" w:hAnsi="Times New Roman" w:cs="宋体"/>
          <w:sz w:val="21"/>
          <w:szCs w:val="21"/>
        </w:rPr>
        <w:t>5</w:t>
      </w:r>
      <w:r>
        <w:rPr>
          <w:rFonts w:ascii="Times New Roman" w:eastAsia="宋体" w:hAnsi="Times New Roman" w:cs="宋体"/>
          <w:sz w:val="21"/>
          <w:szCs w:val="21"/>
        </w:rPr>
        <w:t>个工作日。</w:t>
      </w:r>
    </w:p>
    <w:p w:rsidR="00800760" w:rsidRDefault="00235733">
      <w:pPr>
        <w:pStyle w:val="3"/>
        <w:widowControl/>
        <w:topLinePunct/>
        <w:spacing w:before="240"/>
        <w:ind w:firstLine="444"/>
        <w:rPr>
          <w:rFonts w:ascii="Times New Roman" w:hAnsi="Times New Roman"/>
          <w:color w:val="000000"/>
        </w:rPr>
      </w:pPr>
      <w:bookmarkStart w:id="628" w:name="_Toc61"/>
      <w:bookmarkStart w:id="629" w:name="_Toc30393"/>
      <w:bookmarkStart w:id="630" w:name="_Toc18498"/>
      <w:bookmarkStart w:id="631" w:name="_Toc30487"/>
      <w:bookmarkStart w:id="632" w:name="_Toc18730"/>
      <w:bookmarkStart w:id="633" w:name="_Toc4934"/>
      <w:bookmarkStart w:id="634" w:name="_Toc18399"/>
      <w:bookmarkStart w:id="635" w:name="_Toc222"/>
      <w:bookmarkStart w:id="636" w:name="_Toc217908601"/>
      <w:bookmarkStart w:id="637" w:name="_Toc28593113"/>
      <w:bookmarkStart w:id="638" w:name="_Toc30337"/>
      <w:bookmarkStart w:id="639" w:name="_Toc21095"/>
      <w:bookmarkStart w:id="640" w:name="_Toc14615"/>
      <w:bookmarkStart w:id="641" w:name="_Toc29269"/>
      <w:bookmarkStart w:id="642" w:name="_Toc31632"/>
      <w:bookmarkStart w:id="643" w:name="_Toc25009"/>
      <w:bookmarkStart w:id="644" w:name="_Toc7818"/>
      <w:bookmarkStart w:id="645" w:name="_Toc4890"/>
      <w:bookmarkStart w:id="646" w:name="_Toc4179"/>
      <w:bookmarkStart w:id="647" w:name="_Toc1520"/>
      <w:bookmarkStart w:id="648" w:name="_Toc23234"/>
      <w:bookmarkStart w:id="649" w:name="_Toc3504"/>
      <w:bookmarkStart w:id="650" w:name="_Toc23667"/>
      <w:bookmarkStart w:id="651" w:name="_Toc29674"/>
      <w:bookmarkStart w:id="652" w:name="_Toc30496"/>
      <w:bookmarkStart w:id="653" w:name="_Toc1233"/>
      <w:bookmarkStart w:id="654" w:name="_Toc11127"/>
      <w:bookmarkStart w:id="655" w:name="_Toc3475"/>
      <w:bookmarkStart w:id="656" w:name="_Toc30448"/>
      <w:bookmarkStart w:id="657" w:name="_Toc1139"/>
      <w:bookmarkStart w:id="658" w:name="_Toc16255"/>
      <w:bookmarkStart w:id="659" w:name="_Toc29731"/>
      <w:bookmarkStart w:id="660" w:name="_Toc9884"/>
      <w:bookmarkStart w:id="661" w:name="_Toc23632"/>
      <w:bookmarkStart w:id="662" w:name="_Toc10064"/>
      <w:bookmarkStart w:id="663" w:name="_Toc22854"/>
      <w:bookmarkStart w:id="664" w:name="_Toc30181"/>
      <w:bookmarkStart w:id="665" w:name="_Toc9296"/>
      <w:bookmarkStart w:id="666" w:name="_Toc27496"/>
      <w:bookmarkStart w:id="667" w:name="_Toc31718"/>
      <w:bookmarkStart w:id="668" w:name="_Toc22179"/>
      <w:bookmarkStart w:id="669" w:name="_Toc10816"/>
      <w:bookmarkStart w:id="670" w:name="_Toc20176"/>
      <w:bookmarkStart w:id="671" w:name="_Toc229114345"/>
      <w:bookmarkStart w:id="672" w:name="_Toc17509"/>
      <w:bookmarkStart w:id="673" w:name="_Toc229225441"/>
      <w:r>
        <w:rPr>
          <w:rFonts w:ascii="Times New Roman" w:hAnsi="Times New Roman"/>
          <w:color w:val="000000"/>
        </w:rPr>
        <w:t>三、受理材料的审查</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1 \* GB4</w:instrText>
      </w:r>
      <w:r w:rsidRPr="00C22A7B">
        <w:rPr>
          <w:rFonts w:ascii="Times New Roman" w:hAnsi="Times New Roman"/>
          <w:color w:val="000000"/>
        </w:rPr>
        <w:fldChar w:fldCharType="separate"/>
      </w:r>
      <w:bookmarkStart w:id="674" w:name="_Toc28593114"/>
      <w:r w:rsidR="00235733">
        <w:rPr>
          <w:rFonts w:ascii="Times New Roman" w:hAnsi="Times New Roman"/>
          <w:color w:val="000000"/>
        </w:rPr>
        <w:t>（一）</w:t>
      </w:r>
      <w:r>
        <w:fldChar w:fldCharType="end"/>
      </w:r>
      <w:r w:rsidR="00235733">
        <w:rPr>
          <w:rFonts w:ascii="Times New Roman" w:hAnsi="Times New Roman"/>
          <w:color w:val="000000"/>
        </w:rPr>
        <w:t>请求人的资格审查</w:t>
      </w:r>
      <w:bookmarkEnd w:id="674"/>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请求人是自然人的，应当要求其提交居民身份证、其他有效身份证件复印件或有效的个体工商户营业执照副本复印件，并与原件进行核对。</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请求人是法人或者非法人组织的，应当提交以下材料，并与原件进行核对：</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1</w:t>
      </w:r>
      <w:r>
        <w:rPr>
          <w:rFonts w:ascii="Times New Roman" w:eastAsia="宋体" w:hAnsi="Times New Roman" w:cs="宋体"/>
          <w:sz w:val="21"/>
          <w:szCs w:val="21"/>
        </w:rPr>
        <w:t>）加盖本单位公章的法人证书复印件或者有效营业执照副本复印件；</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2</w:t>
      </w:r>
      <w:r>
        <w:rPr>
          <w:rFonts w:ascii="Times New Roman" w:eastAsia="宋体" w:hAnsi="Times New Roman" w:cs="宋体"/>
          <w:sz w:val="21"/>
          <w:szCs w:val="21"/>
        </w:rPr>
        <w:t>）法定代表人或者主要负责人的身份证明。</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是中国香港特别行政区、澳门特别行政区、台湾地区居民的，办案人员应当要求其提交相关身份证明，并按要求履行相关公证手续，拒不提供的，不予受理；委托代理人的，提交的授权委托书应当履行相关证明手续。中国香港特别行政区、澳门特别行政区、台湾地区居民在中国内地（大陆）持有的合法居民居住身份证件可以作为有效身份证明，持有的港澳居民来往内地通行证、台湾居民来往大陆通行证可以作为身份证明参与行政裁决、调解和旁听口头审理。</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是外国人的，办案人员应当要求其提交所在国公证机关公证的有效身份证明，并经中华人民共和国驻该国使领馆予以认证，拒不提供的，不予受理。委托代理人的，提交的中华人民共和国外形成的授权委托书应当经所在国公证机关证明并经中华人民共和国驻该国使领馆认证。中华人民共和国缔结的有关条约中对证明手续另有规定的，从其规定。</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是专利实施许可合同的被许可人的，办案人员应当要求其提交专利实施许可合同复印件，并与原件进行核对。其中，请求人是排他实施许可合同的被许可人，如果在合同中没有约定请求人有独立地提出专利侵权纠纷处理请求权，则请求人还需提交专利权人放弃专利侵权纠纷请求权利的书面声明。</w:t>
      </w:r>
    </w:p>
    <w:p w:rsidR="00800760" w:rsidRDefault="00235733">
      <w:pPr>
        <w:pStyle w:val="12"/>
        <w:widowControl/>
        <w:topLinePunct/>
        <w:spacing w:line="336" w:lineRule="auto"/>
        <w:ind w:firstLine="420"/>
        <w:rPr>
          <w:rFonts w:ascii="Times New Roman" w:eastAsia="宋体" w:hAnsi="Times New Roman"/>
          <w:color w:val="auto"/>
          <w:sz w:val="21"/>
          <w:szCs w:val="21"/>
        </w:rPr>
      </w:pPr>
      <w:r>
        <w:rPr>
          <w:rFonts w:ascii="Times New Roman" w:eastAsia="宋体" w:hAnsi="Times New Roman" w:cs="宋体"/>
          <w:color w:val="auto"/>
          <w:sz w:val="21"/>
          <w:szCs w:val="21"/>
        </w:rPr>
        <w:t>请求人是专利权人的合法继承人的，办案人员应当要求其提供合法继承专利权的证明，包括继承人的身份证明、继承人与被继承人的继承关系证明等。</w:t>
      </w:r>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2 \* GB4</w:instrText>
      </w:r>
      <w:r w:rsidRPr="00C22A7B">
        <w:rPr>
          <w:rFonts w:ascii="Times New Roman" w:hAnsi="Times New Roman"/>
          <w:color w:val="000000"/>
        </w:rPr>
        <w:fldChar w:fldCharType="separate"/>
      </w:r>
      <w:bookmarkStart w:id="675" w:name="_Toc28593115"/>
      <w:r w:rsidR="00235733">
        <w:rPr>
          <w:rFonts w:ascii="Times New Roman" w:hAnsi="Times New Roman"/>
          <w:color w:val="000000"/>
        </w:rPr>
        <w:t>（二）</w:t>
      </w:r>
      <w:r>
        <w:fldChar w:fldCharType="end"/>
      </w:r>
      <w:r w:rsidR="00235733">
        <w:rPr>
          <w:rFonts w:ascii="Times New Roman" w:hAnsi="Times New Roman"/>
          <w:color w:val="000000"/>
        </w:rPr>
        <w:t>明确的被请求人</w:t>
      </w:r>
      <w:bookmarkEnd w:id="675"/>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明确的被请求人一般指有确定的被请求人姓名或者名称，有确切的住址或者地址。被请求人是法人或其他组织的，办案人员应当要求请求人提交被请求人的主体资格信息查询相关材料。</w:t>
      </w:r>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3 \* GB4</w:instrText>
      </w:r>
      <w:r w:rsidRPr="00C22A7B">
        <w:rPr>
          <w:rFonts w:ascii="Times New Roman" w:hAnsi="Times New Roman"/>
          <w:color w:val="000000"/>
        </w:rPr>
        <w:fldChar w:fldCharType="separate"/>
      </w:r>
      <w:bookmarkStart w:id="676" w:name="_Toc28593116"/>
      <w:r w:rsidR="00235733">
        <w:rPr>
          <w:rFonts w:ascii="Times New Roman" w:hAnsi="Times New Roman"/>
          <w:color w:val="000000"/>
        </w:rPr>
        <w:t>（三）</w:t>
      </w:r>
      <w:r>
        <w:fldChar w:fldCharType="end"/>
      </w:r>
      <w:r w:rsidR="00235733">
        <w:rPr>
          <w:rFonts w:ascii="Times New Roman" w:hAnsi="Times New Roman"/>
          <w:color w:val="000000"/>
        </w:rPr>
        <w:t>请求书</w:t>
      </w:r>
      <w:bookmarkEnd w:id="676"/>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请求人应当提供</w:t>
      </w:r>
      <w:r>
        <w:rPr>
          <w:rFonts w:ascii="Times New Roman" w:eastAsia="宋体" w:hAnsi="Times New Roman" w:cs="宋体" w:hint="eastAsia"/>
          <w:sz w:val="21"/>
          <w:szCs w:val="21"/>
        </w:rPr>
        <w:t>《专利侵权纠纷处理请求书》</w:t>
      </w:r>
      <w:r>
        <w:rPr>
          <w:rFonts w:ascii="Times New Roman" w:eastAsia="宋体" w:hAnsi="Times New Roman" w:cs="宋体"/>
          <w:sz w:val="21"/>
          <w:szCs w:val="21"/>
        </w:rPr>
        <w:t>正本一份并按照被请求人的数量提供相应请求书副本。涉及同一专利权人的多项专利权，或者同一专利权涉及多名被请求人时，请求人分别填写请求书，管理专利工作的部门可以分别立案。请求人与被请求人相同、被控侵权产品相同或者涉及同一专利权的案件，管理专利工作的部门可以合并审理。请求书应当记载以下内容：</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1</w:t>
      </w:r>
      <w:r>
        <w:rPr>
          <w:rFonts w:ascii="Times New Roman" w:eastAsia="宋体" w:hAnsi="Times New Roman" w:cs="宋体"/>
          <w:sz w:val="21"/>
          <w:szCs w:val="21"/>
        </w:rPr>
        <w:t>）请求人的姓名或者名称、地址、联系方式、法定代表人或主要负责人的姓名、职务；委托代理人的，应当提供代理人的姓名、联系方式和代理机构或者所在单位的名称、地址。</w:t>
      </w:r>
    </w:p>
    <w:p w:rsidR="00800760" w:rsidRDefault="00235733">
      <w:pPr>
        <w:pStyle w:val="12"/>
        <w:widowControl/>
        <w:topLinePunct/>
        <w:spacing w:line="336" w:lineRule="auto"/>
        <w:ind w:firstLine="420"/>
        <w:rPr>
          <w:rFonts w:ascii="Times New Roman" w:eastAsia="宋体" w:hAnsi="Times New Roman"/>
          <w:spacing w:val="2"/>
          <w:sz w:val="21"/>
          <w:szCs w:val="21"/>
        </w:rPr>
      </w:pPr>
      <w:r>
        <w:rPr>
          <w:rFonts w:ascii="Times New Roman" w:eastAsia="宋体" w:hAnsi="Times New Roman" w:cs="宋体"/>
          <w:sz w:val="21"/>
          <w:szCs w:val="21"/>
        </w:rPr>
        <w:t>（</w:t>
      </w:r>
      <w:r>
        <w:rPr>
          <w:rFonts w:ascii="Times New Roman" w:eastAsia="宋体" w:hAnsi="Times New Roman"/>
          <w:sz w:val="21"/>
          <w:szCs w:val="21"/>
        </w:rPr>
        <w:t>2</w:t>
      </w:r>
      <w:r>
        <w:rPr>
          <w:rFonts w:ascii="Times New Roman" w:eastAsia="宋体" w:hAnsi="Times New Roman" w:cs="宋体"/>
          <w:sz w:val="21"/>
          <w:szCs w:val="21"/>
        </w:rPr>
        <w:t>）</w:t>
      </w:r>
      <w:r>
        <w:rPr>
          <w:rFonts w:ascii="Times New Roman" w:eastAsia="宋体" w:hAnsi="Times New Roman" w:cs="宋体"/>
          <w:spacing w:val="2"/>
          <w:sz w:val="21"/>
          <w:szCs w:val="21"/>
        </w:rPr>
        <w:t>被请求人姓名或者名称、地址、联系方式及其他事项。</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3</w:t>
      </w:r>
      <w:r>
        <w:rPr>
          <w:rFonts w:ascii="Times New Roman" w:eastAsia="宋体" w:hAnsi="Times New Roman" w:cs="宋体"/>
          <w:sz w:val="21"/>
          <w:szCs w:val="21"/>
        </w:rPr>
        <w:t>）请求处理的事项、侵权理由和侵权事实。其中，侵权理由方面应包括侵权分析比对（应写明侵犯的具体权利要求项）；侵权事实方面，应当说明侵权的基本情况，如侵权行为发生的时间、地点，购买被控侵权产品时间、地点以及过程等。</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4</w:t>
      </w:r>
      <w:r>
        <w:rPr>
          <w:rFonts w:ascii="Times New Roman" w:eastAsia="宋体" w:hAnsi="Times New Roman" w:cs="宋体"/>
          <w:sz w:val="21"/>
          <w:szCs w:val="21"/>
        </w:rPr>
        <w:t>）证据材料清单。有关证据和证明材料可以以请求书附件的形式提交，请求人应当按照被请求人的数量提供有关证据。</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5</w:t>
      </w:r>
      <w:r>
        <w:rPr>
          <w:rFonts w:ascii="Times New Roman" w:eastAsia="宋体" w:hAnsi="Times New Roman" w:cs="宋体"/>
          <w:sz w:val="21"/>
          <w:szCs w:val="21"/>
        </w:rPr>
        <w:t>）请求人或获得特别授权的代理人的签名（自然人）或盖章（法人和其他组织）。</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需要特别注意的是请求人提出的请求事项，不得超出管理专利工作的部门的法定职权范围，例如请求责令赔偿、赔礼道歉等。</w:t>
      </w:r>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4 \* GB4</w:instrText>
      </w:r>
      <w:r w:rsidRPr="00C22A7B">
        <w:rPr>
          <w:rFonts w:ascii="Times New Roman" w:hAnsi="Times New Roman"/>
          <w:color w:val="000000"/>
        </w:rPr>
        <w:fldChar w:fldCharType="separate"/>
      </w:r>
      <w:bookmarkStart w:id="677" w:name="_Toc28593117"/>
      <w:r w:rsidR="00235733">
        <w:rPr>
          <w:rFonts w:ascii="Times New Roman" w:hAnsi="Times New Roman"/>
          <w:color w:val="000000"/>
        </w:rPr>
        <w:t>（四）</w:t>
      </w:r>
      <w:r>
        <w:fldChar w:fldCharType="end"/>
      </w:r>
      <w:r w:rsidR="00235733">
        <w:rPr>
          <w:rFonts w:ascii="Times New Roman" w:hAnsi="Times New Roman"/>
          <w:color w:val="000000"/>
        </w:rPr>
        <w:t>授权委托书</w:t>
      </w:r>
      <w:bookmarkEnd w:id="677"/>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请求人可以委托</w:t>
      </w:r>
      <w:r>
        <w:rPr>
          <w:rFonts w:ascii="Times New Roman" w:eastAsia="宋体" w:hAnsi="Times New Roman"/>
          <w:sz w:val="21"/>
          <w:szCs w:val="21"/>
        </w:rPr>
        <w:t>1</w:t>
      </w:r>
      <w:r>
        <w:rPr>
          <w:rFonts w:ascii="Times New Roman" w:eastAsia="宋体" w:hAnsi="Times New Roman" w:cs="宋体"/>
          <w:sz w:val="21"/>
          <w:szCs w:val="21"/>
        </w:rPr>
        <w:t>～</w:t>
      </w:r>
      <w:r>
        <w:rPr>
          <w:rFonts w:ascii="Times New Roman" w:eastAsia="宋体" w:hAnsi="Times New Roman"/>
          <w:sz w:val="21"/>
          <w:szCs w:val="21"/>
        </w:rPr>
        <w:t>2</w:t>
      </w:r>
      <w:r>
        <w:rPr>
          <w:rFonts w:ascii="Times New Roman" w:eastAsia="宋体" w:hAnsi="Times New Roman" w:cs="宋体"/>
          <w:sz w:val="21"/>
          <w:szCs w:val="21"/>
        </w:rPr>
        <w:t>人作为代理人，委托他人作为代理人时，必须提交由委托人签名或者盖章的授权委托书。</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关于授权委托书的注意事项，参见本指南第一章第二节第三部分之（二）</w:t>
      </w:r>
      <w:r>
        <w:rPr>
          <w:rFonts w:asciiTheme="minorEastAsia" w:eastAsiaTheme="minorEastAsia" w:hAnsiTheme="minorEastAsia" w:cs="宋体"/>
          <w:sz w:val="21"/>
          <w:szCs w:val="21"/>
        </w:rPr>
        <w:t>“</w:t>
      </w:r>
      <w:r>
        <w:rPr>
          <w:rFonts w:ascii="Times New Roman" w:eastAsia="宋体" w:hAnsi="Times New Roman" w:cs="宋体"/>
          <w:sz w:val="21"/>
          <w:szCs w:val="21"/>
        </w:rPr>
        <w:t>委托代理注意事项</w:t>
      </w:r>
      <w:r>
        <w:rPr>
          <w:rFonts w:asciiTheme="minorEastAsia" w:eastAsiaTheme="minorEastAsia" w:hAnsiTheme="minorEastAsia" w:cs="宋体"/>
          <w:sz w:val="21"/>
          <w:szCs w:val="21"/>
        </w:rPr>
        <w:t>”</w:t>
      </w:r>
      <w:r>
        <w:rPr>
          <w:rFonts w:ascii="Times New Roman" w:eastAsia="宋体" w:hAnsi="Times New Roman" w:cs="宋体"/>
          <w:sz w:val="21"/>
          <w:szCs w:val="21"/>
        </w:rPr>
        <w:t>中相关内容。</w:t>
      </w:r>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5 \* GB4</w:instrText>
      </w:r>
      <w:r w:rsidRPr="00C22A7B">
        <w:rPr>
          <w:rFonts w:ascii="Times New Roman" w:hAnsi="Times New Roman"/>
          <w:color w:val="000000"/>
        </w:rPr>
        <w:fldChar w:fldCharType="separate"/>
      </w:r>
      <w:bookmarkStart w:id="678" w:name="_Toc28593118"/>
      <w:r w:rsidR="00235733">
        <w:rPr>
          <w:rFonts w:ascii="Times New Roman" w:hAnsi="Times New Roman"/>
          <w:color w:val="000000"/>
        </w:rPr>
        <w:t>（五）</w:t>
      </w:r>
      <w:r>
        <w:fldChar w:fldCharType="end"/>
      </w:r>
      <w:r w:rsidR="00235733">
        <w:rPr>
          <w:rFonts w:ascii="Times New Roman" w:hAnsi="Times New Roman"/>
          <w:color w:val="000000"/>
        </w:rPr>
        <w:t>专利证明文件</w:t>
      </w:r>
      <w:bookmarkEnd w:id="678"/>
    </w:p>
    <w:p w:rsidR="00800760" w:rsidRDefault="00C22A7B">
      <w:pPr>
        <w:pStyle w:val="5"/>
        <w:spacing w:before="120"/>
        <w:rPr>
          <w:color w:val="000000"/>
        </w:rPr>
      </w:pPr>
      <w:r w:rsidRPr="00C22A7B">
        <w:rPr>
          <w:color w:val="000000"/>
        </w:rPr>
        <w:fldChar w:fldCharType="begin"/>
      </w:r>
      <w:r w:rsidR="00235733">
        <w:rPr>
          <w:color w:val="000000"/>
        </w:rPr>
        <w:instrText>= 1 \* GB1</w:instrText>
      </w:r>
      <w:r w:rsidRPr="00C22A7B">
        <w:rPr>
          <w:color w:val="000000"/>
        </w:rPr>
        <w:fldChar w:fldCharType="separate"/>
      </w:r>
      <w:bookmarkStart w:id="679" w:name="_Toc28593119"/>
      <w:r w:rsidR="00235733">
        <w:rPr>
          <w:color w:val="000000"/>
        </w:rPr>
        <w:t xml:space="preserve">1. </w:t>
      </w:r>
      <w:r>
        <w:fldChar w:fldCharType="end"/>
      </w:r>
      <w:r w:rsidR="00235733">
        <w:rPr>
          <w:rFonts w:cs="黑体" w:hint="eastAsia"/>
          <w:color w:val="000000"/>
        </w:rPr>
        <w:t>专利证书、专利公告文本</w:t>
      </w:r>
      <w:bookmarkEnd w:id="679"/>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办案人员应当要求请求人提交专利证书及专利授权公告文本（公告页、附图、权利要求书、说明书等）复印件，并提供专利证书原件以供核对。</w:t>
      </w:r>
    </w:p>
    <w:p w:rsidR="00800760" w:rsidRDefault="00C22A7B">
      <w:pPr>
        <w:pStyle w:val="5"/>
        <w:spacing w:before="120"/>
        <w:rPr>
          <w:color w:val="000000"/>
        </w:rPr>
      </w:pPr>
      <w:r w:rsidRPr="00C22A7B">
        <w:rPr>
          <w:color w:val="000000"/>
        </w:rPr>
        <w:fldChar w:fldCharType="begin"/>
      </w:r>
      <w:r w:rsidR="00235733">
        <w:rPr>
          <w:color w:val="000000"/>
        </w:rPr>
        <w:instrText>= 2 \* GB1</w:instrText>
      </w:r>
      <w:r w:rsidRPr="00C22A7B">
        <w:rPr>
          <w:color w:val="000000"/>
        </w:rPr>
        <w:fldChar w:fldCharType="separate"/>
      </w:r>
      <w:bookmarkStart w:id="680" w:name="_Toc28593120"/>
      <w:r w:rsidR="00235733">
        <w:rPr>
          <w:color w:val="000000"/>
        </w:rPr>
        <w:t xml:space="preserve">2. </w:t>
      </w:r>
      <w:r>
        <w:fldChar w:fldCharType="end"/>
      </w:r>
      <w:r w:rsidR="00235733">
        <w:rPr>
          <w:rFonts w:cs="黑体" w:hint="eastAsia"/>
          <w:color w:val="000000"/>
        </w:rPr>
        <w:t>专利法律状态证明</w:t>
      </w:r>
      <w:bookmarkEnd w:id="680"/>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办案人员应当要求请求人出具实时有效</w:t>
      </w:r>
      <w:r>
        <w:rPr>
          <w:rFonts w:ascii="Times New Roman" w:eastAsia="宋体" w:hAnsi="Times New Roman" w:cs="宋体" w:hint="eastAsia"/>
          <w:sz w:val="21"/>
          <w:szCs w:val="21"/>
        </w:rPr>
        <w:t>的</w:t>
      </w:r>
      <w:r>
        <w:rPr>
          <w:rFonts w:ascii="Times New Roman" w:eastAsia="宋体" w:hAnsi="Times New Roman" w:cs="宋体"/>
          <w:sz w:val="21"/>
          <w:szCs w:val="21"/>
        </w:rPr>
        <w:t>专利登记簿副本证明涉案专利有效。</w:t>
      </w:r>
    </w:p>
    <w:p w:rsidR="00800760" w:rsidRDefault="00C22A7B">
      <w:pPr>
        <w:pStyle w:val="5"/>
        <w:spacing w:before="120"/>
        <w:rPr>
          <w:color w:val="000000"/>
        </w:rPr>
      </w:pPr>
      <w:r w:rsidRPr="00C22A7B">
        <w:rPr>
          <w:color w:val="000000"/>
        </w:rPr>
        <w:fldChar w:fldCharType="begin"/>
      </w:r>
      <w:r w:rsidR="00235733">
        <w:rPr>
          <w:color w:val="000000"/>
        </w:rPr>
        <w:instrText>= 3 \* GB1</w:instrText>
      </w:r>
      <w:r w:rsidRPr="00C22A7B">
        <w:rPr>
          <w:color w:val="000000"/>
        </w:rPr>
        <w:fldChar w:fldCharType="separate"/>
      </w:r>
      <w:bookmarkStart w:id="681" w:name="_Toc28593121"/>
      <w:r w:rsidR="00235733">
        <w:rPr>
          <w:color w:val="000000"/>
        </w:rPr>
        <w:t xml:space="preserve">3. </w:t>
      </w:r>
      <w:r>
        <w:fldChar w:fldCharType="end"/>
      </w:r>
      <w:r w:rsidR="00235733">
        <w:rPr>
          <w:rFonts w:cs="黑体" w:hint="eastAsia"/>
          <w:color w:val="000000"/>
        </w:rPr>
        <w:t>专利权评价报告</w:t>
      </w:r>
      <w:bookmarkEnd w:id="681"/>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专利侵权纠纷涉及实用新型或者外观设计专利的，管理专利工作的部门可以要求请求人在指定期限内出具由国务院专利行政部门作出的专利权评价报告，作为处理专利侵权纠纷的证据。管理专利工作的部门要求提供专利权评价报告，请求人无正当理由不提交的，可以不予受理。</w:t>
      </w:r>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6 \* GB4</w:instrText>
      </w:r>
      <w:r w:rsidRPr="00C22A7B">
        <w:rPr>
          <w:rFonts w:ascii="Times New Roman" w:hAnsi="Times New Roman"/>
          <w:color w:val="000000"/>
        </w:rPr>
        <w:fldChar w:fldCharType="separate"/>
      </w:r>
      <w:bookmarkStart w:id="682" w:name="_Toc28593122"/>
      <w:r w:rsidR="00235733">
        <w:rPr>
          <w:rFonts w:ascii="Times New Roman" w:hAnsi="Times New Roman"/>
          <w:color w:val="000000"/>
        </w:rPr>
        <w:t>（六）</w:t>
      </w:r>
      <w:r>
        <w:fldChar w:fldCharType="end"/>
      </w:r>
      <w:r w:rsidR="00235733">
        <w:rPr>
          <w:rFonts w:ascii="Times New Roman" w:hAnsi="Times New Roman"/>
          <w:color w:val="000000"/>
        </w:rPr>
        <w:t>实施专利侵权行为的相关证据</w:t>
      </w:r>
      <w:bookmarkEnd w:id="682"/>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实施专利侵权行为的相关证据，是指请求人提交的能够证明被请求人实施侵权行为的相关物证、书证等证据。</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证据是否充分不是立案条件。在立案审查阶段，办案人员只需对是否能提供证据或证据线索等作形式审查。</w:t>
      </w:r>
    </w:p>
    <w:p w:rsidR="00800760" w:rsidRDefault="00C22A7B">
      <w:pPr>
        <w:pStyle w:val="5"/>
        <w:spacing w:before="120"/>
        <w:rPr>
          <w:color w:val="000000"/>
        </w:rPr>
      </w:pPr>
      <w:r w:rsidRPr="00C22A7B">
        <w:rPr>
          <w:color w:val="000000"/>
        </w:rPr>
        <w:fldChar w:fldCharType="begin"/>
      </w:r>
      <w:r w:rsidR="00235733">
        <w:rPr>
          <w:color w:val="000000"/>
        </w:rPr>
        <w:instrText>= 1 \* GB1</w:instrText>
      </w:r>
      <w:r w:rsidRPr="00C22A7B">
        <w:rPr>
          <w:color w:val="000000"/>
        </w:rPr>
        <w:fldChar w:fldCharType="separate"/>
      </w:r>
      <w:bookmarkStart w:id="683" w:name="_Toc28593123"/>
      <w:r w:rsidR="00235733">
        <w:rPr>
          <w:color w:val="000000"/>
        </w:rPr>
        <w:t xml:space="preserve">1. </w:t>
      </w:r>
      <w:r>
        <w:fldChar w:fldCharType="end"/>
      </w:r>
      <w:r w:rsidR="00235733">
        <w:rPr>
          <w:rFonts w:cs="黑体" w:hint="eastAsia"/>
          <w:color w:val="000000"/>
        </w:rPr>
        <w:t>提交证据材料时间审查</w:t>
      </w:r>
      <w:bookmarkEnd w:id="683"/>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办案人员应当要求请求人在提交请求书的同时提交有关证据材料。</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在已提交的证据足以立案的前提下，请求人另有部分证据无法即时提交的，可以延长至口头审理日前提交。</w:t>
      </w:r>
    </w:p>
    <w:p w:rsidR="00800760" w:rsidRDefault="00C22A7B">
      <w:pPr>
        <w:pStyle w:val="5"/>
        <w:spacing w:before="120"/>
        <w:rPr>
          <w:color w:val="000000"/>
        </w:rPr>
      </w:pPr>
      <w:r w:rsidRPr="00C22A7B">
        <w:rPr>
          <w:color w:val="000000"/>
        </w:rPr>
        <w:fldChar w:fldCharType="begin"/>
      </w:r>
      <w:r w:rsidR="00235733">
        <w:rPr>
          <w:color w:val="000000"/>
        </w:rPr>
        <w:instrText>= 2 \* GB1</w:instrText>
      </w:r>
      <w:r w:rsidRPr="00C22A7B">
        <w:rPr>
          <w:color w:val="000000"/>
        </w:rPr>
        <w:fldChar w:fldCharType="separate"/>
      </w:r>
      <w:bookmarkStart w:id="684" w:name="_Toc28593124"/>
      <w:r w:rsidR="00235733">
        <w:rPr>
          <w:color w:val="000000"/>
        </w:rPr>
        <w:t xml:space="preserve">2. </w:t>
      </w:r>
      <w:r>
        <w:fldChar w:fldCharType="end"/>
      </w:r>
      <w:r w:rsidR="00235733">
        <w:rPr>
          <w:rFonts w:cs="黑体" w:hint="eastAsia"/>
          <w:color w:val="000000"/>
        </w:rPr>
        <w:t>形式审查</w:t>
      </w:r>
      <w:bookmarkEnd w:id="684"/>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1</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公证文书</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办案人员对请求人提交的公证文书，只作形式上的审查。如果公证文书在形式上存在严重缺陷，例如缺少公证人员签章，办案人员可以要求其补正。</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2</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涉外证据</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①</w:t>
      </w:r>
      <w:r>
        <w:rPr>
          <w:rFonts w:ascii="Times New Roman" w:eastAsia="宋体" w:hAnsi="Times New Roman"/>
          <w:sz w:val="21"/>
          <w:szCs w:val="21"/>
        </w:rPr>
        <w:fldChar w:fldCharType="end"/>
      </w:r>
      <w:r w:rsidR="00235733">
        <w:rPr>
          <w:rFonts w:ascii="Times New Roman" w:eastAsia="宋体" w:hAnsi="Times New Roman" w:cs="宋体"/>
          <w:sz w:val="21"/>
          <w:szCs w:val="21"/>
        </w:rPr>
        <w:t>域外证据</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当事人提供的证据和证明材料是在中华人民共和国外形成的，应当说明来源，并经所在国公证机关予以证明，且经中华人民共和国驻该国使领馆予以认证。中华人民共和国缔结的有关条约中对证明手续另有规定的，从其规定。</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②</w:t>
      </w:r>
      <w:r>
        <w:rPr>
          <w:rFonts w:ascii="Times New Roman" w:eastAsia="宋体" w:hAnsi="Times New Roman"/>
          <w:sz w:val="21"/>
          <w:szCs w:val="21"/>
        </w:rPr>
        <w:fldChar w:fldCharType="end"/>
      </w:r>
      <w:r w:rsidR="00235733">
        <w:rPr>
          <w:rFonts w:ascii="Times New Roman" w:eastAsia="宋体" w:hAnsi="Times New Roman" w:cs="宋体"/>
          <w:sz w:val="21"/>
          <w:szCs w:val="21"/>
        </w:rPr>
        <w:t>外文证据</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办案人员在接收当事人提交的外文证据或者外文说明资料时，应当审查其是否提供中文译本。中文译本应当为由具有翻译资质的机构翻译的或者其他翻译准确的中文译本，由翻译机构盖章或者翻译人员签名。未提供中文译本的，退回其外文证据并通知其在指定期限内将中文译本和外文证据原件一并提交。未提交中文译本的，该外文证据视为未提交。请求人可以仅提交外文证据的部分中文译本；该外文证据中没有提交中文译本的部分，不作为证据使用。当事人对中文译本有异议的，应当共同委托翻译机构提供翻译文本；当事人对翻译机构的选择不能达成一致的，由管理专利工作的部门指定。</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3</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港澳台证据</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当事人提交的证据是在中国香港特别行政区、澳门特别行政区、台湾地区形成的，办案人员应当要求其履行相关的证明手续。</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4</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新产品证据</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专利侵权纠纷案件涉及新产品制造方法的发明专利的，且请求人要求被请求人对其产品制造方法不同于专利方法承担举证责任的，办案人员应当要求请求人提供如下证据：</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①</w:t>
      </w:r>
      <w:r>
        <w:rPr>
          <w:rFonts w:ascii="Times New Roman" w:eastAsia="宋体" w:hAnsi="Times New Roman"/>
          <w:sz w:val="21"/>
          <w:szCs w:val="21"/>
        </w:rPr>
        <w:fldChar w:fldCharType="end"/>
      </w:r>
      <w:r w:rsidR="00235733">
        <w:rPr>
          <w:rFonts w:ascii="Times New Roman" w:eastAsia="宋体" w:hAnsi="Times New Roman" w:cs="宋体"/>
          <w:sz w:val="21"/>
          <w:szCs w:val="21"/>
        </w:rPr>
        <w:t>依照专利方法直接获得的产品是新产品的证据；</w:t>
      </w:r>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②</w:t>
      </w:r>
      <w:r>
        <w:rPr>
          <w:rFonts w:ascii="Times New Roman" w:eastAsia="宋体" w:hAnsi="Times New Roman"/>
          <w:sz w:val="21"/>
          <w:szCs w:val="21"/>
        </w:rPr>
        <w:fldChar w:fldCharType="end"/>
      </w:r>
      <w:r w:rsidR="00235733">
        <w:rPr>
          <w:rFonts w:ascii="Times New Roman" w:eastAsia="宋体" w:hAnsi="Times New Roman" w:cs="宋体"/>
          <w:sz w:val="21"/>
          <w:szCs w:val="21"/>
        </w:rPr>
        <w:t>被控侵权产品与依照专利方法直接获得的产品相同的证据。</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产品或者产品制造方法的技术方案在专利申请日以前可以为国内外公众所知的，管理专利工作的部门应当认定该产品不属于新产品。</w:t>
      </w:r>
    </w:p>
    <w:p w:rsidR="00800760" w:rsidRDefault="00C22A7B">
      <w:pPr>
        <w:pStyle w:val="5"/>
        <w:spacing w:before="120"/>
        <w:rPr>
          <w:color w:val="000000"/>
        </w:rPr>
      </w:pPr>
      <w:r w:rsidRPr="00C22A7B">
        <w:rPr>
          <w:color w:val="000000"/>
        </w:rPr>
        <w:fldChar w:fldCharType="begin"/>
      </w:r>
      <w:r w:rsidR="00235733">
        <w:rPr>
          <w:color w:val="000000"/>
        </w:rPr>
        <w:instrText>= 3 \* GB1</w:instrText>
      </w:r>
      <w:r w:rsidRPr="00C22A7B">
        <w:rPr>
          <w:color w:val="000000"/>
        </w:rPr>
        <w:fldChar w:fldCharType="separate"/>
      </w:r>
      <w:bookmarkStart w:id="685" w:name="_Toc28593125"/>
      <w:r w:rsidR="00235733">
        <w:rPr>
          <w:color w:val="000000"/>
        </w:rPr>
        <w:t xml:space="preserve">3. </w:t>
      </w:r>
      <w:r>
        <w:fldChar w:fldCharType="end"/>
      </w:r>
      <w:r w:rsidR="00235733">
        <w:rPr>
          <w:rFonts w:cs="黑体" w:hint="eastAsia"/>
          <w:color w:val="000000"/>
        </w:rPr>
        <w:t>证据材料的接收</w:t>
      </w:r>
      <w:bookmarkEnd w:id="685"/>
    </w:p>
    <w:p w:rsidR="00800760" w:rsidRDefault="00C22A7B">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1</w:t>
      </w:r>
      <w:r w:rsidR="00235733">
        <w:rPr>
          <w:rFonts w:ascii="Times New Roman" w:eastAsia="宋体" w:hAnsi="Times New Roman" w:cs="宋体"/>
          <w:sz w:val="21"/>
          <w:szCs w:val="21"/>
        </w:rPr>
        <w:t>）</w:t>
      </w:r>
      <w:r>
        <w:rPr>
          <w:rFonts w:ascii="Times New Roman" w:eastAsia="宋体" w:hAnsi="Times New Roman"/>
          <w:sz w:val="21"/>
          <w:szCs w:val="21"/>
        </w:rPr>
        <w:fldChar w:fldCharType="end"/>
      </w:r>
      <w:r w:rsidR="00235733">
        <w:rPr>
          <w:rFonts w:ascii="Times New Roman" w:eastAsia="宋体" w:hAnsi="Times New Roman" w:cs="宋体"/>
          <w:sz w:val="21"/>
          <w:szCs w:val="21"/>
        </w:rPr>
        <w:t>当事人提交证据材料时，应当提交证据材料清单一式两份，对证据材料进行逐一分类编号，并对其来源、证明对象和内容作简要说明，签名盖章，注明提交日期，并由当事人签名确认。</w:t>
      </w:r>
    </w:p>
    <w:bookmarkStart w:id="686" w:name="_Toc487793391"/>
    <w:p w:rsidR="00800760" w:rsidRDefault="00C22A7B">
      <w:pPr>
        <w:pStyle w:val="12"/>
        <w:widowControl/>
        <w:topLinePunct/>
        <w:spacing w:line="336" w:lineRule="auto"/>
        <w:ind w:firstLine="640"/>
        <w:rPr>
          <w:rFonts w:ascii="Times New Roman" w:eastAsia="宋体" w:hAnsi="Times New Roman"/>
          <w:sz w:val="21"/>
          <w:szCs w:val="21"/>
        </w:rPr>
      </w:pPr>
      <w:r>
        <w:fldChar w:fldCharType="begin"/>
      </w:r>
      <w:r w:rsidR="00235733">
        <w:rPr>
          <w:rFonts w:ascii="Times New Roman" w:eastAsia="宋体" w:hAnsi="Times New Roman"/>
          <w:sz w:val="21"/>
          <w:szCs w:val="21"/>
        </w:rPr>
        <w:instrText>= 2 \* GB2</w:instrText>
      </w:r>
      <w:r w:rsidRPr="00C22A7B">
        <w:rPr>
          <w:rFonts w:ascii="Times New Roman" w:eastAsia="宋体" w:hAnsi="Times New Roman"/>
          <w:sz w:val="21"/>
          <w:szCs w:val="21"/>
        </w:rPr>
        <w:fldChar w:fldCharType="separate"/>
      </w:r>
      <w:r w:rsidR="00235733">
        <w:rPr>
          <w:rFonts w:ascii="Times New Roman" w:eastAsia="宋体" w:hAnsi="Times New Roman" w:cs="宋体"/>
          <w:sz w:val="21"/>
          <w:szCs w:val="21"/>
        </w:rPr>
        <w:t>（</w:t>
      </w:r>
      <w:r w:rsidR="00235733">
        <w:rPr>
          <w:rFonts w:ascii="Times New Roman" w:eastAsia="宋体" w:hAnsi="Times New Roman"/>
          <w:sz w:val="21"/>
          <w:szCs w:val="21"/>
        </w:rPr>
        <w:t>2</w:t>
      </w:r>
      <w:r w:rsidR="00235733">
        <w:rPr>
          <w:rFonts w:ascii="Times New Roman" w:eastAsia="宋体" w:hAnsi="Times New Roman" w:cs="宋体"/>
          <w:sz w:val="21"/>
          <w:szCs w:val="21"/>
        </w:rPr>
        <w:t>）</w:t>
      </w:r>
      <w:r>
        <w:fldChar w:fldCharType="end"/>
      </w:r>
      <w:r w:rsidR="00235733">
        <w:rPr>
          <w:rFonts w:ascii="Times New Roman" w:eastAsia="宋体" w:hAnsi="Times New Roman" w:cs="宋体"/>
          <w:sz w:val="21"/>
          <w:szCs w:val="21"/>
        </w:rPr>
        <w:t>办案人员接收当事人提交的证据材料，应当出具收据，写明证据名称、页数、份数、原件或者复印件以及收到时间等，并由经办人员签名或者盖章。办案人员应当审查当事人提交的证据材料清单与所提交的证据是否一致。审查合格的，清单由接收人员签章，一份附卷，一份交当事人。</w:t>
      </w:r>
    </w:p>
    <w:p w:rsidR="00800760" w:rsidRDefault="00235733">
      <w:pPr>
        <w:pStyle w:val="3"/>
        <w:widowControl/>
        <w:topLinePunct/>
        <w:spacing w:before="240"/>
        <w:ind w:firstLine="444"/>
        <w:rPr>
          <w:rFonts w:ascii="Times New Roman" w:hAnsi="Times New Roman"/>
          <w:color w:val="000000"/>
        </w:rPr>
      </w:pPr>
      <w:bookmarkStart w:id="687" w:name="_Toc31415"/>
      <w:bookmarkStart w:id="688" w:name="_Toc4155"/>
      <w:bookmarkStart w:id="689" w:name="_Toc19500"/>
      <w:bookmarkStart w:id="690" w:name="_Toc7297"/>
      <w:bookmarkStart w:id="691" w:name="_Toc17235"/>
      <w:bookmarkStart w:id="692" w:name="_Toc3178"/>
      <w:bookmarkStart w:id="693" w:name="_Toc18171"/>
      <w:bookmarkStart w:id="694" w:name="_Toc26446"/>
      <w:bookmarkStart w:id="695" w:name="_Toc4853"/>
      <w:bookmarkStart w:id="696" w:name="_Toc29737"/>
      <w:bookmarkStart w:id="697" w:name="_Toc30472"/>
      <w:bookmarkStart w:id="698" w:name="_Toc28638"/>
      <w:bookmarkStart w:id="699" w:name="_Toc217908602"/>
      <w:bookmarkStart w:id="700" w:name="_Toc3676"/>
      <w:bookmarkStart w:id="701" w:name="_Toc5552"/>
      <w:bookmarkStart w:id="702" w:name="_Toc3887"/>
      <w:bookmarkStart w:id="703" w:name="_Toc32625"/>
      <w:bookmarkStart w:id="704" w:name="_Toc20379"/>
      <w:bookmarkStart w:id="705" w:name="_Toc3935"/>
      <w:bookmarkStart w:id="706" w:name="_Toc8628"/>
      <w:bookmarkStart w:id="707" w:name="_Toc32401"/>
      <w:bookmarkStart w:id="708" w:name="_Toc3382"/>
      <w:bookmarkStart w:id="709" w:name="_Toc25007"/>
      <w:bookmarkStart w:id="710" w:name="_Toc6277"/>
      <w:bookmarkStart w:id="711" w:name="_Toc6638"/>
      <w:bookmarkStart w:id="712" w:name="_Toc29573"/>
      <w:bookmarkStart w:id="713" w:name="_Toc28593126"/>
      <w:bookmarkStart w:id="714" w:name="_Toc22574"/>
      <w:bookmarkStart w:id="715" w:name="_Toc19574"/>
      <w:bookmarkStart w:id="716" w:name="_Toc5978"/>
      <w:bookmarkStart w:id="717" w:name="_Toc2636"/>
      <w:bookmarkStart w:id="718" w:name="_Toc28967"/>
      <w:bookmarkStart w:id="719" w:name="_Toc28200"/>
      <w:bookmarkStart w:id="720" w:name="_Toc32699"/>
      <w:bookmarkStart w:id="721" w:name="_Toc3831"/>
      <w:bookmarkStart w:id="722" w:name="_Toc10299"/>
      <w:bookmarkStart w:id="723" w:name="_Toc6586"/>
      <w:bookmarkStart w:id="724" w:name="_Toc18521"/>
      <w:bookmarkStart w:id="725" w:name="_Toc32426"/>
      <w:bookmarkStart w:id="726" w:name="_Toc12933"/>
      <w:bookmarkStart w:id="727" w:name="_Toc26227"/>
      <w:bookmarkStart w:id="728" w:name="_Toc6401"/>
      <w:bookmarkStart w:id="729" w:name="_Toc25377"/>
      <w:bookmarkStart w:id="730" w:name="_Toc484"/>
      <w:bookmarkStart w:id="731" w:name="_Toc229114346"/>
      <w:bookmarkStart w:id="732" w:name="_Toc229225442"/>
      <w:r>
        <w:rPr>
          <w:rFonts w:ascii="Times New Roman" w:hAnsi="Times New Roman"/>
          <w:color w:val="000000"/>
        </w:rPr>
        <w:t>四、立案步骤</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1 \* GB4</w:instrText>
      </w:r>
      <w:r w:rsidRPr="00C22A7B">
        <w:rPr>
          <w:rFonts w:ascii="Times New Roman" w:hAnsi="Times New Roman"/>
          <w:color w:val="000000"/>
        </w:rPr>
        <w:fldChar w:fldCharType="separate"/>
      </w:r>
      <w:bookmarkStart w:id="733" w:name="_Toc28593127"/>
      <w:r w:rsidR="00235733">
        <w:rPr>
          <w:rFonts w:ascii="Times New Roman" w:hAnsi="Times New Roman"/>
          <w:color w:val="000000"/>
        </w:rPr>
        <w:t>（一）</w:t>
      </w:r>
      <w:r>
        <w:fldChar w:fldCharType="end"/>
      </w:r>
      <w:r w:rsidR="00235733">
        <w:rPr>
          <w:rFonts w:ascii="Times New Roman" w:hAnsi="Times New Roman"/>
          <w:color w:val="000000"/>
        </w:rPr>
        <w:t>审查与报批</w:t>
      </w:r>
      <w:bookmarkEnd w:id="733"/>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请求人提交材料完毕后，办案人员应当根据本指南的要求进行立案审核，提出是否立案的意见，并填写《专利侵权纠纷案件立案审批表》，经办案处（科）室负责人审核。办案处（科）室负责人经审查认为可以立案的，应当指定</w:t>
      </w:r>
      <w:r>
        <w:rPr>
          <w:rFonts w:ascii="Times New Roman" w:eastAsia="宋体" w:hAnsi="Times New Roman"/>
          <w:sz w:val="21"/>
          <w:szCs w:val="21"/>
        </w:rPr>
        <w:t>3</w:t>
      </w:r>
      <w:r>
        <w:rPr>
          <w:rFonts w:ascii="Times New Roman" w:eastAsia="宋体" w:hAnsi="Times New Roman" w:cs="宋体"/>
          <w:sz w:val="21"/>
          <w:szCs w:val="21"/>
        </w:rPr>
        <w:t>名或</w:t>
      </w:r>
      <w:r>
        <w:rPr>
          <w:rFonts w:ascii="Times New Roman" w:eastAsia="宋体" w:hAnsi="Times New Roman"/>
          <w:sz w:val="21"/>
          <w:szCs w:val="21"/>
        </w:rPr>
        <w:t>3</w:t>
      </w:r>
      <w:r>
        <w:rPr>
          <w:rFonts w:ascii="Times New Roman" w:eastAsia="宋体" w:hAnsi="Times New Roman" w:cs="宋体"/>
          <w:sz w:val="21"/>
          <w:szCs w:val="21"/>
        </w:rPr>
        <w:t>名以上单数办案人员组成合议组处理该专利侵权纠纷案件，并报部门负责人审批。</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提交的材料不符合本办法相关规定的，办案人员应当及时向请求人释明，并以书面形式一次性全面告知请求人应当补正的材料和期限。材料在指定期限内经补正符合规定条件的，管理专利工作的部门应当及时立案。逾期未补正或者补正后仍不符合相关规定的，不予立案。</w:t>
      </w:r>
    </w:p>
    <w:p w:rsidR="00800760" w:rsidRDefault="00C22A7B">
      <w:pPr>
        <w:pStyle w:val="4"/>
        <w:widowControl/>
        <w:spacing w:before="240"/>
        <w:rPr>
          <w:rFonts w:ascii="Times New Roman" w:hAnsi="Times New Roman"/>
          <w:color w:val="000000"/>
        </w:rPr>
      </w:pPr>
      <w:r w:rsidRPr="00C22A7B">
        <w:rPr>
          <w:rFonts w:ascii="Times New Roman" w:hAnsi="Times New Roman"/>
          <w:color w:val="000000"/>
        </w:rPr>
        <w:fldChar w:fldCharType="begin"/>
      </w:r>
      <w:r w:rsidR="00235733">
        <w:rPr>
          <w:rFonts w:ascii="Times New Roman" w:hAnsi="Times New Roman"/>
          <w:color w:val="000000"/>
        </w:rPr>
        <w:instrText>= 2 \* GB4</w:instrText>
      </w:r>
      <w:r w:rsidRPr="00C22A7B">
        <w:rPr>
          <w:rFonts w:ascii="Times New Roman" w:hAnsi="Times New Roman"/>
          <w:color w:val="000000"/>
        </w:rPr>
        <w:fldChar w:fldCharType="separate"/>
      </w:r>
      <w:bookmarkStart w:id="734" w:name="_Toc28593128"/>
      <w:r w:rsidR="00235733">
        <w:rPr>
          <w:rFonts w:ascii="Times New Roman" w:hAnsi="Times New Roman"/>
          <w:color w:val="000000"/>
        </w:rPr>
        <w:t>（二）</w:t>
      </w:r>
      <w:r>
        <w:fldChar w:fldCharType="end"/>
      </w:r>
      <w:r w:rsidR="00235733">
        <w:rPr>
          <w:rFonts w:ascii="Times New Roman" w:hAnsi="Times New Roman"/>
          <w:color w:val="000000"/>
        </w:rPr>
        <w:t>制作并送达文书</w:t>
      </w:r>
      <w:bookmarkEnd w:id="734"/>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经部门负责人批准，同意予以立案的，承办人员应当对案件编写案号，制作《专利侵权纠纷行政裁决立案通知书》《答辩通知书》，并自收到请求书之日起</w:t>
      </w:r>
      <w:r>
        <w:rPr>
          <w:rFonts w:ascii="Times New Roman" w:eastAsia="宋体" w:hAnsi="Times New Roman"/>
          <w:sz w:val="21"/>
          <w:szCs w:val="21"/>
        </w:rPr>
        <w:t>5</w:t>
      </w:r>
      <w:r>
        <w:rPr>
          <w:rFonts w:ascii="Times New Roman" w:eastAsia="宋体" w:hAnsi="Times New Roman" w:cs="宋体"/>
          <w:sz w:val="21"/>
          <w:szCs w:val="21"/>
        </w:rPr>
        <w:t>个工作日内立案并向请求人送达《专利侵权纠纷行政裁决立案通知书》，案情特别复杂或者有其他特殊情况的，经管理专利工作的部门负责人批准，立案期限可以延长</w:t>
      </w:r>
      <w:r>
        <w:rPr>
          <w:rFonts w:ascii="Times New Roman" w:eastAsia="宋体" w:hAnsi="Times New Roman" w:cs="宋体"/>
          <w:sz w:val="21"/>
          <w:szCs w:val="21"/>
        </w:rPr>
        <w:t>5</w:t>
      </w:r>
      <w:r>
        <w:rPr>
          <w:rFonts w:ascii="Times New Roman" w:eastAsia="宋体" w:hAnsi="Times New Roman" w:cs="宋体"/>
          <w:sz w:val="21"/>
          <w:szCs w:val="21"/>
        </w:rPr>
        <w:t>个工作日；自立案之日起</w:t>
      </w:r>
      <w:r>
        <w:rPr>
          <w:rFonts w:ascii="Times New Roman" w:eastAsia="宋体" w:hAnsi="Times New Roman"/>
          <w:sz w:val="21"/>
          <w:szCs w:val="21"/>
        </w:rPr>
        <w:t>5</w:t>
      </w:r>
      <w:r>
        <w:rPr>
          <w:rFonts w:ascii="Times New Roman" w:eastAsia="宋体" w:hAnsi="Times New Roman" w:cs="宋体"/>
          <w:sz w:val="21"/>
          <w:szCs w:val="21"/>
        </w:rPr>
        <w:t>个工作日内向被请求人送达《专利侵权纠纷处理请求书》及其附件的副本、《答辩通知书》，要求被请求人自收到之日起</w:t>
      </w:r>
      <w:r>
        <w:rPr>
          <w:rFonts w:ascii="Times New Roman" w:eastAsia="宋体" w:hAnsi="Times New Roman"/>
          <w:sz w:val="21"/>
          <w:szCs w:val="21"/>
        </w:rPr>
        <w:t>15</w:t>
      </w:r>
      <w:r>
        <w:rPr>
          <w:rFonts w:ascii="Times New Roman" w:eastAsia="宋体" w:hAnsi="Times New Roman" w:cs="宋体"/>
          <w:sz w:val="21"/>
          <w:szCs w:val="21"/>
        </w:rPr>
        <w:t>日内提交答辩书并按照请求人的数量提交答辩书副本，被请求人在中华人民共和国内没有固定住所的，应当要求自收到之日起</w:t>
      </w:r>
      <w:r>
        <w:rPr>
          <w:rFonts w:ascii="Times New Roman" w:eastAsia="宋体" w:hAnsi="Times New Roman"/>
          <w:sz w:val="21"/>
          <w:szCs w:val="21"/>
        </w:rPr>
        <w:t>30</w:t>
      </w:r>
      <w:r>
        <w:rPr>
          <w:rFonts w:ascii="Times New Roman" w:eastAsia="宋体" w:hAnsi="Times New Roman" w:cs="宋体"/>
          <w:sz w:val="21"/>
          <w:szCs w:val="21"/>
        </w:rPr>
        <w:t>日内提交。</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被请求人逾期不提交答辩书的，不影响管理专利工作的部门进行处理。被请求人申请延期的，应说明理由，是否准许，由合议组决定。</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部门负责人作出不予立案的决定的，办案人员应当制作《专利侵权纠纷处理请求不予立案通知书》，自收到请求书之日起</w:t>
      </w:r>
      <w:r>
        <w:rPr>
          <w:rFonts w:ascii="Times New Roman" w:eastAsia="宋体" w:hAnsi="Times New Roman" w:cs="宋体"/>
          <w:sz w:val="21"/>
          <w:szCs w:val="21"/>
        </w:rPr>
        <w:t>5</w:t>
      </w:r>
      <w:r>
        <w:rPr>
          <w:rFonts w:ascii="Times New Roman" w:eastAsia="宋体" w:hAnsi="Times New Roman" w:cs="宋体"/>
          <w:sz w:val="21"/>
          <w:szCs w:val="21"/>
        </w:rPr>
        <w:t>个工作日内通知请求人不予立案，说明不予立案的理由，并应告知当事人如不服本通知书，可以依法申请行政复议或提起行政诉讼，也可以就请求处理的事项另行直接向人民法院提起民事诉讼。</w:t>
      </w:r>
    </w:p>
    <w:bookmarkStart w:id="735" w:name="_Toc487793392"/>
    <w:p w:rsidR="00800760" w:rsidRDefault="00C22A7B">
      <w:pPr>
        <w:pStyle w:val="4"/>
        <w:widowControl/>
        <w:spacing w:before="240"/>
        <w:rPr>
          <w:rFonts w:ascii="Times New Roman" w:hAnsi="Times New Roman"/>
          <w:color w:val="000000"/>
        </w:rPr>
      </w:pPr>
      <w:r>
        <w:fldChar w:fldCharType="begin"/>
      </w:r>
      <w:r w:rsidR="00235733">
        <w:rPr>
          <w:rFonts w:ascii="Times New Roman" w:hAnsi="Times New Roman"/>
          <w:color w:val="000000"/>
        </w:rPr>
        <w:instrText>= 3 \* GB4</w:instrText>
      </w:r>
      <w:r w:rsidRPr="00C22A7B">
        <w:rPr>
          <w:rFonts w:ascii="Times New Roman" w:hAnsi="Times New Roman"/>
          <w:color w:val="000000"/>
        </w:rPr>
        <w:fldChar w:fldCharType="separate"/>
      </w:r>
      <w:bookmarkStart w:id="736" w:name="_Toc28593129"/>
      <w:r w:rsidR="00235733">
        <w:rPr>
          <w:rFonts w:ascii="Times New Roman" w:hAnsi="Times New Roman"/>
          <w:color w:val="000000"/>
        </w:rPr>
        <w:t>（三）</w:t>
      </w:r>
      <w:r>
        <w:fldChar w:fldCharType="end"/>
      </w:r>
      <w:r w:rsidR="00235733">
        <w:rPr>
          <w:rFonts w:ascii="Times New Roman" w:hAnsi="Times New Roman"/>
          <w:color w:val="000000"/>
        </w:rPr>
        <w:t>答辩书</w:t>
      </w:r>
      <w:bookmarkEnd w:id="735"/>
      <w:bookmarkEnd w:id="736"/>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1</w:t>
      </w:r>
      <w:r>
        <w:rPr>
          <w:rFonts w:ascii="Times New Roman" w:eastAsia="宋体" w:hAnsi="Times New Roman" w:cs="宋体"/>
          <w:sz w:val="21"/>
          <w:szCs w:val="21"/>
        </w:rPr>
        <w:t>）答辩书提交时间：自被请求人收到《专利侵权纠纷处理请求书》及其附件的副本和《答辩通知书》之日起</w:t>
      </w:r>
      <w:r>
        <w:rPr>
          <w:rFonts w:ascii="Times New Roman" w:eastAsia="宋体" w:hAnsi="Times New Roman"/>
          <w:sz w:val="21"/>
          <w:szCs w:val="21"/>
        </w:rPr>
        <w:t>15</w:t>
      </w:r>
      <w:r>
        <w:rPr>
          <w:rFonts w:ascii="Times New Roman" w:eastAsia="宋体" w:hAnsi="Times New Roman" w:cs="宋体"/>
          <w:sz w:val="21"/>
          <w:szCs w:val="21"/>
        </w:rPr>
        <w:t>日内提交答辩书，被请求人在中华人民共和国内没有固定住所的，应当自收到之日起</w:t>
      </w:r>
      <w:r>
        <w:rPr>
          <w:rFonts w:ascii="Times New Roman" w:eastAsia="宋体" w:hAnsi="Times New Roman"/>
          <w:sz w:val="21"/>
          <w:szCs w:val="21"/>
        </w:rPr>
        <w:t>30</w:t>
      </w:r>
      <w:r>
        <w:rPr>
          <w:rFonts w:ascii="Times New Roman" w:eastAsia="宋体" w:hAnsi="Times New Roman" w:cs="宋体"/>
          <w:sz w:val="21"/>
          <w:szCs w:val="21"/>
        </w:rPr>
        <w:t>日内提交答辩书。</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管理专利工作的部门受理专利侵权纠纷案件后，当事人对管辖权有异议的，应当在答辩期间内以书面形式提出，管理专利工作的部门应当作出书面答复。</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2</w:t>
      </w:r>
      <w:r>
        <w:rPr>
          <w:rFonts w:ascii="Times New Roman" w:eastAsia="宋体" w:hAnsi="Times New Roman" w:cs="宋体"/>
          <w:sz w:val="21"/>
          <w:szCs w:val="21"/>
        </w:rPr>
        <w:t>）答辩书提交数量：提交正本一份，并按当事人数量提交副本。</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3</w:t>
      </w:r>
      <w:r>
        <w:rPr>
          <w:rFonts w:ascii="Times New Roman" w:eastAsia="宋体" w:hAnsi="Times New Roman" w:cs="宋体"/>
          <w:sz w:val="21"/>
          <w:szCs w:val="21"/>
        </w:rPr>
        <w:t>）答辩书形式：答辩书上无被请求人或其代理人签名或盖章的，应当通知被请求人在</w:t>
      </w:r>
      <w:r>
        <w:rPr>
          <w:rFonts w:ascii="Times New Roman" w:eastAsia="宋体" w:hAnsi="Times New Roman"/>
          <w:sz w:val="21"/>
          <w:szCs w:val="21"/>
        </w:rPr>
        <w:t>3</w:t>
      </w:r>
      <w:r>
        <w:rPr>
          <w:rFonts w:ascii="Times New Roman" w:eastAsia="宋体" w:hAnsi="Times New Roman" w:cs="宋体"/>
          <w:sz w:val="21"/>
          <w:szCs w:val="21"/>
        </w:rPr>
        <w:t>日内重新提交，否则视为未提交答辩书。</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4</w:t>
      </w:r>
      <w:r>
        <w:rPr>
          <w:rFonts w:ascii="Times New Roman" w:eastAsia="宋体" w:hAnsi="Times New Roman" w:cs="宋体"/>
          <w:sz w:val="21"/>
          <w:szCs w:val="21"/>
        </w:rPr>
        <w:t>）转送答辩书：被请求人提交书面答辩书的，办案人员应当自收到答辩书之日起</w:t>
      </w:r>
      <w:r>
        <w:rPr>
          <w:rFonts w:ascii="Times New Roman" w:eastAsia="宋体" w:hAnsi="Times New Roman"/>
          <w:sz w:val="21"/>
          <w:szCs w:val="21"/>
        </w:rPr>
        <w:t>5</w:t>
      </w:r>
      <w:r>
        <w:rPr>
          <w:rFonts w:ascii="Times New Roman" w:eastAsia="宋体" w:hAnsi="Times New Roman" w:cs="宋体"/>
          <w:sz w:val="21"/>
          <w:szCs w:val="21"/>
        </w:rPr>
        <w:t>个工作日内将答辩书副本送达请求人。</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5</w:t>
      </w:r>
      <w:r>
        <w:rPr>
          <w:rFonts w:ascii="Times New Roman" w:eastAsia="宋体" w:hAnsi="Times New Roman" w:cs="宋体"/>
          <w:sz w:val="21"/>
          <w:szCs w:val="21"/>
        </w:rPr>
        <w:t>）被请求人是自然人的，应当要求其提交有效身份证明；被请求人是法人或非法人组织的，应当要求其提交营业执照、事业单位法人证书或者其他相关证明材料，以及法定代表人或者负责人身份证明。</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w:t>
      </w:r>
      <w:r>
        <w:rPr>
          <w:rFonts w:ascii="Times New Roman" w:eastAsia="宋体" w:hAnsi="Times New Roman"/>
          <w:sz w:val="21"/>
          <w:szCs w:val="21"/>
        </w:rPr>
        <w:t>6</w:t>
      </w:r>
      <w:r>
        <w:rPr>
          <w:rFonts w:ascii="Times New Roman" w:eastAsia="宋体" w:hAnsi="Times New Roman" w:cs="宋体"/>
          <w:sz w:val="21"/>
          <w:szCs w:val="21"/>
        </w:rPr>
        <w:t>）当事人提供证据，应当要求其提供原件或者原物。如需自己保存证据原件、原物或者提供原件、原物确有困难的，可以提供经办案人员核对无异的复制件或者复制品。</w:t>
      </w:r>
    </w:p>
    <w:p w:rsidR="00800760" w:rsidRDefault="00235733">
      <w:pPr>
        <w:pStyle w:val="2"/>
        <w:topLinePunct/>
        <w:ind w:firstLineChars="0" w:firstLine="0"/>
        <w:rPr>
          <w:rFonts w:ascii="Times New Roman" w:hAnsi="Times New Roman"/>
          <w:color w:val="000000"/>
        </w:rPr>
      </w:pPr>
      <w:bookmarkStart w:id="737" w:name="_Toc10474"/>
      <w:bookmarkStart w:id="738" w:name="_Toc28514"/>
      <w:bookmarkStart w:id="739" w:name="_Toc32439"/>
      <w:bookmarkStart w:id="740" w:name="_Toc26777"/>
      <w:bookmarkStart w:id="741" w:name="_Toc9299"/>
      <w:bookmarkStart w:id="742" w:name="_Toc18816"/>
      <w:bookmarkStart w:id="743" w:name="_Toc2363"/>
      <w:bookmarkStart w:id="744" w:name="_Toc6710"/>
      <w:bookmarkStart w:id="745" w:name="_Toc1809"/>
      <w:bookmarkStart w:id="746" w:name="_Toc20949"/>
      <w:bookmarkStart w:id="747" w:name="_Toc4608"/>
      <w:bookmarkStart w:id="748" w:name="_Toc14586"/>
      <w:bookmarkStart w:id="749" w:name="_Toc31410"/>
      <w:bookmarkStart w:id="750" w:name="_Toc32378"/>
      <w:bookmarkStart w:id="751" w:name="_Toc32332"/>
      <w:bookmarkStart w:id="752" w:name="_Toc10411"/>
      <w:bookmarkStart w:id="753" w:name="_Toc29048"/>
      <w:bookmarkStart w:id="754" w:name="_Toc3348"/>
      <w:bookmarkStart w:id="755" w:name="_Toc17955"/>
      <w:bookmarkStart w:id="756" w:name="_Toc5869"/>
      <w:bookmarkStart w:id="757" w:name="_Toc29757"/>
      <w:bookmarkStart w:id="758" w:name="_Toc18389"/>
      <w:bookmarkStart w:id="759" w:name="_Toc25854"/>
      <w:bookmarkStart w:id="760" w:name="_Toc3979"/>
      <w:bookmarkStart w:id="761" w:name="_Toc6723"/>
      <w:bookmarkStart w:id="762" w:name="_Toc14881"/>
      <w:bookmarkStart w:id="763" w:name="_Toc10331"/>
      <w:bookmarkStart w:id="764" w:name="_Toc9503"/>
      <w:bookmarkStart w:id="765" w:name="_Toc23147"/>
      <w:bookmarkStart w:id="766" w:name="_Toc8031"/>
      <w:bookmarkStart w:id="767" w:name="_Toc31533"/>
      <w:bookmarkStart w:id="768" w:name="_Toc16829"/>
      <w:bookmarkStart w:id="769" w:name="_Toc12463"/>
      <w:bookmarkStart w:id="770" w:name="_Toc6110"/>
      <w:bookmarkStart w:id="771" w:name="_Toc13695"/>
      <w:bookmarkStart w:id="772" w:name="_Toc9738"/>
      <w:bookmarkStart w:id="773" w:name="_Toc1661"/>
      <w:bookmarkStart w:id="774" w:name="_Toc14388"/>
      <w:bookmarkStart w:id="775" w:name="_Toc23271"/>
      <w:bookmarkStart w:id="776" w:name="_Toc4412"/>
      <w:bookmarkStart w:id="777" w:name="_Toc25394"/>
      <w:bookmarkStart w:id="778" w:name="_Toc9930"/>
      <w:bookmarkStart w:id="779" w:name="_Toc217908604"/>
      <w:bookmarkStart w:id="780" w:name="_Toc229114347"/>
      <w:bookmarkStart w:id="781" w:name="_Toc229225443"/>
      <w:r>
        <w:rPr>
          <w:rFonts w:ascii="Times New Roman" w:hAnsi="Times New Roman"/>
          <w:color w:val="000000"/>
        </w:rPr>
        <w:t>第二节　案件审理</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rFonts w:ascii="Times New Roman" w:hAnsi="Times New Roman"/>
          <w:color w:val="000000"/>
        </w:rPr>
        <w:t>与结案</w:t>
      </w:r>
      <w:bookmarkEnd w:id="779"/>
      <w:bookmarkEnd w:id="780"/>
      <w:bookmarkEnd w:id="781"/>
    </w:p>
    <w:p w:rsidR="00800760" w:rsidRDefault="00235733">
      <w:pPr>
        <w:pStyle w:val="3"/>
        <w:topLinePunct/>
        <w:spacing w:before="240"/>
        <w:ind w:firstLine="444"/>
        <w:rPr>
          <w:rFonts w:ascii="Times New Roman" w:hAnsi="Times New Roman"/>
          <w:color w:val="000000"/>
        </w:rPr>
      </w:pPr>
      <w:bookmarkStart w:id="782" w:name="_Toc27978"/>
      <w:bookmarkStart w:id="783" w:name="_Toc28593171"/>
      <w:bookmarkStart w:id="784" w:name="_Toc9305"/>
      <w:bookmarkStart w:id="785" w:name="_Toc23188"/>
      <w:bookmarkStart w:id="786" w:name="_Toc26830"/>
      <w:bookmarkStart w:id="787" w:name="_Toc16688"/>
      <w:bookmarkStart w:id="788" w:name="_Toc2140"/>
      <w:bookmarkStart w:id="789" w:name="_Toc2413"/>
      <w:bookmarkStart w:id="790" w:name="_Toc7545"/>
      <w:bookmarkStart w:id="791" w:name="_Toc11103"/>
      <w:bookmarkStart w:id="792" w:name="_Toc15274"/>
      <w:bookmarkStart w:id="793" w:name="_Toc22230"/>
      <w:bookmarkStart w:id="794" w:name="_Toc19732"/>
      <w:bookmarkStart w:id="795" w:name="_Toc32328"/>
      <w:bookmarkStart w:id="796" w:name="_Toc23262"/>
      <w:bookmarkStart w:id="797" w:name="_Toc20536"/>
      <w:bookmarkStart w:id="798" w:name="_Toc25397"/>
      <w:bookmarkStart w:id="799" w:name="_Toc6356"/>
      <w:bookmarkStart w:id="800" w:name="_Toc16825"/>
      <w:bookmarkStart w:id="801" w:name="_Toc18096"/>
      <w:bookmarkStart w:id="802" w:name="_Toc423"/>
      <w:bookmarkStart w:id="803" w:name="_Toc29726"/>
      <w:bookmarkStart w:id="804" w:name="_Toc18804"/>
      <w:bookmarkStart w:id="805" w:name="_Toc8114"/>
      <w:bookmarkStart w:id="806" w:name="_Toc9784"/>
      <w:bookmarkStart w:id="807" w:name="_Toc29339"/>
      <w:bookmarkStart w:id="808" w:name="_Toc15649"/>
      <w:bookmarkStart w:id="809" w:name="_Toc21084"/>
      <w:bookmarkStart w:id="810" w:name="_Toc22827"/>
      <w:bookmarkStart w:id="811" w:name="_Toc4985"/>
      <w:bookmarkStart w:id="812" w:name="_Toc13023"/>
      <w:bookmarkStart w:id="813" w:name="_Toc13126"/>
      <w:bookmarkStart w:id="814" w:name="_Toc32757"/>
      <w:bookmarkStart w:id="815" w:name="_Toc16733"/>
      <w:bookmarkStart w:id="816" w:name="_Toc1937"/>
      <w:bookmarkStart w:id="817" w:name="_Toc18361"/>
      <w:bookmarkStart w:id="818" w:name="_Toc229114348"/>
      <w:bookmarkStart w:id="819" w:name="_Toc32161"/>
      <w:bookmarkStart w:id="820" w:name="_Toc31760"/>
      <w:bookmarkStart w:id="821" w:name="_Toc4685"/>
      <w:bookmarkStart w:id="822" w:name="_Toc15613"/>
      <w:bookmarkStart w:id="823" w:name="_Toc7559"/>
      <w:bookmarkStart w:id="824" w:name="_Toc5195"/>
      <w:bookmarkStart w:id="825" w:name="_Toc217908605"/>
      <w:bookmarkStart w:id="826" w:name="_Toc14027"/>
      <w:bookmarkStart w:id="827" w:name="_Toc229225444"/>
      <w:r>
        <w:rPr>
          <w:rFonts w:ascii="Times New Roman" w:hAnsi="Times New Roman"/>
          <w:color w:val="000000"/>
        </w:rPr>
        <w:t>一、审理程序</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bookmarkStart w:id="828" w:name="_Toc487793401"/>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bookmarkStart w:id="829" w:name="_Toc28593172"/>
      <w:r w:rsidR="00235733">
        <w:rPr>
          <w:rFonts w:ascii="Times New Roman" w:hAnsi="Times New Roman"/>
          <w:color w:val="000000"/>
        </w:rPr>
        <w:t>（一）</w:t>
      </w:r>
      <w:r>
        <w:rPr>
          <w:rFonts w:ascii="Times New Roman" w:hAnsi="Times New Roman"/>
          <w:color w:val="000000"/>
        </w:rPr>
        <w:fldChar w:fldCharType="end"/>
      </w:r>
      <w:r w:rsidR="00235733">
        <w:rPr>
          <w:rFonts w:ascii="Times New Roman" w:hAnsi="Times New Roman"/>
          <w:color w:val="000000"/>
        </w:rPr>
        <w:t>口头审理前的准备</w:t>
      </w:r>
      <w:bookmarkEnd w:id="828"/>
      <w:bookmarkEnd w:id="829"/>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830" w:name="_Toc28593173"/>
      <w:r w:rsidR="00235733">
        <w:rPr>
          <w:rFonts w:hint="eastAsia"/>
          <w:color w:val="000000"/>
        </w:rPr>
        <w:t xml:space="preserve">1. </w:t>
      </w:r>
      <w:r>
        <w:rPr>
          <w:color w:val="000000"/>
        </w:rPr>
        <w:fldChar w:fldCharType="end"/>
      </w:r>
      <w:r w:rsidR="00235733">
        <w:rPr>
          <w:rFonts w:hint="eastAsia"/>
          <w:color w:val="000000"/>
        </w:rPr>
        <w:t>口头审理的决定</w:t>
      </w:r>
      <w:bookmarkEnd w:id="830"/>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管理专利工作的部门处理专利侵权纠纷，可以根据案情需要决定是否进行口头审理。</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831" w:name="_Toc28593174"/>
      <w:r w:rsidR="00235733">
        <w:rPr>
          <w:rFonts w:hint="eastAsia"/>
          <w:color w:val="000000"/>
        </w:rPr>
        <w:t xml:space="preserve">2. </w:t>
      </w:r>
      <w:r>
        <w:rPr>
          <w:color w:val="000000"/>
        </w:rPr>
        <w:fldChar w:fldCharType="end"/>
      </w:r>
      <w:r w:rsidR="00235733">
        <w:rPr>
          <w:rFonts w:hint="eastAsia"/>
          <w:color w:val="000000"/>
        </w:rPr>
        <w:t>口头审理的通知</w:t>
      </w:r>
      <w:bookmarkEnd w:id="831"/>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管理专利工作的部门在处理专利侵权纠纷程序中，确定进行口头审理的，应当向当事人发出《口头审理通知书》及《口头审理回执》样表，通知进行口头审理的时间、地点等事项，并要求其在规定的时间内向管理专利工作的部门提交《口头审理回执》。《口头审理通知书》及《口头审理回执》样表应当确保当事人在口头审理</w:t>
      </w:r>
      <w:r w:rsidR="00235733">
        <w:rPr>
          <w:rFonts w:ascii="Times New Roman" w:eastAsia="宋体" w:hAnsi="Times New Roman"/>
          <w:sz w:val="21"/>
          <w:szCs w:val="21"/>
        </w:rPr>
        <w:t>3</w:t>
      </w:r>
      <w:r w:rsidR="00235733">
        <w:rPr>
          <w:rFonts w:ascii="Times New Roman" w:eastAsia="宋体" w:hAnsi="Times New Roman" w:hint="eastAsia"/>
          <w:sz w:val="21"/>
          <w:szCs w:val="21"/>
        </w:rPr>
        <w:t>个工作日前接收到。</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口头审理的时间、地点一经确定一般不再改动，遇特殊情况需要改动的，应当提前通知双方当事人。当事人申请延期进行口头审理的，应当提出合理的延期事由，是否准许由合议组决定。</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《口头审理通知书》的送达应当按照本指南第一章第二节第四部分中的规定执行。</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专利侵权纠纷请求人无正当理由不参加口头审理的，或者未经允许中途退出的，视为撤回请求；被请求人无正当理由不参加口头审理的，</w:t>
      </w:r>
      <w:r w:rsidR="00235733">
        <w:rPr>
          <w:rFonts w:ascii="Times New Roman" w:eastAsia="宋体" w:hAnsi="Times New Roman"/>
          <w:sz w:val="21"/>
          <w:szCs w:val="21"/>
        </w:rPr>
        <w:t>或者未经允许中途退出的</w:t>
      </w:r>
      <w:r w:rsidR="00235733">
        <w:rPr>
          <w:rFonts w:ascii="Times New Roman" w:eastAsia="宋体" w:hAnsi="Times New Roman" w:hint="eastAsia"/>
          <w:sz w:val="21"/>
          <w:szCs w:val="21"/>
        </w:rPr>
        <w:t>，按缺席处理。</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bookmarkStart w:id="832" w:name="_Toc28593175"/>
      <w:r w:rsidR="00235733">
        <w:rPr>
          <w:rFonts w:hint="eastAsia"/>
          <w:color w:val="000000"/>
        </w:rPr>
        <w:t xml:space="preserve">3. </w:t>
      </w:r>
      <w:r>
        <w:rPr>
          <w:color w:val="000000"/>
        </w:rPr>
        <w:fldChar w:fldCharType="end"/>
      </w:r>
      <w:r w:rsidR="00235733">
        <w:rPr>
          <w:rFonts w:hint="eastAsia"/>
          <w:color w:val="000000"/>
        </w:rPr>
        <w:t>审理</w:t>
      </w:r>
      <w:bookmarkEnd w:id="832"/>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在口头审理开始前，合议组应当完成下列工作：</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sz w:val="21"/>
          <w:szCs w:val="21"/>
        </w:rPr>
        <w:t>对于</w:t>
      </w:r>
      <w:r w:rsidR="00235733">
        <w:rPr>
          <w:rFonts w:ascii="Times New Roman" w:eastAsia="宋体" w:hAnsi="Times New Roman" w:hint="eastAsia"/>
          <w:sz w:val="21"/>
          <w:szCs w:val="21"/>
        </w:rPr>
        <w:t>案情比较复杂、证据材料较多的案件，可以在口头审理前组织当事人交换证据并先行质证。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合议组成员阅读和研究案卷，了解案情，掌握争议的焦点和需要调查、辩论的主要问题。特别需要注意的是，口头审理前，应当查询涉案专利是否经过无效宣告程序、权利要求是否作过修改、修改后的权利要求的具体内容等。</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召开口头审理前的合议组会议，研究确定合议组成员在口头审理中的分工、调查的顺序和内容、应当重点查清的问题，以及口头审理中可能出现的各种情况。</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准备必要的文件。</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5</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除不公开进行口头审理以外，口头审理</w:t>
      </w:r>
      <w:r w:rsidR="00235733">
        <w:rPr>
          <w:rFonts w:ascii="Times New Roman" w:eastAsia="宋体" w:hAnsi="Times New Roman"/>
          <w:sz w:val="21"/>
          <w:szCs w:val="21"/>
        </w:rPr>
        <w:t>3</w:t>
      </w:r>
      <w:r w:rsidR="00235733">
        <w:rPr>
          <w:rFonts w:ascii="Times New Roman" w:eastAsia="宋体" w:hAnsi="Times New Roman" w:hint="eastAsia"/>
          <w:sz w:val="21"/>
          <w:szCs w:val="21"/>
        </w:rPr>
        <w:t>个工作日前应当公告该口头审理的有关信息，包括：请求人姓名或者名称、被请求人姓名或者名称、审理时间、地点、涉及的专利号、专利名称等。</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6</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口头审理其他事务性工作的准备。</w:t>
      </w:r>
      <w:bookmarkStart w:id="833" w:name="_Toc487793402"/>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bookmarkStart w:id="834" w:name="_Toc28593176"/>
      <w:r w:rsidR="00235733">
        <w:rPr>
          <w:rFonts w:ascii="Times New Roman" w:hAnsi="Times New Roman"/>
          <w:color w:val="000000"/>
        </w:rPr>
        <w:t>（二）</w:t>
      </w:r>
      <w:r>
        <w:rPr>
          <w:rFonts w:ascii="Times New Roman" w:hAnsi="Times New Roman"/>
          <w:color w:val="000000"/>
        </w:rPr>
        <w:fldChar w:fldCharType="end"/>
      </w:r>
      <w:r w:rsidR="00235733">
        <w:rPr>
          <w:rFonts w:ascii="Times New Roman" w:hAnsi="Times New Roman"/>
          <w:color w:val="000000"/>
        </w:rPr>
        <w:t>口头审理的举行</w:t>
      </w:r>
      <w:bookmarkEnd w:id="833"/>
      <w:bookmarkEnd w:id="834"/>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口头审理应当按照《口头审理通知书》指定的时间、地点进行。请求人与被请求人相同、被控侵权</w:t>
      </w:r>
      <w:r>
        <w:rPr>
          <w:rFonts w:ascii="Times New Roman" w:eastAsia="宋体" w:hAnsi="Times New Roman" w:cs="Nimbus Roman No9 L" w:hint="eastAsia"/>
          <w:sz w:val="21"/>
          <w:szCs w:val="21"/>
        </w:rPr>
        <w:t>产品</w:t>
      </w:r>
      <w:r>
        <w:rPr>
          <w:rFonts w:ascii="Times New Roman" w:eastAsia="宋体" w:hAnsi="Times New Roman" w:hint="eastAsia"/>
          <w:sz w:val="21"/>
          <w:szCs w:val="21"/>
        </w:rPr>
        <w:t>相同或者涉及同一专利权的案件，可以合并审理。案件合并审理时，各案件的案号、专利号、具体事实、理由、证据、当事人的陈述等应当分开记录写明。核对参加口头审理到庭人员身份信息，确认其是否具有参加口头审理的资格，委托代理人的，代理人身份信息是否与授权委托书相符。</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口头审理可以分成以下三个阶段。</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835" w:name="_Toc28593177"/>
      <w:r w:rsidR="00235733">
        <w:rPr>
          <w:rFonts w:hint="eastAsia"/>
          <w:color w:val="000000"/>
        </w:rPr>
        <w:t xml:space="preserve">1. </w:t>
      </w:r>
      <w:r>
        <w:rPr>
          <w:color w:val="000000"/>
        </w:rPr>
        <w:fldChar w:fldCharType="end"/>
      </w:r>
      <w:r w:rsidR="00235733">
        <w:rPr>
          <w:rFonts w:hint="eastAsia"/>
          <w:color w:val="000000"/>
        </w:rPr>
        <w:t xml:space="preserve"> </w:t>
      </w:r>
      <w:r w:rsidR="00235733">
        <w:rPr>
          <w:rFonts w:hint="eastAsia"/>
          <w:color w:val="000000"/>
        </w:rPr>
        <w:t>第一阶段：口头审理开始</w:t>
      </w:r>
      <w:bookmarkEnd w:id="835"/>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口头审理由案件合议组组长主持。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宣布口头审理开始。</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宣布口头审理纪律：所有参加人员关闭通信设备，未经允许不得拍照、录音、摄像，不得随意走动；当事人发言应当征得合议组组长同意；旁听者无发言权，不得向参加口头审理的当事人传递有关信息。</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简要介绍案由。</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双方当事人分别介绍各自信息，包括当事人名称（姓名）、住所、法定代表人（负责人）信息、委托代理人以及代理权限等；有双方当事人出庭的，还应当询问双方当事人对于对方出庭人员资格有无异议。</w:t>
      </w:r>
    </w:p>
    <w:p w:rsidR="00800760" w:rsidRDefault="00235733">
      <w:pPr>
        <w:pStyle w:val="22"/>
        <w:topLinePunct/>
        <w:spacing w:line="336"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5</w:t>
      </w:r>
      <w:r>
        <w:rPr>
          <w:rFonts w:ascii="Times New Roman" w:eastAsia="宋体" w:hAnsi="Times New Roman" w:cs="Times New Roman"/>
          <w:sz w:val="21"/>
          <w:szCs w:val="21"/>
        </w:rPr>
        <w:t>）宣读当事人的权利和义务。</w:t>
      </w:r>
    </w:p>
    <w:p w:rsidR="00800760" w:rsidRDefault="00235733">
      <w:pPr>
        <w:pStyle w:val="22"/>
        <w:topLinePunct/>
        <w:spacing w:line="336" w:lineRule="auto"/>
        <w:ind w:firstLine="420"/>
        <w:rPr>
          <w:rFonts w:ascii="Times New Roman" w:eastAsia="宋体" w:hAnsi="Times New Roman" w:cs="Times New Roman"/>
          <w:sz w:val="21"/>
          <w:szCs w:val="21"/>
        </w:rPr>
      </w:pPr>
      <w:r>
        <w:rPr>
          <w:rFonts w:ascii="宋体" w:eastAsia="宋体" w:hAnsi="宋体" w:cs="宋体" w:hint="eastAsia"/>
          <w:sz w:val="21"/>
          <w:szCs w:val="21"/>
        </w:rPr>
        <w:t>①</w:t>
      </w:r>
      <w:r>
        <w:rPr>
          <w:rFonts w:ascii="Times New Roman" w:eastAsia="宋体" w:hAnsi="Times New Roman" w:cs="Times New Roman"/>
          <w:sz w:val="21"/>
          <w:szCs w:val="21"/>
        </w:rPr>
        <w:t>当事人的权利</w:t>
      </w:r>
    </w:p>
    <w:p w:rsidR="00800760" w:rsidRDefault="00235733">
      <w:pPr>
        <w:pStyle w:val="22"/>
        <w:topLinePunct/>
        <w:spacing w:line="336"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委托代理人，对合议组成员、书记员、</w:t>
      </w:r>
      <w:r>
        <w:rPr>
          <w:rFonts w:ascii="Times New Roman" w:eastAsia="宋体" w:hAnsi="Times New Roman" w:cs="Nimbus Roman No9 L" w:hint="eastAsia"/>
          <w:sz w:val="21"/>
          <w:szCs w:val="21"/>
        </w:rPr>
        <w:t>技术调查官、</w:t>
      </w:r>
      <w:r>
        <w:rPr>
          <w:rFonts w:ascii="Times New Roman" w:eastAsia="宋体" w:hAnsi="Times New Roman" w:cs="Times New Roman"/>
          <w:sz w:val="21"/>
          <w:szCs w:val="21"/>
        </w:rPr>
        <w:t>鉴定人、翻译人员</w:t>
      </w:r>
      <w:r>
        <w:rPr>
          <w:rFonts w:ascii="Times New Roman" w:eastAsia="宋体" w:hAnsi="Times New Roman" w:cs="Times New Roman" w:hint="eastAsia"/>
          <w:sz w:val="21"/>
          <w:szCs w:val="21"/>
        </w:rPr>
        <w:t>、</w:t>
      </w:r>
      <w:r>
        <w:rPr>
          <w:rFonts w:ascii="Times New Roman" w:eastAsia="宋体" w:hAnsi="Times New Roman" w:cs="Nimbus Roman No9 L" w:hint="eastAsia"/>
          <w:sz w:val="21"/>
          <w:szCs w:val="21"/>
        </w:rPr>
        <w:t>辅助人员</w:t>
      </w:r>
      <w:r>
        <w:rPr>
          <w:rFonts w:ascii="Times New Roman" w:eastAsia="宋体" w:hAnsi="Times New Roman" w:cs="Times New Roman"/>
          <w:sz w:val="21"/>
          <w:szCs w:val="21"/>
        </w:rPr>
        <w:t>提出回避申请，收集</w:t>
      </w:r>
      <w:r>
        <w:rPr>
          <w:rFonts w:ascii="Times New Roman" w:eastAsia="宋体" w:hAnsi="Times New Roman" w:cs="Times New Roman" w:hint="eastAsia"/>
          <w:sz w:val="21"/>
          <w:szCs w:val="21"/>
        </w:rPr>
        <w:t>、</w:t>
      </w:r>
      <w:r>
        <w:rPr>
          <w:rFonts w:ascii="Times New Roman" w:eastAsia="宋体" w:hAnsi="Times New Roman" w:cs="Times New Roman"/>
          <w:sz w:val="21"/>
          <w:szCs w:val="21"/>
        </w:rPr>
        <w:t>提供证据，申请证人出庭作证，进行辩论，请求调解，当事人可以自行和解，请求人可以放弃或者变更请求。</w:t>
      </w:r>
    </w:p>
    <w:p w:rsidR="00800760" w:rsidRDefault="00235733">
      <w:pPr>
        <w:pStyle w:val="22"/>
        <w:topLinePunct/>
        <w:spacing w:line="336" w:lineRule="auto"/>
        <w:ind w:firstLine="420"/>
        <w:rPr>
          <w:rFonts w:ascii="Times New Roman" w:eastAsia="宋体" w:hAnsi="Times New Roman" w:cs="Times New Roman"/>
          <w:sz w:val="21"/>
          <w:szCs w:val="21"/>
        </w:rPr>
      </w:pPr>
      <w:r>
        <w:rPr>
          <w:rFonts w:ascii="宋体" w:eastAsia="宋体" w:hAnsi="宋体" w:cs="宋体" w:hint="eastAsia"/>
          <w:sz w:val="21"/>
          <w:szCs w:val="21"/>
        </w:rPr>
        <w:t>②</w:t>
      </w:r>
      <w:r>
        <w:rPr>
          <w:rFonts w:ascii="Times New Roman" w:eastAsia="宋体" w:hAnsi="Times New Roman" w:cs="Times New Roman"/>
          <w:sz w:val="21"/>
          <w:szCs w:val="21"/>
        </w:rPr>
        <w:t>当事人的义务</w:t>
      </w:r>
    </w:p>
    <w:p w:rsidR="00800760" w:rsidRDefault="00235733">
      <w:pPr>
        <w:pStyle w:val="22"/>
        <w:topLinePunct/>
        <w:spacing w:line="336"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当事人应当按照通知按时到达审理地点。请求人无正当理由拒不到庭的，按撤回请求处理；被请求人无正当理由拒不到庭的，合议组</w:t>
      </w:r>
      <w:r>
        <w:rPr>
          <w:rFonts w:ascii="Times New Roman" w:eastAsia="宋体" w:hAnsi="Times New Roman" w:cs="Times New Roman" w:hint="eastAsia"/>
          <w:sz w:val="21"/>
          <w:szCs w:val="21"/>
        </w:rPr>
        <w:t>按</w:t>
      </w:r>
      <w:r>
        <w:rPr>
          <w:rFonts w:ascii="Times New Roman" w:eastAsia="宋体" w:hAnsi="Times New Roman" w:cs="Times New Roman"/>
          <w:sz w:val="21"/>
          <w:szCs w:val="21"/>
        </w:rPr>
        <w:t>缺席</w:t>
      </w:r>
      <w:r>
        <w:rPr>
          <w:rFonts w:ascii="Times New Roman" w:eastAsia="宋体" w:hAnsi="Times New Roman" w:cs="Times New Roman" w:hint="eastAsia"/>
          <w:sz w:val="21"/>
          <w:szCs w:val="21"/>
        </w:rPr>
        <w:t>处</w:t>
      </w:r>
      <w:r>
        <w:rPr>
          <w:rFonts w:ascii="Times New Roman" w:eastAsia="宋体" w:hAnsi="Times New Roman" w:cs="Times New Roman"/>
          <w:sz w:val="21"/>
          <w:szCs w:val="21"/>
        </w:rPr>
        <w:t>理。</w:t>
      </w:r>
    </w:p>
    <w:p w:rsidR="00800760" w:rsidRDefault="00235733">
      <w:pPr>
        <w:pStyle w:val="22"/>
        <w:topLinePunct/>
        <w:spacing w:line="336"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在审理过程中，当事人应当自觉遵守审理秩序，未经许可不得中途退庭。请求人未经许可中途退庭的，按撤回请求处理；被请求人未经许可中途退庭的，合议组</w:t>
      </w:r>
      <w:r>
        <w:rPr>
          <w:rFonts w:ascii="Times New Roman" w:eastAsia="宋体" w:hAnsi="Times New Roman" w:cs="Times New Roman" w:hint="eastAsia"/>
          <w:sz w:val="21"/>
          <w:szCs w:val="21"/>
        </w:rPr>
        <w:t>按</w:t>
      </w:r>
      <w:r>
        <w:rPr>
          <w:rFonts w:ascii="Times New Roman" w:eastAsia="宋体" w:hAnsi="Times New Roman" w:cs="Times New Roman"/>
          <w:sz w:val="21"/>
          <w:szCs w:val="21"/>
        </w:rPr>
        <w:t>缺席</w:t>
      </w:r>
      <w:r>
        <w:rPr>
          <w:rFonts w:ascii="Times New Roman" w:eastAsia="宋体" w:hAnsi="Times New Roman" w:cs="Times New Roman" w:hint="eastAsia"/>
          <w:sz w:val="21"/>
          <w:szCs w:val="21"/>
        </w:rPr>
        <w:t>处</w:t>
      </w:r>
      <w:r>
        <w:rPr>
          <w:rFonts w:ascii="Times New Roman" w:eastAsia="宋体" w:hAnsi="Times New Roman" w:cs="Times New Roman"/>
          <w:sz w:val="21"/>
          <w:szCs w:val="21"/>
        </w:rPr>
        <w:t>理。</w:t>
      </w:r>
    </w:p>
    <w:p w:rsidR="00800760" w:rsidRDefault="00235733">
      <w:pPr>
        <w:pStyle w:val="22"/>
        <w:topLinePunct/>
        <w:spacing w:line="336"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当事人对自己提出的主张有举证责任，反驳对方主张的，应当说明理由。</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6</w:t>
      </w:r>
      <w:r>
        <w:rPr>
          <w:rFonts w:ascii="Times New Roman" w:eastAsia="宋体" w:hAnsi="Times New Roman" w:cs="Times New Roman"/>
          <w:sz w:val="21"/>
          <w:szCs w:val="21"/>
        </w:rPr>
        <w:t>）宣布合议组成</w:t>
      </w:r>
      <w:r>
        <w:rPr>
          <w:rFonts w:ascii="Times New Roman" w:eastAsia="宋体" w:hAnsi="Times New Roman" w:hint="eastAsia"/>
          <w:sz w:val="21"/>
          <w:szCs w:val="21"/>
        </w:rPr>
        <w:t>员及书记员等的名单，询问双方当事人是否申请回避，是否请证人出庭作证或请求实物演示。</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836" w:name="_Toc28593178"/>
      <w:r w:rsidR="00235733">
        <w:rPr>
          <w:rFonts w:hint="eastAsia"/>
          <w:color w:val="000000"/>
        </w:rPr>
        <w:t xml:space="preserve">2. </w:t>
      </w:r>
      <w:r>
        <w:rPr>
          <w:color w:val="000000"/>
        </w:rPr>
        <w:fldChar w:fldCharType="end"/>
      </w:r>
      <w:r w:rsidR="00235733">
        <w:rPr>
          <w:rFonts w:hint="eastAsia"/>
          <w:color w:val="000000"/>
        </w:rPr>
        <w:t>第二阶段：口头审理调查阶段</w:t>
      </w:r>
      <w:bookmarkEnd w:id="836"/>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口头审理的调查阶段一般按照以下顺序进行：</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请求人陈述和被请求人答辩。</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请求人陈述专利侵权纠纷请求事项及其理由，并简要陈述有关事实；</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被请求人答辩，对请求人的请求提出答辩意见，讲明具体事实和理由。</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xml:space="preserve"> </w:instrText>
      </w:r>
      <w:r w:rsidR="00235733">
        <w:rPr>
          <w:rFonts w:ascii="Times New Roman" w:eastAsia="宋体" w:hAnsi="Times New Roman" w:hint="eastAsia"/>
          <w:sz w:val="21"/>
          <w:szCs w:val="21"/>
        </w:rPr>
        <w:instrText>= 3 \* GB3</w:instrText>
      </w:r>
      <w:r w:rsidR="00235733">
        <w:rPr>
          <w:rFonts w:ascii="Times New Roman" w:eastAsia="宋体" w:hAnsi="Times New Roman"/>
          <w:sz w:val="21"/>
          <w:szCs w:val="21"/>
        </w:rPr>
        <w:instrText xml:space="preserve"> </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如有第三人，由第三人陈述案件事实，或提出答辩意见。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质证，由请求人、被请求人、管理专利工作的部门（在有调查取证的情况下）分别出示证据。</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双方提交的证据应当在庭上出示，由当事人互相质证。当事人在口头审理前未提交但在口头审理时提交的证据是否质证，由合议组决定；当事人要求口头审理后继续提交证据的，合议组应当当庭指定提交时限，并要求当事人在指定期限内提交。</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应当要求当事人围绕证据的真实性、合法性、关联性，针对证据证明力有无以及证明力大小进行阐述、说明与辩驳。</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质证按下列顺序进行：</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a</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请求人出示证据，说明各证据要证明的内容，被请求人与请求人进行质证；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b</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被请求人出示证据，说明各证据要证明的内容，请求人与被请求人进行质证；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c</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管理专利工作的部门（在有调查取证的情况下）出示调查取证的证据，由请求人与被请求人发表意见。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进行专利侵权比对。</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口头审理时，由请求人对主张的权利要求的全部技术特征与涉案产品或者方法逐项进行比对。</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被请求人对涉案产品或者方法是否落入涉案专利权的保护范围发表意见。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总结双方争论焦点，进行辩论。</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由合议组组长归纳总结案件焦点问题，应当是对案件认定起到关键作用的问题，例如在某个技术特征上是否存在等同、某个关键证据的法律效力等。</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辩论阶段应当要求当事人严格围绕焦点问题进行辩论，合议组认为已经能够通过当事人的辩论明确双方的观点或者对问题已经作出解答的，即可停止该焦点问题的辩论，进入下一个焦点问题的辩论，防止双方纠缠于语言文字等不影响案件认定的细节问题导致庭审时间过长，缺乏效率。</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5</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最后意见陈述。</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在双方当事人的辩论意见表达完毕后，合议组组长宣布辩论终结，由双方当事人作最后意见陈述。在当事人没有新的意见时，视为当事人坚持原有意见。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6</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调解。</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最后意见陈述后，合议组应当就是否同意调解征求双方意见。如果双方同意调解的，可以在口头审理结束后立即进行调解，也可以另行约定时间进行调解。如果代理人表示需要当事人授权后才能发表是否同意调解的意见的，应当如实记入口头审理笔录，要求代理人及时征求当事人意见，并于指定日期内另行向合议组说明。</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调解应该贯穿于专利侵权纠纷处理整个程序之中，但为了保证口头审理程序的完整，若非必要，一般不在口头审理过程中穿插调解程序。</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口头审理调查中应当查明以下问题：</w:t>
      </w:r>
    </w:p>
    <w:p w:rsidR="00800760" w:rsidRDefault="00C22A7B">
      <w:pPr>
        <w:pStyle w:val="22"/>
        <w:spacing w:line="336"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fldChar w:fldCharType="begin"/>
      </w:r>
      <w:r w:rsidR="00235733">
        <w:rPr>
          <w:rFonts w:ascii="Times New Roman" w:eastAsia="宋体" w:hAnsi="Times New Roman" w:cs="Times New Roman"/>
          <w:sz w:val="21"/>
          <w:szCs w:val="21"/>
        </w:rPr>
        <w:instrText>= 1 \* GB3</w:instrText>
      </w:r>
      <w:r>
        <w:rPr>
          <w:rFonts w:ascii="Times New Roman" w:eastAsia="宋体" w:hAnsi="Times New Roman" w:cs="Times New Roman"/>
          <w:sz w:val="21"/>
          <w:szCs w:val="21"/>
        </w:rPr>
        <w:fldChar w:fldCharType="separate"/>
      </w:r>
      <w:r w:rsidR="00235733">
        <w:rPr>
          <w:rFonts w:ascii="宋体" w:eastAsia="宋体" w:hAnsi="宋体" w:cs="宋体" w:hint="eastAsia"/>
          <w:sz w:val="21"/>
          <w:szCs w:val="21"/>
        </w:rPr>
        <w:t>①</w:t>
      </w:r>
      <w:r>
        <w:rPr>
          <w:rFonts w:ascii="Times New Roman" w:eastAsia="宋体" w:hAnsi="Times New Roman" w:cs="Times New Roman"/>
          <w:sz w:val="21"/>
          <w:szCs w:val="21"/>
        </w:rPr>
        <w:fldChar w:fldCharType="end"/>
      </w:r>
      <w:r w:rsidR="00235733">
        <w:rPr>
          <w:rFonts w:ascii="Times New Roman" w:eastAsia="宋体" w:hAnsi="Times New Roman" w:cs="Times New Roman"/>
          <w:sz w:val="21"/>
          <w:szCs w:val="21"/>
        </w:rPr>
        <w:t>专利权何时申请、何时授权、目前法律状态等专利基本情况；</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何时发现被请求人实施涉嫌专利侵权行为、被控侵权产品样品的来源；</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被请求人姓名或者名称、成立时间、电话、地址，法定代表人、经营范围等基本情况；</w:t>
      </w:r>
    </w:p>
    <w:p w:rsidR="00800760" w:rsidRDefault="00C22A7B">
      <w:pPr>
        <w:pStyle w:val="a6"/>
      </w:pPr>
      <w:r>
        <w:fldChar w:fldCharType="begin"/>
      </w:r>
      <w:r w:rsidR="00235733">
        <w:instrText>= 4 \* GB3</w:instrText>
      </w:r>
      <w:r>
        <w:fldChar w:fldCharType="separate"/>
      </w:r>
      <w:r w:rsidR="00235733">
        <w:rPr>
          <w:rFonts w:hAnsi="宋体" w:cs="宋体" w:hint="eastAsia"/>
        </w:rPr>
        <w:t>④</w:t>
      </w:r>
      <w:r>
        <w:fldChar w:fldCharType="end"/>
      </w:r>
      <w:r w:rsidR="00235733">
        <w:t>管理专利工作的部门收到的证据，如有关样品、资料、账册的确认；</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在现场检查笔录（或询问笔录）上签名的有关人员与被请求人的关系；</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⑥</w:t>
      </w:r>
      <w:r>
        <w:rPr>
          <w:rFonts w:ascii="Times New Roman" w:eastAsia="宋体" w:hAnsi="Times New Roman"/>
          <w:sz w:val="21"/>
          <w:szCs w:val="21"/>
        </w:rPr>
        <w:fldChar w:fldCharType="end"/>
      </w:r>
      <w:r w:rsidR="00235733">
        <w:rPr>
          <w:rFonts w:ascii="Times New Roman" w:eastAsia="宋体" w:hAnsi="Times New Roman" w:hint="eastAsia"/>
          <w:sz w:val="21"/>
          <w:szCs w:val="21"/>
        </w:rPr>
        <w:t>被控侵权产品样品（请求人提供或管理专利工作的部门提取）是否是被请求人制造（销售、使用、许诺销售、进口）的；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⑦</w:t>
      </w:r>
      <w:r>
        <w:rPr>
          <w:rFonts w:ascii="Times New Roman" w:eastAsia="宋体" w:hAnsi="Times New Roman"/>
          <w:sz w:val="21"/>
          <w:szCs w:val="21"/>
        </w:rPr>
        <w:fldChar w:fldCharType="end"/>
      </w:r>
      <w:r w:rsidR="00235733">
        <w:rPr>
          <w:rFonts w:ascii="Times New Roman" w:eastAsia="宋体" w:hAnsi="Times New Roman" w:hint="eastAsia"/>
          <w:sz w:val="21"/>
          <w:szCs w:val="21"/>
        </w:rPr>
        <w:t>被控侵权产品开始生产的时间、生产数量、进货情况、库存数量，销售的情况；</w:t>
      </w:r>
    </w:p>
    <w:p w:rsidR="00800760" w:rsidRDefault="00C22A7B">
      <w:pPr>
        <w:pStyle w:val="a6"/>
      </w:pPr>
      <w:r>
        <w:rPr>
          <w:rFonts w:cs="Times New Roman"/>
        </w:rPr>
        <w:fldChar w:fldCharType="begin"/>
      </w:r>
      <w:r w:rsidR="00235733">
        <w:rPr>
          <w:rFonts w:cs="Times New Roman"/>
        </w:rPr>
        <w:instrText>= 8 \* GB3</w:instrText>
      </w:r>
      <w:r>
        <w:rPr>
          <w:rFonts w:cs="Times New Roman"/>
        </w:rPr>
        <w:fldChar w:fldCharType="separate"/>
      </w:r>
      <w:r w:rsidR="00235733">
        <w:rPr>
          <w:rFonts w:hAnsi="宋体" w:cs="宋体" w:hint="eastAsia"/>
        </w:rPr>
        <w:t>⑧</w:t>
      </w:r>
      <w:r>
        <w:rPr>
          <w:rFonts w:cs="Times New Roman"/>
        </w:rPr>
        <w:fldChar w:fldCharType="end"/>
      </w:r>
      <w:r w:rsidR="00235733">
        <w:rPr>
          <w:rFonts w:cs="Times New Roman"/>
        </w:rPr>
        <w:t>制造</w:t>
      </w:r>
      <w:r w:rsidR="00235733">
        <w:rPr>
          <w:rFonts w:hint="eastAsia"/>
        </w:rPr>
        <w:t>被控侵权产品的模具数量、存放地点、制作情况；</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9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⑨</w:t>
      </w:r>
      <w:r>
        <w:rPr>
          <w:rFonts w:ascii="Times New Roman" w:eastAsia="宋体" w:hAnsi="Times New Roman"/>
          <w:sz w:val="21"/>
          <w:szCs w:val="21"/>
        </w:rPr>
        <w:fldChar w:fldCharType="end"/>
      </w:r>
      <w:r w:rsidR="00235733">
        <w:rPr>
          <w:rFonts w:ascii="Times New Roman" w:eastAsia="宋体" w:hAnsi="Times New Roman" w:hint="eastAsia"/>
          <w:sz w:val="21"/>
          <w:szCs w:val="21"/>
        </w:rPr>
        <w:t>被控侵权产品或方法是否落入涉案专利权的保护范围，并要求说明理由；</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10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⑩</w:t>
      </w:r>
      <w:r>
        <w:rPr>
          <w:rFonts w:ascii="Times New Roman" w:eastAsia="宋体" w:hAnsi="Times New Roman"/>
          <w:sz w:val="21"/>
          <w:szCs w:val="21"/>
        </w:rPr>
        <w:fldChar w:fldCharType="end"/>
      </w:r>
      <w:r w:rsidR="00235733">
        <w:rPr>
          <w:rFonts w:ascii="Times New Roman" w:eastAsia="宋体" w:hAnsi="Times New Roman" w:hint="eastAsia"/>
          <w:sz w:val="21"/>
          <w:szCs w:val="21"/>
        </w:rPr>
        <w:t>被请求人认为不侵权的抗辩理由及事实；</w:t>
      </w:r>
    </w:p>
    <w:p w:rsidR="00800760" w:rsidRDefault="00235733">
      <w:pPr>
        <w:pStyle w:val="a6"/>
        <w:rPr>
          <w:rFonts w:ascii="Times New Roman" w:hAnsi="Times New Roman"/>
        </w:rPr>
      </w:pPr>
      <w:r>
        <w:rPr>
          <w:rStyle w:val="Char2"/>
          <w:rFonts w:ascii="Cambria Math" w:hAnsi="Cambria Math" w:cs="Cambria Math"/>
        </w:rPr>
        <w:t>⑪</w:t>
      </w:r>
      <w:r>
        <w:rPr>
          <w:rStyle w:val="Char2"/>
          <w:rFonts w:hint="eastAsia"/>
        </w:rPr>
        <w:t>其</w:t>
      </w:r>
      <w:r>
        <w:rPr>
          <w:rFonts w:hint="eastAsia"/>
        </w:rPr>
        <w:t>他需要了解、核对的事项。</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口头审理调查阶段需要注意以下事项：</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合议组成员可以就有关事实和证据向当事人或者证人提问，也可以要求当事人或者证人作出解释。合议组成员提问应当公正、客观、具体、明确。</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经合议组组长许可，当事人可以互相发问，当事人可以向证人或鉴定人员发问。</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被请求人对涉案专利的法律状态有异议的，应当要求请求人出具专利登记簿副本的原件或经与原件核对无误的复印件。</w:t>
      </w:r>
    </w:p>
    <w:p w:rsidR="00800760" w:rsidRDefault="00C22A7B">
      <w:pPr>
        <w:pStyle w:val="5"/>
        <w:spacing w:before="120"/>
        <w:rPr>
          <w:color w:val="000000"/>
        </w:rPr>
      </w:pPr>
      <w:r>
        <w:fldChar w:fldCharType="begin"/>
      </w:r>
      <w:r w:rsidR="00235733">
        <w:instrText>= 3 \* GB1</w:instrText>
      </w:r>
      <w:r>
        <w:fldChar w:fldCharType="separate"/>
      </w:r>
      <w:bookmarkStart w:id="837" w:name="_Toc28593179"/>
      <w:r w:rsidR="00235733">
        <w:rPr>
          <w:rFonts w:hint="eastAsia"/>
        </w:rPr>
        <w:t xml:space="preserve">3. </w:t>
      </w:r>
      <w:r>
        <w:fldChar w:fldCharType="end"/>
      </w:r>
      <w:r w:rsidR="00235733">
        <w:rPr>
          <w:rFonts w:hint="eastAsia"/>
          <w:color w:val="000000"/>
        </w:rPr>
        <w:t>第三阶段：口头审理结束</w:t>
      </w:r>
      <w:bookmarkEnd w:id="837"/>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合议组组长宣告口头审理结束，双方当事人在核对完口头审理笔录后逐页签字或者盖章并注明日期。</w:t>
      </w:r>
      <w:bookmarkStart w:id="838" w:name="_Toc487793403"/>
    </w:p>
    <w:p w:rsidR="00800760" w:rsidRDefault="00C22A7B">
      <w:pPr>
        <w:pStyle w:val="4"/>
        <w:spacing w:before="240"/>
      </w:pPr>
      <w:r>
        <w:fldChar w:fldCharType="begin"/>
      </w:r>
      <w:r w:rsidR="00235733">
        <w:instrText>= 3 \* GB4</w:instrText>
      </w:r>
      <w:r>
        <w:fldChar w:fldCharType="separate"/>
      </w:r>
      <w:bookmarkStart w:id="839" w:name="_Toc28593180"/>
      <w:r w:rsidR="00235733">
        <w:t>（三）</w:t>
      </w:r>
      <w:r>
        <w:fldChar w:fldCharType="end"/>
      </w:r>
      <w:r w:rsidR="00235733">
        <w:t>口头审理的其他问题</w:t>
      </w:r>
      <w:bookmarkEnd w:id="838"/>
      <w:bookmarkEnd w:id="839"/>
    </w:p>
    <w:p w:rsidR="00800760" w:rsidRDefault="00235733">
      <w:pPr>
        <w:pStyle w:val="5"/>
        <w:spacing w:before="120"/>
      </w:pPr>
      <w:r>
        <w:rPr>
          <w:rFonts w:hint="eastAsia"/>
        </w:rPr>
        <w:t xml:space="preserve">1. </w:t>
      </w:r>
      <w:r>
        <w:rPr>
          <w:rFonts w:hint="eastAsia"/>
        </w:rPr>
        <w:t>线上口头审理</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为</w:t>
      </w:r>
      <w:r>
        <w:rPr>
          <w:rFonts w:ascii="Times New Roman" w:eastAsia="宋体" w:hAnsi="Times New Roman"/>
          <w:sz w:val="21"/>
          <w:szCs w:val="21"/>
        </w:rPr>
        <w:t>方便当事人参加行政裁决程序，</w:t>
      </w:r>
      <w:r>
        <w:rPr>
          <w:rFonts w:ascii="Times New Roman" w:eastAsia="宋体" w:hAnsi="Times New Roman" w:hint="eastAsia"/>
          <w:sz w:val="21"/>
          <w:szCs w:val="21"/>
        </w:rPr>
        <w:t>提高行政裁决效率，管理专利工作的部门</w:t>
      </w:r>
      <w:r>
        <w:rPr>
          <w:rFonts w:ascii="Times New Roman" w:eastAsia="宋体" w:hAnsi="Times New Roman"/>
          <w:sz w:val="21"/>
          <w:szCs w:val="21"/>
        </w:rPr>
        <w:t>综合考虑案件情况、当事人意愿和技术条件等因素决定是否进行线上口头审理。</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具有下列情形之一的，不适用线上口头审理：</w:t>
      </w:r>
    </w:p>
    <w:p w:rsidR="00800760" w:rsidRDefault="00235733">
      <w:r>
        <w:rPr>
          <w:rFonts w:hint="eastAsia"/>
        </w:rPr>
        <w:t>（</w:t>
      </w:r>
      <w:r>
        <w:rPr>
          <w:rFonts w:hint="eastAsia"/>
        </w:rPr>
        <w:t>1</w:t>
      </w:r>
      <w:r>
        <w:rPr>
          <w:rFonts w:hint="eastAsia"/>
        </w:rPr>
        <w:t>）</w:t>
      </w:r>
      <w:r>
        <w:t>当事人确有正当理由不能参加线上口头审理或者不具备参与线上口头审理的技术条件和能力，并书面提出申请</w:t>
      </w:r>
      <w:r>
        <w:rPr>
          <w:rFonts w:hint="eastAsia"/>
        </w:rPr>
        <w:t>，</w:t>
      </w:r>
      <w:r>
        <w:t>经</w:t>
      </w:r>
      <w:r>
        <w:rPr>
          <w:rFonts w:hint="eastAsia"/>
        </w:rPr>
        <w:t>管理专利工作的部门</w:t>
      </w:r>
      <w:r>
        <w:t>同意的</w:t>
      </w:r>
      <w:r>
        <w:rPr>
          <w:rFonts w:hint="eastAsia"/>
        </w:rPr>
        <w:t>；</w:t>
      </w:r>
    </w:p>
    <w:p w:rsidR="00800760" w:rsidRDefault="00235733">
      <w:r>
        <w:rPr>
          <w:rFonts w:hint="eastAsia"/>
        </w:rPr>
        <w:t>（</w:t>
      </w:r>
      <w:r>
        <w:rPr>
          <w:rFonts w:hint="eastAsia"/>
        </w:rPr>
        <w:t>2</w:t>
      </w:r>
      <w:r>
        <w:rPr>
          <w:rFonts w:hint="eastAsia"/>
        </w:rPr>
        <w:t>）</w:t>
      </w:r>
      <w:r>
        <w:t>案件疑难复杂、证据繁多，采用线上方式不利于查明事实和适用法律的</w:t>
      </w:r>
      <w:r>
        <w:rPr>
          <w:rFonts w:hint="eastAsia"/>
        </w:rPr>
        <w:t>；</w:t>
      </w:r>
    </w:p>
    <w:p w:rsidR="00800760" w:rsidRDefault="00235733">
      <w:r>
        <w:t>（</w:t>
      </w:r>
      <w:r>
        <w:t>3</w:t>
      </w:r>
      <w:r>
        <w:t>）案件</w:t>
      </w:r>
      <w:r>
        <w:rPr>
          <w:rStyle w:val="Char2"/>
          <w:rFonts w:ascii="Times New Roman" w:hAnsi="Times New Roman" w:cs="Times New Roman"/>
        </w:rPr>
        <w:t>涉及</w:t>
      </w:r>
      <w:r>
        <w:t>国家安全、国家秘密、商业秘密的</w:t>
      </w:r>
      <w:r>
        <w:rPr>
          <w:rFonts w:hint="eastAsia"/>
        </w:rPr>
        <w:t>；</w:t>
      </w:r>
    </w:p>
    <w:p w:rsidR="00800760" w:rsidRDefault="00235733">
      <w:r>
        <w:rPr>
          <w:rFonts w:hint="eastAsia"/>
        </w:rPr>
        <w:t>（</w:t>
      </w:r>
      <w:r>
        <w:rPr>
          <w:rFonts w:hint="eastAsia"/>
        </w:rPr>
        <w:t>4</w:t>
      </w:r>
      <w:r>
        <w:rPr>
          <w:rFonts w:hint="eastAsia"/>
        </w:rPr>
        <w:t>）管理专利工作的部门</w:t>
      </w:r>
      <w:r>
        <w:t>认为存在其他不宜适用线上口头审理情形的。</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符合情形</w:t>
      </w:r>
      <w:r>
        <w:rPr>
          <w:rFonts w:ascii="Times New Roman" w:eastAsia="宋体" w:hAnsi="Times New Roman" w:hint="eastAsia"/>
          <w:sz w:val="21"/>
          <w:szCs w:val="21"/>
        </w:rPr>
        <w:t>（</w:t>
      </w:r>
      <w:r>
        <w:rPr>
          <w:rFonts w:ascii="Times New Roman" w:eastAsia="宋体" w:hAnsi="Times New Roman" w:hint="eastAsia"/>
          <w:sz w:val="21"/>
          <w:szCs w:val="21"/>
        </w:rPr>
        <w:t>1</w:t>
      </w:r>
      <w:r>
        <w:rPr>
          <w:rFonts w:ascii="Times New Roman" w:eastAsia="宋体" w:hAnsi="Times New Roman" w:hint="eastAsia"/>
          <w:sz w:val="21"/>
          <w:szCs w:val="21"/>
        </w:rPr>
        <w:t>）</w:t>
      </w:r>
      <w:r>
        <w:rPr>
          <w:rFonts w:ascii="Times New Roman" w:eastAsia="宋体" w:hAnsi="Times New Roman"/>
          <w:sz w:val="21"/>
          <w:szCs w:val="21"/>
        </w:rPr>
        <w:t>的当事人参加线下口头审理，其他当事人可以继续参加线上口头审理。</w:t>
      </w:r>
    </w:p>
    <w:p w:rsidR="00800760" w:rsidRDefault="00235733">
      <w:pPr>
        <w:pStyle w:val="22"/>
        <w:topLinePunct/>
        <w:spacing w:line="336" w:lineRule="auto"/>
        <w:ind w:firstLine="420"/>
        <w:rPr>
          <w:rFonts w:ascii="Times New Roman" w:eastAsia="宋体" w:hAnsi="Times New Roman"/>
          <w:szCs w:val="21"/>
        </w:rPr>
      </w:pPr>
      <w:r>
        <w:rPr>
          <w:rFonts w:ascii="Times New Roman" w:eastAsia="宋体" w:hAnsi="Times New Roman"/>
          <w:sz w:val="21"/>
          <w:szCs w:val="21"/>
        </w:rPr>
        <w:t>线上口头审理</w:t>
      </w:r>
      <w:r>
        <w:rPr>
          <w:rFonts w:ascii="Times New Roman" w:eastAsia="宋体" w:hAnsi="Times New Roman" w:hint="eastAsia"/>
          <w:sz w:val="21"/>
          <w:szCs w:val="21"/>
        </w:rPr>
        <w:t>的流程与本节“</w:t>
      </w:r>
      <w:r w:rsidR="00C22A7B">
        <w:rPr>
          <w:rFonts w:ascii="Times New Roman" w:eastAsia="宋体" w:hAnsi="Times New Roman"/>
          <w:sz w:val="21"/>
          <w:szCs w:val="21"/>
        </w:rPr>
        <w:fldChar w:fldCharType="begin"/>
      </w:r>
      <w:r>
        <w:rPr>
          <w:rFonts w:ascii="Times New Roman" w:eastAsia="宋体" w:hAnsi="Times New Roman"/>
          <w:sz w:val="21"/>
          <w:szCs w:val="21"/>
        </w:rPr>
        <w:instrText>= 2 \* GB4</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（二）</w:t>
      </w:r>
      <w:r w:rsidR="00C22A7B">
        <w:rPr>
          <w:rFonts w:ascii="Times New Roman" w:eastAsia="宋体" w:hAnsi="Times New Roman"/>
          <w:sz w:val="21"/>
          <w:szCs w:val="21"/>
        </w:rPr>
        <w:fldChar w:fldCharType="end"/>
      </w:r>
      <w:r>
        <w:rPr>
          <w:rFonts w:ascii="Times New Roman" w:eastAsia="宋体" w:hAnsi="Times New Roman" w:hint="eastAsia"/>
          <w:sz w:val="21"/>
          <w:szCs w:val="21"/>
        </w:rPr>
        <w:t>口头审理的举行”部分相同，但合议组可视情况简化程序，如线上</w:t>
      </w:r>
      <w:r>
        <w:rPr>
          <w:rFonts w:ascii="Times New Roman" w:eastAsia="宋体" w:hAnsi="Times New Roman"/>
          <w:sz w:val="21"/>
          <w:szCs w:val="21"/>
        </w:rPr>
        <w:t>口头审理</w:t>
      </w:r>
      <w:r>
        <w:rPr>
          <w:rFonts w:ascii="Times New Roman" w:eastAsia="宋体" w:hAnsi="Times New Roman" w:hint="eastAsia"/>
          <w:sz w:val="21"/>
          <w:szCs w:val="21"/>
        </w:rPr>
        <w:t>前已经在线完成当事人身份核实、权利义务告知、纪律宣示的，线上</w:t>
      </w:r>
      <w:r>
        <w:rPr>
          <w:rFonts w:ascii="Times New Roman" w:eastAsia="宋体" w:hAnsi="Times New Roman"/>
          <w:sz w:val="21"/>
          <w:szCs w:val="21"/>
        </w:rPr>
        <w:t>口头审理</w:t>
      </w:r>
      <w:r>
        <w:rPr>
          <w:rFonts w:ascii="Times New Roman" w:eastAsia="宋体" w:hAnsi="Times New Roman" w:hint="eastAsia"/>
          <w:sz w:val="21"/>
          <w:szCs w:val="21"/>
        </w:rPr>
        <w:t>时不再重复进行；当事人已经在线完成证据交换的，对于无争议的证据，合议组在口</w:t>
      </w:r>
      <w:r>
        <w:rPr>
          <w:rFonts w:ascii="Times New Roman" w:eastAsia="宋体" w:hAnsi="Times New Roman"/>
          <w:sz w:val="21"/>
          <w:szCs w:val="21"/>
        </w:rPr>
        <w:t>头</w:t>
      </w:r>
      <w:r>
        <w:rPr>
          <w:rFonts w:ascii="Times New Roman" w:eastAsia="宋体" w:hAnsi="Times New Roman" w:hint="eastAsia"/>
          <w:sz w:val="21"/>
          <w:szCs w:val="21"/>
        </w:rPr>
        <w:t>审</w:t>
      </w:r>
      <w:r>
        <w:rPr>
          <w:rFonts w:ascii="Times New Roman" w:eastAsia="宋体" w:hAnsi="Times New Roman"/>
          <w:sz w:val="21"/>
          <w:szCs w:val="21"/>
        </w:rPr>
        <w:t>理</w:t>
      </w:r>
      <w:r>
        <w:rPr>
          <w:rFonts w:ascii="Times New Roman" w:eastAsia="宋体" w:hAnsi="Times New Roman" w:hint="eastAsia"/>
          <w:sz w:val="21"/>
          <w:szCs w:val="21"/>
        </w:rPr>
        <w:t>中说明后，可以不再举证、质证等。</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已采取线上口头审理的案件，口头审理过程中发现存在不适用线上口头审理情形的，</w:t>
      </w:r>
      <w:r>
        <w:rPr>
          <w:rFonts w:ascii="Times New Roman" w:eastAsia="宋体" w:hAnsi="Times New Roman" w:hint="eastAsia"/>
          <w:sz w:val="21"/>
          <w:szCs w:val="21"/>
        </w:rPr>
        <w:t>如存在确需当庭查明身份、核对原件、查验实物等特殊情况，合议组</w:t>
      </w:r>
      <w:r>
        <w:rPr>
          <w:rFonts w:ascii="Times New Roman" w:eastAsia="宋体" w:hAnsi="Times New Roman"/>
          <w:sz w:val="21"/>
          <w:szCs w:val="21"/>
        </w:rPr>
        <w:t>应当及时转为线下口头审理。已完成的线上口头审理</w:t>
      </w:r>
      <w:r>
        <w:rPr>
          <w:rFonts w:ascii="Times New Roman" w:eastAsia="宋体" w:hAnsi="Times New Roman" w:hint="eastAsia"/>
          <w:sz w:val="21"/>
          <w:szCs w:val="21"/>
        </w:rPr>
        <w:t>的</w:t>
      </w:r>
      <w:r>
        <w:rPr>
          <w:rFonts w:ascii="Times New Roman" w:eastAsia="宋体" w:hAnsi="Times New Roman"/>
          <w:sz w:val="21"/>
          <w:szCs w:val="21"/>
        </w:rPr>
        <w:t>部分具有效力。</w:t>
      </w:r>
    </w:p>
    <w:p w:rsidR="00800760" w:rsidRDefault="00235733">
      <w:pPr>
        <w:pStyle w:val="22"/>
        <w:topLinePunct/>
        <w:spacing w:line="336" w:lineRule="auto"/>
        <w:ind w:firstLine="420"/>
        <w:rPr>
          <w:rFonts w:ascii="Times New Roman" w:hAnsi="Times New Roman"/>
        </w:rPr>
      </w:pPr>
      <w:r>
        <w:rPr>
          <w:rFonts w:ascii="Times New Roman" w:eastAsia="宋体" w:hAnsi="Times New Roman"/>
          <w:sz w:val="21"/>
          <w:szCs w:val="21"/>
        </w:rPr>
        <w:t>参加线上口头审理的相关主体应当遵守数据安全和个人信息保护的相关法律法规，履行数据安全和个人信息保护义务。未经</w:t>
      </w:r>
      <w:r>
        <w:rPr>
          <w:rFonts w:ascii="Times New Roman" w:eastAsia="宋体" w:hAnsi="Times New Roman" w:hint="eastAsia"/>
          <w:sz w:val="21"/>
          <w:szCs w:val="21"/>
        </w:rPr>
        <w:t>管理专利工作的部门</w:t>
      </w:r>
      <w:r>
        <w:rPr>
          <w:rFonts w:ascii="Times New Roman" w:eastAsia="宋体" w:hAnsi="Times New Roman"/>
          <w:sz w:val="21"/>
          <w:szCs w:val="21"/>
        </w:rPr>
        <w:t>同意，任何人不得违法违规录制、截取、传播涉及线上口头审理过程的音频视频、图文资料。除</w:t>
      </w:r>
      <w:r>
        <w:rPr>
          <w:rFonts w:ascii="Times New Roman" w:eastAsia="宋体" w:hAnsi="Times New Roman" w:hint="eastAsia"/>
          <w:sz w:val="21"/>
          <w:szCs w:val="21"/>
        </w:rPr>
        <w:t>管理专利工作的部门</w:t>
      </w:r>
      <w:r>
        <w:rPr>
          <w:rFonts w:ascii="Times New Roman" w:eastAsia="宋体" w:hAnsi="Times New Roman"/>
          <w:sz w:val="21"/>
          <w:szCs w:val="21"/>
        </w:rPr>
        <w:t>依法公开的以外，任何人不得违法违规披露、传播和使用线上口头审理的数据信息。</w:t>
      </w:r>
    </w:p>
    <w:bookmarkStart w:id="840" w:name="_Toc28593181"/>
    <w:p w:rsidR="00800760" w:rsidRDefault="00C22A7B">
      <w:pPr>
        <w:pStyle w:val="5"/>
        <w:spacing w:before="120"/>
      </w:pPr>
      <w:r>
        <w:fldChar w:fldCharType="begin"/>
      </w:r>
      <w:r w:rsidR="00235733">
        <w:instrText>= 1 \* GB1</w:instrText>
      </w:r>
      <w:r>
        <w:fldChar w:fldCharType="separate"/>
      </w:r>
      <w:r w:rsidR="00235733">
        <w:rPr>
          <w:rFonts w:hint="eastAsia"/>
        </w:rPr>
        <w:t xml:space="preserve">2. </w:t>
      </w:r>
      <w:r>
        <w:fldChar w:fldCharType="end"/>
      </w:r>
      <w:r w:rsidR="00235733">
        <w:rPr>
          <w:rFonts w:hint="eastAsia"/>
        </w:rPr>
        <w:t>暂停口头审理</w:t>
      </w:r>
      <w:bookmarkEnd w:id="840"/>
    </w:p>
    <w:p w:rsidR="00800760" w:rsidRDefault="00235733">
      <w:pPr>
        <w:pStyle w:val="2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有下列情形之一的，合议组组长可以宣布暂停口头审理，并在必要时确定继续进行口头审理的时间：</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1</w:t>
      </w:r>
      <w:r>
        <w:rPr>
          <w:rFonts w:ascii="Times New Roman" w:eastAsia="宋体" w:hAnsi="Times New Roman" w:hint="eastAsia"/>
          <w:sz w:val="21"/>
          <w:szCs w:val="21"/>
        </w:rPr>
        <w:t>）当事人当场请求审理人员回避的；</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2</w:t>
      </w:r>
      <w:r>
        <w:rPr>
          <w:rFonts w:ascii="Times New Roman" w:eastAsia="宋体" w:hAnsi="Times New Roman" w:hint="eastAsia"/>
          <w:sz w:val="21"/>
          <w:szCs w:val="21"/>
        </w:rPr>
        <w:t>）因和解需要协商的；</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3</w:t>
      </w:r>
      <w:r>
        <w:rPr>
          <w:rFonts w:ascii="Times New Roman" w:eastAsia="宋体" w:hAnsi="Times New Roman" w:hint="eastAsia"/>
          <w:sz w:val="21"/>
          <w:szCs w:val="21"/>
        </w:rPr>
        <w:t>）需要对发明创造进一步演示的；</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4</w:t>
      </w:r>
      <w:r>
        <w:rPr>
          <w:rFonts w:ascii="Times New Roman" w:eastAsia="宋体" w:hAnsi="Times New Roman" w:hint="eastAsia"/>
          <w:sz w:val="21"/>
          <w:szCs w:val="21"/>
        </w:rPr>
        <w:t>）合议组发现案件事实尚未查清，需要当事人补充证据或者由管理专利工作的部门自行调查收集证据的；</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5</w:t>
      </w:r>
      <w:r>
        <w:rPr>
          <w:rFonts w:ascii="Times New Roman" w:eastAsia="宋体" w:hAnsi="Times New Roman" w:hint="eastAsia"/>
          <w:sz w:val="21"/>
          <w:szCs w:val="21"/>
        </w:rPr>
        <w:t>）合议组认为必要的其他情形。</w:t>
      </w:r>
    </w:p>
    <w:p w:rsidR="00800760" w:rsidRDefault="00C22A7B">
      <w:pPr>
        <w:pStyle w:val="5"/>
        <w:spacing w:before="120"/>
      </w:pPr>
      <w:r>
        <w:fldChar w:fldCharType="begin"/>
      </w:r>
      <w:r w:rsidR="00235733">
        <w:instrText>= 2 \* GB1</w:instrText>
      </w:r>
      <w:r>
        <w:fldChar w:fldCharType="separate"/>
      </w:r>
      <w:bookmarkStart w:id="841" w:name="_Toc28593182"/>
      <w:r w:rsidR="00235733">
        <w:rPr>
          <w:rFonts w:hint="eastAsia"/>
        </w:rPr>
        <w:t xml:space="preserve">3. </w:t>
      </w:r>
      <w:r>
        <w:fldChar w:fldCharType="end"/>
      </w:r>
      <w:r w:rsidR="00235733">
        <w:rPr>
          <w:rFonts w:hint="eastAsia"/>
        </w:rPr>
        <w:t>当事人中途退场</w:t>
      </w:r>
      <w:bookmarkEnd w:id="841"/>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当事人未经合议组许可中途退场的，或者因妨碍口头审理进行而被合议组责令退场的，应当就该当事人已经陈述的内容及其中途退场或者被责令退场的事实进行记录，并由当事人或者合议组签字确认。</w:t>
      </w:r>
    </w:p>
    <w:p w:rsidR="00800760" w:rsidRDefault="00C22A7B">
      <w:pPr>
        <w:pStyle w:val="5"/>
        <w:spacing w:before="120"/>
      </w:pPr>
      <w:r>
        <w:fldChar w:fldCharType="begin"/>
      </w:r>
      <w:r w:rsidR="00235733">
        <w:instrText>= 3 \* GB1</w:instrText>
      </w:r>
      <w:r>
        <w:fldChar w:fldCharType="separate"/>
      </w:r>
      <w:bookmarkStart w:id="842" w:name="_Toc28593183"/>
      <w:r w:rsidR="00235733">
        <w:rPr>
          <w:rFonts w:hint="eastAsia"/>
        </w:rPr>
        <w:t xml:space="preserve">4. </w:t>
      </w:r>
      <w:r>
        <w:fldChar w:fldCharType="end"/>
      </w:r>
      <w:r w:rsidR="00235733">
        <w:rPr>
          <w:rFonts w:hint="eastAsia"/>
        </w:rPr>
        <w:t>证人作证</w:t>
      </w:r>
      <w:bookmarkEnd w:id="842"/>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1</w:t>
      </w:r>
      <w:r>
        <w:rPr>
          <w:rFonts w:ascii="Times New Roman" w:eastAsia="宋体" w:hAnsi="Times New Roman" w:hint="eastAsia"/>
          <w:sz w:val="21"/>
          <w:szCs w:val="21"/>
        </w:rPr>
        <w:t>）出具过证言的证人可以就其证言出庭作证；当事人在口头审理中提出证人出庭作证请求的，合议组根据案件的具体情况决定是否准许。</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2</w:t>
      </w:r>
      <w:r>
        <w:rPr>
          <w:rFonts w:ascii="Times New Roman" w:eastAsia="宋体" w:hAnsi="Times New Roman" w:hint="eastAsia"/>
          <w:sz w:val="21"/>
          <w:szCs w:val="21"/>
        </w:rPr>
        <w:t>）证人出庭作证时，应当要求其出示证明其身份的证件，合议组应当告知其诚实作证的法律义务和作伪证的法律责任。</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3</w:t>
      </w:r>
      <w:r>
        <w:rPr>
          <w:rFonts w:ascii="Times New Roman" w:eastAsia="宋体" w:hAnsi="Times New Roman" w:hint="eastAsia"/>
          <w:sz w:val="21"/>
          <w:szCs w:val="21"/>
        </w:rPr>
        <w:t>）出庭作证的证人不得旁听案件的审理。询问证人时，其他证人不得在场，但需要证人对质的除外。</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4</w:t>
      </w:r>
      <w:r>
        <w:rPr>
          <w:rFonts w:ascii="Times New Roman" w:eastAsia="宋体" w:hAnsi="Times New Roman" w:hint="eastAsia"/>
          <w:sz w:val="21"/>
          <w:szCs w:val="21"/>
        </w:rPr>
        <w:t>）合议组可以对证人进行提问。双方当事人经合议组许可，可以对证人进行交叉提问。合议组应当要求证人对合议组、双方当事人提出的问题作出明确回答，证人对于当事人提出的与案件无关的问题可以拒绝回答。</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5</w:t>
      </w:r>
      <w:r>
        <w:rPr>
          <w:rFonts w:ascii="Times New Roman" w:eastAsia="宋体" w:hAnsi="Times New Roman" w:hint="eastAsia"/>
          <w:sz w:val="21"/>
          <w:szCs w:val="21"/>
        </w:rPr>
        <w:t>）证人接受询问后，应当要求其在口头审理笔录中记载与其回答问题有关的页面上签名。</w:t>
      </w:r>
    </w:p>
    <w:p w:rsidR="00800760" w:rsidRDefault="00C22A7B">
      <w:pPr>
        <w:pStyle w:val="5"/>
        <w:spacing w:before="120"/>
      </w:pPr>
      <w:r>
        <w:fldChar w:fldCharType="begin"/>
      </w:r>
      <w:r w:rsidR="00235733">
        <w:instrText>= 4 \* GB1</w:instrText>
      </w:r>
      <w:r>
        <w:fldChar w:fldCharType="separate"/>
      </w:r>
      <w:bookmarkStart w:id="843" w:name="_Toc28593184"/>
      <w:r w:rsidR="00235733">
        <w:rPr>
          <w:rFonts w:hint="eastAsia"/>
        </w:rPr>
        <w:t xml:space="preserve">5. </w:t>
      </w:r>
      <w:r>
        <w:fldChar w:fldCharType="end"/>
      </w:r>
      <w:r w:rsidR="00235733">
        <w:rPr>
          <w:rFonts w:hint="eastAsia"/>
        </w:rPr>
        <w:t>口头审理笔录</w:t>
      </w:r>
      <w:bookmarkEnd w:id="843"/>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在口头审理中，由书记员进行记录。担任记录的人员应当将口头审理的参加人和审理要点记入笔录。条件允许的情况下，可以使用录音、摄像设备进行记录。</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口头审理结束后，合议组应当将笔录交当事人阅读。对笔录的差错，当事人有权请求更正。笔录核实无误后，应当由当事人、合议组成员、书记员签字并存入案卷。当事人拒绝签字的，应当在口头审理笔录中注明。</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应当告知当事人可以对口头审理笔录进行阅读、复制、抄摘。</w:t>
      </w:r>
    </w:p>
    <w:p w:rsidR="00800760" w:rsidRDefault="00C22A7B">
      <w:pPr>
        <w:pStyle w:val="5"/>
        <w:spacing w:before="120"/>
      </w:pPr>
      <w:r>
        <w:fldChar w:fldCharType="begin"/>
      </w:r>
      <w:r w:rsidR="00235733">
        <w:instrText>= 5 \* GB1</w:instrText>
      </w:r>
      <w:r>
        <w:fldChar w:fldCharType="separate"/>
      </w:r>
      <w:bookmarkStart w:id="844" w:name="_Toc28593185"/>
      <w:r w:rsidR="00235733">
        <w:rPr>
          <w:rFonts w:hint="eastAsia"/>
        </w:rPr>
        <w:t xml:space="preserve">6. </w:t>
      </w:r>
      <w:r>
        <w:fldChar w:fldCharType="end"/>
      </w:r>
      <w:r w:rsidR="00235733">
        <w:rPr>
          <w:rFonts w:hint="eastAsia"/>
        </w:rPr>
        <w:t>口头审理的旁听</w:t>
      </w:r>
      <w:bookmarkEnd w:id="844"/>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公开口头审理的案件允许旁听。</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旁听者违反口头审理纪律的，合议组组长应当及时予以制止；不听劝告的，合议组组长应当责令其退场。</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必要时，管理专利工作的部门可以要求旁听者办理旁听手续。</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口头审理不公开进行的，不允许旁听。</w:t>
      </w:r>
    </w:p>
    <w:p w:rsidR="00800760" w:rsidRDefault="00C22A7B">
      <w:pPr>
        <w:pStyle w:val="5"/>
        <w:spacing w:before="120"/>
      </w:pPr>
      <w:r>
        <w:fldChar w:fldCharType="begin"/>
      </w:r>
      <w:r w:rsidR="00235733">
        <w:instrText>= 6 \* GB1</w:instrText>
      </w:r>
      <w:r>
        <w:fldChar w:fldCharType="separate"/>
      </w:r>
      <w:r w:rsidR="00235733">
        <w:rPr>
          <w:rFonts w:hint="eastAsia"/>
        </w:rPr>
        <w:t>7.</w:t>
      </w:r>
      <w:r>
        <w:fldChar w:fldCharType="end"/>
      </w:r>
      <w:r w:rsidR="00235733">
        <w:rPr>
          <w:rFonts w:hint="eastAsia"/>
        </w:rPr>
        <w:t>口头审理的公开</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口头审理应当公开进行，但</w:t>
      </w:r>
      <w:r>
        <w:rPr>
          <w:rFonts w:ascii="Times New Roman" w:eastAsia="宋体" w:hAnsi="Times New Roman"/>
          <w:sz w:val="21"/>
          <w:szCs w:val="21"/>
        </w:rPr>
        <w:t>涉及国家秘密、个人隐私或者法律另有规定的</w:t>
      </w:r>
      <w:r>
        <w:rPr>
          <w:rFonts w:ascii="Times New Roman" w:eastAsia="宋体" w:hAnsi="Times New Roman" w:hint="eastAsia"/>
          <w:sz w:val="21"/>
          <w:szCs w:val="21"/>
        </w:rPr>
        <w:t>除外。</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涉及商业秘密的案件，当事人申请不公开审理的，可以不公开审理</w:t>
      </w:r>
      <w:r>
        <w:rPr>
          <w:rFonts w:ascii="Times New Roman" w:eastAsia="宋体" w:hAnsi="Times New Roman" w:hint="eastAsia"/>
          <w:sz w:val="21"/>
          <w:szCs w:val="21"/>
        </w:rPr>
        <w:t>，具体是否公开审理由合议组决定</w:t>
      </w:r>
      <w:r>
        <w:rPr>
          <w:rFonts w:ascii="Times New Roman" w:eastAsia="宋体" w:hAnsi="Times New Roman"/>
          <w:sz w:val="21"/>
          <w:szCs w:val="21"/>
        </w:rPr>
        <w:t>。</w:t>
      </w:r>
    </w:p>
    <w:p w:rsidR="00800760" w:rsidRDefault="00C22A7B">
      <w:pPr>
        <w:pStyle w:val="5"/>
        <w:spacing w:before="120"/>
      </w:pPr>
      <w:r>
        <w:fldChar w:fldCharType="begin"/>
      </w:r>
      <w:r w:rsidR="00235733">
        <w:instrText>= 6 \* GB1</w:instrText>
      </w:r>
      <w:r>
        <w:fldChar w:fldCharType="separate"/>
      </w:r>
      <w:bookmarkStart w:id="845" w:name="_Toc28593186"/>
      <w:r w:rsidR="00235733">
        <w:rPr>
          <w:rFonts w:hint="eastAsia"/>
        </w:rPr>
        <w:t>8.</w:t>
      </w:r>
      <w:r>
        <w:fldChar w:fldCharType="end"/>
      </w:r>
      <w:r w:rsidR="00235733">
        <w:rPr>
          <w:rFonts w:hint="eastAsia"/>
        </w:rPr>
        <w:t>口头审理注意事项</w:t>
      </w:r>
      <w:bookmarkEnd w:id="845"/>
    </w:p>
    <w:p w:rsidR="00800760" w:rsidRDefault="00235733">
      <w:pPr>
        <w:pStyle w:val="a6"/>
      </w:pPr>
      <w:r>
        <w:rPr>
          <w:rFonts w:cs="Times New Roman"/>
        </w:rPr>
        <w:t>（1）</w:t>
      </w:r>
      <w:r>
        <w:rPr>
          <w:rFonts w:hint="eastAsia"/>
        </w:rPr>
        <w:t>合议组组长负责主持口头审理的各项程序；</w:t>
      </w:r>
    </w:p>
    <w:p w:rsidR="00800760" w:rsidRDefault="00235733">
      <w:pPr>
        <w:pStyle w:val="a6"/>
      </w:pPr>
      <w:r>
        <w:rPr>
          <w:rFonts w:hint="eastAsia"/>
        </w:rPr>
        <w:t>（</w:t>
      </w:r>
      <w:r>
        <w:t>2</w:t>
      </w:r>
      <w:r>
        <w:rPr>
          <w:rFonts w:hint="eastAsia"/>
        </w:rPr>
        <w:t>）合议组应及时制止当事人过激的情绪或与案件无关的议论，维护好秩序；</w:t>
      </w:r>
    </w:p>
    <w:p w:rsidR="00800760" w:rsidRDefault="00235733">
      <w:pPr>
        <w:pStyle w:val="a6"/>
      </w:pPr>
      <w:r>
        <w:rPr>
          <w:rFonts w:hint="eastAsia"/>
        </w:rPr>
        <w:t>（</w:t>
      </w:r>
      <w:r>
        <w:t>3</w:t>
      </w:r>
      <w:r>
        <w:rPr>
          <w:rFonts w:hint="eastAsia"/>
        </w:rPr>
        <w:t>）合议组应认真、仔细听取各方的意见，不得对案件性质及证据效力发表意见，不得与当事人辩论；</w:t>
      </w:r>
    </w:p>
    <w:p w:rsidR="00800760" w:rsidRDefault="00235733">
      <w:pPr>
        <w:pStyle w:val="a6"/>
      </w:pPr>
      <w:r>
        <w:rPr>
          <w:rFonts w:cs="Times New Roman"/>
        </w:rPr>
        <w:t>（4）</w:t>
      </w:r>
      <w:r>
        <w:rPr>
          <w:rFonts w:hint="eastAsia"/>
        </w:rPr>
        <w:t>注意委托代理人的权限，特别是对于承认、放弃等事项的权限；</w:t>
      </w:r>
    </w:p>
    <w:p w:rsidR="00800760" w:rsidRDefault="00235733">
      <w:pPr>
        <w:pStyle w:val="a6"/>
      </w:pPr>
      <w:r>
        <w:rPr>
          <w:rFonts w:hint="eastAsia"/>
        </w:rPr>
        <w:t>（</w:t>
      </w:r>
      <w:r>
        <w:t>5</w:t>
      </w:r>
      <w:r>
        <w:rPr>
          <w:rFonts w:hint="eastAsia"/>
        </w:rPr>
        <w:t>）口头审理笔录力求全面、准确，书记员来不及记录的，合议组组长应当示意当事人暂停或放慢陈述，以便于记录；</w:t>
      </w:r>
    </w:p>
    <w:p w:rsidR="00800760" w:rsidRDefault="00235733">
      <w:pPr>
        <w:pStyle w:val="a6"/>
      </w:pPr>
      <w:r>
        <w:rPr>
          <w:rFonts w:hint="eastAsia"/>
        </w:rPr>
        <w:t>（</w:t>
      </w:r>
      <w:r>
        <w:t>6</w:t>
      </w:r>
      <w:r>
        <w:rPr>
          <w:rFonts w:hint="eastAsia"/>
        </w:rPr>
        <w:t>）重要的数字，如数量、价格、时间等，尽量不用大约、估计等模糊的、不确定的表述。</w:t>
      </w:r>
      <w:bookmarkStart w:id="846" w:name="_Toc487793404"/>
    </w:p>
    <w:p w:rsidR="00800760" w:rsidRDefault="00C22A7B">
      <w:pPr>
        <w:pStyle w:val="4"/>
        <w:spacing w:before="240"/>
        <w:rPr>
          <w:rFonts w:ascii="Times New Roman" w:hAnsi="Times New Roman"/>
          <w:color w:val="000000"/>
        </w:rPr>
      </w:pPr>
      <w:r>
        <w:fldChar w:fldCharType="begin"/>
      </w:r>
      <w:r w:rsidR="00235733">
        <w:instrText>= 4 \* GB4</w:instrText>
      </w:r>
      <w:r>
        <w:fldChar w:fldCharType="separate"/>
      </w:r>
      <w:bookmarkStart w:id="847" w:name="_Toc28593187"/>
      <w:r w:rsidR="00235733">
        <w:t>（四）</w:t>
      </w:r>
      <w:r>
        <w:fldChar w:fldCharType="end"/>
      </w:r>
      <w:r w:rsidR="00235733">
        <w:t>案</w:t>
      </w:r>
      <w:r w:rsidR="00235733">
        <w:rPr>
          <w:rFonts w:ascii="Times New Roman" w:hAnsi="Times New Roman"/>
          <w:color w:val="000000"/>
        </w:rPr>
        <w:t>件的中止及恢复处理</w:t>
      </w:r>
      <w:bookmarkEnd w:id="846"/>
      <w:bookmarkEnd w:id="847"/>
    </w:p>
    <w:p w:rsidR="00800760" w:rsidRDefault="00C22A7B">
      <w:pPr>
        <w:pStyle w:val="5"/>
        <w:spacing w:before="120"/>
      </w:pPr>
      <w:r>
        <w:fldChar w:fldCharType="begin"/>
      </w:r>
      <w:r w:rsidR="00235733">
        <w:instrText>= 1 \* GB1</w:instrText>
      </w:r>
      <w:r>
        <w:fldChar w:fldCharType="separate"/>
      </w:r>
      <w:bookmarkStart w:id="848" w:name="_Toc28593188"/>
      <w:r w:rsidR="00235733">
        <w:rPr>
          <w:rFonts w:hint="eastAsia"/>
        </w:rPr>
        <w:t xml:space="preserve">1. </w:t>
      </w:r>
      <w:r>
        <w:fldChar w:fldCharType="end"/>
      </w:r>
      <w:r w:rsidR="00235733">
        <w:rPr>
          <w:rFonts w:hint="eastAsia"/>
        </w:rPr>
        <w:t>中止处理的情形</w:t>
      </w:r>
      <w:bookmarkEnd w:id="848"/>
    </w:p>
    <w:p w:rsidR="00800760" w:rsidRDefault="00235733">
      <w:r>
        <w:rPr>
          <w:rFonts w:hint="eastAsia"/>
        </w:rPr>
        <w:t>有以下情形之一的，管理专利工作的部门应当依申请或者依职权中止案件处理：</w:t>
      </w:r>
    </w:p>
    <w:p w:rsidR="00800760" w:rsidRDefault="00235733">
      <w:pPr>
        <w:rPr>
          <w:spacing w:val="2"/>
        </w:rPr>
      </w:pPr>
      <w:r>
        <w:rPr>
          <w:rFonts w:hint="eastAsia"/>
        </w:rPr>
        <w:t>（</w:t>
      </w:r>
      <w:r>
        <w:t>1</w:t>
      </w:r>
      <w:r>
        <w:rPr>
          <w:rFonts w:hint="eastAsia"/>
        </w:rPr>
        <w:t>）</w:t>
      </w:r>
      <w:r>
        <w:rPr>
          <w:rFonts w:hint="eastAsia"/>
          <w:spacing w:val="2"/>
        </w:rPr>
        <w:t>涉案实用新型、外观设计专利权被申请宣告无效并被国务院专利行政部门受理的；</w:t>
      </w:r>
    </w:p>
    <w:p w:rsidR="00800760" w:rsidRDefault="00235733">
      <w:r>
        <w:t>（</w:t>
      </w:r>
      <w:r>
        <w:t>2</w:t>
      </w:r>
      <w:r>
        <w:t>）一方当事人</w:t>
      </w:r>
      <w:r>
        <w:rPr>
          <w:rFonts w:hint="eastAsia"/>
        </w:rPr>
        <w:t>死亡，需要等待继承人表明是否参加审理的；</w:t>
      </w:r>
    </w:p>
    <w:p w:rsidR="00800760" w:rsidRDefault="00235733">
      <w:r>
        <w:rPr>
          <w:rFonts w:hint="eastAsia"/>
        </w:rPr>
        <w:t>（</w:t>
      </w:r>
      <w:r>
        <w:t>3</w:t>
      </w:r>
      <w:r>
        <w:rPr>
          <w:rFonts w:hint="eastAsia"/>
        </w:rPr>
        <w:t>）一方当事人丧失民事行为能力，尚未确定法定代理人的；</w:t>
      </w:r>
    </w:p>
    <w:p w:rsidR="00800760" w:rsidRDefault="00235733">
      <w:r>
        <w:rPr>
          <w:rFonts w:hint="eastAsia"/>
        </w:rPr>
        <w:t>（</w:t>
      </w:r>
      <w:r>
        <w:t>4</w:t>
      </w:r>
      <w:r>
        <w:rPr>
          <w:rFonts w:hint="eastAsia"/>
        </w:rPr>
        <w:t>）作为一方当事人的法人或者非法人组织终止，尚未确定权利义务承受人的；</w:t>
      </w:r>
    </w:p>
    <w:p w:rsidR="00800760" w:rsidRDefault="00235733">
      <w:r>
        <w:t>（</w:t>
      </w:r>
      <w:r>
        <w:t>5</w:t>
      </w:r>
      <w:r>
        <w:t>）一</w:t>
      </w:r>
      <w:r>
        <w:rPr>
          <w:rFonts w:hint="eastAsia"/>
        </w:rPr>
        <w:t>方当事人因不可抗拒的事由，不能参加审理的；</w:t>
      </w:r>
    </w:p>
    <w:p w:rsidR="00800760" w:rsidRDefault="00235733">
      <w:r>
        <w:rPr>
          <w:rFonts w:hint="eastAsia"/>
        </w:rPr>
        <w:t>（</w:t>
      </w:r>
      <w:r>
        <w:t>6</w:t>
      </w:r>
      <w:r>
        <w:rPr>
          <w:rFonts w:hint="eastAsia"/>
        </w:rPr>
        <w:t>）该案必须以另一案的审理结果为依据，而另一案尚未审结的；</w:t>
      </w:r>
    </w:p>
    <w:p w:rsidR="00800760" w:rsidRDefault="00235733">
      <w:r>
        <w:rPr>
          <w:rFonts w:hint="eastAsia"/>
        </w:rPr>
        <w:t>（</w:t>
      </w:r>
      <w:r>
        <w:t>7</w:t>
      </w:r>
      <w:r>
        <w:rPr>
          <w:rFonts w:hint="eastAsia"/>
        </w:rPr>
        <w:t>）向上级部门请示，属于法律适用问题等确需等待批复后继续审理的。</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中止处理主要指在案件的审理过程中，由于出现一些特定情形，案件无法继续审理。中止的情形主要包括两类，一类是当事人的特定情形，即情形（</w:t>
      </w:r>
      <w:r>
        <w:rPr>
          <w:rFonts w:ascii="Times New Roman" w:eastAsia="宋体" w:hAnsi="Times New Roman"/>
          <w:sz w:val="21"/>
          <w:szCs w:val="21"/>
        </w:rPr>
        <w:t>2</w:t>
      </w:r>
      <w:r>
        <w:rPr>
          <w:rFonts w:ascii="Times New Roman" w:eastAsia="宋体" w:hAnsi="Times New Roman" w:hint="eastAsia"/>
          <w:sz w:val="21"/>
          <w:szCs w:val="21"/>
        </w:rPr>
        <w:t>）、（</w:t>
      </w:r>
      <w:r>
        <w:rPr>
          <w:rFonts w:ascii="Times New Roman" w:eastAsia="宋体" w:hAnsi="Times New Roman" w:hint="eastAsia"/>
          <w:sz w:val="21"/>
          <w:szCs w:val="21"/>
        </w:rPr>
        <w:t>3</w:t>
      </w:r>
      <w:r>
        <w:rPr>
          <w:rFonts w:ascii="Times New Roman" w:eastAsia="宋体" w:hAnsi="Times New Roman" w:hint="eastAsia"/>
          <w:sz w:val="21"/>
          <w:szCs w:val="21"/>
        </w:rPr>
        <w:t>）、（</w:t>
      </w:r>
      <w:r>
        <w:rPr>
          <w:rFonts w:ascii="Times New Roman" w:eastAsia="宋体" w:hAnsi="Times New Roman" w:hint="eastAsia"/>
          <w:sz w:val="21"/>
          <w:szCs w:val="21"/>
        </w:rPr>
        <w:t>4</w:t>
      </w:r>
      <w:r>
        <w:rPr>
          <w:rFonts w:ascii="Times New Roman" w:eastAsia="宋体" w:hAnsi="Times New Roman" w:hint="eastAsia"/>
          <w:sz w:val="21"/>
          <w:szCs w:val="21"/>
        </w:rPr>
        <w:t>）、（</w:t>
      </w:r>
      <w:r>
        <w:rPr>
          <w:rFonts w:ascii="Times New Roman" w:eastAsia="宋体" w:hAnsi="Times New Roman" w:hint="eastAsia"/>
          <w:sz w:val="21"/>
          <w:szCs w:val="21"/>
        </w:rPr>
        <w:t>5</w:t>
      </w:r>
      <w:r>
        <w:rPr>
          <w:rFonts w:ascii="Times New Roman" w:eastAsia="宋体" w:hAnsi="Times New Roman" w:hint="eastAsia"/>
          <w:sz w:val="21"/>
          <w:szCs w:val="21"/>
        </w:rPr>
        <w:t>），一类是案件事实和法律适用的特定情形，即情形（</w:t>
      </w:r>
      <w:r>
        <w:rPr>
          <w:rFonts w:ascii="Times New Roman" w:eastAsia="宋体" w:hAnsi="Times New Roman" w:hint="eastAsia"/>
          <w:sz w:val="21"/>
          <w:szCs w:val="21"/>
        </w:rPr>
        <w:t>1</w:t>
      </w:r>
      <w:r>
        <w:rPr>
          <w:rFonts w:ascii="Times New Roman" w:eastAsia="宋体" w:hAnsi="Times New Roman" w:hint="eastAsia"/>
          <w:sz w:val="21"/>
          <w:szCs w:val="21"/>
        </w:rPr>
        <w:t>）、（</w:t>
      </w:r>
      <w:r>
        <w:rPr>
          <w:rFonts w:ascii="Times New Roman" w:eastAsia="宋体" w:hAnsi="Times New Roman" w:hint="eastAsia"/>
          <w:sz w:val="21"/>
          <w:szCs w:val="21"/>
        </w:rPr>
        <w:t>6</w:t>
      </w:r>
      <w:r>
        <w:rPr>
          <w:rFonts w:ascii="Times New Roman" w:eastAsia="宋体" w:hAnsi="Times New Roman" w:hint="eastAsia"/>
          <w:sz w:val="21"/>
          <w:szCs w:val="21"/>
        </w:rPr>
        <w:t>）、（</w:t>
      </w:r>
      <w:r>
        <w:rPr>
          <w:rFonts w:ascii="Times New Roman" w:eastAsia="宋体" w:hAnsi="Times New Roman" w:hint="eastAsia"/>
          <w:sz w:val="21"/>
          <w:szCs w:val="21"/>
        </w:rPr>
        <w:t>7</w:t>
      </w:r>
      <w:r>
        <w:rPr>
          <w:rFonts w:ascii="Times New Roman" w:eastAsia="宋体" w:hAnsi="Times New Roman" w:hint="eastAsia"/>
          <w:sz w:val="21"/>
          <w:szCs w:val="21"/>
        </w:rPr>
        <w:t>）。</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实用新型、外观设计未经实质审查，其专利权相对不稳定。根据《专利纠纷行政裁决和调解办法》第十四条第二款的规定，实用新型和外观设计专利权评价报告属于请求人在请求立案阶段应管理专利工作的部门的要求提交的证明材料，在案件审理阶段提出</w:t>
      </w:r>
      <w:r>
        <w:rPr>
          <w:rFonts w:ascii="Times New Roman" w:eastAsia="宋体" w:hAnsi="Times New Roman"/>
          <w:sz w:val="21"/>
          <w:szCs w:val="21"/>
        </w:rPr>
        <w:t>出具</w:t>
      </w:r>
      <w:r>
        <w:rPr>
          <w:rFonts w:ascii="Times New Roman" w:eastAsia="宋体" w:hAnsi="Times New Roman" w:hint="eastAsia"/>
          <w:sz w:val="21"/>
          <w:szCs w:val="21"/>
        </w:rPr>
        <w:t>专利权评价报告的请求不属于</w:t>
      </w:r>
      <w:r>
        <w:rPr>
          <w:rFonts w:ascii="Times New Roman" w:eastAsia="宋体" w:hAnsi="Times New Roman"/>
          <w:sz w:val="21"/>
          <w:szCs w:val="21"/>
        </w:rPr>
        <w:t>中止案件处理</w:t>
      </w:r>
      <w:r>
        <w:rPr>
          <w:rFonts w:ascii="Times New Roman" w:eastAsia="宋体" w:hAnsi="Times New Roman" w:hint="eastAsia"/>
          <w:sz w:val="21"/>
          <w:szCs w:val="21"/>
        </w:rPr>
        <w:t>的情形。</w:t>
      </w:r>
    </w:p>
    <w:p w:rsidR="00800760" w:rsidRDefault="00C22A7B">
      <w:pPr>
        <w:pStyle w:val="5"/>
        <w:spacing w:before="120"/>
        <w:rPr>
          <w:color w:val="000000"/>
        </w:rPr>
      </w:pPr>
      <w:r>
        <w:fldChar w:fldCharType="begin"/>
      </w:r>
      <w:r w:rsidR="00235733">
        <w:instrText>= 2 \* GB1</w:instrText>
      </w:r>
      <w:r>
        <w:fldChar w:fldCharType="separate"/>
      </w:r>
      <w:bookmarkStart w:id="849" w:name="_Toc28593189"/>
      <w:r w:rsidR="00235733">
        <w:rPr>
          <w:rFonts w:hint="eastAsia"/>
        </w:rPr>
        <w:t xml:space="preserve">2. </w:t>
      </w:r>
      <w:r>
        <w:fldChar w:fldCharType="end"/>
      </w:r>
      <w:r w:rsidR="00235733">
        <w:rPr>
          <w:rFonts w:hint="eastAsia"/>
        </w:rPr>
        <w:t>因提出专利权</w:t>
      </w:r>
      <w:r w:rsidR="00235733">
        <w:rPr>
          <w:rFonts w:hint="eastAsia"/>
          <w:color w:val="000000"/>
        </w:rPr>
        <w:t>无效宣告请求申请中止的情形</w:t>
      </w:r>
      <w:bookmarkEnd w:id="849"/>
    </w:p>
    <w:p w:rsidR="00800760" w:rsidRDefault="00C22A7B">
      <w:r>
        <w:fldChar w:fldCharType="begin"/>
      </w:r>
      <w:r w:rsidR="00235733">
        <w:instrText>= 1 \* GB2</w:instrText>
      </w:r>
      <w:r>
        <w:fldChar w:fldCharType="separate"/>
      </w:r>
      <w:r w:rsidR="00235733">
        <w:t>（</w:t>
      </w:r>
      <w:r w:rsidR="00235733">
        <w:t>1</w:t>
      </w:r>
      <w:r w:rsidR="00235733">
        <w:t>）</w:t>
      </w:r>
      <w:r>
        <w:fldChar w:fldCharType="end"/>
      </w:r>
      <w:r w:rsidR="00235733">
        <w:t>提</w:t>
      </w:r>
      <w:r w:rsidR="00235733">
        <w:rPr>
          <w:rFonts w:hint="eastAsia"/>
        </w:rPr>
        <w:t>出中止申请的条件</w:t>
      </w:r>
    </w:p>
    <w:p w:rsidR="00800760" w:rsidRDefault="00235733">
      <w:r>
        <w:rPr>
          <w:rFonts w:hint="eastAsia"/>
        </w:rPr>
        <w:t>被请求人以申请宣告涉案专利权无效为由提出中止处理的，应当满足以下条件：</w:t>
      </w:r>
    </w:p>
    <w:p w:rsidR="00800760" w:rsidRDefault="00C22A7B">
      <w:r>
        <w:fldChar w:fldCharType="begin"/>
      </w:r>
      <w:r w:rsidR="00235733">
        <w:instrText>= 1 \* GB3</w:instrText>
      </w:r>
      <w:r>
        <w:fldChar w:fldCharType="separate"/>
      </w:r>
      <w:r w:rsidR="00235733">
        <w:rPr>
          <w:rFonts w:ascii="宋体" w:hAnsi="宋体" w:cs="宋体" w:hint="eastAsia"/>
        </w:rPr>
        <w:t>①</w:t>
      </w:r>
      <w:r>
        <w:fldChar w:fldCharType="end"/>
      </w:r>
      <w:r w:rsidR="00235733">
        <w:t>提起宣</w:t>
      </w:r>
      <w:r w:rsidR="00235733">
        <w:rPr>
          <w:rFonts w:hint="eastAsia"/>
        </w:rPr>
        <w:t>告专利权无效申请的是被请求人或者利害关系人；</w:t>
      </w:r>
    </w:p>
    <w:p w:rsidR="00800760" w:rsidRDefault="00C22A7B">
      <w:r>
        <w:fldChar w:fldCharType="begin"/>
      </w:r>
      <w:r w:rsidR="00235733">
        <w:instrText>= 2 \* GB3</w:instrText>
      </w:r>
      <w:r>
        <w:fldChar w:fldCharType="separate"/>
      </w:r>
      <w:r w:rsidR="00235733">
        <w:rPr>
          <w:rFonts w:hint="eastAsia"/>
          <w:lang w:val="en-US"/>
        </w:rPr>
        <w:t>②</w:t>
      </w:r>
      <w:r>
        <w:fldChar w:fldCharType="end"/>
      </w:r>
      <w:r w:rsidR="00235733">
        <w:rPr>
          <w:rFonts w:hint="eastAsia"/>
        </w:rPr>
        <w:t>宣告专利权无效申请已被受理；</w:t>
      </w:r>
    </w:p>
    <w:p w:rsidR="00800760" w:rsidRDefault="00C22A7B">
      <w:r>
        <w:fldChar w:fldCharType="begin"/>
      </w:r>
      <w:r w:rsidR="00235733">
        <w:instrText>= 3 \* GB3</w:instrText>
      </w:r>
      <w:r>
        <w:fldChar w:fldCharType="separate"/>
      </w:r>
      <w:r w:rsidR="00235733">
        <w:rPr>
          <w:rFonts w:hint="eastAsia"/>
        </w:rPr>
        <w:t>③</w:t>
      </w:r>
      <w:r>
        <w:fldChar w:fldCharType="end"/>
      </w:r>
      <w:r w:rsidR="00235733">
        <w:rPr>
          <w:rFonts w:hint="eastAsia"/>
        </w:rPr>
        <w:t>有明确的无效宣告理由和相关证据。</w:t>
      </w:r>
    </w:p>
    <w:p w:rsidR="00800760" w:rsidRDefault="00C22A7B">
      <w:r>
        <w:fldChar w:fldCharType="begin"/>
      </w:r>
      <w:r w:rsidR="00235733">
        <w:instrText>= 2 \* GB2</w:instrText>
      </w:r>
      <w:r>
        <w:fldChar w:fldCharType="separate"/>
      </w:r>
      <w:r w:rsidR="00235733">
        <w:rPr>
          <w:rFonts w:hint="eastAsia"/>
          <w:lang w:val="en-US"/>
        </w:rPr>
        <w:t>（</w:t>
      </w:r>
      <w:r w:rsidR="00235733">
        <w:rPr>
          <w:rFonts w:hint="eastAsia"/>
          <w:lang w:val="en-US"/>
        </w:rPr>
        <w:t>2</w:t>
      </w:r>
      <w:r w:rsidR="00235733">
        <w:rPr>
          <w:rFonts w:hint="eastAsia"/>
          <w:lang w:val="en-US"/>
        </w:rPr>
        <w:t>）</w:t>
      </w:r>
      <w:r>
        <w:fldChar w:fldCharType="end"/>
      </w:r>
      <w:r w:rsidR="00235733">
        <w:rPr>
          <w:rFonts w:hint="eastAsia"/>
        </w:rPr>
        <w:t>提出中止申请应当提交的材料</w:t>
      </w:r>
    </w:p>
    <w:p w:rsidR="00800760" w:rsidRDefault="00235733">
      <w:r>
        <w:rPr>
          <w:rFonts w:hint="eastAsia"/>
        </w:rPr>
        <w:t>被请求人提出中止申请的，应当提交以下材料：</w:t>
      </w:r>
    </w:p>
    <w:p w:rsidR="00800760" w:rsidRDefault="00C22A7B">
      <w:r>
        <w:fldChar w:fldCharType="begin"/>
      </w:r>
      <w:r w:rsidR="00235733">
        <w:instrText>= 1 \* GB3</w:instrText>
      </w:r>
      <w:r>
        <w:fldChar w:fldCharType="separate"/>
      </w:r>
      <w:r w:rsidR="00235733">
        <w:rPr>
          <w:rFonts w:hint="eastAsia"/>
          <w:lang w:val="en-US"/>
        </w:rPr>
        <w:t>①</w:t>
      </w:r>
      <w:r>
        <w:fldChar w:fldCharType="end"/>
      </w:r>
      <w:r w:rsidR="00235733">
        <w:rPr>
          <w:rFonts w:hint="eastAsia"/>
        </w:rPr>
        <w:t>《专利侵权纠纷案件中止处理申请书》；</w:t>
      </w:r>
    </w:p>
    <w:p w:rsidR="00800760" w:rsidRDefault="00C22A7B">
      <w:r>
        <w:fldChar w:fldCharType="begin"/>
      </w:r>
      <w:r w:rsidR="00235733">
        <w:instrText>= 2 \* GB3</w:instrText>
      </w:r>
      <w:r>
        <w:fldChar w:fldCharType="separate"/>
      </w:r>
      <w:r w:rsidR="00235733">
        <w:rPr>
          <w:rFonts w:hint="eastAsia"/>
          <w:lang w:val="en-US"/>
        </w:rPr>
        <w:t>②</w:t>
      </w:r>
      <w:r>
        <w:fldChar w:fldCharType="end"/>
      </w:r>
      <w:r w:rsidR="00235733">
        <w:rPr>
          <w:rFonts w:hint="eastAsia"/>
        </w:rPr>
        <w:t>无效宣告请求受理通知书；</w:t>
      </w:r>
    </w:p>
    <w:p w:rsidR="00800760" w:rsidRDefault="00C22A7B">
      <w:r>
        <w:fldChar w:fldCharType="begin"/>
      </w:r>
      <w:r w:rsidR="00235733">
        <w:instrText>= 3 \* GB3</w:instrText>
      </w:r>
      <w:r>
        <w:fldChar w:fldCharType="separate"/>
      </w:r>
      <w:r w:rsidR="00235733">
        <w:rPr>
          <w:rFonts w:hint="eastAsia"/>
          <w:lang w:val="en-US"/>
        </w:rPr>
        <w:t>③</w:t>
      </w:r>
      <w:r>
        <w:fldChar w:fldCharType="end"/>
      </w:r>
      <w:r w:rsidR="00235733">
        <w:rPr>
          <w:rFonts w:hint="eastAsia"/>
        </w:rPr>
        <w:t>影响涉案专利权稳定性的有关证据。</w:t>
      </w:r>
    </w:p>
    <w:p w:rsidR="00800760" w:rsidRDefault="00C22A7B">
      <w:r>
        <w:fldChar w:fldCharType="begin"/>
      </w:r>
      <w:r w:rsidR="00235733">
        <w:instrText>= 3 \* GB2</w:instrText>
      </w:r>
      <w:r>
        <w:fldChar w:fldCharType="separate"/>
      </w:r>
      <w:r w:rsidR="00235733">
        <w:rPr>
          <w:rFonts w:hint="eastAsia"/>
          <w:lang w:val="en-US"/>
        </w:rPr>
        <w:t>（</w:t>
      </w:r>
      <w:r w:rsidR="00235733">
        <w:rPr>
          <w:rFonts w:hint="eastAsia"/>
          <w:lang w:val="en-US"/>
        </w:rPr>
        <w:t>3</w:t>
      </w:r>
      <w:r w:rsidR="00235733">
        <w:rPr>
          <w:rFonts w:hint="eastAsia"/>
          <w:lang w:val="en-US"/>
        </w:rPr>
        <w:t>）</w:t>
      </w:r>
      <w:r>
        <w:fldChar w:fldCharType="end"/>
      </w:r>
      <w:r w:rsidR="00235733">
        <w:rPr>
          <w:rFonts w:hint="eastAsia"/>
        </w:rPr>
        <w:t>中止申请的审查</w:t>
      </w:r>
    </w:p>
    <w:p w:rsidR="00800760" w:rsidRDefault="00235733">
      <w:r>
        <w:rPr>
          <w:rFonts w:hint="eastAsia"/>
        </w:rPr>
        <w:t>被请求人以申请宣告涉案专利权无效为由提出中止处理请求的，管理专利工作的部门应当对其请求是否符合上述条件进行审查，符合条件的应当予以中止。</w:t>
      </w:r>
    </w:p>
    <w:p w:rsidR="00800760" w:rsidRDefault="00235733">
      <w:pPr>
        <w:pStyle w:val="5"/>
        <w:spacing w:before="120"/>
      </w:pPr>
      <w:r>
        <w:t xml:space="preserve">3. </w:t>
      </w:r>
      <w:r>
        <w:rPr>
          <w:rFonts w:hint="eastAsia"/>
        </w:rPr>
        <w:t>可以不中止处理的情形</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管理专利工作的部门认为被请求人提出的中止理由明显不能成立的或者有下列情形的，可以不中止处理：</w:t>
      </w:r>
    </w:p>
    <w:p w:rsidR="00800760" w:rsidRDefault="00235733">
      <w:r>
        <w:t>（</w:t>
      </w:r>
      <w:r>
        <w:t>1</w:t>
      </w:r>
      <w:r>
        <w:t>）涉</w:t>
      </w:r>
      <w:r>
        <w:rPr>
          <w:rFonts w:hint="eastAsia"/>
        </w:rPr>
        <w:t>案发明专利权在案件处理期间被申请宣告无效的；</w:t>
      </w:r>
    </w:p>
    <w:p w:rsidR="00800760" w:rsidRDefault="00235733">
      <w:r>
        <w:rPr>
          <w:rFonts w:hint="eastAsia"/>
        </w:rPr>
        <w:t>（</w:t>
      </w:r>
      <w:r>
        <w:t>2</w:t>
      </w:r>
      <w:r>
        <w:rPr>
          <w:rFonts w:hint="eastAsia"/>
        </w:rPr>
        <w:t>）请求人出具的专利权评价报告未发现实用新型或者外观设计专利权存在不符合授予专利权条件的缺陷；</w:t>
      </w:r>
    </w:p>
    <w:p w:rsidR="00800760" w:rsidRDefault="00235733">
      <w:r>
        <w:rPr>
          <w:rFonts w:hint="eastAsia"/>
        </w:rPr>
        <w:t>（</w:t>
      </w:r>
      <w:r>
        <w:t>3</w:t>
      </w:r>
      <w:r>
        <w:rPr>
          <w:rFonts w:hint="eastAsia"/>
        </w:rPr>
        <w:t>）被请求人撤回无效宣告请求后案件恢复处理，其再次提出无效宣告请求，并请求中止的；</w:t>
      </w:r>
    </w:p>
    <w:p w:rsidR="00800760" w:rsidRDefault="00235733">
      <w:r>
        <w:t>（</w:t>
      </w:r>
      <w:r>
        <w:t>4</w:t>
      </w:r>
      <w:r>
        <w:t>）无</w:t>
      </w:r>
      <w:r>
        <w:rPr>
          <w:rFonts w:hint="eastAsia"/>
        </w:rPr>
        <w:t>效宣告程序对涉案专利权作出的维持有效的决定已经生效的；</w:t>
      </w:r>
    </w:p>
    <w:p w:rsidR="00800760" w:rsidRDefault="00235733">
      <w:r>
        <w:rPr>
          <w:rFonts w:hint="eastAsia"/>
        </w:rPr>
        <w:t>（</w:t>
      </w:r>
      <w:r>
        <w:t>5</w:t>
      </w:r>
      <w:r>
        <w:rPr>
          <w:rFonts w:hint="eastAsia"/>
        </w:rPr>
        <w:t>）管理专利工作的部门认为无需中止的其他情形。</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中止处理为案件审理中的特殊情况，应防止被请求人利用中止程序拖延案件审理，因此管理专利工作的部门应对被请求人提出的中止理由进行审查，出现以上情形时可以不中止处理。</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情形（</w:t>
      </w:r>
      <w:r>
        <w:rPr>
          <w:rFonts w:ascii="Times New Roman" w:eastAsia="宋体" w:hAnsi="Times New Roman"/>
          <w:sz w:val="21"/>
          <w:szCs w:val="21"/>
        </w:rPr>
        <w:t>1</w:t>
      </w:r>
      <w:r>
        <w:rPr>
          <w:rFonts w:ascii="Times New Roman" w:eastAsia="宋体" w:hAnsi="Times New Roman" w:hint="eastAsia"/>
          <w:sz w:val="21"/>
          <w:szCs w:val="21"/>
        </w:rPr>
        <w:t>）、（</w:t>
      </w:r>
      <w:r>
        <w:rPr>
          <w:rFonts w:ascii="Times New Roman" w:eastAsia="宋体" w:hAnsi="Times New Roman"/>
          <w:sz w:val="21"/>
          <w:szCs w:val="21"/>
        </w:rPr>
        <w:t>4</w:t>
      </w:r>
      <w:r>
        <w:rPr>
          <w:rFonts w:ascii="Times New Roman" w:eastAsia="宋体" w:hAnsi="Times New Roman" w:hint="eastAsia"/>
          <w:sz w:val="21"/>
          <w:szCs w:val="21"/>
        </w:rPr>
        <w:t>）的</w:t>
      </w:r>
      <w:r>
        <w:rPr>
          <w:rFonts w:ascii="Times New Roman" w:eastAsia="宋体" w:hAnsi="Times New Roman"/>
          <w:sz w:val="21"/>
          <w:szCs w:val="21"/>
        </w:rPr>
        <w:t>涉案专利权</w:t>
      </w:r>
      <w:r>
        <w:rPr>
          <w:rFonts w:ascii="Times New Roman" w:eastAsia="宋体" w:hAnsi="Times New Roman" w:hint="eastAsia"/>
          <w:sz w:val="21"/>
          <w:szCs w:val="21"/>
        </w:rPr>
        <w:t>是否有效已有结论，案件可正常审理。</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情形（</w:t>
      </w:r>
      <w:r>
        <w:rPr>
          <w:rFonts w:ascii="Times New Roman" w:eastAsia="宋体" w:hAnsi="Times New Roman"/>
          <w:sz w:val="21"/>
          <w:szCs w:val="21"/>
        </w:rPr>
        <w:t>2</w:t>
      </w:r>
      <w:r>
        <w:rPr>
          <w:rFonts w:ascii="Times New Roman" w:eastAsia="宋体" w:hAnsi="Times New Roman" w:hint="eastAsia"/>
          <w:sz w:val="21"/>
          <w:szCs w:val="21"/>
        </w:rPr>
        <w:t>）中</w:t>
      </w:r>
      <w:r>
        <w:rPr>
          <w:rFonts w:ascii="Times New Roman" w:eastAsia="宋体" w:hAnsi="Times New Roman"/>
          <w:sz w:val="21"/>
          <w:szCs w:val="21"/>
        </w:rPr>
        <w:t>实用新型</w:t>
      </w:r>
      <w:r>
        <w:rPr>
          <w:rFonts w:ascii="Times New Roman" w:eastAsia="宋体" w:hAnsi="Times New Roman" w:hint="eastAsia"/>
          <w:sz w:val="21"/>
          <w:szCs w:val="21"/>
        </w:rPr>
        <w:t>和</w:t>
      </w:r>
      <w:r>
        <w:rPr>
          <w:rFonts w:ascii="Times New Roman" w:eastAsia="宋体" w:hAnsi="Times New Roman"/>
          <w:sz w:val="21"/>
          <w:szCs w:val="21"/>
        </w:rPr>
        <w:t>外观设计专利权评价报告</w:t>
      </w:r>
      <w:r>
        <w:rPr>
          <w:rFonts w:ascii="Times New Roman" w:eastAsia="宋体" w:hAnsi="Times New Roman" w:hint="eastAsia"/>
          <w:sz w:val="21"/>
          <w:szCs w:val="21"/>
        </w:rPr>
        <w:t>的结论为正向，可认为其权利相对稳定，因此可以不中止处理。</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情形（</w:t>
      </w:r>
      <w:r>
        <w:rPr>
          <w:rFonts w:ascii="Times New Roman" w:eastAsia="宋体" w:hAnsi="Times New Roman"/>
          <w:sz w:val="21"/>
          <w:szCs w:val="21"/>
        </w:rPr>
        <w:t>3</w:t>
      </w:r>
      <w:r>
        <w:rPr>
          <w:rFonts w:ascii="Times New Roman" w:eastAsia="宋体" w:hAnsi="Times New Roman" w:hint="eastAsia"/>
          <w:sz w:val="21"/>
          <w:szCs w:val="21"/>
        </w:rPr>
        <w:t>）涉及</w:t>
      </w:r>
      <w:r>
        <w:rPr>
          <w:rFonts w:ascii="Times New Roman" w:eastAsia="宋体" w:hAnsi="Times New Roman"/>
          <w:sz w:val="21"/>
          <w:szCs w:val="21"/>
        </w:rPr>
        <w:t>被请求人</w:t>
      </w:r>
      <w:r>
        <w:rPr>
          <w:rFonts w:ascii="Times New Roman" w:eastAsia="宋体" w:hAnsi="Times New Roman" w:hint="eastAsia"/>
          <w:sz w:val="21"/>
          <w:szCs w:val="21"/>
        </w:rPr>
        <w:t>多次以</w:t>
      </w:r>
      <w:r>
        <w:rPr>
          <w:rFonts w:ascii="Times New Roman" w:eastAsia="宋体" w:hAnsi="Times New Roman"/>
          <w:sz w:val="21"/>
          <w:szCs w:val="21"/>
        </w:rPr>
        <w:t>无效宣告</w:t>
      </w:r>
      <w:r>
        <w:rPr>
          <w:rFonts w:ascii="Times New Roman" w:eastAsia="宋体" w:hAnsi="Times New Roman" w:hint="eastAsia"/>
          <w:sz w:val="21"/>
          <w:szCs w:val="21"/>
        </w:rPr>
        <w:t>为由</w:t>
      </w:r>
      <w:r>
        <w:rPr>
          <w:rFonts w:ascii="Times New Roman" w:eastAsia="宋体" w:hAnsi="Times New Roman"/>
          <w:sz w:val="21"/>
          <w:szCs w:val="21"/>
        </w:rPr>
        <w:t>请求中止</w:t>
      </w:r>
      <w:r>
        <w:rPr>
          <w:rFonts w:ascii="Times New Roman" w:eastAsia="宋体" w:hAnsi="Times New Roman" w:hint="eastAsia"/>
          <w:sz w:val="21"/>
          <w:szCs w:val="21"/>
        </w:rPr>
        <w:t>，并且撤回在先的</w:t>
      </w:r>
      <w:r>
        <w:rPr>
          <w:rFonts w:ascii="Times New Roman" w:eastAsia="宋体" w:hAnsi="Times New Roman"/>
          <w:sz w:val="21"/>
          <w:szCs w:val="21"/>
        </w:rPr>
        <w:t>无效宣告请求</w:t>
      </w:r>
      <w:r>
        <w:rPr>
          <w:rFonts w:ascii="Times New Roman" w:eastAsia="宋体" w:hAnsi="Times New Roman" w:hint="eastAsia"/>
          <w:sz w:val="21"/>
          <w:szCs w:val="21"/>
        </w:rPr>
        <w:t>后</w:t>
      </w:r>
      <w:r>
        <w:rPr>
          <w:rFonts w:ascii="Times New Roman" w:eastAsia="宋体" w:hAnsi="Times New Roman"/>
          <w:sz w:val="21"/>
          <w:szCs w:val="21"/>
        </w:rPr>
        <w:t>案件恢复处理</w:t>
      </w:r>
      <w:r>
        <w:rPr>
          <w:rFonts w:ascii="Times New Roman" w:eastAsia="宋体" w:hAnsi="Times New Roman" w:hint="eastAsia"/>
          <w:sz w:val="21"/>
          <w:szCs w:val="21"/>
        </w:rPr>
        <w:t>，该类情形不足以成为继续请求中止的理由。</w:t>
      </w:r>
    </w:p>
    <w:p w:rsidR="00800760" w:rsidRDefault="00C22A7B">
      <w:pPr>
        <w:pStyle w:val="5"/>
        <w:spacing w:before="120"/>
        <w:rPr>
          <w:color w:val="000000"/>
        </w:rPr>
      </w:pPr>
      <w:r>
        <w:fldChar w:fldCharType="begin"/>
      </w:r>
      <w:r w:rsidR="00235733">
        <w:instrText>= 3 \* GB1</w:instrText>
      </w:r>
      <w:r>
        <w:fldChar w:fldCharType="separate"/>
      </w:r>
      <w:bookmarkStart w:id="850" w:name="_Toc28593190"/>
      <w:r w:rsidR="00235733">
        <w:rPr>
          <w:rFonts w:hint="eastAsia"/>
        </w:rPr>
        <w:t xml:space="preserve">4. </w:t>
      </w:r>
      <w:r>
        <w:fldChar w:fldCharType="end"/>
      </w:r>
      <w:r w:rsidR="00235733">
        <w:rPr>
          <w:rFonts w:hint="eastAsia"/>
        </w:rPr>
        <w:t>关于中止</w:t>
      </w:r>
      <w:r w:rsidR="00235733">
        <w:rPr>
          <w:rFonts w:hint="eastAsia"/>
          <w:color w:val="000000"/>
        </w:rPr>
        <w:t>处理的程序</w:t>
      </w:r>
      <w:bookmarkEnd w:id="850"/>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合议组应当在审查有关当事人关于中止处理的意见的基础上，依法作出是否中止的决定。决定中止的，向当事人发出《专利侵权纠纷案件中止处理通知书》；决定不予中止的，向当事人发出《专利侵权纠纷案件不予中止处理通知书》。</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中止处理的专利侵权纠纷案件，中止处理的原因消除后，管理专利工作的部门应当及时恢复案件的处理，并通知双方当事人。</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国家知识产权局宣告涉案专利权无效的，管理专利工作的部门可以告知请求人撤回处理请求；请求人不撤回的，管理专利工作的部门应当作出驳回处理请求的决定，并送达双方当事人。</w:t>
      </w:r>
    </w:p>
    <w:p w:rsidR="00800760" w:rsidRDefault="00235733">
      <w:pPr>
        <w:pStyle w:val="4"/>
        <w:spacing w:before="240"/>
        <w:ind w:firstLine="444"/>
        <w:rPr>
          <w:rFonts w:ascii="Times New Roman" w:hAnsi="Times New Roman"/>
          <w:color w:val="000000"/>
        </w:rPr>
      </w:pPr>
      <w:r>
        <w:t>（五）</w:t>
      </w:r>
      <w:r>
        <w:rPr>
          <w:rFonts w:ascii="Times New Roman" w:hAnsi="Times New Roman"/>
          <w:color w:val="000000"/>
        </w:rPr>
        <w:t>当事人</w:t>
      </w:r>
      <w:r>
        <w:rPr>
          <w:rFonts w:ascii="Times New Roman" w:hAnsi="Times New Roman" w:hint="eastAsia"/>
          <w:color w:val="000000"/>
        </w:rPr>
        <w:t>或第三人</w:t>
      </w:r>
      <w:r>
        <w:rPr>
          <w:rFonts w:ascii="Times New Roman" w:hAnsi="Times New Roman"/>
          <w:color w:val="000000"/>
        </w:rPr>
        <w:t>的追加</w:t>
      </w:r>
    </w:p>
    <w:p w:rsidR="00800760" w:rsidRDefault="00C22A7B">
      <w:pPr>
        <w:pStyle w:val="5"/>
        <w:spacing w:before="120"/>
      </w:pPr>
      <w:r>
        <w:fldChar w:fldCharType="begin"/>
      </w:r>
      <w:r w:rsidR="00235733">
        <w:instrText>= 1 \* GB1</w:instrText>
      </w:r>
      <w:r>
        <w:fldChar w:fldCharType="separate"/>
      </w:r>
      <w:r w:rsidR="00235733">
        <w:rPr>
          <w:rFonts w:hint="eastAsia"/>
        </w:rPr>
        <w:t xml:space="preserve">1. </w:t>
      </w:r>
      <w:r>
        <w:fldChar w:fldCharType="end"/>
      </w:r>
      <w:r w:rsidR="00235733">
        <w:rPr>
          <w:rFonts w:hint="eastAsia"/>
        </w:rPr>
        <w:t>依职权追加</w:t>
      </w:r>
    </w:p>
    <w:p w:rsidR="00800760" w:rsidRDefault="00C22A7B">
      <w:r>
        <w:fldChar w:fldCharType="begin"/>
      </w:r>
      <w:r w:rsidR="00235733">
        <w:instrText>= 1 \* GB2</w:instrText>
      </w:r>
      <w:r>
        <w:fldChar w:fldCharType="separate"/>
      </w:r>
      <w:r w:rsidR="00235733">
        <w:t>（</w:t>
      </w:r>
      <w:r w:rsidR="00235733">
        <w:t>1</w:t>
      </w:r>
      <w:r w:rsidR="00235733">
        <w:t>）</w:t>
      </w:r>
      <w:r>
        <w:fldChar w:fldCharType="end"/>
      </w:r>
      <w:r w:rsidR="00235733">
        <w:t>追</w:t>
      </w:r>
      <w:r w:rsidR="00235733">
        <w:rPr>
          <w:rFonts w:hint="eastAsia"/>
        </w:rPr>
        <w:t>加的</w:t>
      </w:r>
      <w:r w:rsidR="00235733">
        <w:t>情形</w:t>
      </w:r>
    </w:p>
    <w:p w:rsidR="00800760" w:rsidRDefault="00235733">
      <w:r>
        <w:t>管理专利工作的部门在</w:t>
      </w:r>
      <w:r>
        <w:rPr>
          <w:rFonts w:hint="eastAsia"/>
        </w:rPr>
        <w:t>处理</w:t>
      </w:r>
      <w:r>
        <w:t>专利侵权纠纷案件过程中，有下列情形之一的，应当追加有关自然人、法人或</w:t>
      </w:r>
      <w:r>
        <w:rPr>
          <w:rFonts w:hint="eastAsia"/>
        </w:rPr>
        <w:t>者非法人组织</w:t>
      </w:r>
      <w:r>
        <w:t>作为案件的当事人：</w:t>
      </w:r>
    </w:p>
    <w:p w:rsidR="00800760" w:rsidRDefault="00C22A7B">
      <w:r>
        <w:fldChar w:fldCharType="begin"/>
      </w:r>
      <w:r w:rsidR="00235733">
        <w:instrText>= 1 \* GB3</w:instrText>
      </w:r>
      <w:r>
        <w:fldChar w:fldCharType="separate"/>
      </w:r>
      <w:r w:rsidR="00235733">
        <w:rPr>
          <w:rFonts w:hint="eastAsia"/>
        </w:rPr>
        <w:t>①</w:t>
      </w:r>
      <w:r>
        <w:fldChar w:fldCharType="end"/>
      </w:r>
      <w:r w:rsidR="00235733">
        <w:t>涉案专利权有两个以上权利所有人的，应当以全体共有权人作为共同请求人，部分共有权人明确表示放弃有关实体权利的除外；</w:t>
      </w:r>
    </w:p>
    <w:p w:rsidR="00800760" w:rsidRDefault="00C22A7B">
      <w:r>
        <w:fldChar w:fldCharType="begin"/>
      </w:r>
      <w:r w:rsidR="00235733">
        <w:instrText>= 2 \* GB3</w:instrText>
      </w:r>
      <w:r>
        <w:fldChar w:fldCharType="separate"/>
      </w:r>
      <w:r w:rsidR="00235733">
        <w:rPr>
          <w:rFonts w:hint="eastAsia"/>
        </w:rPr>
        <w:t>②</w:t>
      </w:r>
      <w:r>
        <w:fldChar w:fldCharType="end"/>
      </w:r>
      <w:r w:rsidR="00235733">
        <w:t>被请求人为个体工商户且营业执照上登记的经营者与实际经营者不一致的，应当以</w:t>
      </w:r>
      <w:r w:rsidR="00235733">
        <w:rPr>
          <w:rFonts w:hint="eastAsia"/>
        </w:rPr>
        <w:t>登记的</w:t>
      </w:r>
      <w:r w:rsidR="00235733">
        <w:t>经营者和实际经营者为共同被请求人；</w:t>
      </w:r>
    </w:p>
    <w:p w:rsidR="00800760" w:rsidRDefault="00C22A7B">
      <w:r>
        <w:fldChar w:fldCharType="begin"/>
      </w:r>
      <w:r w:rsidR="00235733">
        <w:instrText xml:space="preserve"> = 3 \* GB3 </w:instrText>
      </w:r>
      <w:r>
        <w:fldChar w:fldCharType="separate"/>
      </w:r>
      <w:r w:rsidR="00235733">
        <w:rPr>
          <w:rFonts w:ascii="宋体" w:hAnsi="宋体" w:cs="宋体" w:hint="eastAsia"/>
        </w:rPr>
        <w:t>③</w:t>
      </w:r>
      <w:r>
        <w:fldChar w:fldCharType="end"/>
      </w:r>
      <w:r w:rsidR="00235733">
        <w:t>被请求人为个人合伙的，应当以全体合伙人为共同被请求人；</w:t>
      </w:r>
    </w:p>
    <w:p w:rsidR="00800760" w:rsidRDefault="00C22A7B">
      <w:r>
        <w:fldChar w:fldCharType="begin"/>
      </w:r>
      <w:r w:rsidR="00235733">
        <w:instrText xml:space="preserve"> = 4 \* GB3 </w:instrText>
      </w:r>
      <w:r>
        <w:fldChar w:fldCharType="separate"/>
      </w:r>
      <w:r w:rsidR="00235733">
        <w:rPr>
          <w:rFonts w:hint="eastAsia"/>
        </w:rPr>
        <w:t>④</w:t>
      </w:r>
      <w:r>
        <w:fldChar w:fldCharType="end"/>
      </w:r>
      <w:r w:rsidR="00235733">
        <w:t>法律法规规定的其他情形。</w:t>
      </w:r>
    </w:p>
    <w:p w:rsidR="00800760" w:rsidRDefault="00C22A7B">
      <w:r>
        <w:fldChar w:fldCharType="begin"/>
      </w:r>
      <w:r w:rsidR="00235733">
        <w:instrText>= 1 \* GB2</w:instrText>
      </w:r>
      <w:r>
        <w:fldChar w:fldCharType="separate"/>
      </w:r>
      <w:r w:rsidR="00235733">
        <w:t>（</w:t>
      </w:r>
      <w:r w:rsidR="00235733">
        <w:t>2</w:t>
      </w:r>
      <w:r w:rsidR="00235733">
        <w:t>）</w:t>
      </w:r>
      <w:r>
        <w:fldChar w:fldCharType="end"/>
      </w:r>
      <w:r w:rsidR="00235733">
        <w:t>追加后的审理</w:t>
      </w:r>
    </w:p>
    <w:p w:rsidR="00800760" w:rsidRDefault="00235733">
      <w:pPr>
        <w:rPr>
          <w:rFonts w:cs="MingLiU_HKSCS"/>
          <w:color w:val="000000"/>
          <w:lang w:val="zh-CN"/>
        </w:rPr>
      </w:pPr>
      <w:r>
        <w:rPr>
          <w:rFonts w:cs="MingLiU_HKSCS"/>
          <w:color w:val="000000"/>
          <w:lang w:val="zh-CN"/>
        </w:rPr>
        <w:t>管理专利工作的部门在</w:t>
      </w:r>
      <w:r>
        <w:rPr>
          <w:rFonts w:cs="MingLiU_HKSCS" w:hint="eastAsia"/>
          <w:color w:val="000000"/>
          <w:lang w:val="zh-CN"/>
        </w:rPr>
        <w:t>口审前依职权追加其他当事人的，其以请求人或被请求人的身份参加口审。</w:t>
      </w:r>
    </w:p>
    <w:p w:rsidR="00800760" w:rsidRDefault="00235733">
      <w:pPr>
        <w:rPr>
          <w:rFonts w:cs="MingLiU_HKSCS"/>
          <w:color w:val="000000"/>
          <w:lang w:val="zh-CN"/>
        </w:rPr>
      </w:pPr>
      <w:r>
        <w:rPr>
          <w:rFonts w:cs="MingLiU_HKSCS"/>
          <w:color w:val="000000"/>
          <w:lang w:val="zh-CN"/>
        </w:rPr>
        <w:t>管理专利工作的部门在</w:t>
      </w:r>
      <w:r>
        <w:rPr>
          <w:rFonts w:cs="MingLiU_HKSCS" w:hint="eastAsia"/>
          <w:color w:val="000000"/>
          <w:lang w:val="zh-CN"/>
        </w:rPr>
        <w:t>口审开始后依职权追加其他当事人的，由合议组确定是否再次组织口审，如不再组织口审，应保证其他当事人知晓其权利义务。</w:t>
      </w:r>
    </w:p>
    <w:p w:rsidR="00800760" w:rsidRDefault="00C22A7B">
      <w:pPr>
        <w:pStyle w:val="5"/>
        <w:spacing w:before="120"/>
      </w:pPr>
      <w:r>
        <w:fldChar w:fldCharType="begin"/>
      </w:r>
      <w:r w:rsidR="00235733">
        <w:instrText>= 1 \* GB1</w:instrText>
      </w:r>
      <w:r>
        <w:fldChar w:fldCharType="separate"/>
      </w:r>
      <w:r w:rsidR="00235733">
        <w:rPr>
          <w:rFonts w:hint="eastAsia"/>
        </w:rPr>
        <w:t xml:space="preserve">2. </w:t>
      </w:r>
      <w:r>
        <w:fldChar w:fldCharType="end"/>
      </w:r>
      <w:r w:rsidR="00235733">
        <w:rPr>
          <w:rFonts w:hint="eastAsia"/>
        </w:rPr>
        <w:t>依申请追加</w:t>
      </w:r>
    </w:p>
    <w:p w:rsidR="00800760" w:rsidRDefault="00C22A7B">
      <w:r>
        <w:fldChar w:fldCharType="begin"/>
      </w:r>
      <w:r w:rsidR="00235733">
        <w:instrText>= 1 \* GB2</w:instrText>
      </w:r>
      <w:r>
        <w:fldChar w:fldCharType="separate"/>
      </w:r>
      <w:r w:rsidR="00235733">
        <w:rPr>
          <w:rFonts w:hint="eastAsia"/>
        </w:rPr>
        <w:t>（</w:t>
      </w:r>
      <w:r w:rsidR="00235733">
        <w:rPr>
          <w:rFonts w:hint="eastAsia"/>
        </w:rPr>
        <w:t>1</w:t>
      </w:r>
      <w:r w:rsidR="00235733">
        <w:rPr>
          <w:rFonts w:hint="eastAsia"/>
        </w:rPr>
        <w:t>）</w:t>
      </w:r>
      <w:r>
        <w:fldChar w:fldCharType="end"/>
      </w:r>
      <w:r w:rsidR="00235733">
        <w:rPr>
          <w:rFonts w:hint="eastAsia"/>
        </w:rPr>
        <w:t>追加时机</w:t>
      </w:r>
    </w:p>
    <w:p w:rsidR="00800760" w:rsidRDefault="00235733">
      <w:r>
        <w:rPr>
          <w:rFonts w:hint="eastAsia"/>
        </w:rPr>
        <w:t>为了提高行政裁决效率，保证</w:t>
      </w:r>
      <w:r>
        <w:t>口头审理</w:t>
      </w:r>
      <w:r>
        <w:rPr>
          <w:rFonts w:hint="eastAsia"/>
        </w:rPr>
        <w:t>顺利进行，</w:t>
      </w:r>
      <w:r>
        <w:t>追加</w:t>
      </w:r>
      <w:r>
        <w:rPr>
          <w:rFonts w:hint="eastAsia"/>
        </w:rPr>
        <w:t>其他当事人的</w:t>
      </w:r>
      <w:r>
        <w:t>请求应当在口头审理前提出，</w:t>
      </w:r>
      <w:r>
        <w:rPr>
          <w:rFonts w:hint="eastAsia"/>
        </w:rPr>
        <w:t>并提交《专利侵权纠纷追加当事人请求书》，</w:t>
      </w:r>
      <w:r>
        <w:t>否则不予支持。</w:t>
      </w:r>
    </w:p>
    <w:p w:rsidR="00800760" w:rsidRDefault="00C22A7B">
      <w:r>
        <w:fldChar w:fldCharType="begin"/>
      </w:r>
      <w:r w:rsidR="00235733">
        <w:instrText>= 1 \* GB2</w:instrText>
      </w:r>
      <w:r>
        <w:fldChar w:fldCharType="separate"/>
      </w:r>
      <w:r w:rsidR="00235733">
        <w:rPr>
          <w:rFonts w:hint="eastAsia"/>
        </w:rPr>
        <w:t>（</w:t>
      </w:r>
      <w:r w:rsidR="00235733">
        <w:rPr>
          <w:rFonts w:hint="eastAsia"/>
        </w:rPr>
        <w:t>2</w:t>
      </w:r>
      <w:r w:rsidR="00235733">
        <w:rPr>
          <w:rFonts w:hint="eastAsia"/>
        </w:rPr>
        <w:t>）</w:t>
      </w:r>
      <w:r>
        <w:fldChar w:fldCharType="end"/>
      </w:r>
      <w:r w:rsidR="00235733">
        <w:rPr>
          <w:rFonts w:hint="eastAsia"/>
        </w:rPr>
        <w:t>追加条件及审批</w:t>
      </w:r>
    </w:p>
    <w:p w:rsidR="00800760" w:rsidRDefault="00235733">
      <w:r>
        <w:t>请求人申请追加被请求人</w:t>
      </w:r>
      <w:r>
        <w:rPr>
          <w:rFonts w:hint="eastAsia"/>
        </w:rPr>
        <w:t>的，除在《专利侵权纠纷追加当事人请求书》中写明请求人和被追加人的基本信息外，应重点陈述被追加人的侵权事实和未及时发现的理由。</w:t>
      </w:r>
    </w:p>
    <w:p w:rsidR="00800760" w:rsidRDefault="00235733">
      <w:r>
        <w:t>被请求人申请追加其他当事人为被请求人的，</w:t>
      </w:r>
      <w:r>
        <w:rPr>
          <w:rFonts w:hint="eastAsia"/>
        </w:rPr>
        <w:t>应在《专利侵权纠纷追加当事人请求书》中陈述</w:t>
      </w:r>
      <w:r>
        <w:t>案件处理结果同</w:t>
      </w:r>
      <w:r>
        <w:rPr>
          <w:rFonts w:hint="eastAsia"/>
        </w:rPr>
        <w:t>被追加人在</w:t>
      </w:r>
      <w:r>
        <w:t>法律上的利害关系</w:t>
      </w:r>
      <w:r>
        <w:rPr>
          <w:rFonts w:hint="eastAsia"/>
        </w:rPr>
        <w:t>。</w:t>
      </w:r>
    </w:p>
    <w:p w:rsidR="00800760" w:rsidRDefault="00C22A7B">
      <w:r>
        <w:fldChar w:fldCharType="begin"/>
      </w:r>
      <w:r w:rsidR="00235733">
        <w:instrText>= 1 \* GB2</w:instrText>
      </w:r>
      <w:r>
        <w:fldChar w:fldCharType="separate"/>
      </w:r>
      <w:r w:rsidR="00235733">
        <w:rPr>
          <w:rFonts w:hint="eastAsia"/>
        </w:rPr>
        <w:t>（</w:t>
      </w:r>
      <w:r w:rsidR="00235733">
        <w:rPr>
          <w:rFonts w:hint="eastAsia"/>
        </w:rPr>
        <w:t>3</w:t>
      </w:r>
      <w:r w:rsidR="00235733">
        <w:rPr>
          <w:rFonts w:hint="eastAsia"/>
        </w:rPr>
        <w:t>）</w:t>
      </w:r>
      <w:r>
        <w:fldChar w:fldCharType="end"/>
      </w:r>
      <w:r w:rsidR="00235733">
        <w:rPr>
          <w:rFonts w:hint="eastAsia"/>
        </w:rPr>
        <w:t>追加请求的审批</w:t>
      </w:r>
    </w:p>
    <w:p w:rsidR="00800760" w:rsidRDefault="00235733">
      <w:r>
        <w:t>请求人提出申请追加被请求人，符合</w:t>
      </w:r>
      <w:r>
        <w:rPr>
          <w:rFonts w:hint="eastAsia"/>
        </w:rPr>
        <w:t>受理</w:t>
      </w:r>
      <w:r>
        <w:t>条件</w:t>
      </w:r>
      <w:r>
        <w:rPr>
          <w:rFonts w:hint="eastAsia"/>
        </w:rPr>
        <w:t>且未及时发现被追加人理由成立的</w:t>
      </w:r>
      <w:r>
        <w:t>，管理专利工作的部门应当裁定追加并通知其他当事人</w:t>
      </w:r>
      <w:r>
        <w:rPr>
          <w:rFonts w:hint="eastAsia"/>
        </w:rPr>
        <w:t>，发出《追加当事人申请决定》</w:t>
      </w:r>
      <w:r>
        <w:t>。</w:t>
      </w:r>
    </w:p>
    <w:p w:rsidR="00800760" w:rsidRDefault="00235733">
      <w:r>
        <w:t>被请求人提出追加其他当事人为被请求人的，管理专利工作的部门应当</w:t>
      </w:r>
      <w:r>
        <w:rPr>
          <w:rFonts w:hint="eastAsia"/>
        </w:rPr>
        <w:t>将《追加当事人申请决定追加当事人请求书》转交</w:t>
      </w:r>
      <w:r>
        <w:t>请求人。请求人同意追加的，裁定准许追加。请求人不同意，但案件处理结果同该当事人有法律上的利害关系的，管理专利工作的部门通知其可以参加案件审理，该当事人申请参加的，应当追加其为第三人，该第三人有当事人的相关权利义务。</w:t>
      </w:r>
    </w:p>
    <w:p w:rsidR="00800760" w:rsidRDefault="00235733">
      <w:pPr>
        <w:pStyle w:val="3"/>
        <w:topLinePunct/>
        <w:spacing w:before="240"/>
        <w:ind w:firstLine="444"/>
        <w:rPr>
          <w:rFonts w:ascii="Times New Roman" w:hAnsi="Times New Roman"/>
          <w:color w:val="000000"/>
        </w:rPr>
      </w:pPr>
      <w:bookmarkStart w:id="851" w:name="_Toc5384"/>
      <w:bookmarkStart w:id="852" w:name="_Toc30019"/>
      <w:bookmarkStart w:id="853" w:name="_Toc11362"/>
      <w:bookmarkStart w:id="854" w:name="_Toc7632"/>
      <w:bookmarkStart w:id="855" w:name="_Toc66"/>
      <w:bookmarkStart w:id="856" w:name="_Toc31394"/>
      <w:bookmarkStart w:id="857" w:name="_Toc12932"/>
      <w:bookmarkStart w:id="858" w:name="_Toc14662"/>
      <w:bookmarkStart w:id="859" w:name="_Toc24738"/>
      <w:bookmarkStart w:id="860" w:name="_Toc10157"/>
      <w:bookmarkStart w:id="861" w:name="_Toc13131"/>
      <w:bookmarkStart w:id="862" w:name="_Toc6774"/>
      <w:bookmarkStart w:id="863" w:name="_Toc17274"/>
      <w:bookmarkStart w:id="864" w:name="_Toc26302"/>
      <w:bookmarkStart w:id="865" w:name="_Toc16653"/>
      <w:bookmarkStart w:id="866" w:name="_Toc18169"/>
      <w:bookmarkStart w:id="867" w:name="_Toc25251"/>
      <w:bookmarkStart w:id="868" w:name="_Toc11527"/>
      <w:bookmarkStart w:id="869" w:name="_Toc4424"/>
      <w:bookmarkStart w:id="870" w:name="_Toc378"/>
      <w:bookmarkStart w:id="871" w:name="_Toc20359"/>
      <w:bookmarkStart w:id="872" w:name="_Toc19363"/>
      <w:bookmarkStart w:id="873" w:name="_Toc32413"/>
      <w:bookmarkStart w:id="874" w:name="_Toc11026"/>
      <w:bookmarkStart w:id="875" w:name="_Toc4072"/>
      <w:bookmarkStart w:id="876" w:name="_Toc137"/>
      <w:bookmarkStart w:id="877" w:name="_Toc23874"/>
      <w:bookmarkStart w:id="878" w:name="_Toc12616"/>
      <w:bookmarkStart w:id="879" w:name="_Toc13590"/>
      <w:bookmarkStart w:id="880" w:name="_Toc229114349"/>
      <w:bookmarkStart w:id="881" w:name="_Toc21355"/>
      <w:bookmarkStart w:id="882" w:name="_Toc16558"/>
      <w:bookmarkStart w:id="883" w:name="_Toc28593191"/>
      <w:bookmarkStart w:id="884" w:name="_Toc28900"/>
      <w:bookmarkStart w:id="885" w:name="_Toc29162"/>
      <w:bookmarkStart w:id="886" w:name="_Toc217908606"/>
      <w:bookmarkStart w:id="887" w:name="_Toc17099"/>
      <w:bookmarkStart w:id="888" w:name="_Toc7338"/>
      <w:bookmarkStart w:id="889" w:name="_Toc9007"/>
      <w:bookmarkStart w:id="890" w:name="_Toc17540"/>
      <w:bookmarkStart w:id="891" w:name="_Toc10626"/>
      <w:bookmarkStart w:id="892" w:name="_Toc9097"/>
      <w:bookmarkStart w:id="893" w:name="_Toc10091"/>
      <w:bookmarkStart w:id="894" w:name="_Toc27702"/>
      <w:bookmarkStart w:id="895" w:name="_Toc30605"/>
      <w:bookmarkStart w:id="896" w:name="_Toc229225445"/>
      <w:r>
        <w:rPr>
          <w:rFonts w:ascii="Times New Roman" w:hAnsi="Times New Roman"/>
          <w:color w:val="000000"/>
        </w:rPr>
        <w:t>二、证据交换与质证</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据调查程序一般包括提供证据、交换证据、当事人质证和证据审核认定等环节。提供、交换证据通常发生在案件审理前的准备阶段，案件审理时原则上先由双方当事人对证据进行质证，发表质证意见，之后由合议组结合全部证据的调查结果和案件事实的辩论结果最终认定案件事实。证据的审核认定按照本指南第四章执行。</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bookmarkStart w:id="897" w:name="_Toc28593192"/>
      <w:r w:rsidR="00235733">
        <w:rPr>
          <w:rFonts w:ascii="Times New Roman" w:hAnsi="Times New Roman"/>
          <w:color w:val="000000"/>
        </w:rPr>
        <w:t>（一）</w:t>
      </w:r>
      <w:r>
        <w:rPr>
          <w:rFonts w:ascii="Times New Roman" w:hAnsi="Times New Roman"/>
          <w:color w:val="000000"/>
        </w:rPr>
        <w:fldChar w:fldCharType="end"/>
      </w:r>
      <w:r w:rsidR="00235733">
        <w:rPr>
          <w:rFonts w:ascii="Times New Roman" w:hAnsi="Times New Roman"/>
          <w:color w:val="000000"/>
        </w:rPr>
        <w:t>证据交换</w:t>
      </w:r>
      <w:bookmarkEnd w:id="897"/>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898" w:name="_Toc28593193"/>
      <w:r w:rsidR="00235733">
        <w:rPr>
          <w:rFonts w:hint="eastAsia"/>
          <w:color w:val="000000"/>
        </w:rPr>
        <w:t xml:space="preserve">1. </w:t>
      </w:r>
      <w:r>
        <w:rPr>
          <w:color w:val="000000"/>
        </w:rPr>
        <w:fldChar w:fldCharType="end"/>
      </w:r>
      <w:r w:rsidR="00235733">
        <w:rPr>
          <w:rFonts w:hint="eastAsia"/>
          <w:color w:val="000000"/>
        </w:rPr>
        <w:t>证据交换的时机</w:t>
      </w:r>
      <w:bookmarkEnd w:id="898"/>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管理专利工作的部门应当自立案之日起</w:t>
      </w:r>
      <w:r>
        <w:rPr>
          <w:rFonts w:ascii="Times New Roman" w:eastAsia="宋体" w:hAnsi="Times New Roman"/>
          <w:sz w:val="21"/>
          <w:szCs w:val="21"/>
        </w:rPr>
        <w:t>5</w:t>
      </w:r>
      <w:r>
        <w:rPr>
          <w:rFonts w:ascii="Times New Roman" w:eastAsia="宋体" w:hAnsi="Times New Roman" w:hint="eastAsia"/>
          <w:sz w:val="21"/>
          <w:szCs w:val="21"/>
        </w:rPr>
        <w:t>个工作日内将请求书及其附件的副本送达被请求人，要求其自收到之日起</w:t>
      </w:r>
      <w:r>
        <w:rPr>
          <w:rFonts w:ascii="Times New Roman" w:eastAsia="宋体" w:hAnsi="Times New Roman"/>
          <w:sz w:val="21"/>
          <w:szCs w:val="21"/>
        </w:rPr>
        <w:t>15</w:t>
      </w:r>
      <w:r>
        <w:rPr>
          <w:rFonts w:ascii="Times New Roman" w:eastAsia="宋体" w:hAnsi="Times New Roman" w:hint="eastAsia"/>
          <w:sz w:val="21"/>
          <w:szCs w:val="21"/>
        </w:rPr>
        <w:t>日内提交答辩书并按照请求人的数量提供答辩书副本。被请求人提交答辩书的，管理专利工作的部门应当自收到之日起</w:t>
      </w:r>
      <w:r>
        <w:rPr>
          <w:rFonts w:ascii="Times New Roman" w:eastAsia="宋体" w:hAnsi="Times New Roman"/>
          <w:sz w:val="21"/>
          <w:szCs w:val="21"/>
        </w:rPr>
        <w:t>5</w:t>
      </w:r>
      <w:r>
        <w:rPr>
          <w:rFonts w:ascii="Times New Roman" w:eastAsia="宋体" w:hAnsi="Times New Roman" w:hint="eastAsia"/>
          <w:sz w:val="21"/>
          <w:szCs w:val="21"/>
        </w:rPr>
        <w:t>个工作日内将答辩书副本送达请求人。</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通过上述方式未送达的证据材料，双方当事人可在口头审理前提交并相互交换。</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899" w:name="_Toc28593194"/>
      <w:r w:rsidR="00235733">
        <w:rPr>
          <w:rFonts w:hint="eastAsia"/>
          <w:color w:val="000000"/>
        </w:rPr>
        <w:t xml:space="preserve">2. </w:t>
      </w:r>
      <w:r>
        <w:rPr>
          <w:color w:val="000000"/>
        </w:rPr>
        <w:fldChar w:fldCharType="end"/>
      </w:r>
      <w:r w:rsidR="00235733">
        <w:rPr>
          <w:rFonts w:hint="eastAsia"/>
          <w:color w:val="000000"/>
        </w:rPr>
        <w:t>依职权调查收集证据的出示</w:t>
      </w:r>
      <w:bookmarkEnd w:id="899"/>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管理专利工作的部门依职权调查收集的证据未经质证，不能作为定案的依据。</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在专利侵权纠纷处理中，依职权调查收集的证据可以在口头审理前或在审理中提交给双方当事人，由双方当事人对其进行确认和质证。</w:t>
      </w:r>
    </w:p>
    <w:p w:rsidR="00800760" w:rsidRDefault="00235733">
      <w:pPr>
        <w:pStyle w:val="af6"/>
        <w:spacing w:before="120"/>
        <w:ind w:firstLine="420"/>
        <w:rPr>
          <w:rFonts w:ascii="Times New Roman" w:eastAsia="宋体" w:hAnsi="Times New Roman" w:cs="Times New Roman"/>
        </w:rPr>
      </w:pPr>
      <w:r>
        <w:rPr>
          <w:rFonts w:ascii="Times New Roman" w:eastAsia="宋体" w:hAnsi="Times New Roman" w:cs="Times New Roman"/>
        </w:rPr>
        <w:t>【</w:t>
      </w:r>
      <w:r>
        <w:rPr>
          <w:rFonts w:cs="Times New Roman"/>
        </w:rPr>
        <w:t>案例</w:t>
      </w:r>
      <w:r>
        <w:rPr>
          <w:rFonts w:ascii="Times New Roman" w:eastAsia="宋体" w:hAnsi="Times New Roman" w:cs="Times New Roman"/>
        </w:rPr>
        <w:t>2-2-1</w:t>
      </w:r>
      <w:r>
        <w:rPr>
          <w:rFonts w:ascii="Times New Roman" w:eastAsia="宋体" w:hAnsi="Times New Roman" w:cs="Times New Roman"/>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请求人玩具公司</w:t>
      </w:r>
      <w:r>
        <w:rPr>
          <w:rFonts w:ascii="Times New Roman" w:eastAsia="楷体_GB2312" w:hAnsi="Times New Roman" w:hint="eastAsia"/>
          <w:sz w:val="21"/>
          <w:szCs w:val="21"/>
        </w:rPr>
        <w:t>A</w:t>
      </w:r>
      <w:r>
        <w:rPr>
          <w:rFonts w:ascii="Times New Roman" w:eastAsia="楷体_GB2312" w:hAnsi="Times New Roman" w:hint="eastAsia"/>
          <w:sz w:val="21"/>
          <w:szCs w:val="21"/>
        </w:rPr>
        <w:t>发现被请求人甲在未经许可的情况下生产销售的电动玩具车侵犯了其专利权，向当地知识产权局提出侵权纠纷处理请求，并提交了涉案专利证书等相关证据。</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当地知识产权局依职权到被请求人的生产场所进行勘验检查，查获涉嫌侵权产品电动玩具车共</w:t>
      </w:r>
      <w:r>
        <w:rPr>
          <w:rFonts w:ascii="Times New Roman" w:eastAsia="楷体_GB2312" w:hAnsi="Times New Roman" w:hint="eastAsia"/>
          <w:sz w:val="21"/>
          <w:szCs w:val="21"/>
        </w:rPr>
        <w:t>175</w:t>
      </w:r>
      <w:r>
        <w:rPr>
          <w:rFonts w:ascii="Times New Roman" w:eastAsia="楷体_GB2312" w:hAnsi="Times New Roman" w:hint="eastAsia"/>
          <w:sz w:val="21"/>
          <w:szCs w:val="21"/>
        </w:rPr>
        <w:t>箱、生产涉嫌侵权产品的模具共</w:t>
      </w:r>
      <w:r>
        <w:rPr>
          <w:rFonts w:ascii="Times New Roman" w:eastAsia="楷体_GB2312" w:hAnsi="Times New Roman" w:hint="eastAsia"/>
          <w:sz w:val="21"/>
          <w:szCs w:val="21"/>
        </w:rPr>
        <w:t>8</w:t>
      </w:r>
      <w:r>
        <w:rPr>
          <w:rFonts w:ascii="Times New Roman" w:eastAsia="楷体_GB2312" w:hAnsi="Times New Roman" w:hint="eastAsia"/>
          <w:sz w:val="21"/>
          <w:szCs w:val="21"/>
        </w:rPr>
        <w:t>套，对查获的涉嫌侵权产品抽样取证</w:t>
      </w:r>
      <w:r>
        <w:rPr>
          <w:rFonts w:ascii="Times New Roman" w:eastAsia="楷体_GB2312" w:hAnsi="Times New Roman" w:hint="eastAsia"/>
          <w:sz w:val="21"/>
          <w:szCs w:val="21"/>
        </w:rPr>
        <w:t>3</w:t>
      </w:r>
      <w:r>
        <w:rPr>
          <w:rFonts w:ascii="Times New Roman" w:eastAsia="楷体_GB2312" w:hAnsi="Times New Roman" w:hint="eastAsia"/>
          <w:sz w:val="21"/>
          <w:szCs w:val="21"/>
        </w:rPr>
        <w:t>箱，对模具抽样取证</w:t>
      </w:r>
      <w:r>
        <w:rPr>
          <w:rFonts w:ascii="Times New Roman" w:eastAsia="楷体_GB2312" w:hAnsi="Times New Roman" w:hint="eastAsia"/>
          <w:sz w:val="21"/>
          <w:szCs w:val="21"/>
        </w:rPr>
        <w:t>1</w:t>
      </w:r>
      <w:r>
        <w:rPr>
          <w:rFonts w:ascii="Times New Roman" w:eastAsia="楷体_GB2312" w:hAnsi="Times New Roman" w:hint="eastAsia"/>
          <w:sz w:val="21"/>
          <w:szCs w:val="21"/>
        </w:rPr>
        <w:t>套。执法人员制作了勘验检查笔录，并填写了勘验检查登记清单。</w:t>
      </w:r>
    </w:p>
    <w:p w:rsidR="00800760" w:rsidRDefault="00235733">
      <w:pPr>
        <w:pStyle w:val="22"/>
        <w:topLinePunct/>
        <w:spacing w:line="336" w:lineRule="auto"/>
        <w:ind w:firstLine="436"/>
        <w:rPr>
          <w:rFonts w:ascii="Times New Roman" w:eastAsia="楷体_GB2312" w:hAnsi="Times New Roman"/>
          <w:spacing w:val="4"/>
          <w:sz w:val="21"/>
          <w:szCs w:val="21"/>
        </w:rPr>
      </w:pPr>
      <w:r>
        <w:rPr>
          <w:rFonts w:ascii="Times New Roman" w:eastAsia="楷体_GB2312" w:hAnsi="Times New Roman" w:hint="eastAsia"/>
          <w:spacing w:val="4"/>
          <w:sz w:val="21"/>
          <w:szCs w:val="21"/>
        </w:rPr>
        <w:t>当地知识产权局选择书面审理，经审理发出行政裁决书，判定被请求人生产销售的电动玩具车侵权。</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被请求人不服，向人民法院起诉。法院判决撤销了该行政裁决，主要理由是：在专利侵权纠纷行政裁决作出之前，当地知识产权局未告知被请求人作出行政裁决所依据的事实、理由和证据。</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程序合法是依法行政的基本准则，程序违法将会导致行政机关在行政诉讼中败诉的后果。在作出不利于当事人的行政决定之前，应当保证当事人对决定所依据的事实、理由和证据具有陈述、申辩的机会。本案中，管理专利工作的部门依照其依职权调查收集的证据作出对被请求人不利的结论。在作出决定之前，即使不举行口头审理，也应书面告知被请求人即将作出行政裁决的事实、理由和证据（包括依职权调查收集的证据），并给予被请求人一定的答复期限，以保证其有充分陈述和申辩的机会。</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bookmarkStart w:id="900" w:name="_Toc28593195"/>
      <w:r w:rsidR="00235733">
        <w:rPr>
          <w:rFonts w:ascii="Times New Roman" w:hAnsi="Times New Roman"/>
          <w:color w:val="000000"/>
        </w:rPr>
        <w:t>（二）</w:t>
      </w:r>
      <w:r>
        <w:rPr>
          <w:rFonts w:ascii="Times New Roman" w:hAnsi="Times New Roman"/>
          <w:color w:val="000000"/>
        </w:rPr>
        <w:fldChar w:fldCharType="end"/>
      </w:r>
      <w:r w:rsidR="00235733">
        <w:rPr>
          <w:rFonts w:ascii="Times New Roman" w:hAnsi="Times New Roman"/>
          <w:color w:val="000000"/>
        </w:rPr>
        <w:t>质证</w:t>
      </w:r>
      <w:bookmarkEnd w:id="900"/>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质证，是指在口头审理过程中，由案件的当事人就口头审理过程中出示的证据采取辨认、质疑、说明、辩论等形式进行对质核实，以确认其证据能力和证明力的活动。质证是口头审理的重点环节。证据只有经过质证程序后，才能作为定案的根据。</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901" w:name="_Toc28593196"/>
      <w:r w:rsidR="00235733">
        <w:rPr>
          <w:rFonts w:hint="eastAsia"/>
          <w:color w:val="000000"/>
        </w:rPr>
        <w:t xml:space="preserve">1. </w:t>
      </w:r>
      <w:r>
        <w:rPr>
          <w:color w:val="000000"/>
        </w:rPr>
        <w:fldChar w:fldCharType="end"/>
      </w:r>
      <w:r w:rsidR="00235733">
        <w:rPr>
          <w:rFonts w:hint="eastAsia"/>
          <w:color w:val="000000"/>
        </w:rPr>
        <w:t>质证的基本原则</w:t>
      </w:r>
      <w:bookmarkEnd w:id="901"/>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质证中，当事人应当围绕证据的真实性、合法性、关联性，针对证据证明力有无以及证明力大小，进行质疑、说明与辩驳。</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经合议组组长准许，当事人及其代理人可以就证据问题相互发问，也可以向证人、鉴定人或者勘验人发问。发问的内容应当与案件事实有关联，不得采用引诱、威胁、侮辱等语言或者方式。</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质证过程中，对与案件没有关联的证据材料，应予排除并说明理由。当事人双方均已认可的证据，无须进行质证。涉及国家秘密、商业秘密、个人隐私或者法律规定的其他应当保密的证据，不得在开庭时公开质证。</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902" w:name="_Toc28593197"/>
      <w:r w:rsidR="00235733">
        <w:rPr>
          <w:rFonts w:hint="eastAsia"/>
          <w:color w:val="000000"/>
        </w:rPr>
        <w:t xml:space="preserve">2. </w:t>
      </w:r>
      <w:r>
        <w:rPr>
          <w:color w:val="000000"/>
        </w:rPr>
        <w:fldChar w:fldCharType="end"/>
      </w:r>
      <w:r w:rsidR="00235733">
        <w:rPr>
          <w:rFonts w:hint="eastAsia"/>
          <w:color w:val="000000"/>
        </w:rPr>
        <w:t>质证顺序</w:t>
      </w:r>
      <w:bookmarkEnd w:id="902"/>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质证一般按下列顺序进行：</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请求人出示证据，被请求人发表质证意见；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被请求人出示证据，请求人发表质证意见；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管理专利工作的部门依照当事人申请调查收集的证据，请求人和被请求人发表质证意见。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质证中，双方当事人可以围绕相关证据进行辩论。</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bookmarkStart w:id="903" w:name="_Toc28593198"/>
      <w:r w:rsidR="00235733">
        <w:rPr>
          <w:rFonts w:hint="eastAsia"/>
          <w:color w:val="000000"/>
        </w:rPr>
        <w:t xml:space="preserve">3. </w:t>
      </w:r>
      <w:r>
        <w:rPr>
          <w:color w:val="000000"/>
        </w:rPr>
        <w:fldChar w:fldCharType="end"/>
      </w:r>
      <w:r w:rsidR="00235733">
        <w:rPr>
          <w:rFonts w:hint="eastAsia"/>
          <w:color w:val="000000"/>
        </w:rPr>
        <w:t>不同类型证据的质证</w:t>
      </w:r>
      <w:bookmarkEnd w:id="903"/>
    </w:p>
    <w:p w:rsidR="00800760" w:rsidRDefault="00C22A7B">
      <w:r>
        <w:fldChar w:fldCharType="begin"/>
      </w:r>
      <w:r w:rsidR="00235733">
        <w:instrText>= 1 \* GB2</w:instrText>
      </w:r>
      <w:r>
        <w:fldChar w:fldCharType="separate"/>
      </w:r>
      <w:r w:rsidR="00235733">
        <w:rPr>
          <w:rFonts w:hint="eastAsia"/>
          <w:lang w:val="en-US"/>
        </w:rPr>
        <w:t>（</w:t>
      </w:r>
      <w:r w:rsidR="00235733">
        <w:rPr>
          <w:rFonts w:hint="eastAsia"/>
          <w:lang w:val="en-US"/>
        </w:rPr>
        <w:t>1</w:t>
      </w:r>
      <w:r w:rsidR="00235733">
        <w:rPr>
          <w:rFonts w:hint="eastAsia"/>
          <w:lang w:val="en-US"/>
        </w:rPr>
        <w:t>）</w:t>
      </w:r>
      <w:r>
        <w:fldChar w:fldCharType="end"/>
      </w:r>
      <w:r w:rsidR="00235733">
        <w:rPr>
          <w:rFonts w:hint="eastAsia"/>
        </w:rPr>
        <w:t>书证和物证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对书证、物证进行质证时，当事人有权要求出示证据的原件或者原物，但有下列情况之一的除外：</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出示原件或者原物确有困难并经管理专利工作的部门准许出示复制件或者复制品的；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原件或者原物已不存在，但有证据证明复制件、复制品与原件或原物一致的。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证人证言</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证人应当出庭作证，接受当事人的质询。</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证人确有困难不能出庭的，可以提交书面证言或者视听资料，或者通过双向视听传输技术手段作证。“确有困难不能出庭”是指具有下列情形：</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年迈体弱或者行动不便无法出庭的；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特殊岗位确实无法离开的；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路途特别遥远，交通不便难以出庭的；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因自然灾害等不可抗力原因无法出庭的；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其他无法出庭的特殊情况。</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出庭作证的证人应当客观陈述其亲身感知的事实，不得使用猜测、推断或者评论性的语言。证人为聋哑人的，可以其他表达方式作证。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执法人员和当事人可以对证人进行询问。证人不得旁听口头审理；询问证人时，其他证人不得在场。合议组认为有必要的，可以让证人进行对质。</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出具鉴定意见的鉴定人、进行现场勘验的勘验人虽然属于非典型意义上的证人，但其应当出庭接受双方当事人的质询（确因特殊原因无法出庭的除外）。</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证人出庭作证的形式包括通过视频通信软件远距离传输图像、声音等形式。</w:t>
      </w:r>
    </w:p>
    <w:p w:rsidR="00800760" w:rsidRDefault="00235733">
      <w:pPr>
        <w:pStyle w:val="3"/>
        <w:topLinePunct/>
        <w:spacing w:before="240"/>
        <w:ind w:firstLine="444"/>
        <w:rPr>
          <w:rFonts w:ascii="Times New Roman" w:hAnsi="Times New Roman"/>
          <w:color w:val="000000"/>
        </w:rPr>
      </w:pPr>
      <w:bookmarkStart w:id="904" w:name="_Toc25475"/>
      <w:bookmarkStart w:id="905" w:name="_Toc217908607"/>
      <w:bookmarkStart w:id="906" w:name="_Toc3119"/>
      <w:bookmarkStart w:id="907" w:name="_Toc229114350"/>
      <w:bookmarkStart w:id="908" w:name="_Toc422"/>
      <w:bookmarkStart w:id="909" w:name="_Toc3619"/>
      <w:bookmarkStart w:id="910" w:name="_Toc15391"/>
      <w:bookmarkStart w:id="911" w:name="_Toc21527"/>
      <w:bookmarkStart w:id="912" w:name="_Toc28593199"/>
      <w:bookmarkStart w:id="913" w:name="_Toc27139"/>
      <w:bookmarkStart w:id="914" w:name="_Toc15056"/>
      <w:bookmarkStart w:id="915" w:name="_Toc13798"/>
      <w:bookmarkStart w:id="916" w:name="_Toc13636"/>
      <w:bookmarkStart w:id="917" w:name="_Toc4248"/>
      <w:bookmarkStart w:id="918" w:name="_Toc3334"/>
      <w:bookmarkStart w:id="919" w:name="_Toc20644"/>
      <w:bookmarkStart w:id="920" w:name="_Toc30010"/>
      <w:bookmarkStart w:id="921" w:name="_Toc28438"/>
      <w:bookmarkStart w:id="922" w:name="_Toc8085"/>
      <w:bookmarkStart w:id="923" w:name="_Toc17143"/>
      <w:bookmarkStart w:id="924" w:name="_Toc11405"/>
      <w:bookmarkStart w:id="925" w:name="_Toc6913"/>
      <w:bookmarkStart w:id="926" w:name="_Toc7858"/>
      <w:bookmarkStart w:id="927" w:name="_Toc26092"/>
      <w:bookmarkStart w:id="928" w:name="_Toc84"/>
      <w:bookmarkStart w:id="929" w:name="_Toc12100"/>
      <w:bookmarkStart w:id="930" w:name="_Toc31077"/>
      <w:bookmarkStart w:id="931" w:name="_Toc12"/>
      <w:bookmarkStart w:id="932" w:name="_Toc26986"/>
      <w:bookmarkStart w:id="933" w:name="_Toc7560"/>
      <w:bookmarkStart w:id="934" w:name="_Toc31933"/>
      <w:bookmarkStart w:id="935" w:name="_Toc28970"/>
      <w:bookmarkStart w:id="936" w:name="_Toc31113"/>
      <w:bookmarkStart w:id="937" w:name="_Toc26281"/>
      <w:bookmarkStart w:id="938" w:name="_Toc5272"/>
      <w:bookmarkStart w:id="939" w:name="_Toc1195"/>
      <w:bookmarkStart w:id="940" w:name="_Toc26793"/>
      <w:bookmarkStart w:id="941" w:name="_Toc29844"/>
      <w:bookmarkStart w:id="942" w:name="_Toc28033"/>
      <w:bookmarkStart w:id="943" w:name="_Toc26344"/>
      <w:bookmarkStart w:id="944" w:name="_Toc17902"/>
      <w:bookmarkStart w:id="945" w:name="_Toc21730"/>
      <w:bookmarkStart w:id="946" w:name="_Toc18971"/>
      <w:bookmarkStart w:id="947" w:name="_Toc30261"/>
      <w:bookmarkStart w:id="948" w:name="_Toc14974"/>
      <w:bookmarkStart w:id="949" w:name="_Toc229225446"/>
      <w:r>
        <w:rPr>
          <w:rFonts w:ascii="Times New Roman" w:hAnsi="Times New Roman"/>
          <w:color w:val="000000"/>
        </w:rPr>
        <w:t>三、结案</w:t>
      </w:r>
      <w:bookmarkStart w:id="950" w:name="_Toc487793414"/>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bookmarkStart w:id="951" w:name="_Toc28593200"/>
      <w:r w:rsidR="00235733">
        <w:rPr>
          <w:rFonts w:ascii="Times New Roman" w:hAnsi="Times New Roman"/>
          <w:color w:val="000000"/>
        </w:rPr>
        <w:t>（一）</w:t>
      </w:r>
      <w:r>
        <w:rPr>
          <w:rFonts w:ascii="Times New Roman" w:hAnsi="Times New Roman"/>
          <w:color w:val="000000"/>
        </w:rPr>
        <w:fldChar w:fldCharType="end"/>
      </w:r>
      <w:r w:rsidR="00235733">
        <w:rPr>
          <w:rFonts w:ascii="Times New Roman" w:hAnsi="Times New Roman"/>
          <w:color w:val="000000"/>
        </w:rPr>
        <w:t>结案形式</w:t>
      </w:r>
      <w:bookmarkEnd w:id="950"/>
      <w:bookmarkEnd w:id="951"/>
    </w:p>
    <w:p w:rsidR="00800760" w:rsidRDefault="00235733">
      <w:pPr>
        <w:pStyle w:val="22"/>
        <w:topLinePunct/>
        <w:spacing w:line="336" w:lineRule="auto"/>
        <w:ind w:firstLine="436"/>
        <w:rPr>
          <w:rFonts w:ascii="Times New Roman" w:eastAsia="宋体" w:hAnsi="Times New Roman"/>
          <w:spacing w:val="4"/>
          <w:sz w:val="21"/>
          <w:szCs w:val="21"/>
        </w:rPr>
      </w:pPr>
      <w:r>
        <w:rPr>
          <w:rFonts w:ascii="Times New Roman" w:eastAsia="宋体" w:hAnsi="Times New Roman" w:hint="eastAsia"/>
          <w:spacing w:val="4"/>
          <w:sz w:val="21"/>
          <w:szCs w:val="21"/>
        </w:rPr>
        <w:t>管理专利工作的部门处理专利侵权纠纷行政裁决案件，应当在调查认定案件事实的基础上依法及时结案。</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根据案件处理结果，结案形式包括：</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1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1</w:t>
      </w:r>
      <w:r w:rsidR="00C22A7B">
        <w:rPr>
          <w:rFonts w:ascii="Times New Roman" w:eastAsia="宋体" w:hAnsi="Times New Roman"/>
          <w:sz w:val="21"/>
          <w:szCs w:val="21"/>
        </w:rPr>
        <w:fldChar w:fldCharType="end"/>
      </w:r>
      <w:r>
        <w:rPr>
          <w:rFonts w:ascii="Times New Roman" w:eastAsia="宋体" w:hAnsi="Times New Roman" w:hint="eastAsia"/>
          <w:sz w:val="21"/>
          <w:szCs w:val="21"/>
        </w:rPr>
        <w:t>）作出行政裁决，发出《专利侵权纠纷案件行政裁决书》，终止行政处理程序；</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2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2</w:t>
      </w:r>
      <w:r w:rsidR="00C22A7B">
        <w:rPr>
          <w:rFonts w:ascii="Times New Roman" w:eastAsia="宋体" w:hAnsi="Times New Roman"/>
          <w:sz w:val="21"/>
          <w:szCs w:val="21"/>
        </w:rPr>
        <w:fldChar w:fldCharType="end"/>
      </w:r>
      <w:r>
        <w:rPr>
          <w:rFonts w:ascii="Times New Roman" w:eastAsia="宋体" w:hAnsi="Times New Roman" w:hint="eastAsia"/>
          <w:sz w:val="21"/>
          <w:szCs w:val="21"/>
        </w:rPr>
        <w:t>）调解结案，经调解当事人达成调解协议的，作出《专利侵权纠纷调解协议书》，终止行政处理程序；</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3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3</w:t>
      </w:r>
      <w:r w:rsidR="00C22A7B">
        <w:rPr>
          <w:rFonts w:ascii="Times New Roman" w:eastAsia="宋体" w:hAnsi="Times New Roman"/>
          <w:sz w:val="21"/>
          <w:szCs w:val="21"/>
        </w:rPr>
        <w:fldChar w:fldCharType="end"/>
      </w:r>
      <w:r>
        <w:rPr>
          <w:rFonts w:ascii="Times New Roman" w:eastAsia="宋体" w:hAnsi="Times New Roman" w:hint="eastAsia"/>
          <w:sz w:val="21"/>
          <w:szCs w:val="21"/>
        </w:rPr>
        <w:t>）撤销该案件，发出《撤销专利侵权纠纷案件决定书》，终止行政处理程序。</w:t>
      </w:r>
      <w:bookmarkStart w:id="952" w:name="_Toc487793415"/>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当出现以下情况时，建议以调解结案：</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1</w:t>
      </w:r>
      <w:r>
        <w:rPr>
          <w:rFonts w:ascii="Times New Roman" w:eastAsia="宋体" w:hAnsi="Times New Roman" w:hint="eastAsia"/>
          <w:sz w:val="21"/>
          <w:szCs w:val="21"/>
        </w:rPr>
        <w:t>）涉及公共利益的；</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2</w:t>
      </w:r>
      <w:r>
        <w:rPr>
          <w:rFonts w:ascii="Times New Roman" w:eastAsia="宋体" w:hAnsi="Times New Roman" w:hint="eastAsia"/>
          <w:sz w:val="21"/>
          <w:szCs w:val="21"/>
        </w:rPr>
        <w:t>）涉及标准必要专利的；</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3</w:t>
      </w:r>
      <w:r>
        <w:rPr>
          <w:rFonts w:ascii="Times New Roman" w:eastAsia="宋体" w:hAnsi="Times New Roman" w:hint="eastAsia"/>
          <w:sz w:val="21"/>
          <w:szCs w:val="21"/>
        </w:rPr>
        <w:t>）专利权已经终止的。</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bookmarkStart w:id="953" w:name="_Toc28593201"/>
      <w:r w:rsidR="00235733">
        <w:rPr>
          <w:rFonts w:ascii="Times New Roman" w:hAnsi="Times New Roman"/>
          <w:color w:val="000000"/>
        </w:rPr>
        <w:t>（二）</w:t>
      </w:r>
      <w:r>
        <w:rPr>
          <w:rFonts w:ascii="Times New Roman" w:hAnsi="Times New Roman"/>
          <w:color w:val="000000"/>
        </w:rPr>
        <w:fldChar w:fldCharType="end"/>
      </w:r>
      <w:r w:rsidR="00235733">
        <w:rPr>
          <w:rFonts w:ascii="Times New Roman" w:hAnsi="Times New Roman"/>
          <w:color w:val="000000"/>
        </w:rPr>
        <w:t>结案时限</w:t>
      </w:r>
      <w:bookmarkEnd w:id="952"/>
      <w:bookmarkEnd w:id="953"/>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管理专利工作的部门处理专利侵权纠纷，应当自立案之日起</w:t>
      </w:r>
      <w:r>
        <w:rPr>
          <w:rFonts w:ascii="Times New Roman" w:eastAsia="宋体" w:hAnsi="Times New Roman"/>
          <w:sz w:val="21"/>
          <w:szCs w:val="21"/>
        </w:rPr>
        <w:t>3</w:t>
      </w:r>
      <w:r>
        <w:rPr>
          <w:rFonts w:ascii="Times New Roman" w:eastAsia="宋体" w:hAnsi="Times New Roman" w:hint="eastAsia"/>
          <w:sz w:val="21"/>
          <w:szCs w:val="21"/>
        </w:rPr>
        <w:t>个月内结案。案件复杂需要延长期限的，应当由管理专利工作的部门负责人批准。经批准延长的期限，最多不超过</w:t>
      </w:r>
      <w:r>
        <w:rPr>
          <w:rFonts w:ascii="Times New Roman" w:eastAsia="宋体" w:hAnsi="Times New Roman"/>
          <w:sz w:val="21"/>
          <w:szCs w:val="21"/>
        </w:rPr>
        <w:t>1</w:t>
      </w:r>
      <w:r>
        <w:rPr>
          <w:rFonts w:ascii="Times New Roman" w:eastAsia="宋体" w:hAnsi="Times New Roman" w:hint="eastAsia"/>
          <w:sz w:val="21"/>
          <w:szCs w:val="21"/>
        </w:rPr>
        <w:t>个月。案件特别复杂或者有其他特殊情况，延期后仍不能结案，经上一级管理专利工作的部门批准继续延期的，应当同时确定不超过</w:t>
      </w:r>
      <w:r>
        <w:rPr>
          <w:rFonts w:ascii="Times New Roman" w:eastAsia="宋体" w:hAnsi="Times New Roman" w:hint="eastAsia"/>
          <w:sz w:val="21"/>
          <w:szCs w:val="21"/>
        </w:rPr>
        <w:t>2</w:t>
      </w:r>
      <w:r>
        <w:rPr>
          <w:rFonts w:ascii="Times New Roman" w:eastAsia="宋体" w:hAnsi="Times New Roman" w:hint="eastAsia"/>
          <w:sz w:val="21"/>
          <w:szCs w:val="21"/>
        </w:rPr>
        <w:t>个月的延长期限。</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案件处理过程中的公告、检验鉴定、中止、管辖异议和当事人申请的延长举证期限与和解期间等时间不计入上述案件办理期限。</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对因专利权无效宣告程序中止的案件，国家知识产权局作出无效宣告决定后，管理专利工作的部门应当及时恢复对案件的处理。</w:t>
      </w:r>
      <w:bookmarkStart w:id="954" w:name="_Toc487793416"/>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3 \* GB4</w:instrText>
      </w:r>
      <w:r>
        <w:rPr>
          <w:rFonts w:ascii="Times New Roman" w:hAnsi="Times New Roman"/>
          <w:color w:val="000000"/>
        </w:rPr>
        <w:fldChar w:fldCharType="separate"/>
      </w:r>
      <w:bookmarkStart w:id="955" w:name="_Toc28593202"/>
      <w:r w:rsidR="00235733">
        <w:rPr>
          <w:rFonts w:ascii="Times New Roman" w:hAnsi="Times New Roman"/>
          <w:color w:val="000000"/>
        </w:rPr>
        <w:t>（三）</w:t>
      </w:r>
      <w:r>
        <w:rPr>
          <w:rFonts w:ascii="Times New Roman" w:hAnsi="Times New Roman"/>
          <w:color w:val="000000"/>
        </w:rPr>
        <w:fldChar w:fldCharType="end"/>
      </w:r>
      <w:r w:rsidR="00235733">
        <w:rPr>
          <w:rFonts w:ascii="Times New Roman" w:hAnsi="Times New Roman"/>
          <w:color w:val="000000"/>
        </w:rPr>
        <w:t>合议</w:t>
      </w:r>
      <w:bookmarkEnd w:id="954"/>
      <w:bookmarkEnd w:id="955"/>
    </w:p>
    <w:p w:rsidR="00800760" w:rsidRDefault="00235733">
      <w:pPr>
        <w:pStyle w:val="2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专利侵权纠纷案件结案之前，合议组应当对案件认定的事实、证据、法律责任、适用法律、处理结果进行全面合议。专利侵权行为的认定及专利侵权与否的判定分别参照本指南第三章和第五章执行。</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合议由合议组组长召集并主持，合议组成员应当提出明确意见。合议组合议案件，根据少数服从多数的原则对案件涉及的证据是否采信、事实如何认定以及理由是否成立等进行表决，作出行政裁决结论。合议中的不同意见，书记员应当如实记入笔录。合议组合议笔录由合议组全体成员签名，并注明日期。合议组成员以及合议旁听人员应当对合议内容保密。合议组意见由合议组组长报管理专利工作的部门的负责人审批。</w:t>
      </w:r>
      <w:bookmarkStart w:id="956" w:name="_Toc487793417"/>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4 \* GB4</w:instrText>
      </w:r>
      <w:r>
        <w:rPr>
          <w:rFonts w:ascii="Times New Roman" w:hAnsi="Times New Roman"/>
          <w:color w:val="000000"/>
        </w:rPr>
        <w:fldChar w:fldCharType="separate"/>
      </w:r>
      <w:bookmarkStart w:id="957" w:name="_Toc28593203"/>
      <w:r w:rsidR="00235733">
        <w:rPr>
          <w:rFonts w:ascii="Times New Roman" w:hAnsi="Times New Roman"/>
          <w:color w:val="000000"/>
        </w:rPr>
        <w:t>（四）</w:t>
      </w:r>
      <w:r>
        <w:rPr>
          <w:rFonts w:ascii="Times New Roman" w:hAnsi="Times New Roman"/>
          <w:color w:val="000000"/>
        </w:rPr>
        <w:fldChar w:fldCharType="end"/>
      </w:r>
      <w:r w:rsidR="00235733">
        <w:rPr>
          <w:rFonts w:ascii="Times New Roman" w:hAnsi="Times New Roman"/>
          <w:color w:val="000000"/>
        </w:rPr>
        <w:t>结案形式具体事项</w:t>
      </w:r>
      <w:bookmarkEnd w:id="956"/>
      <w:bookmarkEnd w:id="957"/>
    </w:p>
    <w:p w:rsidR="00800760" w:rsidRDefault="00C22A7B">
      <w:pPr>
        <w:pStyle w:val="5"/>
        <w:spacing w:before="120"/>
      </w:pPr>
      <w:r>
        <w:fldChar w:fldCharType="begin"/>
      </w:r>
      <w:r w:rsidR="00235733">
        <w:instrText>= 1 \* GB1</w:instrText>
      </w:r>
      <w:r>
        <w:fldChar w:fldCharType="separate"/>
      </w:r>
      <w:bookmarkStart w:id="958" w:name="_Toc28593204"/>
      <w:r w:rsidR="00235733">
        <w:rPr>
          <w:rFonts w:hint="eastAsia"/>
        </w:rPr>
        <w:t xml:space="preserve">1. </w:t>
      </w:r>
      <w:r>
        <w:fldChar w:fldCharType="end"/>
      </w:r>
      <w:r w:rsidR="00235733">
        <w:rPr>
          <w:rFonts w:hint="eastAsia"/>
        </w:rPr>
        <w:t>作出行政裁决</w:t>
      </w:r>
      <w:bookmarkEnd w:id="958"/>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除当事人达成调解协议以及有应当撤销案件的情形外，合议组应当及时作出行政裁决，并制作《专利侵权纠纷案件行政裁决书》。</w:t>
      </w:r>
    </w:p>
    <w:p w:rsidR="00800760" w:rsidRDefault="00C22A7B">
      <w:r>
        <w:fldChar w:fldCharType="begin"/>
      </w:r>
      <w:r w:rsidR="00235733">
        <w:instrText>= 1 \* GB2</w:instrText>
      </w:r>
      <w:r>
        <w:fldChar w:fldCharType="separate"/>
      </w:r>
      <w:r w:rsidR="00235733">
        <w:rPr>
          <w:rFonts w:hint="eastAsia"/>
        </w:rPr>
        <w:t>（</w:t>
      </w:r>
      <w:r w:rsidR="00235733">
        <w:t>1</w:t>
      </w:r>
      <w:r w:rsidR="00235733">
        <w:t>）</w:t>
      </w:r>
      <w:r>
        <w:fldChar w:fldCharType="end"/>
      </w:r>
      <w:r w:rsidR="00235733">
        <w:rPr>
          <w:rFonts w:hint="eastAsia"/>
        </w:rPr>
        <w:t>《专利侵权纠纷案件行政裁决书》内容</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《专利侵权纠纷案件行政裁决书》应当事实叙述清楚，理由论述充分，法律条款援引准确，裁决结果具体、明确。</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《专利侵权纠纷案件行政裁决书》应当载明以下内容：</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的姓名或名称、地址。当事人是自然人的，注明身份证件名称及编号；当事人是法人或者非法人组织的，注明其法定代表人或负责人的姓名、职务。当事人委托代理人的，注明委托代理人的姓名、工作单位及职务、资格或身份证件名称及编号、地址；</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案由；</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口头审理及到庭情况；</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当事人的主张、支持其主张的理由以及有关证据材料；</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执法人员现场检查的情况；</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⑥</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当事人对证据的质证意见，合议组对证据材料的采信情况；</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⑦</w:t>
      </w:r>
      <w:r>
        <w:rPr>
          <w:rFonts w:ascii="Times New Roman" w:eastAsia="宋体" w:hAnsi="Times New Roman"/>
          <w:sz w:val="21"/>
          <w:szCs w:val="21"/>
        </w:rPr>
        <w:fldChar w:fldCharType="end"/>
      </w:r>
      <w:r w:rsidR="00235733">
        <w:rPr>
          <w:rFonts w:ascii="Times New Roman" w:eastAsia="宋体" w:hAnsi="Times New Roman" w:hint="eastAsia"/>
          <w:sz w:val="21"/>
          <w:szCs w:val="21"/>
        </w:rPr>
        <w:t>经查明的事实及证明事实的依据；</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8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⑧</w:t>
      </w:r>
      <w:r>
        <w:rPr>
          <w:rFonts w:ascii="Times New Roman" w:eastAsia="宋体" w:hAnsi="Times New Roman"/>
          <w:sz w:val="21"/>
          <w:szCs w:val="21"/>
        </w:rPr>
        <w:fldChar w:fldCharType="end"/>
      </w:r>
      <w:r w:rsidR="00235733">
        <w:rPr>
          <w:rFonts w:ascii="Times New Roman" w:eastAsia="宋体" w:hAnsi="Times New Roman" w:hint="eastAsia"/>
          <w:sz w:val="21"/>
          <w:szCs w:val="21"/>
        </w:rPr>
        <w:t>认定侵犯专利权行为是否成立以及认定的理由和依据；</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9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⑨</w:t>
      </w:r>
      <w:r>
        <w:rPr>
          <w:rFonts w:ascii="Times New Roman" w:eastAsia="宋体" w:hAnsi="Times New Roman"/>
          <w:sz w:val="21"/>
          <w:szCs w:val="21"/>
        </w:rPr>
        <w:fldChar w:fldCharType="end"/>
      </w:r>
      <w:r w:rsidR="00235733">
        <w:rPr>
          <w:rFonts w:ascii="Times New Roman" w:eastAsia="宋体" w:hAnsi="Times New Roman" w:hint="eastAsia"/>
          <w:sz w:val="21"/>
          <w:szCs w:val="21"/>
        </w:rPr>
        <w:t>裁决结果。认定侵犯专利权行为成立的，应当明确责令被请求人立即停止侵犯专利权行为的类型、对象和范围；认定侵犯专利权行为不成立的，应当驳回请求人的请求；</w:t>
      </w:r>
    </w:p>
    <w:p w:rsidR="00800760" w:rsidRDefault="00C22A7B">
      <w:pPr>
        <w:pStyle w:val="22"/>
        <w:topLinePunct/>
        <w:spacing w:line="336" w:lineRule="auto"/>
        <w:ind w:firstLineChars="0"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xml:space="preserve"> </w:instrText>
      </w:r>
      <w:r w:rsidR="00235733">
        <w:rPr>
          <w:rFonts w:ascii="Times New Roman" w:eastAsia="宋体" w:hAnsi="Times New Roman" w:hint="eastAsia"/>
          <w:sz w:val="21"/>
          <w:szCs w:val="21"/>
        </w:rPr>
        <w:instrText>= 10 \* GB3</w:instrText>
      </w:r>
      <w:r w:rsidR="00235733">
        <w:rPr>
          <w:rFonts w:ascii="Times New Roman" w:eastAsia="宋体" w:hAnsi="Times New Roman"/>
          <w:sz w:val="21"/>
          <w:szCs w:val="21"/>
        </w:rPr>
        <w:instrText xml:space="preserve"> </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⑩</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当事人不服行政裁决提起行政诉讼的途径和期限；</w:t>
      </w:r>
    </w:p>
    <w:p w:rsidR="00800760" w:rsidRDefault="00235733">
      <w:pPr>
        <w:pStyle w:val="22"/>
        <w:topLinePunct/>
        <w:spacing w:line="336" w:lineRule="auto"/>
        <w:ind w:firstLineChars="0" w:firstLine="420"/>
        <w:rPr>
          <w:rFonts w:ascii="Times New Roman" w:eastAsia="宋体" w:hAnsi="Times New Roman"/>
          <w:sz w:val="21"/>
          <w:szCs w:val="21"/>
        </w:rPr>
      </w:pPr>
      <w:r>
        <w:rPr>
          <w:rFonts w:ascii="Cambria Math" w:eastAsia="MS Mincho" w:hAnsi="Cambria Math" w:cs="Times New Roman"/>
          <w:sz w:val="21"/>
          <w:szCs w:val="21"/>
        </w:rPr>
        <w:t>⑪</w:t>
      </w:r>
      <w:r>
        <w:rPr>
          <w:rFonts w:ascii="Times New Roman" w:eastAsia="宋体" w:hAnsi="Times New Roman" w:hint="eastAsia"/>
          <w:sz w:val="21"/>
          <w:szCs w:val="21"/>
        </w:rPr>
        <w:t>作出行政裁决的日期；</w:t>
      </w:r>
    </w:p>
    <w:p w:rsidR="00800760" w:rsidRDefault="00235733">
      <w:pPr>
        <w:pStyle w:val="22"/>
        <w:topLinePunct/>
        <w:spacing w:line="336" w:lineRule="auto"/>
        <w:ind w:firstLineChars="0" w:firstLine="420"/>
        <w:rPr>
          <w:rFonts w:ascii="Times New Roman" w:eastAsia="宋体" w:hAnsi="Times New Roman"/>
          <w:sz w:val="21"/>
          <w:szCs w:val="21"/>
        </w:rPr>
      </w:pPr>
      <w:r>
        <w:rPr>
          <w:rFonts w:ascii="Cambria Math" w:eastAsia="MS Mincho" w:hAnsi="Cambria Math" w:cs="Times New Roman"/>
          <w:sz w:val="21"/>
          <w:szCs w:val="21"/>
        </w:rPr>
        <w:t>⑫</w:t>
      </w:r>
      <w:r>
        <w:rPr>
          <w:rFonts w:ascii="Times New Roman" w:eastAsia="宋体" w:hAnsi="Times New Roman" w:hint="eastAsia"/>
          <w:sz w:val="21"/>
          <w:szCs w:val="21"/>
        </w:rPr>
        <w:t>合议组成员姓名。</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《专利侵权纠纷案件行政裁决书》应当加盖管理专利工作的部门的公章。</w:t>
      </w:r>
    </w:p>
    <w:p w:rsidR="00800760" w:rsidRDefault="00C22A7B">
      <w:r>
        <w:fldChar w:fldCharType="begin"/>
      </w:r>
      <w:r w:rsidR="00235733">
        <w:instrText>= 2 \* GB2</w:instrText>
      </w:r>
      <w:r>
        <w:fldChar w:fldCharType="separate"/>
      </w:r>
      <w:r w:rsidR="00235733">
        <w:rPr>
          <w:rFonts w:hint="eastAsia"/>
        </w:rPr>
        <w:t>（</w:t>
      </w:r>
      <w:r w:rsidR="00235733">
        <w:t>2</w:t>
      </w:r>
      <w:r w:rsidR="00235733">
        <w:t>）</w:t>
      </w:r>
      <w:r>
        <w:fldChar w:fldCharType="end"/>
      </w:r>
      <w:r w:rsidR="00235733">
        <w:rPr>
          <w:rFonts w:hint="eastAsia"/>
        </w:rPr>
        <w:t>停止侵权的措施</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管理专利工作的部门认定专利侵权行为成立，作出行政裁决，责令侵权人立即停止侵权行为的，应当采取下列措施制止侵权行为：</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侵权人制造专利侵权产品的，责令其立即停止制造行为，销毁制造侵权产品的专用设备、模具，并且不得销售、许诺销售、使用尚未售出的侵权产品或者以任何其他形式将其投放市场；侵权产品难以保存的，责令侵权人销毁该产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侵权人未经专利权人许可使用专利方法的，责令侵权人立即停止使用行为，销毁实施专利方法的专用设备、模具，并且不得销售、许诺销售、使用尚未售出的依照专利方法所直接获得的侵权产品或者以任何其他形式将其投放市场；依照专利方法所直接获得的侵权产品难以保存的，责令侵权人销毁该产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侵权人销售专利侵权产品或者依照专利方法直接获得的侵权产品的，责令其立即停止销售行为，并且不得许诺销售、使用尚未售出的侵权产品或者以任何其他形式将其投放市场；尚未售出的侵权产品难以保存的，责令侵权人销毁该产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侵权人许诺销售专利侵权产品或者依照专利方法直接获得的侵权产品的，责令其立即停止许诺销售行为，消除影响，并且不得进行任何实际销售行为；</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侵权人以生产经营为目的使用专利侵权产品的，责令其立即停止使用行为；但为生产经营目的使用不知道是未经专利权人许可而制造并售出的专利侵权产品，且举证证明该产品合法来源的，对于权利人请求停止上述使用的主张，管理专利工作的部门应予支持，但侵权产品的使用者举证证明其已支付该产品的合理对价的除外；</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⑥</w:t>
      </w:r>
      <w:r>
        <w:rPr>
          <w:rFonts w:ascii="Times New Roman" w:eastAsia="宋体" w:hAnsi="Times New Roman"/>
          <w:sz w:val="21"/>
          <w:szCs w:val="21"/>
        </w:rPr>
        <w:fldChar w:fldCharType="end"/>
      </w:r>
      <w:r w:rsidR="00235733">
        <w:rPr>
          <w:rFonts w:ascii="Times New Roman" w:eastAsia="宋体" w:hAnsi="Times New Roman" w:hint="eastAsia"/>
          <w:sz w:val="21"/>
          <w:szCs w:val="21"/>
        </w:rPr>
        <w:t>侵权人进口专利侵权产品或者依照专利方法直接获得的侵权产品的，责令侵权人立即停止进口行为；侵权产品已经入境的，不得销售、使用该侵权产品或者以任何其他形式将其投放市场；侵权产品难以保存的，责令侵权人销毁该产品；侵权产品尚未入境的，可以将行政裁决通知有关海关；</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⑦</w:t>
      </w:r>
      <w:r>
        <w:rPr>
          <w:rFonts w:ascii="Times New Roman" w:eastAsia="宋体" w:hAnsi="Times New Roman"/>
          <w:sz w:val="21"/>
          <w:szCs w:val="21"/>
        </w:rPr>
        <w:fldChar w:fldCharType="end"/>
      </w:r>
      <w:r w:rsidR="00235733">
        <w:rPr>
          <w:rFonts w:ascii="Times New Roman" w:eastAsia="宋体" w:hAnsi="Times New Roman" w:hint="eastAsia"/>
          <w:sz w:val="21"/>
          <w:szCs w:val="21"/>
        </w:rPr>
        <w:t>责令侵权的参展方采取从展会上撤出侵权展品、销毁或者封存相应的宣传材料、更换或者遮盖相应的展板等撤展措施；</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xml:space="preserve"> </w:instrText>
      </w:r>
      <w:r w:rsidR="00235733">
        <w:rPr>
          <w:rFonts w:ascii="Times New Roman" w:eastAsia="宋体" w:hAnsi="Times New Roman" w:hint="eastAsia"/>
          <w:sz w:val="21"/>
          <w:szCs w:val="21"/>
        </w:rPr>
        <w:instrText>= 8 \* GB3</w:instrText>
      </w:r>
      <w:r w:rsidR="00235733">
        <w:rPr>
          <w:rFonts w:ascii="Times New Roman" w:eastAsia="宋体" w:hAnsi="Times New Roman"/>
          <w:sz w:val="21"/>
          <w:szCs w:val="21"/>
        </w:rPr>
        <w:instrText xml:space="preserve"> </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⑧</w:t>
      </w:r>
      <w:r>
        <w:rPr>
          <w:rFonts w:ascii="Times New Roman" w:eastAsia="宋体" w:hAnsi="Times New Roman"/>
          <w:sz w:val="21"/>
          <w:szCs w:val="21"/>
        </w:rPr>
        <w:fldChar w:fldCharType="end"/>
      </w:r>
      <w:r w:rsidR="00235733">
        <w:rPr>
          <w:rFonts w:ascii="Times New Roman" w:eastAsia="宋体" w:hAnsi="Times New Roman" w:hint="eastAsia"/>
          <w:sz w:val="21"/>
          <w:szCs w:val="21"/>
        </w:rPr>
        <w:t>停止侵权行为的其他必要措施。</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认定电子商务平台上的专利侵权行为成立，作出行政裁决的，应当通知网络服务提供者、电子商务平台经营者及时对专利侵权产品或者依照专利方法直接获得的侵权产品相关网页采取删除、屏蔽、断开链接、终止交易和服务等必要措施，制止平台内经营者的侵权行为。</w:t>
      </w:r>
    </w:p>
    <w:p w:rsidR="00800760" w:rsidRDefault="00C22A7B">
      <w:pPr>
        <w:pStyle w:val="5"/>
        <w:spacing w:before="120"/>
      </w:pPr>
      <w:r>
        <w:fldChar w:fldCharType="begin"/>
      </w:r>
      <w:r w:rsidR="00235733">
        <w:instrText>= 2 \* GB1</w:instrText>
      </w:r>
      <w:r>
        <w:fldChar w:fldCharType="separate"/>
      </w:r>
      <w:bookmarkStart w:id="959" w:name="_Toc28593205"/>
      <w:r w:rsidR="00235733">
        <w:rPr>
          <w:rFonts w:hint="eastAsia"/>
        </w:rPr>
        <w:t xml:space="preserve">2. </w:t>
      </w:r>
      <w:r>
        <w:fldChar w:fldCharType="end"/>
      </w:r>
      <w:r w:rsidR="00235733">
        <w:rPr>
          <w:rFonts w:hint="eastAsia"/>
        </w:rPr>
        <w:t>调解结案</w:t>
      </w:r>
      <w:bookmarkEnd w:id="959"/>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处理专利侵权纠纷案件时，可以根据当事人自愿的原则，按照有关法律、法规、规章的规定，在查明事实、分清是非的基础上，促使双方当事人相互谅解，达成调解协议。调解协议内容不得违反法律、行政法规的强制性规定，不得损害国家、集体或者第三人利益。</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调解应当贯穿于专利侵权纠纷处理全过程。调解可以由合议组组长主持，也可以由合议组其他成员主持。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进行调解时，可以用简易方式通知当事人及其代理人。经过调解达成协议的，由管理专利工作的部门制作《专利侵权纠纷调解协议书》，双方当事人应当在《专利侵权纠纷调解协议书》上签字或者盖章，在双方当事人签字或者盖章后，管理专利工作的部门在《专利侵权纠纷调解协议书》上加盖部门公章。</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侵权纠纷调解协议书》应当及时送达双方当事人，管理专利工作的部门留卷一份，并以《专利侵权纠纷调解协议书》的形式结案；调解未达成协议或者当事人在《专利侵权纠纷调解协议书》签收前反悔的，管理专利工作的部门应当及时作出行政裁决。</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制作《专利侵权纠纷调解协议书》，应当写明以下内容：</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①请求人、被请求人的名称或者姓名、地址，法定代表人姓名、职务，委托代理人的姓名、所在单位；</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②处理请求、案件查明的事实和调解协议的主要内容。</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调解书中具有给付内容并载明愿意接受强制执行承诺的，当事人可以依照《中华人民共和国公证法》的规定申请公证机关赋予强制执行效力。当事人不履行或者不适当履行经过公证的调解书的，对方当事人可以依法向有管辖权的人民法院申请执行。</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双方当事人可以自调解协议生效之日起</w:t>
      </w:r>
      <w:r>
        <w:rPr>
          <w:rFonts w:ascii="Times New Roman" w:eastAsia="宋体" w:hAnsi="Times New Roman" w:hint="eastAsia"/>
          <w:sz w:val="21"/>
          <w:szCs w:val="21"/>
        </w:rPr>
        <w:t>30</w:t>
      </w:r>
      <w:r>
        <w:rPr>
          <w:rFonts w:ascii="Times New Roman" w:eastAsia="宋体" w:hAnsi="Times New Roman" w:hint="eastAsia"/>
          <w:sz w:val="21"/>
          <w:szCs w:val="21"/>
        </w:rPr>
        <w:t>日内依法共同向人民法院申请司法确认。人民法院对当事人达成的调解协议进行自愿性、合法性的审查。经过司法确认的调解协议具有强制执行效</w:t>
      </w:r>
      <w:r>
        <w:rPr>
          <w:rFonts w:ascii="Times New Roman" w:eastAsia="宋体" w:hAnsi="Times New Roman"/>
          <w:sz w:val="21"/>
          <w:szCs w:val="21"/>
        </w:rPr>
        <w:t>力</w:t>
      </w:r>
      <w:r>
        <w:rPr>
          <w:rFonts w:ascii="Times New Roman" w:eastAsia="宋体" w:hAnsi="Times New Roman" w:hint="eastAsia"/>
          <w:sz w:val="21"/>
          <w:szCs w:val="21"/>
        </w:rPr>
        <w:t>，如果一方当事人拒绝履行或未全部履行调解协议，对方当事人可以向人民法院申请强制执行。</w:t>
      </w:r>
    </w:p>
    <w:p w:rsidR="00800760" w:rsidRDefault="00C22A7B">
      <w:pPr>
        <w:pStyle w:val="5"/>
        <w:spacing w:before="120"/>
      </w:pPr>
      <w:r>
        <w:fldChar w:fldCharType="begin"/>
      </w:r>
      <w:r w:rsidR="00235733">
        <w:instrText>= 3 \* GB1</w:instrText>
      </w:r>
      <w:r>
        <w:fldChar w:fldCharType="separate"/>
      </w:r>
      <w:bookmarkStart w:id="960" w:name="_Toc28593206"/>
      <w:r w:rsidR="00235733">
        <w:rPr>
          <w:rFonts w:hint="eastAsia"/>
        </w:rPr>
        <w:t xml:space="preserve">3. </w:t>
      </w:r>
      <w:r>
        <w:fldChar w:fldCharType="end"/>
      </w:r>
      <w:r w:rsidR="00235733">
        <w:rPr>
          <w:rFonts w:hint="eastAsia"/>
        </w:rPr>
        <w:t>撤销案件</w:t>
      </w:r>
      <w:bookmarkEnd w:id="960"/>
    </w:p>
    <w:p w:rsidR="00800760" w:rsidRDefault="00C22A7B">
      <w:r>
        <w:fldChar w:fldCharType="begin"/>
      </w:r>
      <w:r w:rsidR="00235733">
        <w:instrText>= 1 \* GB2</w:instrText>
      </w:r>
      <w:r>
        <w:fldChar w:fldCharType="separate"/>
      </w:r>
      <w:r w:rsidR="00235733">
        <w:rPr>
          <w:rFonts w:hint="eastAsia"/>
          <w:lang w:val="en-US"/>
        </w:rPr>
        <w:t>（</w:t>
      </w:r>
      <w:r w:rsidR="00235733">
        <w:rPr>
          <w:rFonts w:hint="eastAsia"/>
          <w:lang w:val="en-US"/>
        </w:rPr>
        <w:t>1</w:t>
      </w:r>
      <w:r w:rsidR="00235733">
        <w:rPr>
          <w:rFonts w:hint="eastAsia"/>
          <w:lang w:val="en-US"/>
        </w:rPr>
        <w:t>）</w:t>
      </w:r>
      <w:r>
        <w:fldChar w:fldCharType="end"/>
      </w:r>
      <w:r w:rsidR="00235733">
        <w:rPr>
          <w:rFonts w:hint="eastAsia"/>
        </w:rPr>
        <w:t>适用范围</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出现下列情形之一时，管理专利工作的部门可以撤销专利侵权纠纷案件：</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立案后发现不符合受理条件的；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请求人撤回处理请求的；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请求人死亡或注销，没有继承人或者承受人，或者继承人或者承受人放弃处理请求的；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被请求人死亡或注销，没有遗产或剩余财产，或者没有应当承担义务的人的；</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其他依法应当撤销案件的情形。</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涉案专利的权利要求书有两项以上权利要求的，请求人应当在请求书中载明据以请求处理被请求人侵犯其专利权的权利要求项。请求书对此未记载或者记载不明的，管理专利工作的部门应当要求请求人明确。经释明，请求人仍不予明确的，可以撤案处理。</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《撤销专利侵权纠纷案件决定书》内容</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《撤销专利侵权纠纷案件决定书》应当载明以下内容：</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案件编号；</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双方当事人的姓名或名称；</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涉案专利号、专利名称；</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撤销案件的原因；</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准予或决定撤销的决定；</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⑥</w:t>
      </w:r>
      <w:r>
        <w:rPr>
          <w:rFonts w:ascii="Times New Roman" w:eastAsia="宋体" w:hAnsi="Times New Roman"/>
          <w:sz w:val="21"/>
          <w:szCs w:val="21"/>
        </w:rPr>
        <w:fldChar w:fldCharType="end"/>
      </w:r>
      <w:r w:rsidR="00235733">
        <w:rPr>
          <w:rFonts w:ascii="Times New Roman" w:eastAsia="宋体" w:hAnsi="Times New Roman" w:hint="eastAsia"/>
          <w:sz w:val="21"/>
          <w:szCs w:val="21"/>
        </w:rPr>
        <w:t>费用的承担（如果适用）；</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⑦</w:t>
      </w:r>
      <w:r>
        <w:rPr>
          <w:rFonts w:ascii="Times New Roman" w:eastAsia="宋体" w:hAnsi="Times New Roman"/>
          <w:sz w:val="21"/>
          <w:szCs w:val="21"/>
        </w:rPr>
        <w:fldChar w:fldCharType="end"/>
      </w:r>
      <w:r w:rsidR="00235733">
        <w:rPr>
          <w:rFonts w:ascii="Times New Roman" w:eastAsia="宋体" w:hAnsi="Times New Roman" w:hint="eastAsia"/>
          <w:sz w:val="21"/>
          <w:szCs w:val="21"/>
        </w:rPr>
        <w:t>作出撤销案件决定的日期；</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8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⑧</w:t>
      </w:r>
      <w:r>
        <w:rPr>
          <w:rFonts w:ascii="Times New Roman" w:eastAsia="宋体" w:hAnsi="Times New Roman"/>
          <w:sz w:val="21"/>
          <w:szCs w:val="21"/>
        </w:rPr>
        <w:fldChar w:fldCharType="end"/>
      </w:r>
      <w:r w:rsidR="00235733">
        <w:rPr>
          <w:rFonts w:ascii="Times New Roman" w:eastAsia="宋体" w:hAnsi="Times New Roman" w:hint="eastAsia"/>
          <w:sz w:val="21"/>
          <w:szCs w:val="21"/>
        </w:rPr>
        <w:t>不服决定的救济措施。</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《撤销专利侵权纠纷案件决定书》应当加盖管理专利工作的部门的公章。</w:t>
      </w:r>
      <w:bookmarkStart w:id="961" w:name="_Toc487793418"/>
    </w:p>
    <w:p w:rsidR="00800760" w:rsidRDefault="00C22A7B">
      <w:pPr>
        <w:pStyle w:val="5"/>
        <w:spacing w:before="120"/>
      </w:pPr>
      <w:r>
        <w:fldChar w:fldCharType="begin"/>
      </w:r>
      <w:r w:rsidR="00235733">
        <w:instrText>= 3 \* GB1</w:instrText>
      </w:r>
      <w:r>
        <w:fldChar w:fldCharType="separate"/>
      </w:r>
      <w:r w:rsidR="00235733">
        <w:t xml:space="preserve">4. </w:t>
      </w:r>
      <w:r>
        <w:fldChar w:fldCharType="end"/>
      </w:r>
      <w:r w:rsidR="00235733">
        <w:rPr>
          <w:rFonts w:hint="eastAsia"/>
        </w:rPr>
        <w:t>变更与撤销</w:t>
      </w:r>
    </w:p>
    <w:p w:rsidR="00800760" w:rsidRDefault="00235733">
      <w:pPr>
        <w:pStyle w:val="22"/>
        <w:topLinePunct/>
        <w:spacing w:line="336" w:lineRule="auto"/>
        <w:ind w:firstLine="420"/>
        <w:rPr>
          <w:rFonts w:ascii="Times New Roman" w:eastAsia="宋体" w:hAnsi="Times New Roman"/>
          <w:szCs w:val="21"/>
        </w:rPr>
      </w:pPr>
      <w:r>
        <w:rPr>
          <w:rFonts w:ascii="Times New Roman" w:eastAsia="宋体" w:hAnsi="Times New Roman" w:hint="eastAsia"/>
          <w:sz w:val="21"/>
          <w:szCs w:val="21"/>
        </w:rPr>
        <w:t>出现如下情形时，管理专利工作的部门应当依职权或者依申请变更或者撤销行政裁决：</w:t>
      </w:r>
    </w:p>
    <w:p w:rsidR="00800760" w:rsidRDefault="00C22A7B">
      <w:pPr>
        <w:pStyle w:val="22"/>
        <w:topLinePunct/>
        <w:spacing w:line="336" w:lineRule="auto"/>
        <w:ind w:firstLine="420"/>
        <w:rPr>
          <w:rFonts w:ascii="Times New Roman" w:eastAsia="宋体" w:hAnsi="Times New Roman"/>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已作出的专利侵权纠纷行政裁决中的涉案专利被宣告全部无效或者部分无效且无效宣告决定书已生效；</w:t>
      </w:r>
    </w:p>
    <w:p w:rsidR="00800760" w:rsidRDefault="00C22A7B">
      <w:pPr>
        <w:pStyle w:val="22"/>
        <w:topLinePunct/>
        <w:spacing w:line="336" w:lineRule="auto"/>
        <w:ind w:firstLine="420"/>
        <w:rPr>
          <w:rFonts w:ascii="Times New Roman" w:eastAsia="宋体" w:hAnsi="Times New Roman"/>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color w:val="auto"/>
          <w:sz w:val="21"/>
          <w:szCs w:val="21"/>
        </w:rPr>
        <w:t>其他需要纠正或者撤销</w:t>
      </w:r>
      <w:r w:rsidR="00235733">
        <w:rPr>
          <w:rFonts w:ascii="Times New Roman" w:eastAsia="宋体" w:hAnsi="Times New Roman" w:hint="eastAsia"/>
          <w:sz w:val="21"/>
          <w:szCs w:val="21"/>
        </w:rPr>
        <w:t>行政裁决的</w:t>
      </w:r>
      <w:r w:rsidR="00235733">
        <w:rPr>
          <w:rFonts w:ascii="Times New Roman" w:eastAsia="宋体" w:hAnsi="Times New Roman" w:hint="eastAsia"/>
          <w:color w:val="auto"/>
          <w:sz w:val="21"/>
          <w:szCs w:val="21"/>
        </w:rPr>
        <w:t>情形。</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color w:val="auto"/>
          <w:sz w:val="21"/>
          <w:szCs w:val="21"/>
        </w:rPr>
        <w:t>宣告专利权无效的决定，对已经履行或者强制执行的专利侵权纠纷处理决定，</w:t>
      </w:r>
      <w:r>
        <w:rPr>
          <w:rFonts w:ascii="Times New Roman" w:eastAsia="宋体" w:hAnsi="Times New Roman" w:hint="eastAsia"/>
          <w:sz w:val="21"/>
          <w:szCs w:val="21"/>
        </w:rPr>
        <w:t>不具有追溯力。</w:t>
      </w:r>
    </w:p>
    <w:p w:rsidR="00800760" w:rsidRDefault="00C22A7B">
      <w:pPr>
        <w:pStyle w:val="5"/>
        <w:spacing w:before="120"/>
      </w:pPr>
      <w:r>
        <w:fldChar w:fldCharType="begin"/>
      </w:r>
      <w:r w:rsidR="00235733">
        <w:instrText>= 3 \* GB1</w:instrText>
      </w:r>
      <w:r>
        <w:fldChar w:fldCharType="separate"/>
      </w:r>
      <w:r w:rsidR="00235733">
        <w:t xml:space="preserve">5. </w:t>
      </w:r>
      <w:r>
        <w:fldChar w:fldCharType="end"/>
      </w:r>
      <w:r w:rsidR="00235733">
        <w:rPr>
          <w:rFonts w:hint="eastAsia"/>
        </w:rPr>
        <w:t>先行裁驳，另行请求</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涉案专利权利要求经国务院专利行政部门审查决定宣告无效的，可以对基于该无效权利要求的请求事项作出驳回请求的行政裁决。</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有证据证明上述无效决定被生效的行政判决撤销并维持权利要求有效的，请求人另行提出处理请求的，应予受理。</w:t>
      </w:r>
    </w:p>
    <w:p w:rsidR="00800760" w:rsidRDefault="00235733">
      <w:pPr>
        <w:pStyle w:val="af6"/>
        <w:spacing w:before="120"/>
        <w:ind w:firstLine="420"/>
        <w:rPr>
          <w:rFonts w:ascii="Times New Roman" w:eastAsia="宋体" w:hAnsi="Times New Roman" w:cs="Times New Roman"/>
        </w:rPr>
      </w:pPr>
      <w:r>
        <w:rPr>
          <w:rFonts w:ascii="Times New Roman" w:eastAsia="宋体" w:hAnsi="Times New Roman" w:cs="Times New Roman"/>
        </w:rPr>
        <w:t>【</w:t>
      </w:r>
      <w:r>
        <w:rPr>
          <w:rFonts w:cs="Times New Roman"/>
        </w:rPr>
        <w:t>案例</w:t>
      </w:r>
      <w:r>
        <w:rPr>
          <w:rFonts w:ascii="Times New Roman" w:eastAsia="宋体" w:hAnsi="Times New Roman" w:cs="Times New Roman"/>
        </w:rPr>
        <w:t>2-2-2</w:t>
      </w:r>
      <w:r>
        <w:rPr>
          <w:rFonts w:ascii="Times New Roman" w:eastAsia="宋体" w:hAnsi="Times New Roman" w:cs="Times New Roman"/>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2022</w:t>
      </w:r>
      <w:r>
        <w:rPr>
          <w:rFonts w:ascii="Times New Roman" w:eastAsia="楷体_GB2312" w:hAnsi="Times New Roman" w:hint="eastAsia"/>
          <w:sz w:val="21"/>
          <w:szCs w:val="21"/>
        </w:rPr>
        <w:t>年</w:t>
      </w:r>
      <w:r>
        <w:rPr>
          <w:rFonts w:ascii="Times New Roman" w:eastAsia="楷体_GB2312" w:hAnsi="Times New Roman"/>
          <w:sz w:val="21"/>
          <w:szCs w:val="21"/>
        </w:rPr>
        <w:t>11</w:t>
      </w:r>
      <w:r>
        <w:rPr>
          <w:rFonts w:ascii="Times New Roman" w:eastAsia="楷体_GB2312" w:hAnsi="Times New Roman" w:hint="eastAsia"/>
          <w:sz w:val="21"/>
          <w:szCs w:val="21"/>
        </w:rPr>
        <w:t>月</w:t>
      </w:r>
      <w:r>
        <w:rPr>
          <w:rFonts w:ascii="Times New Roman" w:eastAsia="楷体_GB2312" w:hAnsi="Times New Roman"/>
          <w:sz w:val="21"/>
          <w:szCs w:val="21"/>
        </w:rPr>
        <w:t>1</w:t>
      </w:r>
      <w:r>
        <w:rPr>
          <w:rFonts w:ascii="Times New Roman" w:eastAsia="楷体_GB2312" w:hAnsi="Times New Roman" w:hint="eastAsia"/>
          <w:sz w:val="21"/>
          <w:szCs w:val="21"/>
        </w:rPr>
        <w:t>日，请求人投资咨询公司</w:t>
      </w:r>
      <w:r>
        <w:rPr>
          <w:rFonts w:ascii="Times New Roman" w:eastAsia="楷体_GB2312" w:hAnsi="Times New Roman" w:hint="eastAsia"/>
          <w:sz w:val="21"/>
          <w:szCs w:val="21"/>
        </w:rPr>
        <w:t>A</w:t>
      </w:r>
      <w:r>
        <w:rPr>
          <w:rFonts w:ascii="Times New Roman" w:eastAsia="楷体_GB2312" w:hAnsi="Times New Roman" w:hint="eastAsia"/>
          <w:sz w:val="21"/>
          <w:szCs w:val="21"/>
        </w:rPr>
        <w:t>向当地知识产权局提出专利侵权纠纷行政裁决请求，称被请求人涉嫌侵犯其专利权。当地知识产权局于当日立案。</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2023</w:t>
      </w:r>
      <w:r>
        <w:rPr>
          <w:rFonts w:ascii="Times New Roman" w:eastAsia="楷体_GB2312" w:hAnsi="Times New Roman" w:hint="eastAsia"/>
          <w:sz w:val="21"/>
          <w:szCs w:val="21"/>
        </w:rPr>
        <w:t>年</w:t>
      </w:r>
      <w:r>
        <w:rPr>
          <w:rFonts w:ascii="Times New Roman" w:eastAsia="楷体_GB2312" w:hAnsi="Times New Roman"/>
          <w:sz w:val="21"/>
          <w:szCs w:val="21"/>
        </w:rPr>
        <w:t>1</w:t>
      </w:r>
      <w:r>
        <w:rPr>
          <w:rFonts w:ascii="Times New Roman" w:eastAsia="楷体_GB2312" w:hAnsi="Times New Roman" w:hint="eastAsia"/>
          <w:sz w:val="21"/>
          <w:szCs w:val="21"/>
        </w:rPr>
        <w:t>月</w:t>
      </w:r>
      <w:r>
        <w:rPr>
          <w:rFonts w:ascii="Times New Roman" w:eastAsia="楷体_GB2312" w:hAnsi="Times New Roman"/>
          <w:sz w:val="21"/>
          <w:szCs w:val="21"/>
        </w:rPr>
        <w:t>11</w:t>
      </w:r>
      <w:r>
        <w:rPr>
          <w:rFonts w:ascii="Times New Roman" w:eastAsia="楷体_GB2312" w:hAnsi="Times New Roman" w:hint="eastAsia"/>
          <w:sz w:val="21"/>
          <w:szCs w:val="21"/>
        </w:rPr>
        <w:t>日，针对被请求人对涉案专利权提出的无效宣告请求，国家知识产权局作出宣告专利权全部无效的决定。此时，行政裁决案件尚在审理中。</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2023</w:t>
      </w:r>
      <w:r>
        <w:rPr>
          <w:rFonts w:ascii="Times New Roman" w:eastAsia="楷体_GB2312" w:hAnsi="Times New Roman" w:hint="eastAsia"/>
          <w:sz w:val="21"/>
          <w:szCs w:val="21"/>
        </w:rPr>
        <w:t>年</w:t>
      </w:r>
      <w:r>
        <w:rPr>
          <w:rFonts w:ascii="Times New Roman" w:eastAsia="楷体_GB2312" w:hAnsi="Times New Roman"/>
          <w:sz w:val="21"/>
          <w:szCs w:val="21"/>
        </w:rPr>
        <w:t>2</w:t>
      </w:r>
      <w:r>
        <w:rPr>
          <w:rFonts w:ascii="Times New Roman" w:eastAsia="楷体_GB2312" w:hAnsi="Times New Roman" w:hint="eastAsia"/>
          <w:sz w:val="21"/>
          <w:szCs w:val="21"/>
        </w:rPr>
        <w:t>月</w:t>
      </w:r>
      <w:r>
        <w:rPr>
          <w:rFonts w:ascii="Times New Roman" w:eastAsia="楷体_GB2312" w:hAnsi="Times New Roman"/>
          <w:sz w:val="21"/>
          <w:szCs w:val="21"/>
        </w:rPr>
        <w:t>1</w:t>
      </w:r>
      <w:r>
        <w:rPr>
          <w:rFonts w:ascii="Times New Roman" w:eastAsia="楷体_GB2312" w:hAnsi="Times New Roman" w:hint="eastAsia"/>
          <w:sz w:val="21"/>
          <w:szCs w:val="21"/>
        </w:rPr>
        <w:t>日，当地知识产权局作出裁定，在涉案专利权已被宣告全部无效的情况下，驳回请求人提出的行政裁决请求，同时指出：若有证据证明针对涉案专利权的无效宣告请求审查决定被生效的行政判决撤销的，请求人可以重新提起行政裁决请求；当事人如不服裁定，可自裁定之日起十五日内向法院提起诉讼。</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cs="宋体" w:hint="eastAsia"/>
          <w:color w:val="auto"/>
          <w:sz w:val="21"/>
          <w:szCs w:val="21"/>
        </w:rPr>
        <w:t>在专利侵权纠纷行政裁决案件中，被请求人通常会针对涉案专利向国务院专利行政部门提起无效宣告请求。在无效审查决定作出后，案件还可能会进入行政诉讼程序，如果案件审理机关一律中止处理，等待专利权确权行政诉讼的结论，则会造成案件审理周期过长。</w:t>
      </w:r>
      <w:r>
        <w:rPr>
          <w:rFonts w:ascii="Times New Roman" w:eastAsia="楷体_GB2312" w:hAnsi="Times New Roman" w:hint="eastAsia"/>
          <w:sz w:val="21"/>
          <w:szCs w:val="21"/>
        </w:rPr>
        <w:t>“先行裁驳，另行请求”的审理模式考虑了专利行政确权程序对专利权效力的确定，并同时保障了如果无效审查决定被撤销后的诉权。一方面，这种做法体现了行政裁决处理的高效性，有效地缩短了专利侵权纠纷的案件审理周期；另一方面兼顾了公平与效率，维护了双方当事人的合法权利，保障了行政和司法标准的一致性。</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5 \* GB4</w:instrText>
      </w:r>
      <w:r>
        <w:rPr>
          <w:rFonts w:ascii="Times New Roman" w:hAnsi="Times New Roman"/>
          <w:color w:val="000000"/>
        </w:rPr>
        <w:fldChar w:fldCharType="separate"/>
      </w:r>
      <w:bookmarkStart w:id="962" w:name="_Toc28593207"/>
      <w:r w:rsidR="00235733">
        <w:rPr>
          <w:rFonts w:ascii="Times New Roman" w:hAnsi="Times New Roman"/>
          <w:color w:val="000000"/>
        </w:rPr>
        <w:t>（五）</w:t>
      </w:r>
      <w:r>
        <w:rPr>
          <w:rFonts w:ascii="Times New Roman" w:hAnsi="Times New Roman"/>
          <w:color w:val="000000"/>
        </w:rPr>
        <w:fldChar w:fldCharType="end"/>
      </w:r>
      <w:r w:rsidR="00235733">
        <w:rPr>
          <w:rFonts w:ascii="Times New Roman" w:hAnsi="Times New Roman"/>
          <w:color w:val="000000"/>
        </w:rPr>
        <w:t>结案审批</w:t>
      </w:r>
      <w:bookmarkEnd w:id="961"/>
      <w:bookmarkEnd w:id="962"/>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合议组认为可以结案时，应当填写《专利侵权纠纷案件结案审批表》，经办案处（科）室负责人审核后，报部门负责人审批。</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拟作出行政裁决的，应当将起草完成的《专利侵权纠纷案件行政裁决书》（草稿）作为《专利侵权纠纷案件结案审批表》的附件一并报批。</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拟撤销案件的，应当简要说明理由，并将《撤销专利侵权纠纷案件决定书》（草稿）作为《专利侵权纠纷案件结案审批表》的附件一并报批。</w:t>
      </w:r>
      <w:bookmarkStart w:id="963" w:name="_Toc487793419"/>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6 \* GB4</w:instrText>
      </w:r>
      <w:r>
        <w:rPr>
          <w:rFonts w:ascii="Times New Roman" w:hAnsi="Times New Roman"/>
          <w:color w:val="000000"/>
        </w:rPr>
        <w:fldChar w:fldCharType="separate"/>
      </w:r>
      <w:bookmarkStart w:id="964" w:name="_Toc28593208"/>
      <w:r w:rsidR="00235733">
        <w:rPr>
          <w:rFonts w:ascii="Times New Roman" w:hAnsi="Times New Roman"/>
          <w:color w:val="000000"/>
        </w:rPr>
        <w:t>（六）</w:t>
      </w:r>
      <w:r>
        <w:rPr>
          <w:rFonts w:ascii="Times New Roman" w:hAnsi="Times New Roman"/>
          <w:color w:val="000000"/>
        </w:rPr>
        <w:fldChar w:fldCharType="end"/>
      </w:r>
      <w:r w:rsidR="00235733">
        <w:rPr>
          <w:rFonts w:ascii="Times New Roman" w:hAnsi="Times New Roman"/>
          <w:color w:val="000000"/>
        </w:rPr>
        <w:t>结案文书送达</w:t>
      </w:r>
      <w:bookmarkEnd w:id="963"/>
      <w:bookmarkEnd w:id="964"/>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结案文书（《专利侵权纠纷案件行政裁决书》《撤销专利侵权纠纷案件决定书》《专利侵权纠纷调解协议书》）形成后，应当依据第一章的有关规定，送达当事人。</w:t>
      </w:r>
      <w:bookmarkStart w:id="965" w:name="_Toc487793420"/>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7 \* GB4</w:instrText>
      </w:r>
      <w:r>
        <w:rPr>
          <w:rFonts w:ascii="Times New Roman" w:hAnsi="Times New Roman"/>
          <w:color w:val="000000"/>
        </w:rPr>
        <w:fldChar w:fldCharType="separate"/>
      </w:r>
      <w:bookmarkStart w:id="966" w:name="_Toc28593209"/>
      <w:r w:rsidR="00235733">
        <w:rPr>
          <w:rFonts w:ascii="Times New Roman" w:hAnsi="Times New Roman"/>
          <w:color w:val="000000"/>
        </w:rPr>
        <w:t>（七）</w:t>
      </w:r>
      <w:r>
        <w:rPr>
          <w:rFonts w:ascii="Times New Roman" w:hAnsi="Times New Roman"/>
          <w:color w:val="000000"/>
        </w:rPr>
        <w:fldChar w:fldCharType="end"/>
      </w:r>
      <w:r w:rsidR="00235733">
        <w:rPr>
          <w:rFonts w:ascii="Times New Roman" w:hAnsi="Times New Roman"/>
          <w:color w:val="000000"/>
        </w:rPr>
        <w:t>重复侵权行为的处理</w:t>
      </w:r>
      <w:bookmarkEnd w:id="965"/>
      <w:bookmarkEnd w:id="966"/>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或者人民法院作出认定侵权行为成立并责令侵权人立即停止侵权行为的行政裁决或者判决生效后，被请求人就同一专利权再次实施相同类型的侵权行为，专利权人或者利害关系人请求处理的，管理专利工作的部门可以直接作出责令立即停止侵权行为的行政裁决。</w:t>
      </w:r>
      <w:bookmarkStart w:id="967" w:name="_Toc487793421"/>
    </w:p>
    <w:p w:rsidR="00800760" w:rsidRDefault="00235733">
      <w:pPr>
        <w:pStyle w:val="af6"/>
        <w:spacing w:before="120"/>
        <w:ind w:firstLine="420"/>
        <w:rPr>
          <w:rFonts w:ascii="Times New Roman" w:eastAsia="宋体" w:hAnsi="Times New Roman" w:cs="Times New Roman"/>
        </w:rPr>
      </w:pPr>
      <w:r>
        <w:rPr>
          <w:rFonts w:ascii="Times New Roman" w:eastAsia="宋体" w:hAnsi="Times New Roman" w:cs="Times New Roman"/>
        </w:rPr>
        <w:t>【</w:t>
      </w:r>
      <w:r>
        <w:rPr>
          <w:rFonts w:cs="Times New Roman"/>
        </w:rPr>
        <w:t>案例</w:t>
      </w:r>
      <w:r>
        <w:rPr>
          <w:rFonts w:ascii="Times New Roman" w:eastAsia="宋体" w:hAnsi="Times New Roman" w:cs="Times New Roman"/>
        </w:rPr>
        <w:t>2-2-3</w:t>
      </w:r>
      <w:r>
        <w:rPr>
          <w:rFonts w:ascii="Times New Roman" w:eastAsia="宋体" w:hAnsi="Times New Roman" w:cs="Times New Roman"/>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2017</w:t>
      </w:r>
      <w:r>
        <w:rPr>
          <w:rFonts w:ascii="Times New Roman" w:eastAsia="楷体_GB2312" w:hAnsi="Times New Roman"/>
          <w:sz w:val="21"/>
          <w:szCs w:val="21"/>
        </w:rPr>
        <w:t>年</w:t>
      </w:r>
      <w:r>
        <w:rPr>
          <w:rFonts w:ascii="Times New Roman" w:eastAsia="楷体_GB2312" w:hAnsi="Times New Roman"/>
          <w:sz w:val="21"/>
          <w:szCs w:val="21"/>
        </w:rPr>
        <w:t>12</w:t>
      </w:r>
      <w:r>
        <w:rPr>
          <w:rFonts w:ascii="Times New Roman" w:eastAsia="楷体_GB2312" w:hAnsi="Times New Roman"/>
          <w:sz w:val="21"/>
          <w:szCs w:val="21"/>
        </w:rPr>
        <w:t>月</w:t>
      </w:r>
      <w:r>
        <w:rPr>
          <w:rFonts w:ascii="Times New Roman" w:eastAsia="楷体_GB2312" w:hAnsi="Times New Roman"/>
          <w:sz w:val="21"/>
          <w:szCs w:val="21"/>
        </w:rPr>
        <w:t>7</w:t>
      </w:r>
      <w:r>
        <w:rPr>
          <w:rFonts w:ascii="Times New Roman" w:eastAsia="楷体_GB2312" w:hAnsi="Times New Roman"/>
          <w:sz w:val="21"/>
          <w:szCs w:val="21"/>
        </w:rPr>
        <w:t>日，公司</w:t>
      </w:r>
      <w:r>
        <w:rPr>
          <w:rFonts w:ascii="Times New Roman" w:eastAsia="楷体_GB2312" w:hAnsi="Times New Roman" w:hint="eastAsia"/>
          <w:sz w:val="21"/>
          <w:szCs w:val="21"/>
        </w:rPr>
        <w:t>A</w:t>
      </w:r>
      <w:r>
        <w:rPr>
          <w:rFonts w:ascii="Times New Roman" w:eastAsia="楷体_GB2312" w:hAnsi="Times New Roman"/>
          <w:sz w:val="21"/>
          <w:szCs w:val="21"/>
        </w:rPr>
        <w:t>向</w:t>
      </w:r>
      <w:r>
        <w:rPr>
          <w:rFonts w:ascii="Times New Roman" w:eastAsia="楷体_GB2312" w:hAnsi="Times New Roman" w:hint="eastAsia"/>
          <w:sz w:val="21"/>
          <w:szCs w:val="21"/>
        </w:rPr>
        <w:t>当地地市级</w:t>
      </w:r>
      <w:r>
        <w:rPr>
          <w:rFonts w:ascii="Times New Roman" w:eastAsia="楷体_GB2312" w:hAnsi="Times New Roman"/>
          <w:sz w:val="21"/>
          <w:szCs w:val="21"/>
        </w:rPr>
        <w:t>知识产权局投诉</w:t>
      </w:r>
      <w:r>
        <w:rPr>
          <w:rFonts w:ascii="Times New Roman" w:eastAsia="楷体_GB2312" w:hAnsi="Times New Roman" w:hint="eastAsia"/>
          <w:sz w:val="21"/>
          <w:szCs w:val="21"/>
        </w:rPr>
        <w:t>甲</w:t>
      </w:r>
      <w:r>
        <w:rPr>
          <w:rFonts w:ascii="Times New Roman" w:eastAsia="楷体_GB2312" w:hAnsi="Times New Roman"/>
          <w:sz w:val="21"/>
          <w:szCs w:val="21"/>
        </w:rPr>
        <w:t>侵犯其拥有的</w:t>
      </w:r>
      <w:r>
        <w:rPr>
          <w:rFonts w:ascii="Times New Roman" w:eastAsia="楷体_GB2312" w:hAnsi="Times New Roman"/>
          <w:sz w:val="21"/>
          <w:szCs w:val="21"/>
        </w:rPr>
        <w:t>“</w:t>
      </w:r>
      <w:r>
        <w:rPr>
          <w:rFonts w:ascii="Times New Roman" w:eastAsia="楷体_GB2312" w:hAnsi="Times New Roman"/>
          <w:sz w:val="21"/>
          <w:szCs w:val="21"/>
        </w:rPr>
        <w:t>三维包装机的传动装置</w:t>
      </w:r>
      <w:r>
        <w:rPr>
          <w:rFonts w:ascii="Times New Roman" w:eastAsia="楷体_GB2312" w:hAnsi="Times New Roman"/>
          <w:sz w:val="21"/>
          <w:szCs w:val="21"/>
        </w:rPr>
        <w:t>”</w:t>
      </w:r>
      <w:r>
        <w:rPr>
          <w:rFonts w:ascii="Times New Roman" w:eastAsia="楷体_GB2312" w:hAnsi="Times New Roman"/>
          <w:sz w:val="21"/>
          <w:szCs w:val="21"/>
        </w:rPr>
        <w:t>实用新型专利。</w:t>
      </w:r>
      <w:r>
        <w:rPr>
          <w:rFonts w:ascii="Times New Roman" w:eastAsia="楷体_GB2312" w:hAnsi="Times New Roman"/>
          <w:sz w:val="21"/>
          <w:szCs w:val="21"/>
        </w:rPr>
        <w:t>2018</w:t>
      </w:r>
      <w:r>
        <w:rPr>
          <w:rFonts w:ascii="Times New Roman" w:eastAsia="楷体_GB2312" w:hAnsi="Times New Roman"/>
          <w:sz w:val="21"/>
          <w:szCs w:val="21"/>
        </w:rPr>
        <w:t>年</w:t>
      </w:r>
      <w:r>
        <w:rPr>
          <w:rFonts w:ascii="Times New Roman" w:eastAsia="楷体_GB2312" w:hAnsi="Times New Roman"/>
          <w:sz w:val="21"/>
          <w:szCs w:val="21"/>
        </w:rPr>
        <w:t>11</w:t>
      </w:r>
      <w:r>
        <w:rPr>
          <w:rFonts w:ascii="Times New Roman" w:eastAsia="楷体_GB2312" w:hAnsi="Times New Roman"/>
          <w:sz w:val="21"/>
          <w:szCs w:val="21"/>
        </w:rPr>
        <w:t>月</w:t>
      </w:r>
      <w:r>
        <w:rPr>
          <w:rFonts w:ascii="Times New Roman" w:eastAsia="楷体_GB2312" w:hAnsi="Times New Roman"/>
          <w:sz w:val="21"/>
          <w:szCs w:val="21"/>
        </w:rPr>
        <w:t>12</w:t>
      </w:r>
      <w:r>
        <w:rPr>
          <w:rFonts w:ascii="Times New Roman" w:eastAsia="楷体_GB2312" w:hAnsi="Times New Roman"/>
          <w:sz w:val="21"/>
          <w:szCs w:val="21"/>
        </w:rPr>
        <w:t>日，</w:t>
      </w:r>
      <w:r>
        <w:rPr>
          <w:rFonts w:ascii="Times New Roman" w:eastAsia="楷体_GB2312" w:hAnsi="Times New Roman" w:hint="eastAsia"/>
          <w:sz w:val="21"/>
          <w:szCs w:val="21"/>
        </w:rPr>
        <w:t>当地</w:t>
      </w:r>
      <w:r>
        <w:rPr>
          <w:rFonts w:ascii="Times New Roman" w:eastAsia="楷体_GB2312" w:hAnsi="Times New Roman"/>
          <w:sz w:val="21"/>
          <w:szCs w:val="21"/>
        </w:rPr>
        <w:t>知识产权局作出行政裁决，责令</w:t>
      </w:r>
      <w:r>
        <w:rPr>
          <w:rFonts w:ascii="Times New Roman" w:eastAsia="楷体_GB2312" w:hAnsi="Times New Roman" w:hint="eastAsia"/>
          <w:sz w:val="21"/>
          <w:szCs w:val="21"/>
        </w:rPr>
        <w:t>甲</w:t>
      </w:r>
      <w:r>
        <w:rPr>
          <w:rFonts w:ascii="Times New Roman" w:eastAsia="楷体_GB2312" w:hAnsi="Times New Roman"/>
          <w:sz w:val="21"/>
          <w:szCs w:val="21"/>
        </w:rPr>
        <w:t>停止生产、销售侵权产品，</w:t>
      </w:r>
      <w:r>
        <w:rPr>
          <w:rFonts w:ascii="Times New Roman" w:eastAsia="楷体_GB2312" w:hAnsi="Times New Roman" w:hint="eastAsia"/>
          <w:sz w:val="21"/>
          <w:szCs w:val="21"/>
        </w:rPr>
        <w:t>甲</w:t>
      </w:r>
      <w:r>
        <w:rPr>
          <w:rFonts w:ascii="Times New Roman" w:eastAsia="楷体_GB2312" w:hAnsi="Times New Roman"/>
          <w:sz w:val="21"/>
          <w:szCs w:val="21"/>
        </w:rPr>
        <w:t>未提起行政诉讼。</w:t>
      </w:r>
      <w:r>
        <w:rPr>
          <w:rFonts w:ascii="Times New Roman" w:eastAsia="楷体_GB2312" w:hAnsi="Times New Roman"/>
          <w:sz w:val="21"/>
          <w:szCs w:val="21"/>
        </w:rPr>
        <w:t>2019</w:t>
      </w:r>
      <w:r>
        <w:rPr>
          <w:rFonts w:ascii="Times New Roman" w:eastAsia="楷体_GB2312" w:hAnsi="Times New Roman"/>
          <w:sz w:val="21"/>
          <w:szCs w:val="21"/>
        </w:rPr>
        <w:t>年</w:t>
      </w:r>
      <w:r>
        <w:rPr>
          <w:rFonts w:ascii="Times New Roman" w:eastAsia="楷体_GB2312" w:hAnsi="Times New Roman"/>
          <w:sz w:val="21"/>
          <w:szCs w:val="21"/>
        </w:rPr>
        <w:t>7</w:t>
      </w:r>
      <w:r>
        <w:rPr>
          <w:rFonts w:ascii="Times New Roman" w:eastAsia="楷体_GB2312" w:hAnsi="Times New Roman"/>
          <w:sz w:val="21"/>
          <w:szCs w:val="21"/>
        </w:rPr>
        <w:t>月</w:t>
      </w:r>
      <w:r>
        <w:rPr>
          <w:rFonts w:ascii="Times New Roman" w:eastAsia="楷体_GB2312" w:hAnsi="Times New Roman"/>
          <w:sz w:val="21"/>
          <w:szCs w:val="21"/>
        </w:rPr>
        <w:t>1</w:t>
      </w:r>
      <w:r>
        <w:rPr>
          <w:rFonts w:ascii="Times New Roman" w:eastAsia="楷体_GB2312" w:hAnsi="Times New Roman"/>
          <w:sz w:val="21"/>
          <w:szCs w:val="21"/>
        </w:rPr>
        <w:t>日，</w:t>
      </w:r>
      <w:r>
        <w:rPr>
          <w:rFonts w:ascii="Times New Roman" w:eastAsia="楷体_GB2312" w:hAnsi="Times New Roman" w:hint="eastAsia"/>
          <w:sz w:val="21"/>
          <w:szCs w:val="21"/>
        </w:rPr>
        <w:t>该</w:t>
      </w:r>
      <w:r>
        <w:rPr>
          <w:rFonts w:ascii="Times New Roman" w:eastAsia="楷体_GB2312" w:hAnsi="Times New Roman"/>
          <w:sz w:val="21"/>
          <w:szCs w:val="21"/>
        </w:rPr>
        <w:t>公司再次向</w:t>
      </w:r>
      <w:r>
        <w:rPr>
          <w:rFonts w:ascii="Times New Roman" w:eastAsia="楷体_GB2312" w:hAnsi="Times New Roman" w:hint="eastAsia"/>
          <w:sz w:val="21"/>
          <w:szCs w:val="21"/>
        </w:rPr>
        <w:t>当地地市级</w:t>
      </w:r>
      <w:r>
        <w:rPr>
          <w:rFonts w:ascii="Times New Roman" w:eastAsia="楷体_GB2312" w:hAnsi="Times New Roman"/>
          <w:sz w:val="21"/>
          <w:szCs w:val="21"/>
        </w:rPr>
        <w:t>知识产权局投诉</w:t>
      </w:r>
      <w:r>
        <w:rPr>
          <w:rFonts w:ascii="Times New Roman" w:eastAsia="楷体_GB2312" w:hAnsi="Times New Roman" w:hint="eastAsia"/>
          <w:sz w:val="21"/>
          <w:szCs w:val="21"/>
        </w:rPr>
        <w:t>甲</w:t>
      </w:r>
      <w:r>
        <w:rPr>
          <w:rFonts w:ascii="Times New Roman" w:eastAsia="楷体_GB2312" w:hAnsi="Times New Roman"/>
          <w:sz w:val="21"/>
          <w:szCs w:val="21"/>
        </w:rPr>
        <w:t>生产销售的同类产品侵犯其同一专利权。</w:t>
      </w:r>
      <w:r>
        <w:rPr>
          <w:rFonts w:ascii="Times New Roman" w:eastAsia="楷体_GB2312" w:hAnsi="Times New Roman"/>
          <w:sz w:val="21"/>
          <w:szCs w:val="21"/>
        </w:rPr>
        <w:br/>
      </w:r>
      <w:r>
        <w:rPr>
          <w:rFonts w:ascii="Times New Roman" w:eastAsia="楷体_GB2312" w:hAnsi="Times New Roman"/>
          <w:sz w:val="21"/>
          <w:szCs w:val="21"/>
        </w:rPr>
        <w:t xml:space="preserve">　　</w:t>
      </w:r>
      <w:r>
        <w:rPr>
          <w:rFonts w:ascii="Times New Roman" w:eastAsia="楷体_GB2312" w:hAnsi="Times New Roman"/>
          <w:sz w:val="21"/>
          <w:szCs w:val="21"/>
        </w:rPr>
        <w:t>2019</w:t>
      </w:r>
      <w:r>
        <w:rPr>
          <w:rFonts w:ascii="Times New Roman" w:eastAsia="楷体_GB2312" w:hAnsi="Times New Roman"/>
          <w:sz w:val="21"/>
          <w:szCs w:val="21"/>
        </w:rPr>
        <w:t>年</w:t>
      </w:r>
      <w:r>
        <w:rPr>
          <w:rFonts w:ascii="Times New Roman" w:eastAsia="楷体_GB2312" w:hAnsi="Times New Roman"/>
          <w:sz w:val="21"/>
          <w:szCs w:val="21"/>
        </w:rPr>
        <w:t>9</w:t>
      </w:r>
      <w:r>
        <w:rPr>
          <w:rFonts w:ascii="Times New Roman" w:eastAsia="楷体_GB2312" w:hAnsi="Times New Roman"/>
          <w:sz w:val="21"/>
          <w:szCs w:val="21"/>
        </w:rPr>
        <w:t>月</w:t>
      </w:r>
      <w:r>
        <w:rPr>
          <w:rFonts w:ascii="Times New Roman" w:eastAsia="楷体_GB2312" w:hAnsi="Times New Roman"/>
          <w:sz w:val="21"/>
          <w:szCs w:val="21"/>
        </w:rPr>
        <w:t>4</w:t>
      </w:r>
      <w:r>
        <w:rPr>
          <w:rFonts w:ascii="Times New Roman" w:eastAsia="楷体_GB2312" w:hAnsi="Times New Roman"/>
          <w:sz w:val="21"/>
          <w:szCs w:val="21"/>
        </w:rPr>
        <w:t>日，</w:t>
      </w:r>
      <w:r>
        <w:rPr>
          <w:rFonts w:ascii="Times New Roman" w:eastAsia="楷体_GB2312" w:hAnsi="Times New Roman" w:hint="eastAsia"/>
          <w:sz w:val="21"/>
          <w:szCs w:val="21"/>
        </w:rPr>
        <w:t>该</w:t>
      </w:r>
      <w:r>
        <w:rPr>
          <w:rFonts w:ascii="Times New Roman" w:eastAsia="楷体_GB2312" w:hAnsi="Times New Roman"/>
          <w:sz w:val="21"/>
          <w:szCs w:val="21"/>
        </w:rPr>
        <w:t>知识产权局作出行政裁决，责令</w:t>
      </w:r>
      <w:r>
        <w:rPr>
          <w:rFonts w:ascii="Times New Roman" w:eastAsia="楷体_GB2312" w:hAnsi="Times New Roman" w:hint="eastAsia"/>
          <w:sz w:val="21"/>
          <w:szCs w:val="21"/>
        </w:rPr>
        <w:t>甲</w:t>
      </w:r>
      <w:r>
        <w:rPr>
          <w:rFonts w:ascii="Times New Roman" w:eastAsia="楷体_GB2312" w:hAnsi="Times New Roman"/>
          <w:sz w:val="21"/>
          <w:szCs w:val="21"/>
        </w:rPr>
        <w:t>立即停止侵权行为并销毁侵权产品。</w:t>
      </w:r>
      <w:r>
        <w:rPr>
          <w:rFonts w:ascii="Times New Roman" w:eastAsia="楷体_GB2312" w:hAnsi="Times New Roman" w:hint="eastAsia"/>
          <w:sz w:val="21"/>
          <w:szCs w:val="21"/>
        </w:rPr>
        <w:t>甲</w:t>
      </w:r>
      <w:r>
        <w:rPr>
          <w:rFonts w:ascii="Times New Roman" w:eastAsia="楷体_GB2312" w:hAnsi="Times New Roman"/>
          <w:sz w:val="21"/>
          <w:szCs w:val="21"/>
        </w:rPr>
        <w:t>不服提起行政诉讼。</w:t>
      </w:r>
      <w:r>
        <w:rPr>
          <w:rFonts w:ascii="Times New Roman" w:eastAsia="楷体_GB2312" w:hAnsi="Times New Roman"/>
          <w:sz w:val="21"/>
          <w:szCs w:val="21"/>
        </w:rPr>
        <w:t>2020</w:t>
      </w:r>
      <w:r>
        <w:rPr>
          <w:rFonts w:ascii="Times New Roman" w:eastAsia="楷体_GB2312" w:hAnsi="Times New Roman"/>
          <w:sz w:val="21"/>
          <w:szCs w:val="21"/>
        </w:rPr>
        <w:t>年</w:t>
      </w:r>
      <w:r>
        <w:rPr>
          <w:rFonts w:ascii="Times New Roman" w:eastAsia="楷体_GB2312" w:hAnsi="Times New Roman"/>
          <w:sz w:val="21"/>
          <w:szCs w:val="21"/>
        </w:rPr>
        <w:t>3</w:t>
      </w:r>
      <w:r>
        <w:rPr>
          <w:rFonts w:ascii="Times New Roman" w:eastAsia="楷体_GB2312" w:hAnsi="Times New Roman"/>
          <w:sz w:val="21"/>
          <w:szCs w:val="21"/>
        </w:rPr>
        <w:t>月</w:t>
      </w:r>
      <w:r>
        <w:rPr>
          <w:rFonts w:ascii="Times New Roman" w:eastAsia="楷体_GB2312" w:hAnsi="Times New Roman"/>
          <w:sz w:val="21"/>
          <w:szCs w:val="21"/>
        </w:rPr>
        <w:t>24</w:t>
      </w:r>
      <w:r>
        <w:rPr>
          <w:rFonts w:ascii="Times New Roman" w:eastAsia="楷体_GB2312" w:hAnsi="Times New Roman"/>
          <w:sz w:val="21"/>
          <w:szCs w:val="21"/>
        </w:rPr>
        <w:t>日，中级人民法院驳回</w:t>
      </w:r>
      <w:r>
        <w:rPr>
          <w:rFonts w:ascii="Times New Roman" w:eastAsia="楷体_GB2312" w:hAnsi="Times New Roman" w:hint="eastAsia"/>
          <w:sz w:val="21"/>
          <w:szCs w:val="21"/>
        </w:rPr>
        <w:t>甲</w:t>
      </w:r>
      <w:r>
        <w:rPr>
          <w:rFonts w:ascii="Times New Roman" w:eastAsia="楷体_GB2312" w:hAnsi="Times New Roman"/>
          <w:sz w:val="21"/>
          <w:szCs w:val="21"/>
        </w:rPr>
        <w:t>诉讼请求。</w:t>
      </w:r>
      <w:r>
        <w:rPr>
          <w:rFonts w:ascii="Times New Roman" w:eastAsia="楷体_GB2312" w:hAnsi="Times New Roman" w:hint="eastAsia"/>
          <w:sz w:val="21"/>
          <w:szCs w:val="21"/>
        </w:rPr>
        <w:t>甲</w:t>
      </w:r>
      <w:r>
        <w:rPr>
          <w:rFonts w:ascii="Times New Roman" w:eastAsia="楷体_GB2312" w:hAnsi="Times New Roman"/>
          <w:sz w:val="21"/>
          <w:szCs w:val="21"/>
        </w:rPr>
        <w:t>向最高人民法院提起上诉后撤回。</w:t>
      </w:r>
      <w:r>
        <w:rPr>
          <w:rFonts w:ascii="Times New Roman" w:eastAsia="楷体_GB2312" w:hAnsi="Times New Roman"/>
          <w:sz w:val="21"/>
          <w:szCs w:val="21"/>
        </w:rPr>
        <w:t>2021</w:t>
      </w:r>
      <w:r>
        <w:rPr>
          <w:rFonts w:ascii="Times New Roman" w:eastAsia="楷体_GB2312" w:hAnsi="Times New Roman"/>
          <w:sz w:val="21"/>
          <w:szCs w:val="21"/>
        </w:rPr>
        <w:t>年</w:t>
      </w:r>
      <w:r>
        <w:rPr>
          <w:rFonts w:ascii="Times New Roman" w:eastAsia="楷体_GB2312" w:hAnsi="Times New Roman"/>
          <w:sz w:val="21"/>
          <w:szCs w:val="21"/>
        </w:rPr>
        <w:t>2</w:t>
      </w:r>
      <w:r>
        <w:rPr>
          <w:rFonts w:ascii="Times New Roman" w:eastAsia="楷体_GB2312" w:hAnsi="Times New Roman"/>
          <w:sz w:val="21"/>
          <w:szCs w:val="21"/>
        </w:rPr>
        <w:t>月</w:t>
      </w:r>
      <w:r>
        <w:rPr>
          <w:rFonts w:ascii="Times New Roman" w:eastAsia="楷体_GB2312" w:hAnsi="Times New Roman"/>
          <w:sz w:val="21"/>
          <w:szCs w:val="21"/>
        </w:rPr>
        <w:t>26</w:t>
      </w:r>
      <w:r>
        <w:rPr>
          <w:rFonts w:ascii="Times New Roman" w:eastAsia="楷体_GB2312" w:hAnsi="Times New Roman"/>
          <w:sz w:val="21"/>
          <w:szCs w:val="21"/>
        </w:rPr>
        <w:t>日，</w:t>
      </w:r>
      <w:r>
        <w:rPr>
          <w:rFonts w:ascii="Times New Roman" w:eastAsia="楷体_GB2312" w:hAnsi="Times New Roman" w:hint="eastAsia"/>
          <w:sz w:val="21"/>
          <w:szCs w:val="21"/>
        </w:rPr>
        <w:t>当地</w:t>
      </w:r>
      <w:r>
        <w:rPr>
          <w:rFonts w:ascii="Times New Roman" w:eastAsia="楷体_GB2312" w:hAnsi="Times New Roman"/>
          <w:sz w:val="21"/>
          <w:szCs w:val="21"/>
        </w:rPr>
        <w:t>知识产权局对</w:t>
      </w:r>
      <w:r>
        <w:rPr>
          <w:rFonts w:ascii="Times New Roman" w:eastAsia="楷体_GB2312" w:hAnsi="Times New Roman" w:hint="eastAsia"/>
          <w:sz w:val="21"/>
          <w:szCs w:val="21"/>
        </w:rPr>
        <w:t>甲</w:t>
      </w:r>
      <w:r>
        <w:rPr>
          <w:rFonts w:ascii="Times New Roman" w:eastAsia="楷体_GB2312" w:hAnsi="Times New Roman"/>
          <w:sz w:val="21"/>
          <w:szCs w:val="21"/>
        </w:rPr>
        <w:t>涉嫌重复侵犯同一专利权的行为予以立案调查，根据相关行政裁决和裁判文书，认定</w:t>
      </w:r>
      <w:r>
        <w:rPr>
          <w:rFonts w:ascii="Times New Roman" w:eastAsia="楷体_GB2312" w:hAnsi="Times New Roman" w:hint="eastAsia"/>
          <w:sz w:val="21"/>
          <w:szCs w:val="21"/>
        </w:rPr>
        <w:t>甲</w:t>
      </w:r>
      <w:r>
        <w:rPr>
          <w:rFonts w:ascii="Times New Roman" w:eastAsia="楷体_GB2312" w:hAnsi="Times New Roman"/>
          <w:sz w:val="21"/>
          <w:szCs w:val="21"/>
        </w:rPr>
        <w:t>实施的侵权行为构成重复侵权。</w:t>
      </w:r>
      <w:r>
        <w:rPr>
          <w:rFonts w:ascii="Times New Roman" w:eastAsia="楷体_GB2312" w:hAnsi="Times New Roman" w:hint="eastAsia"/>
          <w:sz w:val="21"/>
          <w:szCs w:val="21"/>
        </w:rPr>
        <w:t>当地</w:t>
      </w:r>
      <w:r>
        <w:rPr>
          <w:rFonts w:ascii="Times New Roman" w:eastAsia="楷体_GB2312" w:hAnsi="Times New Roman"/>
          <w:sz w:val="21"/>
          <w:szCs w:val="21"/>
        </w:rPr>
        <w:t>市场监督管理局依法责令</w:t>
      </w:r>
      <w:r>
        <w:rPr>
          <w:rFonts w:ascii="Times New Roman" w:eastAsia="楷体_GB2312" w:hAnsi="Times New Roman" w:hint="eastAsia"/>
          <w:sz w:val="21"/>
          <w:szCs w:val="21"/>
        </w:rPr>
        <w:t>甲</w:t>
      </w:r>
      <w:r>
        <w:rPr>
          <w:rFonts w:ascii="Times New Roman" w:eastAsia="楷体_GB2312" w:hAnsi="Times New Roman"/>
          <w:sz w:val="21"/>
          <w:szCs w:val="21"/>
        </w:rPr>
        <w:t>停止侵权行为并对</w:t>
      </w:r>
      <w:r>
        <w:rPr>
          <w:rFonts w:ascii="Times New Roman" w:eastAsia="楷体_GB2312" w:hAnsi="Times New Roman" w:hint="eastAsia"/>
          <w:sz w:val="21"/>
          <w:szCs w:val="21"/>
        </w:rPr>
        <w:t>其</w:t>
      </w:r>
      <w:r>
        <w:rPr>
          <w:rFonts w:ascii="Times New Roman" w:eastAsia="楷体_GB2312" w:hAnsi="Times New Roman"/>
          <w:sz w:val="21"/>
          <w:szCs w:val="21"/>
        </w:rPr>
        <w:t>作出罚款的行政处罚决定。</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本案是对重复专利侵权行为相关规定的适用。</w:t>
      </w:r>
      <w:r>
        <w:rPr>
          <w:rFonts w:ascii="Times New Roman" w:eastAsia="楷体_GB2312" w:hAnsi="Times New Roman" w:hint="eastAsia"/>
          <w:sz w:val="21"/>
          <w:szCs w:val="21"/>
        </w:rPr>
        <w:t>根据</w:t>
      </w:r>
      <w:r>
        <w:rPr>
          <w:rFonts w:ascii="Times New Roman" w:eastAsia="楷体_GB2312" w:hAnsi="Times New Roman"/>
          <w:sz w:val="21"/>
          <w:szCs w:val="21"/>
        </w:rPr>
        <w:t>《专利纠纷行政裁决和调解办法》第</w:t>
      </w:r>
      <w:hyperlink r:id="rId15" w:anchor="tiao_20" w:history="1">
        <w:r>
          <w:rPr>
            <w:rFonts w:ascii="Times New Roman" w:eastAsia="楷体_GB2312" w:hAnsi="Times New Roman" w:hint="eastAsia"/>
            <w:sz w:val="21"/>
            <w:szCs w:val="21"/>
          </w:rPr>
          <w:t>三</w:t>
        </w:r>
        <w:r>
          <w:rPr>
            <w:rFonts w:ascii="Times New Roman" w:eastAsia="楷体_GB2312" w:hAnsi="Times New Roman"/>
            <w:sz w:val="21"/>
            <w:szCs w:val="21"/>
          </w:rPr>
          <w:t>十</w:t>
        </w:r>
        <w:r>
          <w:rPr>
            <w:rFonts w:ascii="Times New Roman" w:eastAsia="楷体_GB2312" w:hAnsi="Times New Roman" w:hint="eastAsia"/>
            <w:sz w:val="21"/>
            <w:szCs w:val="21"/>
          </w:rPr>
          <w:t>四</w:t>
        </w:r>
        <w:r>
          <w:rPr>
            <w:rFonts w:ascii="Times New Roman" w:eastAsia="楷体_GB2312" w:hAnsi="Times New Roman"/>
            <w:sz w:val="21"/>
            <w:szCs w:val="21"/>
          </w:rPr>
          <w:t>条</w:t>
        </w:r>
      </w:hyperlink>
      <w:r>
        <w:rPr>
          <w:rFonts w:ascii="Times New Roman" w:eastAsia="楷体_GB2312" w:hAnsi="Times New Roman" w:hint="eastAsia"/>
          <w:sz w:val="21"/>
          <w:szCs w:val="21"/>
        </w:rPr>
        <w:t>第一款的</w:t>
      </w:r>
      <w:r>
        <w:rPr>
          <w:rFonts w:ascii="Times New Roman" w:eastAsia="楷体_GB2312" w:hAnsi="Times New Roman"/>
          <w:sz w:val="21"/>
          <w:szCs w:val="21"/>
        </w:rPr>
        <w:t>规定，对于重复侵权行为，管理专利工作的部门可以依请求直接作出责令立即停止侵权行为的处理决定。</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对于在实践中出现的行政裁决或者司法裁判生效后被请求人未停止侵权行为，持续或再次侵犯同一专利权的情形，可以适用重复专利侵权行为的规定予以规制，即管理专利工作的部门</w:t>
      </w:r>
      <w:r>
        <w:rPr>
          <w:rFonts w:ascii="Times New Roman" w:eastAsia="楷体_GB2312" w:hAnsi="Times New Roman" w:hint="eastAsia"/>
          <w:sz w:val="21"/>
          <w:szCs w:val="21"/>
        </w:rPr>
        <w:t>可以直接</w:t>
      </w:r>
      <w:r>
        <w:rPr>
          <w:rFonts w:ascii="Times New Roman" w:eastAsia="楷体_GB2312" w:hAnsi="Times New Roman"/>
          <w:sz w:val="21"/>
          <w:szCs w:val="21"/>
        </w:rPr>
        <w:t>作出责令立即停止侵权行为</w:t>
      </w:r>
      <w:r>
        <w:rPr>
          <w:rFonts w:ascii="Times New Roman" w:eastAsia="楷体_GB2312" w:hAnsi="Times New Roman" w:hint="eastAsia"/>
          <w:sz w:val="21"/>
          <w:szCs w:val="21"/>
        </w:rPr>
        <w:t>的</w:t>
      </w:r>
      <w:r>
        <w:rPr>
          <w:rFonts w:ascii="Times New Roman" w:eastAsia="楷体_GB2312" w:hAnsi="Times New Roman"/>
          <w:sz w:val="21"/>
          <w:szCs w:val="21"/>
        </w:rPr>
        <w:t>行政裁决</w:t>
      </w:r>
      <w:r>
        <w:rPr>
          <w:rFonts w:ascii="Times New Roman" w:eastAsia="楷体_GB2312" w:hAnsi="Times New Roman" w:hint="eastAsia"/>
          <w:sz w:val="21"/>
          <w:szCs w:val="21"/>
        </w:rPr>
        <w:t>，此</w:t>
      </w:r>
      <w:r>
        <w:rPr>
          <w:rFonts w:ascii="Times New Roman" w:eastAsia="楷体_GB2312" w:hAnsi="Times New Roman"/>
          <w:sz w:val="21"/>
          <w:szCs w:val="21"/>
        </w:rPr>
        <w:t>后，负责专利执法的部门可根据地方性法规对重复专利侵权行为作出行政处罚。</w:t>
      </w:r>
    </w:p>
    <w:p w:rsidR="00800760" w:rsidRDefault="00C22A7B">
      <w:pPr>
        <w:pStyle w:val="22"/>
        <w:topLinePunct/>
        <w:spacing w:line="336" w:lineRule="auto"/>
        <w:ind w:firstLine="420"/>
        <w:rPr>
          <w:rFonts w:ascii="Times New Roman" w:eastAsia="黑体" w:hAnsi="Times New Roman" w:cs="Times New Roman"/>
          <w:spacing w:val="6"/>
          <w:kern w:val="2"/>
          <w:sz w:val="21"/>
          <w:szCs w:val="21"/>
          <w:lang w:val="en-US"/>
        </w:rPr>
      </w:pPr>
      <w:r>
        <w:rPr>
          <w:rFonts w:ascii="Times New Roman" w:eastAsia="黑体" w:hAnsi="Times New Roman" w:cs="Times New Roman"/>
          <w:spacing w:val="6"/>
          <w:kern w:val="2"/>
          <w:sz w:val="21"/>
          <w:szCs w:val="21"/>
          <w:lang w:val="en-US"/>
        </w:rPr>
        <w:fldChar w:fldCharType="begin"/>
      </w:r>
      <w:r w:rsidR="00235733">
        <w:rPr>
          <w:rFonts w:ascii="Times New Roman" w:eastAsia="黑体" w:hAnsi="Times New Roman" w:cs="Times New Roman"/>
          <w:spacing w:val="6"/>
          <w:kern w:val="2"/>
          <w:sz w:val="21"/>
          <w:szCs w:val="21"/>
          <w:lang w:val="en-US"/>
        </w:rPr>
        <w:instrText>= 8 \* GB4</w:instrText>
      </w:r>
      <w:r>
        <w:rPr>
          <w:rFonts w:ascii="Times New Roman" w:eastAsia="黑体" w:hAnsi="Times New Roman" w:cs="Times New Roman"/>
          <w:spacing w:val="6"/>
          <w:kern w:val="2"/>
          <w:sz w:val="21"/>
          <w:szCs w:val="21"/>
          <w:lang w:val="en-US"/>
        </w:rPr>
        <w:fldChar w:fldCharType="separate"/>
      </w:r>
      <w:r w:rsidR="00235733">
        <w:rPr>
          <w:rFonts w:ascii="Times New Roman" w:eastAsia="黑体" w:hAnsi="Times New Roman" w:cs="Times New Roman" w:hint="eastAsia"/>
          <w:spacing w:val="6"/>
          <w:kern w:val="2"/>
          <w:sz w:val="21"/>
          <w:szCs w:val="21"/>
          <w:lang w:val="en-US"/>
        </w:rPr>
        <w:t>（八）</w:t>
      </w:r>
      <w:r>
        <w:rPr>
          <w:rFonts w:ascii="Times New Roman" w:eastAsia="黑体" w:hAnsi="Times New Roman" w:cs="Times New Roman"/>
          <w:spacing w:val="6"/>
          <w:kern w:val="2"/>
          <w:sz w:val="21"/>
          <w:szCs w:val="21"/>
          <w:lang w:val="en-US"/>
        </w:rPr>
        <w:fldChar w:fldCharType="end"/>
      </w:r>
      <w:r w:rsidR="00235733">
        <w:rPr>
          <w:rFonts w:ascii="Times New Roman" w:eastAsia="黑体" w:hAnsi="Times New Roman" w:cs="Times New Roman" w:hint="eastAsia"/>
          <w:spacing w:val="6"/>
          <w:kern w:val="2"/>
          <w:sz w:val="21"/>
          <w:szCs w:val="21"/>
          <w:lang w:val="en-US"/>
        </w:rPr>
        <w:t>信用惩戒</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当事人故意侵犯专利权的，或者在管理专利工作的部门作出行政裁决后，有履行能力但拒不履行、逃避执行，严重影响管理专利工作的部门公信力的，可以依法将其列入严重失信主体名单实施联合惩戒。</w:t>
      </w:r>
    </w:p>
    <w:bookmarkStart w:id="968" w:name="_Toc28593210"/>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9 \* GB4</w:instrText>
      </w:r>
      <w:r>
        <w:rPr>
          <w:rFonts w:ascii="Times New Roman" w:hAnsi="Times New Roman"/>
          <w:color w:val="000000"/>
        </w:rPr>
        <w:fldChar w:fldCharType="separate"/>
      </w:r>
      <w:r w:rsidR="00235733">
        <w:rPr>
          <w:rFonts w:ascii="Times New Roman" w:hAnsi="Times New Roman"/>
          <w:color w:val="000000"/>
        </w:rPr>
        <w:t>（九）</w:t>
      </w:r>
      <w:r>
        <w:rPr>
          <w:rFonts w:ascii="Times New Roman" w:hAnsi="Times New Roman"/>
          <w:color w:val="000000"/>
        </w:rPr>
        <w:fldChar w:fldCharType="end"/>
      </w:r>
      <w:r w:rsidR="00235733">
        <w:rPr>
          <w:rFonts w:ascii="Times New Roman" w:hAnsi="Times New Roman"/>
          <w:color w:val="000000"/>
        </w:rPr>
        <w:t>案件材料的归档</w:t>
      </w:r>
      <w:bookmarkEnd w:id="967"/>
      <w:bookmarkEnd w:id="968"/>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《专利侵权纠纷案件行政裁决书》《撤销专利侵权纠纷案件决定书》或者《专利侵权纠纷调解协议书》送达当事人后，管理专利工作的部门应当对全案材料按专利案件文书档案立卷归档制度的有关规定归档。</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当事人不服行政裁决提起行政诉讼的，有关行政诉讼的所有材料应当及时单独归档。</w:t>
      </w:r>
      <w:bookmarkStart w:id="969" w:name="_Toc487793422"/>
    </w:p>
    <w:bookmarkStart w:id="970" w:name="_Toc28593211"/>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9 \* GB4</w:instrText>
      </w:r>
      <w:r>
        <w:rPr>
          <w:rFonts w:ascii="Times New Roman" w:hAnsi="Times New Roman"/>
          <w:color w:val="000000"/>
        </w:rPr>
        <w:fldChar w:fldCharType="separate"/>
      </w:r>
      <w:r w:rsidR="00235733">
        <w:rPr>
          <w:rFonts w:ascii="Times New Roman" w:hAnsi="Times New Roman"/>
          <w:color w:val="000000"/>
        </w:rPr>
        <w:t>（十）</w:t>
      </w:r>
      <w:r>
        <w:rPr>
          <w:rFonts w:ascii="Times New Roman" w:hAnsi="Times New Roman"/>
          <w:color w:val="000000"/>
        </w:rPr>
        <w:fldChar w:fldCharType="end"/>
      </w:r>
      <w:r w:rsidR="00235733">
        <w:rPr>
          <w:rFonts w:ascii="Times New Roman" w:hAnsi="Times New Roman"/>
          <w:color w:val="000000"/>
        </w:rPr>
        <w:t>特别注意事项</w:t>
      </w:r>
      <w:bookmarkEnd w:id="969"/>
      <w:bookmarkEnd w:id="970"/>
    </w:p>
    <w:p w:rsidR="00800760" w:rsidRDefault="00235733">
      <w:pPr>
        <w:pStyle w:val="22"/>
        <w:topLinePunct/>
        <w:spacing w:line="336" w:lineRule="auto"/>
        <w:ind w:firstLine="420"/>
        <w:rPr>
          <w:rFonts w:ascii="Times New Roman" w:eastAsia="宋体" w:hAnsi="Times New Roman"/>
          <w:b/>
          <w:sz w:val="21"/>
          <w:szCs w:val="21"/>
        </w:rPr>
      </w:pPr>
      <w:r>
        <w:rPr>
          <w:rFonts w:ascii="Times New Roman" w:eastAsia="宋体" w:hAnsi="Times New Roman" w:hint="eastAsia"/>
          <w:sz w:val="21"/>
          <w:szCs w:val="21"/>
        </w:rPr>
        <w:t>办案部门认为案件的裁决结果可能涉及重大公共利益的，需将案件处理情况提交本单位主要领导集体讨论或报请法制机构审核后再作出裁决。</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《专利侵权纠纷案件行政裁决书》《专利侵权纠纷调解协议书》或者《撤销专利侵权纠纷案件决定书》送达后，一般不再增删任何文字。</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发现已作出的专利侵权纠纷行政裁决书中有文字表述等错误的</w:t>
      </w:r>
      <w:r>
        <w:rPr>
          <w:rFonts w:ascii="Times New Roman" w:eastAsia="宋体" w:hAnsi="Times New Roman" w:hint="eastAsia"/>
          <w:sz w:val="21"/>
          <w:szCs w:val="21"/>
        </w:rPr>
        <w:t>，应当要求当事人将原法律文书交回，重新制作法律文书并送达当事人。当事人拒不交回原法律文书的，应当另行制作《专利侵权纠纷行政裁决修改更正通知书》，补充更正错误之处，送达当事人。</w:t>
      </w:r>
    </w:p>
    <w:p w:rsidR="00800760" w:rsidRDefault="00235733">
      <w:pPr>
        <w:pStyle w:val="3"/>
        <w:spacing w:before="240"/>
        <w:ind w:firstLine="444"/>
      </w:pPr>
      <w:bookmarkStart w:id="971" w:name="_Toc526"/>
      <w:bookmarkStart w:id="972" w:name="_Toc12992"/>
      <w:bookmarkStart w:id="973" w:name="_Toc89"/>
      <w:bookmarkStart w:id="974" w:name="_Toc18481"/>
      <w:bookmarkStart w:id="975" w:name="_Toc9"/>
      <w:bookmarkStart w:id="976" w:name="_Toc16199"/>
      <w:bookmarkStart w:id="977" w:name="_Toc15281"/>
      <w:bookmarkStart w:id="978" w:name="_Toc14682"/>
      <w:bookmarkStart w:id="979" w:name="_Toc16095"/>
      <w:bookmarkStart w:id="980" w:name="_Toc18431"/>
      <w:bookmarkStart w:id="981" w:name="_Toc18941"/>
      <w:bookmarkStart w:id="982" w:name="_Toc27052"/>
      <w:bookmarkStart w:id="983" w:name="_Toc22188"/>
      <w:bookmarkStart w:id="984" w:name="_Toc14584"/>
      <w:bookmarkStart w:id="985" w:name="_Toc2976"/>
      <w:bookmarkStart w:id="986" w:name="_Toc10911"/>
      <w:bookmarkStart w:id="987" w:name="_Toc14375"/>
      <w:bookmarkStart w:id="988" w:name="_Toc17957"/>
      <w:bookmarkStart w:id="989" w:name="_Toc6649"/>
      <w:bookmarkStart w:id="990" w:name="_Toc4000"/>
      <w:bookmarkStart w:id="991" w:name="_Toc6140"/>
      <w:bookmarkStart w:id="992" w:name="_Toc3304"/>
      <w:bookmarkStart w:id="993" w:name="_Toc17738"/>
      <w:bookmarkStart w:id="994" w:name="_Toc217908608"/>
      <w:bookmarkStart w:id="995" w:name="_Toc6668"/>
      <w:bookmarkStart w:id="996" w:name="_Toc29046"/>
      <w:bookmarkStart w:id="997" w:name="_Toc2322"/>
      <w:bookmarkStart w:id="998" w:name="_Toc1104"/>
      <w:bookmarkStart w:id="999" w:name="_Toc16836"/>
      <w:bookmarkStart w:id="1000" w:name="_Toc19124"/>
      <w:bookmarkStart w:id="1001" w:name="_Toc3683"/>
      <w:bookmarkStart w:id="1002" w:name="_Toc9515"/>
      <w:bookmarkStart w:id="1003" w:name="_Toc24455"/>
      <w:bookmarkStart w:id="1004" w:name="_Toc30246"/>
      <w:bookmarkStart w:id="1005" w:name="_Toc21104"/>
      <w:bookmarkStart w:id="1006" w:name="_Toc22989"/>
      <w:bookmarkStart w:id="1007" w:name="_Toc11270"/>
      <w:bookmarkStart w:id="1008" w:name="_Toc32556"/>
      <w:bookmarkStart w:id="1009" w:name="_Toc18523"/>
      <w:bookmarkStart w:id="1010" w:name="_Toc9225"/>
      <w:bookmarkStart w:id="1011" w:name="_Toc18421"/>
      <w:bookmarkStart w:id="1012" w:name="_Toc15882"/>
      <w:bookmarkStart w:id="1013" w:name="_Toc11462"/>
      <w:bookmarkStart w:id="1014" w:name="_Toc229114351"/>
      <w:bookmarkStart w:id="1015" w:name="_Toc229225447"/>
      <w:r>
        <w:t>四、标准必要专利的审理</w:t>
      </w:r>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有关标准必要专利的审理参照《涉标准必要专利行政调解和裁决规定（试行）》执行。</w:t>
      </w:r>
    </w:p>
    <w:p w:rsidR="00800760" w:rsidRDefault="00235733" w:rsidP="000B2495">
      <w:pPr>
        <w:pStyle w:val="2"/>
        <w:widowControl/>
        <w:topLinePunct/>
        <w:ind w:firstLineChars="0" w:firstLine="0"/>
        <w:rPr>
          <w:rFonts w:ascii="Times New Roman" w:hAnsi="Times New Roman"/>
          <w:color w:val="000000"/>
        </w:rPr>
      </w:pPr>
      <w:bookmarkStart w:id="1016" w:name="_Toc229114352"/>
      <w:bookmarkStart w:id="1017" w:name="_Toc229225448"/>
      <w:r>
        <w:rPr>
          <w:rFonts w:ascii="Times New Roman" w:hAnsi="Times New Roman" w:hint="eastAsia"/>
          <w:color w:val="000000"/>
        </w:rPr>
        <w:t>第三节</w:t>
      </w:r>
      <w:r>
        <w:rPr>
          <w:rFonts w:ascii="Times New Roman" w:hAnsi="Times New Roman" w:hint="eastAsia"/>
          <w:color w:val="000000"/>
          <w:lang w:val="en-US"/>
        </w:rPr>
        <w:t xml:space="preserve"> </w:t>
      </w:r>
      <w:r>
        <w:rPr>
          <w:rFonts w:ascii="Times New Roman" w:hAnsi="Times New Roman" w:hint="eastAsia"/>
          <w:color w:val="000000"/>
          <w:kern w:val="2"/>
        </w:rPr>
        <w:t>确认不侵权的咨询意见</w:t>
      </w:r>
      <w:bookmarkEnd w:id="1016"/>
      <w:bookmarkEnd w:id="1017"/>
    </w:p>
    <w:p w:rsidR="00800760" w:rsidRDefault="00235733" w:rsidP="00C22A7B">
      <w:pPr>
        <w:pStyle w:val="12"/>
        <w:widowControl/>
        <w:topLinePunct/>
        <w:spacing w:beforeLines="100" w:after="120" w:line="336" w:lineRule="auto"/>
        <w:ind w:firstLine="420"/>
        <w:rPr>
          <w:rFonts w:ascii="Times New Roman" w:eastAsia="宋体" w:hAnsi="Times New Roman"/>
          <w:sz w:val="21"/>
          <w:szCs w:val="21"/>
        </w:rPr>
      </w:pPr>
      <w:r>
        <w:rPr>
          <w:rFonts w:ascii="Times New Roman" w:eastAsia="宋体" w:hAnsi="Times New Roman" w:cs="宋体"/>
          <w:sz w:val="21"/>
          <w:szCs w:val="21"/>
        </w:rPr>
        <w:t>权利人向他人发出侵犯专利权的警告时，被警告人可以请求有管辖权的管理专利工作的部门对侵权行为是否成立出具咨询意见。确认不侵权的咨询意见可以作为参考材料用于后续的专利侵权纠纷行政裁决。</w:t>
      </w:r>
    </w:p>
    <w:p w:rsidR="00800760" w:rsidRDefault="00235733">
      <w:pPr>
        <w:pStyle w:val="4"/>
        <w:widowControl/>
        <w:spacing w:before="240"/>
        <w:ind w:firstLine="444"/>
        <w:rPr>
          <w:rFonts w:ascii="Times New Roman" w:hAnsi="Times New Roman"/>
          <w:color w:val="000000"/>
        </w:rPr>
      </w:pPr>
      <w:r>
        <w:rPr>
          <w:rFonts w:ascii="Times New Roman" w:hAnsi="Times New Roman"/>
          <w:color w:val="000000"/>
        </w:rPr>
        <w:t>（一）受理条件</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权利人向他人发出侵犯专利权的警告，被警告人受到明确的侵权警告威胁，被警告人书面催告权利人向管理专利工作的部门提出行政裁决处理请求或者向人民法院起诉，或者被警告人向权利人书面表明不侵权意见，自权利人收到书面催告或者不侵权意见之日起一个月内，或者自书面催告或者不侵权意见发出之日起两个月内，权利人既不撤回警告，也不向管理专利工作的部门提出行政裁决处理请求或者向人民法院起诉，且有证据表明不确认侵权行为是否成立将使得被警告人的合法权益受到或可能受到损害。</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提出出具咨询意见处理请求的，还需要满足《专利纠纷行政裁决和调解办法》第十二条规定的受理条件。</w:t>
      </w:r>
    </w:p>
    <w:p w:rsidR="00800760" w:rsidRDefault="00235733">
      <w:pPr>
        <w:pStyle w:val="4"/>
        <w:widowControl/>
        <w:spacing w:before="240"/>
        <w:ind w:firstLine="444"/>
        <w:rPr>
          <w:rFonts w:ascii="Times New Roman" w:hAnsi="Times New Roman"/>
          <w:color w:val="000000"/>
        </w:rPr>
      </w:pPr>
      <w:r>
        <w:rPr>
          <w:rFonts w:ascii="Times New Roman" w:hAnsi="Times New Roman"/>
          <w:color w:val="000000"/>
        </w:rPr>
        <w:t>（二）受理材料</w:t>
      </w:r>
    </w:p>
    <w:p w:rsidR="00800760" w:rsidRDefault="00235733">
      <w:pPr>
        <w:pStyle w:val="5"/>
        <w:spacing w:before="120"/>
      </w:pPr>
      <w:r>
        <w:t xml:space="preserve">1. </w:t>
      </w:r>
      <w:r>
        <w:rPr>
          <w:rFonts w:cs="黑体"/>
        </w:rPr>
        <w:t>请求书</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提出出具确认不侵权咨询意见的，应当提交《出具确认不侵权咨询意见请求书》，请求书中应记载请求出具确认不侵权的咨询意见、不侵权理由和不侵权事实。其中，不侵权理由如不侵权分析比对（应写明具体权利要求项）、不侵权抗辩理由；事实方面，应当说明未侵犯专利权的基本情况。</w:t>
      </w:r>
    </w:p>
    <w:p w:rsidR="00800760" w:rsidRDefault="00235733">
      <w:pPr>
        <w:pStyle w:val="5"/>
        <w:spacing w:before="120"/>
      </w:pPr>
      <w:r>
        <w:t xml:space="preserve">2. </w:t>
      </w:r>
      <w:r>
        <w:rPr>
          <w:rFonts w:cs="黑体"/>
        </w:rPr>
        <w:t>相关证据</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不侵犯专利权的相关证据，是指请求人提交的能够证明请求人未实施侵权行为或实施行为不构成侵权的相关物证、书证等证据。请求人还应当出具权利人发出的侵权警告、被警告人发出的书面催告或者不侵权的书面意见等。</w:t>
      </w:r>
    </w:p>
    <w:p w:rsidR="00800760" w:rsidRDefault="00235733">
      <w:pPr>
        <w:pStyle w:val="12"/>
        <w:widowControl/>
        <w:topLinePunct/>
        <w:spacing w:line="336" w:lineRule="auto"/>
        <w:ind w:firstLine="420"/>
        <w:rPr>
          <w:rFonts w:ascii="Times New Roman" w:eastAsia="宋体" w:hAnsi="Times New Roman"/>
          <w:sz w:val="21"/>
          <w:szCs w:val="21"/>
        </w:rPr>
      </w:pPr>
      <w:r>
        <w:rPr>
          <w:rFonts w:ascii="Times New Roman" w:eastAsia="宋体" w:hAnsi="Times New Roman" w:cs="宋体"/>
          <w:sz w:val="21"/>
          <w:szCs w:val="21"/>
        </w:rPr>
        <w:t>提出出具不侵权咨询意见处理请求的，除上述规定外，均按照本章</w:t>
      </w:r>
      <w:r>
        <w:rPr>
          <w:rFonts w:ascii="Times New Roman" w:eastAsia="宋体" w:hAnsi="Times New Roman" w:cs="宋体" w:hint="eastAsia"/>
          <w:sz w:val="21"/>
          <w:szCs w:val="21"/>
        </w:rPr>
        <w:t>第一节</w:t>
      </w:r>
      <w:r>
        <w:rPr>
          <w:rFonts w:ascii="Times New Roman" w:eastAsia="宋体" w:hAnsi="Times New Roman" w:cs="宋体"/>
          <w:sz w:val="21"/>
          <w:szCs w:val="21"/>
        </w:rPr>
        <w:t>“</w:t>
      </w:r>
      <w:r>
        <w:rPr>
          <w:rFonts w:ascii="Times New Roman" w:eastAsia="宋体" w:hAnsi="Times New Roman" w:cs="宋体"/>
          <w:sz w:val="21"/>
          <w:szCs w:val="21"/>
        </w:rPr>
        <w:t>三、受理材料的审查</w:t>
      </w:r>
      <w:r>
        <w:rPr>
          <w:rFonts w:ascii="Times New Roman" w:eastAsia="宋体" w:hAnsi="Times New Roman" w:cs="宋体"/>
          <w:sz w:val="21"/>
          <w:szCs w:val="21"/>
        </w:rPr>
        <w:t>”</w:t>
      </w:r>
      <w:r>
        <w:rPr>
          <w:rFonts w:ascii="Times New Roman" w:eastAsia="宋体" w:hAnsi="Times New Roman" w:cs="宋体"/>
          <w:sz w:val="21"/>
          <w:szCs w:val="21"/>
        </w:rPr>
        <w:t>的规定进行审查。管理专利工作的部门在收到出具确认不侵权的咨询意见的请求后，应当根据本指南的要求进行立案审核，并参照本章</w:t>
      </w:r>
      <w:r>
        <w:rPr>
          <w:rFonts w:ascii="Times New Roman" w:eastAsia="宋体" w:hAnsi="Times New Roman" w:cs="宋体" w:hint="eastAsia"/>
          <w:sz w:val="21"/>
          <w:szCs w:val="21"/>
        </w:rPr>
        <w:t>第一节</w:t>
      </w:r>
      <w:r>
        <w:rPr>
          <w:rFonts w:ascii="Times New Roman" w:eastAsia="宋体" w:hAnsi="Times New Roman" w:cs="宋体"/>
          <w:sz w:val="21"/>
          <w:szCs w:val="21"/>
        </w:rPr>
        <w:t>“</w:t>
      </w:r>
      <w:r>
        <w:rPr>
          <w:rFonts w:ascii="Times New Roman" w:eastAsia="宋体" w:hAnsi="Times New Roman" w:cs="宋体"/>
          <w:sz w:val="21"/>
          <w:szCs w:val="21"/>
        </w:rPr>
        <w:t>四、立案步骤</w:t>
      </w:r>
      <w:r>
        <w:rPr>
          <w:rFonts w:ascii="Times New Roman" w:eastAsia="宋体" w:hAnsi="Times New Roman" w:cs="宋体"/>
          <w:sz w:val="21"/>
          <w:szCs w:val="21"/>
        </w:rPr>
        <w:t>”</w:t>
      </w:r>
      <w:r>
        <w:rPr>
          <w:rFonts w:ascii="Times New Roman" w:eastAsia="宋体" w:hAnsi="Times New Roman" w:cs="宋体"/>
          <w:sz w:val="21"/>
          <w:szCs w:val="21"/>
        </w:rPr>
        <w:t>进行立案与报批，并自收到请求书之日起</w:t>
      </w:r>
      <w:r>
        <w:rPr>
          <w:rFonts w:ascii="Times New Roman" w:eastAsia="宋体" w:hAnsi="Times New Roman"/>
          <w:sz w:val="21"/>
          <w:szCs w:val="21"/>
        </w:rPr>
        <w:t>5</w:t>
      </w:r>
      <w:r>
        <w:rPr>
          <w:rFonts w:ascii="Times New Roman" w:eastAsia="宋体" w:hAnsi="Times New Roman" w:cs="宋体"/>
          <w:sz w:val="21"/>
          <w:szCs w:val="21"/>
        </w:rPr>
        <w:t>个工作日内立案并向请求人送达《确认不侵权咨询意见请求受理通知书》。</w:t>
      </w:r>
    </w:p>
    <w:p w:rsidR="00800760" w:rsidRDefault="00235733">
      <w:pPr>
        <w:pStyle w:val="5"/>
        <w:spacing w:before="120"/>
      </w:pPr>
      <w:r>
        <w:t>3</w:t>
      </w:r>
      <w:r>
        <w:t>．其他规定</w:t>
      </w:r>
    </w:p>
    <w:p w:rsidR="00800760" w:rsidRDefault="00235733">
      <w:pPr>
        <w:pStyle w:val="12"/>
        <w:widowControl/>
        <w:topLinePunct/>
        <w:spacing w:line="336" w:lineRule="auto"/>
        <w:ind w:firstLine="428"/>
        <w:rPr>
          <w:rFonts w:ascii="Times New Roman" w:eastAsia="宋体" w:hAnsi="Times New Roman"/>
          <w:spacing w:val="2"/>
          <w:sz w:val="21"/>
          <w:szCs w:val="21"/>
        </w:rPr>
      </w:pPr>
      <w:r>
        <w:rPr>
          <w:rFonts w:ascii="Times New Roman" w:eastAsia="宋体" w:hAnsi="Times New Roman" w:cs="宋体"/>
          <w:spacing w:val="2"/>
          <w:sz w:val="21"/>
          <w:szCs w:val="21"/>
        </w:rPr>
        <w:t>合议组应当对案件认定的事实、证据、法律责任、适用法律、处理结果进行全面合议。专利侵权行为的认定及专利侵权与否的判定参照本指南第三章执行</w:t>
      </w:r>
      <w:r>
        <w:rPr>
          <w:rFonts w:ascii="Times New Roman" w:eastAsia="宋体" w:hAnsi="Times New Roman" w:cs="宋体"/>
          <w:sz w:val="21"/>
          <w:szCs w:val="21"/>
        </w:rPr>
        <w:t>。合议组应当及时作出《确认不侵权咨询意见决定书》。</w:t>
      </w:r>
    </w:p>
    <w:p w:rsidR="00800760" w:rsidRDefault="00235733">
      <w:pPr>
        <w:pStyle w:val="12"/>
        <w:widowControl/>
        <w:topLinePunct/>
        <w:spacing w:line="336" w:lineRule="auto"/>
        <w:ind w:firstLine="420"/>
        <w:rPr>
          <w:rFonts w:ascii="Times New Roman" w:eastAsia="宋体" w:hAnsi="Times New Roman"/>
          <w:spacing w:val="2"/>
          <w:sz w:val="21"/>
          <w:szCs w:val="21"/>
        </w:rPr>
      </w:pPr>
      <w:r>
        <w:rPr>
          <w:rFonts w:ascii="Times New Roman" w:eastAsia="宋体" w:hAnsi="Times New Roman" w:cs="宋体"/>
          <w:sz w:val="21"/>
          <w:szCs w:val="21"/>
        </w:rPr>
        <w:t>权利人在此期间向管理专利工作的部门针对该专利侵权纠纷提出行政裁决处理请求或者向人民法院起诉的，管理专利工作的部门应对被警告人提出的出具确认不侵权的咨询意见的请求作</w:t>
      </w:r>
      <w:r>
        <w:rPr>
          <w:rFonts w:ascii="Times New Roman" w:eastAsia="宋体" w:hAnsi="Times New Roman" w:cs="宋体"/>
          <w:spacing w:val="2"/>
          <w:sz w:val="21"/>
          <w:szCs w:val="21"/>
        </w:rPr>
        <w:t>撤案处理。</w:t>
      </w:r>
    </w:p>
    <w:p w:rsidR="00800760" w:rsidRDefault="00235733">
      <w:pPr>
        <w:pStyle w:val="12"/>
        <w:widowControl/>
        <w:topLinePunct/>
        <w:spacing w:line="336" w:lineRule="auto"/>
        <w:ind w:firstLine="420"/>
        <w:rPr>
          <w:rFonts w:ascii="Times New Roman" w:eastAsia="宋体" w:hAnsi="Times New Roman" w:cs="宋体"/>
          <w:sz w:val="21"/>
          <w:szCs w:val="21"/>
        </w:rPr>
      </w:pPr>
      <w:r>
        <w:rPr>
          <w:rFonts w:ascii="Times New Roman" w:eastAsia="宋体" w:hAnsi="Times New Roman" w:cs="宋体"/>
          <w:sz w:val="21"/>
          <w:szCs w:val="21"/>
        </w:rPr>
        <w:t>需要特别注意的是，</w:t>
      </w:r>
      <w:r>
        <w:rPr>
          <w:rFonts w:ascii="Times New Roman" w:eastAsia="宋体" w:hAnsi="Times New Roman" w:cs="宋体"/>
          <w:sz w:val="21"/>
          <w:szCs w:val="21"/>
        </w:rPr>
        <w:t>“</w:t>
      </w:r>
      <w:r>
        <w:rPr>
          <w:rFonts w:ascii="Times New Roman" w:eastAsia="宋体" w:hAnsi="Times New Roman" w:cs="宋体"/>
          <w:sz w:val="21"/>
          <w:szCs w:val="21"/>
        </w:rPr>
        <w:t>确认不侵权咨询意见</w:t>
      </w:r>
      <w:r>
        <w:rPr>
          <w:rFonts w:ascii="Times New Roman" w:eastAsia="宋体" w:hAnsi="Times New Roman" w:cs="宋体"/>
          <w:sz w:val="21"/>
          <w:szCs w:val="21"/>
        </w:rPr>
        <w:t>”</w:t>
      </w:r>
      <w:r>
        <w:rPr>
          <w:rFonts w:ascii="Times New Roman" w:eastAsia="宋体" w:hAnsi="Times New Roman" w:cs="宋体"/>
          <w:sz w:val="21"/>
          <w:szCs w:val="21"/>
        </w:rPr>
        <w:t>参照裁决程序办理，具体包括立案、发出通知书、答辩和出具咨询意见等程序，但不做过于严格的程序规定。为了提高办理效率，</w:t>
      </w:r>
      <w:r>
        <w:rPr>
          <w:rFonts w:ascii="Times New Roman" w:eastAsia="宋体" w:hAnsi="Times New Roman" w:cs="宋体"/>
          <w:sz w:val="21"/>
          <w:szCs w:val="21"/>
        </w:rPr>
        <w:t>“</w:t>
      </w:r>
      <w:r>
        <w:rPr>
          <w:rFonts w:ascii="Times New Roman" w:eastAsia="宋体" w:hAnsi="Times New Roman" w:cs="宋体"/>
          <w:sz w:val="21"/>
          <w:szCs w:val="21"/>
        </w:rPr>
        <w:t>确认不侵权咨询意见</w:t>
      </w:r>
      <w:r>
        <w:rPr>
          <w:rFonts w:ascii="Times New Roman" w:eastAsia="宋体" w:hAnsi="Times New Roman" w:cs="宋体"/>
          <w:sz w:val="21"/>
          <w:szCs w:val="21"/>
        </w:rPr>
        <w:t>”</w:t>
      </w:r>
      <w:r>
        <w:rPr>
          <w:rFonts w:ascii="Times New Roman" w:eastAsia="宋体" w:hAnsi="Times New Roman" w:cs="宋体"/>
          <w:sz w:val="21"/>
          <w:szCs w:val="21"/>
        </w:rPr>
        <w:t>仅设置答辩程序，不设置口审程序。答辩程序中双方可发表意见，通过听证程序保证双方的知情权和答辩权；一方缺席时可根据单方材料继续进行审理。</w:t>
      </w:r>
    </w:p>
    <w:p w:rsidR="00800760" w:rsidRDefault="00235733">
      <w:pPr>
        <w:pStyle w:val="12"/>
        <w:topLinePunct/>
        <w:spacing w:line="336" w:lineRule="auto"/>
        <w:ind w:firstLine="420"/>
        <w:rPr>
          <w:rFonts w:ascii="Times New Roman" w:eastAsia="宋体" w:hAnsi="Times New Roman" w:cs="宋体"/>
          <w:sz w:val="21"/>
          <w:szCs w:val="21"/>
        </w:rPr>
      </w:pPr>
      <w:r>
        <w:rPr>
          <w:rFonts w:ascii="Times New Roman" w:eastAsia="宋体" w:hAnsi="Times New Roman" w:cs="宋体"/>
          <w:sz w:val="21"/>
          <w:szCs w:val="21"/>
        </w:rPr>
        <w:t>与行政裁决不同，管理专利工作的部门可以指定知识产权保护中心办理</w:t>
      </w:r>
      <w:r>
        <w:rPr>
          <w:rFonts w:ascii="Times New Roman" w:eastAsia="宋体" w:hAnsi="Times New Roman" w:cs="宋体"/>
          <w:sz w:val="21"/>
          <w:szCs w:val="21"/>
        </w:rPr>
        <w:t>“</w:t>
      </w:r>
      <w:r>
        <w:rPr>
          <w:rFonts w:ascii="Times New Roman" w:eastAsia="宋体" w:hAnsi="Times New Roman" w:cs="宋体"/>
          <w:sz w:val="21"/>
          <w:szCs w:val="21"/>
        </w:rPr>
        <w:t>确认不侵权咨询意见</w:t>
      </w:r>
      <w:r>
        <w:rPr>
          <w:rFonts w:ascii="Times New Roman" w:eastAsia="宋体" w:hAnsi="Times New Roman" w:cs="宋体"/>
          <w:sz w:val="21"/>
          <w:szCs w:val="21"/>
        </w:rPr>
        <w:t>”</w:t>
      </w:r>
      <w:r>
        <w:rPr>
          <w:rFonts w:ascii="Times New Roman" w:eastAsia="宋体" w:hAnsi="Times New Roman" w:cs="宋体" w:hint="eastAsia"/>
          <w:sz w:val="21"/>
          <w:szCs w:val="21"/>
        </w:rPr>
        <w:t>案件</w:t>
      </w:r>
      <w:r>
        <w:rPr>
          <w:rFonts w:ascii="Times New Roman" w:eastAsia="宋体" w:hAnsi="Times New Roman" w:cs="宋体"/>
          <w:sz w:val="21"/>
          <w:szCs w:val="21"/>
        </w:rPr>
        <w:t>。管理专利工作的部门出具的《确认不侵权咨询意见决定书》作为行政机关出具的专业意见，能够为当事人提供快速、专业的法律指引，在后续行政裁决中可作为技术事实认定的参考材料。当事人对出具的咨询意见不服的</w:t>
      </w:r>
      <w:r>
        <w:rPr>
          <w:rFonts w:ascii="Times New Roman" w:eastAsia="宋体" w:hAnsi="Times New Roman" w:cs="宋体" w:hint="eastAsia"/>
          <w:sz w:val="21"/>
          <w:szCs w:val="21"/>
        </w:rPr>
        <w:t>，</w:t>
      </w:r>
      <w:r>
        <w:rPr>
          <w:rFonts w:ascii="Times New Roman" w:eastAsia="宋体" w:hAnsi="Times New Roman" w:cs="宋体"/>
          <w:sz w:val="21"/>
          <w:szCs w:val="21"/>
        </w:rPr>
        <w:t>可就相关侵权纠纷另行提起民事诉讼或行政裁决。</w:t>
      </w:r>
    </w:p>
    <w:p w:rsidR="00800760" w:rsidRDefault="00800760">
      <w:pPr>
        <w:pStyle w:val="22"/>
        <w:topLinePunct/>
        <w:spacing w:line="336" w:lineRule="auto"/>
        <w:ind w:firstLine="420"/>
        <w:rPr>
          <w:rFonts w:ascii="Times New Roman" w:eastAsia="宋体" w:hAnsi="Times New Roman"/>
          <w:sz w:val="21"/>
          <w:szCs w:val="21"/>
        </w:rPr>
      </w:pPr>
    </w:p>
    <w:p w:rsidR="00800760" w:rsidRDefault="00235733">
      <w:pPr>
        <w:pStyle w:val="1"/>
        <w:pageBreakBefore/>
        <w:rPr>
          <w:bCs/>
          <w:kern w:val="36"/>
          <w:lang w:val="en-US"/>
        </w:rPr>
      </w:pPr>
      <w:bookmarkStart w:id="1018" w:name="_Toc229114353"/>
      <w:bookmarkStart w:id="1019" w:name="_Toc217908609"/>
      <w:bookmarkStart w:id="1020" w:name="_Toc229225449"/>
      <w:bookmarkStart w:id="1021" w:name="_Toc32486"/>
      <w:bookmarkStart w:id="1022" w:name="_Toc26708"/>
      <w:bookmarkStart w:id="1023" w:name="_Toc22906"/>
      <w:bookmarkStart w:id="1024" w:name="_Toc16509"/>
      <w:bookmarkStart w:id="1025" w:name="_Toc3538"/>
      <w:bookmarkStart w:id="1026" w:name="_Toc32012"/>
      <w:bookmarkStart w:id="1027" w:name="_Toc13433"/>
      <w:bookmarkStart w:id="1028" w:name="_Toc24626"/>
      <w:bookmarkStart w:id="1029" w:name="_Toc14968"/>
      <w:bookmarkStart w:id="1030" w:name="_Toc19354"/>
      <w:bookmarkStart w:id="1031" w:name="_Toc5416"/>
      <w:bookmarkStart w:id="1032" w:name="_Toc23283"/>
      <w:bookmarkStart w:id="1033" w:name="_Toc6168"/>
      <w:bookmarkStart w:id="1034" w:name="_Toc21176"/>
      <w:bookmarkStart w:id="1035" w:name="_Toc30175"/>
      <w:bookmarkStart w:id="1036" w:name="_Toc15918"/>
      <w:bookmarkStart w:id="1037" w:name="_Toc8223"/>
      <w:bookmarkStart w:id="1038" w:name="_Toc22507"/>
      <w:bookmarkStart w:id="1039" w:name="_Toc27919"/>
      <w:bookmarkStart w:id="1040" w:name="_Toc4885"/>
      <w:bookmarkStart w:id="1041" w:name="_Toc32690"/>
      <w:bookmarkStart w:id="1042" w:name="_Toc5567"/>
      <w:bookmarkStart w:id="1043" w:name="_Toc2838"/>
      <w:bookmarkStart w:id="1044" w:name="_Toc23492"/>
      <w:bookmarkStart w:id="1045" w:name="_Toc23267"/>
      <w:bookmarkStart w:id="1046" w:name="_Toc30597"/>
      <w:bookmarkStart w:id="1047" w:name="_Toc11938"/>
      <w:bookmarkStart w:id="1048" w:name="_Toc18373"/>
      <w:bookmarkStart w:id="1049" w:name="_Toc7536"/>
      <w:bookmarkStart w:id="1050" w:name="_Toc24661"/>
      <w:bookmarkStart w:id="1051" w:name="_Toc6635"/>
      <w:bookmarkStart w:id="1052" w:name="_Toc30793"/>
      <w:bookmarkStart w:id="1053" w:name="_Toc20226"/>
      <w:bookmarkStart w:id="1054" w:name="_Toc28099"/>
      <w:bookmarkStart w:id="1055" w:name="_Toc24671"/>
      <w:bookmarkStart w:id="1056" w:name="_Toc3757"/>
      <w:bookmarkStart w:id="1057" w:name="_Toc14901"/>
      <w:bookmarkStart w:id="1058" w:name="_Toc17183"/>
      <w:bookmarkStart w:id="1059" w:name="_Toc14049"/>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Fonts w:hint="eastAsia"/>
          <w:bCs/>
          <w:kern w:val="36"/>
        </w:rPr>
        <w:t>第三章</w:t>
      </w:r>
      <w:r>
        <w:rPr>
          <w:rFonts w:hint="eastAsia"/>
        </w:rPr>
        <w:t xml:space="preserve">　</w:t>
      </w:r>
      <w:r>
        <w:rPr>
          <w:rFonts w:hint="eastAsia"/>
          <w:bCs/>
          <w:kern w:val="36"/>
          <w:lang w:val="en-US"/>
        </w:rPr>
        <w:t>侵权判断</w:t>
      </w:r>
      <w:bookmarkEnd w:id="1018"/>
      <w:bookmarkEnd w:id="1019"/>
      <w:bookmarkEnd w:id="102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判断被控侵权产品或方法是否侵犯了某一项专利权，不仅需要判断所述产品或方法是否落入该专利权的保护范围，还应当认定被控侵权行为是否属于专利法意义上的侵权行为。缺少其中任何一方面，都无法直接得出被控侵权行为构成侵权的结论。实践中，前者重点是将被控侵权产品或方法与涉案专利进行技术比对，后者重点是考查被控侵权人实施的行为本身。二者的判断过程和标准相对独立，不存在固定的先后顺序。</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判断被控侵权人是否具有侵犯专利权的行为，可以遵循以下步骤：（</w:t>
      </w:r>
      <w:r>
        <w:rPr>
          <w:rFonts w:ascii="Times New Roman" w:eastAsia="宋体" w:hAnsi="Times New Roman" w:cs="Times New Roman" w:hint="eastAsia"/>
          <w:sz w:val="21"/>
          <w:szCs w:val="21"/>
        </w:rPr>
        <w:t>1</w:t>
      </w:r>
      <w:r>
        <w:rPr>
          <w:rFonts w:ascii="Times New Roman" w:eastAsia="宋体" w:hAnsi="Times New Roman" w:hint="eastAsia"/>
          <w:sz w:val="21"/>
          <w:szCs w:val="21"/>
        </w:rPr>
        <w:t>）被控侵权人是否存在实施他人专利的行为；（</w:t>
      </w:r>
      <w:r>
        <w:rPr>
          <w:rFonts w:ascii="Times New Roman" w:eastAsia="宋体" w:hAnsi="Times New Roman" w:cs="Times New Roman" w:hint="eastAsia"/>
          <w:sz w:val="21"/>
          <w:szCs w:val="21"/>
        </w:rPr>
        <w:t>2</w:t>
      </w:r>
      <w:r>
        <w:rPr>
          <w:rFonts w:ascii="Times New Roman" w:eastAsia="宋体" w:hAnsi="Times New Roman" w:hint="eastAsia"/>
          <w:sz w:val="21"/>
          <w:szCs w:val="21"/>
        </w:rPr>
        <w:t>）被控侵权人实施他人专利的行为是否在专利授权之后且在专利权保护期内；（</w:t>
      </w:r>
      <w:r>
        <w:rPr>
          <w:rFonts w:ascii="Times New Roman" w:eastAsia="宋体" w:hAnsi="Times New Roman" w:cs="Times New Roman" w:hint="eastAsia"/>
          <w:sz w:val="21"/>
          <w:szCs w:val="21"/>
        </w:rPr>
        <w:t>3</w:t>
      </w:r>
      <w:r>
        <w:rPr>
          <w:rFonts w:ascii="Times New Roman" w:eastAsia="宋体" w:hAnsi="Times New Roman" w:hint="eastAsia"/>
          <w:sz w:val="21"/>
          <w:szCs w:val="21"/>
        </w:rPr>
        <w:t>）被控侵权人是否经专利权人许可、是否不以生产经营为目的以及是否被《专利法》明确规定为不侵犯专利权。</w:t>
      </w:r>
    </w:p>
    <w:p w:rsidR="00800760" w:rsidRDefault="00235733">
      <w:pPr>
        <w:pStyle w:val="2"/>
        <w:topLinePunct/>
        <w:ind w:firstLineChars="0" w:firstLine="0"/>
        <w:rPr>
          <w:rFonts w:ascii="Times New Roman" w:hAnsi="Times New Roman"/>
          <w:bCs/>
          <w:color w:val="000000"/>
        </w:rPr>
      </w:pPr>
      <w:bookmarkStart w:id="1060" w:name="_Toc3185"/>
      <w:bookmarkStart w:id="1061" w:name="_Toc28233"/>
      <w:bookmarkStart w:id="1062" w:name="_Toc5142"/>
      <w:bookmarkStart w:id="1063" w:name="_Toc18532"/>
      <w:bookmarkStart w:id="1064" w:name="_Toc24039"/>
      <w:bookmarkStart w:id="1065" w:name="_Toc21079"/>
      <w:bookmarkStart w:id="1066" w:name="_Toc28765"/>
      <w:bookmarkStart w:id="1067" w:name="_Toc9241"/>
      <w:bookmarkStart w:id="1068" w:name="_Toc22326"/>
      <w:bookmarkStart w:id="1069" w:name="_Toc11441"/>
      <w:bookmarkStart w:id="1070" w:name="_Toc25018"/>
      <w:bookmarkStart w:id="1071" w:name="_Toc604"/>
      <w:bookmarkStart w:id="1072" w:name="_Toc1483"/>
      <w:bookmarkStart w:id="1073" w:name="_Toc10853"/>
      <w:bookmarkStart w:id="1074" w:name="_Toc7567"/>
      <w:bookmarkStart w:id="1075" w:name="_Toc2253"/>
      <w:bookmarkStart w:id="1076" w:name="_Toc31788"/>
      <w:bookmarkStart w:id="1077" w:name="_Toc15513"/>
      <w:bookmarkStart w:id="1078" w:name="_Toc20172"/>
      <w:bookmarkStart w:id="1079" w:name="_Toc2551"/>
      <w:bookmarkStart w:id="1080" w:name="_Toc13999"/>
      <w:bookmarkStart w:id="1081" w:name="_Toc14973"/>
      <w:bookmarkStart w:id="1082" w:name="_Toc25760"/>
      <w:bookmarkStart w:id="1083" w:name="_Toc8044"/>
      <w:bookmarkStart w:id="1084" w:name="_Toc12458"/>
      <w:bookmarkStart w:id="1085" w:name="_Toc11381"/>
      <w:bookmarkStart w:id="1086" w:name="_Toc13488"/>
      <w:bookmarkStart w:id="1087" w:name="_Toc17693"/>
      <w:bookmarkStart w:id="1088" w:name="_Toc17434"/>
      <w:bookmarkStart w:id="1089" w:name="_Toc20003"/>
      <w:bookmarkStart w:id="1090" w:name="_Toc17404"/>
      <w:bookmarkStart w:id="1091" w:name="_Toc18865"/>
      <w:bookmarkStart w:id="1092" w:name="_Toc2093"/>
      <w:bookmarkStart w:id="1093" w:name="_Toc7986"/>
      <w:bookmarkStart w:id="1094" w:name="_Toc23033"/>
      <w:bookmarkStart w:id="1095" w:name="_Toc415"/>
      <w:bookmarkStart w:id="1096" w:name="_Toc31221"/>
      <w:bookmarkStart w:id="1097" w:name="_Toc6769"/>
      <w:bookmarkStart w:id="1098" w:name="_Toc28314"/>
      <w:bookmarkStart w:id="1099" w:name="_Toc3336"/>
      <w:bookmarkStart w:id="1100" w:name="_Toc19723"/>
      <w:bookmarkStart w:id="1101" w:name="_Toc17849"/>
      <w:bookmarkStart w:id="1102" w:name="_Toc229114354"/>
      <w:bookmarkStart w:id="1103" w:name="_Toc217908610"/>
      <w:bookmarkStart w:id="1104" w:name="_Toc229225450"/>
      <w:r>
        <w:rPr>
          <w:rFonts w:ascii="Times New Roman" w:hAnsi="Times New Roman" w:hint="eastAsia"/>
          <w:bCs/>
          <w:color w:val="000000"/>
        </w:rPr>
        <w:t>第一节</w:t>
      </w:r>
      <w:r>
        <w:rPr>
          <w:rFonts w:ascii="Times New Roman" w:hAnsi="Times New Roman" w:hint="eastAsia"/>
          <w:color w:val="000000"/>
        </w:rPr>
        <w:t xml:space="preserve">　</w:t>
      </w:r>
      <w:r>
        <w:rPr>
          <w:rFonts w:ascii="Times New Roman" w:hAnsi="Times New Roman" w:hint="eastAsia"/>
          <w:bCs/>
          <w:color w:val="000000"/>
        </w:rPr>
        <w:t>实施专利的行为</w:t>
      </w:r>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十一条的规定，实施专利，对发明和实用新型专利权而言，是指为生产经营目的制造、使用、许诺销售、销售、进口专利产品，使用专利方法以及使用、许诺销售、销售、进口依照该专利方法直接获得的产品；对于外观设计专利权而言，是指为生产经营目的制造、许诺销售、销售、进口外观设计专利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第十一条列举的五种行为是对侵犯专利权行为的穷举，未列入其中的行为，不构成实施专利的行为，不能采用类比的方式将其纳入侵犯专利权行为的范畴。例如，设计专利产品的行为，如果未将该设计转化为专利产品，则设计行为本身不构成实施专利的</w:t>
      </w:r>
      <w:r>
        <w:rPr>
          <w:rFonts w:ascii="Times New Roman" w:eastAsia="宋体" w:hAnsi="Times New Roman" w:hint="eastAsia"/>
          <w:spacing w:val="-2"/>
          <w:sz w:val="21"/>
          <w:szCs w:val="21"/>
        </w:rPr>
        <w:t>行为；仓储和运输专利产品的行为，如果该专利产品不是由行为人制造，行为人也未销售或许诺销售该专利产品，则仓储和运输行为不构成实施专利的行为，但构成共同侵权的除外。</w:t>
      </w:r>
      <w:r>
        <w:rPr>
          <w:rFonts w:ascii="Times New Roman" w:eastAsia="宋体" w:hAnsi="Times New Roman" w:hint="eastAsia"/>
          <w:sz w:val="21"/>
          <w:szCs w:val="21"/>
        </w:rPr>
        <w:t xml:space="preserve"> </w:t>
      </w:r>
    </w:p>
    <w:p w:rsidR="00800760" w:rsidRDefault="00235733">
      <w:pPr>
        <w:pStyle w:val="3"/>
        <w:topLinePunct/>
        <w:spacing w:before="240"/>
        <w:ind w:firstLine="444"/>
        <w:rPr>
          <w:rFonts w:ascii="Times New Roman" w:hAnsi="Times New Roman"/>
          <w:bCs/>
          <w:color w:val="000000"/>
        </w:rPr>
      </w:pPr>
      <w:bookmarkStart w:id="1105" w:name="_Toc4226"/>
      <w:bookmarkStart w:id="1106" w:name="_Toc1674"/>
      <w:bookmarkStart w:id="1107" w:name="_Toc19605"/>
      <w:bookmarkStart w:id="1108" w:name="_Toc4614"/>
      <w:bookmarkStart w:id="1109" w:name="_Toc32542"/>
      <w:bookmarkStart w:id="1110" w:name="_Toc3849"/>
      <w:bookmarkStart w:id="1111" w:name="_Toc1648"/>
      <w:bookmarkStart w:id="1112" w:name="_Toc3832"/>
      <w:bookmarkStart w:id="1113" w:name="_Toc4926"/>
      <w:bookmarkStart w:id="1114" w:name="_Toc15809"/>
      <w:bookmarkStart w:id="1115" w:name="_Toc4914"/>
      <w:bookmarkStart w:id="1116" w:name="_Toc25956"/>
      <w:bookmarkStart w:id="1117" w:name="_Toc23871"/>
      <w:bookmarkStart w:id="1118" w:name="_Toc2078"/>
      <w:bookmarkStart w:id="1119" w:name="_Toc7644"/>
      <w:bookmarkStart w:id="1120" w:name="_Toc859"/>
      <w:bookmarkStart w:id="1121" w:name="_Toc5844"/>
      <w:bookmarkStart w:id="1122" w:name="_Toc5152"/>
      <w:bookmarkStart w:id="1123" w:name="_Toc5535"/>
      <w:bookmarkStart w:id="1124" w:name="_Toc4240"/>
      <w:bookmarkStart w:id="1125" w:name="_Toc5063"/>
      <w:bookmarkStart w:id="1126" w:name="_Toc3685"/>
      <w:bookmarkStart w:id="1127" w:name="_Toc13078"/>
      <w:bookmarkStart w:id="1128" w:name="_Toc3604"/>
      <w:bookmarkStart w:id="1129" w:name="_Toc15298"/>
      <w:bookmarkStart w:id="1130" w:name="_Toc32570"/>
      <w:bookmarkStart w:id="1131" w:name="_Toc3380"/>
      <w:bookmarkStart w:id="1132" w:name="_Toc12354"/>
      <w:bookmarkStart w:id="1133" w:name="_Toc5431"/>
      <w:bookmarkStart w:id="1134" w:name="_Toc13819"/>
      <w:bookmarkStart w:id="1135" w:name="_Toc8382"/>
      <w:bookmarkStart w:id="1136" w:name="_Toc14996"/>
      <w:bookmarkStart w:id="1137" w:name="_Toc24573"/>
      <w:bookmarkStart w:id="1138" w:name="_Toc229114355"/>
      <w:bookmarkStart w:id="1139" w:name="_Toc10657"/>
      <w:bookmarkStart w:id="1140" w:name="_Toc6215"/>
      <w:bookmarkStart w:id="1141" w:name="_Toc6495"/>
      <w:bookmarkStart w:id="1142" w:name="_Toc25353"/>
      <w:bookmarkStart w:id="1143" w:name="_Toc29831"/>
      <w:bookmarkStart w:id="1144" w:name="_Toc13993"/>
      <w:bookmarkStart w:id="1145" w:name="_Toc21302"/>
      <w:bookmarkStart w:id="1146" w:name="_Toc217908611"/>
      <w:bookmarkStart w:id="1147" w:name="_Toc3550"/>
      <w:bookmarkStart w:id="1148" w:name="_Toc16651"/>
      <w:bookmarkStart w:id="1149" w:name="_Toc229225451"/>
      <w:r>
        <w:rPr>
          <w:rFonts w:ascii="Times New Roman" w:hAnsi="Times New Roman" w:hint="eastAsia"/>
          <w:bCs/>
          <w:color w:val="000000"/>
        </w:rPr>
        <w:t>一、制造</w:t>
      </w:r>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制造，对于发明和实用新型专利权而言，是指做出或者形成具有与权利要求记载的全部技术特征相同或者等同的技术特征的产品；对于外观设计专利权而言，是指做出或者形成采用外观设计专利的图片或者照片中所表示的设计的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制造行为的对象应当是专利产品，包括将原材料经化学反应、将零部件经物理组装形成权利要求所保护的专利产品等行为。</w:t>
      </w:r>
      <w:r>
        <w:rPr>
          <w:rFonts w:ascii="Times New Roman" w:eastAsia="宋体" w:hAnsi="Times New Roman" w:hint="eastAsia"/>
          <w:sz w:val="21"/>
          <w:szCs w:val="21"/>
        </w:rPr>
        <w:t xml:space="preserve"> </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（一）产品的数量、质量和制造方法对制造行为的影响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制造行为的认定中，通常需要关注制造的结果，即制造的产品是否为专利产品。产品的数量、质量或性能以及制造方法通常不影响对制造行为的认定，除非制造产品的数量极少从而影响到对生产经营目的的认定或者产品的质量或性能使得产品未落入权利要求参数限定的范围内。</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（二）委托加工或贴牌生产行为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委托加工或贴牌生产，是指定作人或委托人提供样品或图纸，承揽人或加工人按定作人或委托人的要求完成产品，承揽人或加工人交付成品，定作人或委托人支付报酬的行为。企业接受委托加工或贴牌生产都属于加工承揽。</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如果委托加工或者贴牌生产的产品侵犯专利权，承揽人或加工人的加工行为构成实施专利的行为，定作人或委托人的委托行为也构成制造专利产品的行为。</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w:t>
      </w:r>
      <w:r>
        <w:rPr>
          <w:rFonts w:hint="eastAsia"/>
          <w:color w:val="000000"/>
        </w:rPr>
        <w:t>案例</w:t>
      </w:r>
      <w:r>
        <w:rPr>
          <w:rFonts w:ascii="Times New Roman" w:hAnsi="Times New Roman"/>
          <w:color w:val="000000"/>
        </w:rPr>
        <w:t>3</w:t>
      </w: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公司与</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公司签订委托加工合同，约定</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公司按照</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公司提供的产品图纸及相关技术要求进行产品加工，所加工产品由</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公司贴牌销售，产品涉及的知识产权风险由</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公司承担。后</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公司在市场发现，</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公司上述产品侵犯了其专利权，遂以</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公司侵犯其专利权为由向当地知识产权局请求调处。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不论是否直接参与产品制造，在产品上标识自己为制造者的主体，通常被认定为法律规定的“制造者”或者“生产者”。</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公司应对其产品承担相应的法律责任，其委托加工的行为应当认定为《专利法》第十一条规定的“制造”行为。同时，</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公司是产品制造行为的实际参与者，依法也应当承担侵权责任。并且，名义制造人的行为和实际制造人的行为密切联系，缺一不可，共同导致了侵权后果的发生，故一般应认定两者都构成侵权，承担连带责任。</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公司不能以其未直接制造专利产品为由不承担赔偿责任，</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公司也不得以其相应的加工承揽合同中有免责条款为由抗辩</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公司的主张。当然，</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公司可以在对</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公司承担赔偿责任后依合同免责条款向</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公司追偿。</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（三）在已有产品上添加图案和</w:t>
      </w:r>
      <w:r>
        <w:rPr>
          <w:rFonts w:ascii="Times New Roman" w:hAnsi="Times New Roman" w:hint="eastAsia"/>
          <w:bCs/>
          <w:color w:val="000000"/>
        </w:rPr>
        <w:t>/</w:t>
      </w:r>
      <w:r>
        <w:rPr>
          <w:rFonts w:ascii="Times New Roman" w:hAnsi="Times New Roman" w:hint="eastAsia"/>
          <w:bCs/>
          <w:color w:val="000000"/>
        </w:rPr>
        <w:t>或色彩获得专利产品的行为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是指对产品的形状、图案或者其结合以及色彩与形状、图案的结合所作出的富有美感并适于工业应用的新设计。组成外观设计的要素是形状、图案和色彩。外观设计专利保护的对象有：单纯形状的设计，单纯图案的设计，形状和图案结合的设计，形状与色彩结合的设计，图案与色彩结合</w:t>
      </w:r>
      <w:r>
        <w:rPr>
          <w:rFonts w:ascii="Times New Roman" w:eastAsia="宋体" w:hAnsi="Times New Roman" w:hint="eastAsia"/>
          <w:spacing w:val="-2"/>
          <w:sz w:val="21"/>
          <w:szCs w:val="21"/>
        </w:rPr>
        <w:t>的设计，形状、图案和色彩结合的设计。被控侵权人从他人处获得已有产品，并在产品上添加图案和</w:t>
      </w:r>
      <w:r>
        <w:rPr>
          <w:rFonts w:ascii="Times New Roman" w:eastAsia="宋体" w:hAnsi="Times New Roman" w:hint="eastAsia"/>
          <w:spacing w:val="-2"/>
          <w:sz w:val="21"/>
          <w:szCs w:val="21"/>
        </w:rPr>
        <w:t>/</w:t>
      </w:r>
      <w:r>
        <w:rPr>
          <w:rFonts w:ascii="Times New Roman" w:eastAsia="宋体" w:hAnsi="Times New Roman" w:hint="eastAsia"/>
          <w:sz w:val="21"/>
          <w:szCs w:val="21"/>
        </w:rPr>
        <w:t>或色彩，如果最终的产品落入外观设计专利保护的范围，则该添加图案和</w:t>
      </w:r>
      <w:r>
        <w:rPr>
          <w:rFonts w:ascii="Times New Roman" w:eastAsia="宋体" w:hAnsi="Times New Roman" w:hint="eastAsia"/>
          <w:sz w:val="21"/>
          <w:szCs w:val="21"/>
        </w:rPr>
        <w:t>/</w:t>
      </w:r>
      <w:r>
        <w:rPr>
          <w:rFonts w:ascii="Times New Roman" w:eastAsia="宋体" w:hAnsi="Times New Roman" w:hint="eastAsia"/>
          <w:sz w:val="21"/>
          <w:szCs w:val="21"/>
        </w:rPr>
        <w:t>或色彩的行为属于制造专利产品的行为。</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w:t>
      </w:r>
      <w:r>
        <w:rPr>
          <w:rFonts w:hint="eastAsia"/>
          <w:color w:val="000000"/>
        </w:rPr>
        <w:t>案例</w:t>
      </w:r>
      <w:r>
        <w:rPr>
          <w:rFonts w:ascii="Times New Roman" w:hAnsi="Times New Roman"/>
          <w:color w:val="000000"/>
        </w:rPr>
        <w:t>3</w:t>
      </w: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w:t>
      </w:r>
      <w:r>
        <w:rPr>
          <w:rFonts w:ascii="Times New Roman" w:hAnsi="Times New Roman"/>
          <w:color w:val="000000"/>
        </w:rPr>
        <w:t>2</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甲拥有名称为“出租汽车”的外观设计专利，该专利系在某特定外形轮廓的小汽车上设有黄黑相间的图案。乙从汽车厂商处购买了相同型号的小汽车，对其进行重新喷漆并投入生产经营中，最终获得的汽车外观落入了甲外观设计专利的保护范围。甲主张乙侵犯了其外观设计专利权。</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在这一侵权纠纷中，虽然乙并未制造汽车本体，但汽车本体只是外观设计专利的载体，其在车身上喷涂相应的图案并获得最终外观设计专利产品的行为，应认定乙实施了制造专利产品的行为。</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（四）制造产品仅供出口的行为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未经专利权人许可擅自制造侵权产品并全部出口到国外的行为，虽然因产品全部销往国外，并不会损害专利权人在本国市场销售其专利产品，但其仍然构成制造专利产品的行为，属于侵权行为。</w:t>
      </w:r>
    </w:p>
    <w:p w:rsidR="00800760" w:rsidRDefault="00235733">
      <w:pPr>
        <w:pStyle w:val="3"/>
        <w:topLinePunct/>
        <w:spacing w:before="240"/>
        <w:ind w:firstLine="444"/>
        <w:rPr>
          <w:rFonts w:ascii="Times New Roman" w:hAnsi="Times New Roman"/>
          <w:bCs/>
          <w:color w:val="000000"/>
        </w:rPr>
      </w:pPr>
      <w:bookmarkStart w:id="1150" w:name="_Toc1345"/>
      <w:bookmarkStart w:id="1151" w:name="_Toc18218"/>
      <w:bookmarkStart w:id="1152" w:name="_Toc19362"/>
      <w:bookmarkStart w:id="1153" w:name="_Toc3000"/>
      <w:bookmarkStart w:id="1154" w:name="_Toc8349"/>
      <w:bookmarkStart w:id="1155" w:name="_Toc6087"/>
      <w:bookmarkStart w:id="1156" w:name="_Toc30398"/>
      <w:bookmarkStart w:id="1157" w:name="_Toc17803"/>
      <w:bookmarkStart w:id="1158" w:name="_Toc23855"/>
      <w:bookmarkStart w:id="1159" w:name="_Toc5037"/>
      <w:bookmarkStart w:id="1160" w:name="_Toc8429"/>
      <w:bookmarkStart w:id="1161" w:name="_Toc9069"/>
      <w:bookmarkStart w:id="1162" w:name="_Toc23109"/>
      <w:bookmarkStart w:id="1163" w:name="_Toc28238"/>
      <w:bookmarkStart w:id="1164" w:name="_Toc24090"/>
      <w:bookmarkStart w:id="1165" w:name="_Toc25720"/>
      <w:bookmarkStart w:id="1166" w:name="_Toc21699"/>
      <w:bookmarkStart w:id="1167" w:name="_Toc28225"/>
      <w:bookmarkStart w:id="1168" w:name="_Toc28580"/>
      <w:bookmarkStart w:id="1169" w:name="_Toc5502"/>
      <w:bookmarkStart w:id="1170" w:name="_Toc4318"/>
      <w:bookmarkStart w:id="1171" w:name="_Toc15196"/>
      <w:bookmarkStart w:id="1172" w:name="_Toc20330"/>
      <w:bookmarkStart w:id="1173" w:name="_Toc15080"/>
      <w:bookmarkStart w:id="1174" w:name="_Toc18688"/>
      <w:bookmarkStart w:id="1175" w:name="_Toc26548"/>
      <w:bookmarkStart w:id="1176" w:name="_Toc9647"/>
      <w:bookmarkStart w:id="1177" w:name="_Toc16032"/>
      <w:bookmarkStart w:id="1178" w:name="_Toc217908612"/>
      <w:bookmarkStart w:id="1179" w:name="_Toc20510"/>
      <w:bookmarkStart w:id="1180" w:name="_Toc16777"/>
      <w:bookmarkStart w:id="1181" w:name="_Toc11312"/>
      <w:bookmarkStart w:id="1182" w:name="_Toc229114356"/>
      <w:bookmarkStart w:id="1183" w:name="_Toc6856"/>
      <w:bookmarkStart w:id="1184" w:name="_Toc28801"/>
      <w:bookmarkStart w:id="1185" w:name="_Toc7788"/>
      <w:bookmarkStart w:id="1186" w:name="_Toc334"/>
      <w:bookmarkStart w:id="1187" w:name="_Toc6188"/>
      <w:bookmarkStart w:id="1188" w:name="_Toc24186"/>
      <w:bookmarkStart w:id="1189" w:name="_Toc6404"/>
      <w:bookmarkStart w:id="1190" w:name="_Toc13084"/>
      <w:bookmarkStart w:id="1191" w:name="_Toc2961"/>
      <w:bookmarkStart w:id="1192" w:name="_Toc1920"/>
      <w:bookmarkStart w:id="1193" w:name="_Toc25472"/>
      <w:bookmarkStart w:id="1194" w:name="_Toc229225452"/>
      <w:r>
        <w:rPr>
          <w:rFonts w:ascii="Times New Roman" w:hAnsi="Times New Roman" w:hint="eastAsia"/>
          <w:bCs/>
          <w:color w:val="000000"/>
        </w:rPr>
        <w:t>二、使用</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使用，对于发明或者实用新型产品专利而言，是指权利要求所记载的产品技术方案的技术功能得到了应用，该应用不局限于专利说明书中指明的产品用途，除非权利要求中已明确记载该用途；对于方法发明专利而言，是指权利要求记载的专利方法技术方案的每一个步骤均被实现，使用该方法的结果不影响对是否构成侵犯专利权行为的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单纯使用侵犯外观设计专利权的产品的行为不属于侵犯专利权的行为。</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（一）将专利产品组装成另一产品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将侵犯发明或者实用新型专利权的产品作为零部件或中间产品制造另一产品的，一般应当认定属于对侵权产品的使用。</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w:t>
      </w:r>
      <w:r>
        <w:rPr>
          <w:rFonts w:hint="eastAsia"/>
          <w:color w:val="000000"/>
        </w:rPr>
        <w:t>案例</w:t>
      </w:r>
      <w:r>
        <w:rPr>
          <w:rFonts w:ascii="Times New Roman" w:hAnsi="Times New Roman"/>
          <w:color w:val="000000"/>
        </w:rPr>
        <w:t>3-1-3</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pacing w:val="-2"/>
          <w:sz w:val="21"/>
          <w:szCs w:val="21"/>
        </w:rPr>
      </w:pPr>
      <w:r>
        <w:rPr>
          <w:rFonts w:ascii="Times New Roman" w:eastAsia="楷体_GB2312" w:hAnsi="Times New Roman" w:hint="eastAsia"/>
          <w:sz w:val="21"/>
          <w:szCs w:val="21"/>
        </w:rPr>
        <w:t>在某锁具发明专利侵权纠纷中，专利权人</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称，其拥有一项名称为“锁”的实用新型专利，市场上销售的一款防盗门中安装的锁具侵犯了该专利权，因此其认为该防盗门的制造者兼销售者</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公司制造并销售了该锁具，应当承担侵权责任。</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公司辩称，锁具是从</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公司购买的，</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公司并未制造该锁</w:t>
      </w:r>
      <w:r>
        <w:rPr>
          <w:rFonts w:ascii="Times New Roman" w:eastAsia="楷体_GB2312" w:hAnsi="Times New Roman" w:hint="eastAsia"/>
          <w:spacing w:val="-2"/>
          <w:sz w:val="21"/>
          <w:szCs w:val="21"/>
        </w:rPr>
        <w:t>具，也未销售锁具，其销售的是防盗门，不应承担侵权责任。</w:t>
      </w:r>
      <w:r>
        <w:rPr>
          <w:rFonts w:ascii="Times New Roman" w:eastAsia="楷体_GB2312" w:hAnsi="Times New Roman" w:cs="Times New Roman" w:hint="eastAsia"/>
          <w:spacing w:val="-2"/>
          <w:sz w:val="21"/>
          <w:szCs w:val="21"/>
        </w:rPr>
        <w:t>B</w:t>
      </w:r>
      <w:r>
        <w:rPr>
          <w:rFonts w:ascii="Times New Roman" w:eastAsia="楷体_GB2312" w:hAnsi="Times New Roman" w:hint="eastAsia"/>
          <w:spacing w:val="-2"/>
          <w:sz w:val="21"/>
          <w:szCs w:val="21"/>
        </w:rPr>
        <w:t>公司提供了从</w:t>
      </w:r>
      <w:r>
        <w:rPr>
          <w:rFonts w:ascii="Times New Roman" w:eastAsia="楷体_GB2312" w:hAnsi="Times New Roman" w:cs="Times New Roman" w:hint="eastAsia"/>
          <w:spacing w:val="-2"/>
          <w:sz w:val="21"/>
          <w:szCs w:val="21"/>
        </w:rPr>
        <w:t>C</w:t>
      </w:r>
      <w:r>
        <w:rPr>
          <w:rFonts w:ascii="Times New Roman" w:eastAsia="楷体_GB2312" w:hAnsi="Times New Roman" w:hint="eastAsia"/>
          <w:spacing w:val="-2"/>
          <w:sz w:val="21"/>
          <w:szCs w:val="21"/>
        </w:rPr>
        <w:t>公司购进该锁具的证明。</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公司提供的证据能够证明该锁具是成品购进的，证明其未参与制造行为。</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公司实施了锁具的安装、连接等装配行为以保证防盗门防盗功能实现，该行为实际上是一种通过对侵权产品的整体使用，达到其制造防盗门的目的，而非“制造”侵权产品的行为。</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公司未经专利权人</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许可，为生产经营目的，购买了侵犯专利权的锁具产品以制造防盗门的行为，构成使用侵权产品的行为。</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（二）拥有、储存或保存侵权产品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拥有、储存或保存侵犯专利权产品的行为，通常不构成使用侵权产品的行为。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判断拥有、储存或保存侵权产品是否构成使用行为，需要考虑产品的性质以及储存或保存的目的等因素。例如，如果行为人购买了侵权产品，但仅存放于库房中，尚未进行下一步的销售行为，其本身也不具备使用该产品的条件，则储存行为不应被认定为使用侵权产品的行为。但是，对于某些属于备用性质的产品，例如急救装置、救火设备等，只要将其按照使用要求在建筑物内予以配置，就构成使用行为，不能认为只有在救火或急救中的使用才构成专利法意义上的使用。同样，如果储存或保存某种产品的目的是随时投入使用，则只要备用状态存在，也构成使用侵犯专利权产品的行为。</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（三）使用专利方法</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技术方案可以分为产品技术方案和方法技术方案，方法技术方案又可以分为产品制造方法和操作使用方法。产品制造方法是制造某种产品的方法，一般是通过设定一定条件、使用特定的装置设备并按照特定的工艺步骤使某种物品如原材料、中间产品在结构、形状或物理化学特性上发生变化并形成新的产品的方法。操作使用方法是对特定装置设备、特定产品的操作使用，如测量、计算、制冷、通信方法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使用专利方法，是指权利要求记载的专利方法技术方案的每一个步骤均被实现。使用专利方法的结果不影响对是否构成侵犯专利权的认定。对于产品制造方法专利，使用专利方法就是按照专利方法生产出相应产品的行为，通常表现为制造相关产品的过程，在结果上表现为制造出相应的产品；对于操作使用方法专利，使用专利方法就是生产经营过程中按照专利方法的步骤、条件逐一再现专利方法的全过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使用专利方法是专利方法的完整再现，如果专利方法有特定步骤顺序，则使用专利方法还应遵循该顺序。一般而言，省略专利方法的步骤或者未按专利方法的顺序完整地再现专利方法，均不构成使用专利方法的侵权行为。</w:t>
      </w:r>
    </w:p>
    <w:p w:rsidR="00800760" w:rsidRDefault="00235733">
      <w:pPr>
        <w:pStyle w:val="3"/>
        <w:topLinePunct/>
        <w:spacing w:before="240"/>
        <w:ind w:firstLine="444"/>
        <w:rPr>
          <w:rFonts w:ascii="Times New Roman" w:hAnsi="Times New Roman"/>
          <w:bCs/>
          <w:color w:val="000000"/>
        </w:rPr>
      </w:pPr>
      <w:bookmarkStart w:id="1195" w:name="_Toc17570"/>
      <w:bookmarkStart w:id="1196" w:name="_Toc19311"/>
      <w:bookmarkStart w:id="1197" w:name="_Toc1307"/>
      <w:bookmarkStart w:id="1198" w:name="_Toc1174"/>
      <w:bookmarkStart w:id="1199" w:name="_Toc23620"/>
      <w:bookmarkStart w:id="1200" w:name="_Toc26513"/>
      <w:bookmarkStart w:id="1201" w:name="_Toc1468"/>
      <w:bookmarkStart w:id="1202" w:name="_Toc32474"/>
      <w:bookmarkStart w:id="1203" w:name="_Toc3117"/>
      <w:bookmarkStart w:id="1204" w:name="_Toc7345"/>
      <w:bookmarkStart w:id="1205" w:name="_Toc19635"/>
      <w:bookmarkStart w:id="1206" w:name="_Toc7121"/>
      <w:bookmarkStart w:id="1207" w:name="_Toc21859"/>
      <w:bookmarkStart w:id="1208" w:name="_Toc531"/>
      <w:bookmarkStart w:id="1209" w:name="_Toc12497"/>
      <w:bookmarkStart w:id="1210" w:name="_Toc31067"/>
      <w:bookmarkStart w:id="1211" w:name="_Toc15402"/>
      <w:bookmarkStart w:id="1212" w:name="_Toc25363"/>
      <w:bookmarkStart w:id="1213" w:name="_Toc4329"/>
      <w:bookmarkStart w:id="1214" w:name="_Toc1562"/>
      <w:bookmarkStart w:id="1215" w:name="_Toc24655"/>
      <w:bookmarkStart w:id="1216" w:name="_Toc20914"/>
      <w:bookmarkStart w:id="1217" w:name="_Toc18382"/>
      <w:bookmarkStart w:id="1218" w:name="_Toc27969"/>
      <w:bookmarkStart w:id="1219" w:name="_Toc5413"/>
      <w:bookmarkStart w:id="1220" w:name="_Toc7287"/>
      <w:bookmarkStart w:id="1221" w:name="_Toc7997"/>
      <w:bookmarkStart w:id="1222" w:name="_Toc17565"/>
      <w:bookmarkStart w:id="1223" w:name="_Toc30476"/>
      <w:bookmarkStart w:id="1224" w:name="_Toc20860"/>
      <w:bookmarkStart w:id="1225" w:name="_Toc17609"/>
      <w:bookmarkStart w:id="1226" w:name="_Toc13816"/>
      <w:bookmarkStart w:id="1227" w:name="_Toc19103"/>
      <w:bookmarkStart w:id="1228" w:name="_Toc14769"/>
      <w:bookmarkStart w:id="1229" w:name="_Toc25597"/>
      <w:bookmarkStart w:id="1230" w:name="_Toc16417"/>
      <w:bookmarkStart w:id="1231" w:name="_Toc4657"/>
      <w:bookmarkStart w:id="1232" w:name="_Toc23906"/>
      <w:bookmarkStart w:id="1233" w:name="_Toc6458"/>
      <w:bookmarkStart w:id="1234" w:name="_Toc4154"/>
      <w:bookmarkStart w:id="1235" w:name="_Toc5907"/>
      <w:bookmarkStart w:id="1236" w:name="_Toc217908613"/>
      <w:bookmarkStart w:id="1237" w:name="_Toc4699"/>
      <w:bookmarkStart w:id="1238" w:name="_Toc229114357"/>
      <w:bookmarkStart w:id="1239" w:name="_Toc229225453"/>
      <w:r>
        <w:rPr>
          <w:rFonts w:ascii="Times New Roman" w:hAnsi="Times New Roman" w:hint="eastAsia"/>
          <w:bCs/>
          <w:color w:val="000000"/>
        </w:rPr>
        <w:t>三、销售</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销售侵权产品，是指将落入专利权利要求保护范围的侵权产品的所有权、依照专利方法直接获得的侵权产品的所有权或者含有外观设计专利的侵权产品的所有权从卖方有偿转移到买方。搭售或以其他方式转让上述产品所有权，变相获取商业利益的，也属于销售该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销售行为的完成，应以合同依法成立为判断标准，不要求合同实际履行完毕。如果合同成立后出卖人未交付产品，不影响销售行为已成立的定性。</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w:t>
      </w:r>
      <w:r>
        <w:rPr>
          <w:rFonts w:hint="eastAsia"/>
          <w:color w:val="000000"/>
        </w:rPr>
        <w:t>案例</w:t>
      </w:r>
      <w:r>
        <w:rPr>
          <w:rFonts w:ascii="Times New Roman" w:hAnsi="Times New Roman"/>
          <w:color w:val="000000"/>
        </w:rPr>
        <w:t>3</w:t>
      </w: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w:t>
      </w:r>
      <w:r>
        <w:rPr>
          <w:rFonts w:ascii="Times New Roman" w:hAnsi="Times New Roman"/>
          <w:color w:val="000000"/>
        </w:rPr>
        <w:t>4</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公司称，其向国家知识产权局提出的名称为“多功能木工凿”的外观设计获得专利权，</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公司未经其许可，擅自生产、销售与其外观设计专利完全相同的木工凿，侵犯了其专利权，请求判令</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公司立即停止侵权行为。经查，</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公司委托的代理人曾与</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公司联系要求提供木工凿产品，以决定是否购买。</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公司工作人员遂向</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公司的代理人寄送木工凿一只。经查，该“木工凿”与</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公司的外观设计专利“多功能木工凿”是相同的产品。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本案争议的主要问题是</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公司寄送产品行为的性质如何认定。销售是将产品从卖方转移到买方、买方支付相应的对价给卖方的行为。也就是买方和卖方之间依约定形成的一方交付物品、另一方支付价款的合同关系。本案中，</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公司与</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并未订立书面的买卖合同，也未在口头上达成一致，因此，判断是否构成侵权主要考查双方是否形成事实合同关系。一般而言，要形成事实合同关系，出卖人与买受人应存在对价关系，即买方取得标的物的所有权是以给付价款为代价的，买卖合同的任何一方从对方取得物质利益，都须向对方付出相应的物质利益。本案中，</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公司寄送产品给</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公司的委托代理人，</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公司的委托代理人实际占有了被控侵权产品，但</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公司并未支付相应产品的价款，其取得被控侵权产品的行为属无偿取得，因此双方也未形成事实合同关系，即</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公司尚未构成销售，但不排除属于许诺销售。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现实经济活动中，还有一种凭样品买卖的情况，即按货物样品确定买卖标的物，出卖人交付的货物应当与买受人保留的样品具有相同的品质。订货交易多采用凭样品买卖的方式。凭样品买卖的特殊性主要表现在以货物样品来确定标的物。出卖人寄送样品的行为，如附有价款、交付期限等内容，一般可视为合同法上的要约，需买受人正式发出承诺后，方可视为买卖合同成立。本案中，</w:t>
      </w:r>
      <w:r>
        <w:rPr>
          <w:rFonts w:ascii="Times New Roman" w:eastAsia="楷体_GB2312" w:hAnsi="Times New Roman" w:hint="eastAsia"/>
          <w:sz w:val="21"/>
          <w:szCs w:val="21"/>
        </w:rPr>
        <w:t>A</w:t>
      </w:r>
      <w:r>
        <w:rPr>
          <w:rFonts w:ascii="Times New Roman" w:eastAsia="楷体_GB2312" w:hAnsi="Times New Roman" w:hint="eastAsia"/>
          <w:sz w:val="21"/>
          <w:szCs w:val="21"/>
        </w:rPr>
        <w:t>公司的委托代理人以准备订购其产品为名，要求</w:t>
      </w:r>
      <w:r>
        <w:rPr>
          <w:rFonts w:ascii="Times New Roman" w:eastAsia="楷体_GB2312" w:hAnsi="Times New Roman" w:hint="eastAsia"/>
          <w:sz w:val="21"/>
          <w:szCs w:val="21"/>
        </w:rPr>
        <w:t>B</w:t>
      </w:r>
      <w:r>
        <w:rPr>
          <w:rFonts w:ascii="Times New Roman" w:eastAsia="楷体_GB2312" w:hAnsi="Times New Roman" w:hint="eastAsia"/>
          <w:sz w:val="21"/>
          <w:szCs w:val="21"/>
        </w:rPr>
        <w:t>公司寄送样品，从而获得</w:t>
      </w:r>
      <w:r>
        <w:rPr>
          <w:rFonts w:ascii="Times New Roman" w:eastAsia="楷体_GB2312" w:hAnsi="Times New Roman" w:hint="eastAsia"/>
          <w:sz w:val="21"/>
          <w:szCs w:val="21"/>
        </w:rPr>
        <w:t>B</w:t>
      </w:r>
      <w:r>
        <w:rPr>
          <w:rFonts w:ascii="Times New Roman" w:eastAsia="楷体_GB2312" w:hAnsi="Times New Roman" w:hint="eastAsia"/>
          <w:sz w:val="21"/>
          <w:szCs w:val="21"/>
        </w:rPr>
        <w:t>公司的产品。这一过程看似看样订货，符合凭样品买卖的特征，但</w:t>
      </w:r>
      <w:r>
        <w:rPr>
          <w:rFonts w:ascii="Times New Roman" w:eastAsia="楷体_GB2312" w:hAnsi="Times New Roman" w:hint="eastAsia"/>
          <w:sz w:val="21"/>
          <w:szCs w:val="21"/>
        </w:rPr>
        <w:t>A</w:t>
      </w:r>
      <w:r>
        <w:rPr>
          <w:rFonts w:ascii="Times New Roman" w:eastAsia="楷体_GB2312" w:hAnsi="Times New Roman" w:hint="eastAsia"/>
          <w:sz w:val="21"/>
          <w:szCs w:val="21"/>
        </w:rPr>
        <w:t>公司在收到样品后，并未与</w:t>
      </w:r>
      <w:r>
        <w:rPr>
          <w:rFonts w:ascii="Times New Roman" w:eastAsia="楷体_GB2312" w:hAnsi="Times New Roman" w:hint="eastAsia"/>
          <w:sz w:val="21"/>
          <w:szCs w:val="21"/>
        </w:rPr>
        <w:t>B</w:t>
      </w:r>
      <w:r>
        <w:rPr>
          <w:rFonts w:ascii="Times New Roman" w:eastAsia="楷体_GB2312" w:hAnsi="Times New Roman" w:hint="eastAsia"/>
          <w:sz w:val="21"/>
          <w:szCs w:val="21"/>
        </w:rPr>
        <w:t>公司进行进一步磋商，正式订立买卖合同。因此，本案也不构成凭样品买卖。</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根据相关法律、法规规定，一般产品或包装上应标注生产企业名称、地址、商标等识别性标记，如果标注这类识别性标记，即可认定是标注者生产制造。而本案中，</w:t>
      </w:r>
      <w:r>
        <w:rPr>
          <w:rFonts w:ascii="Times New Roman" w:eastAsia="楷体_GB2312" w:hAnsi="Times New Roman" w:hint="eastAsia"/>
          <w:sz w:val="21"/>
          <w:szCs w:val="21"/>
        </w:rPr>
        <w:t>B</w:t>
      </w:r>
      <w:r>
        <w:rPr>
          <w:rFonts w:ascii="Times New Roman" w:eastAsia="楷体_GB2312" w:hAnsi="Times New Roman" w:hint="eastAsia"/>
          <w:sz w:val="21"/>
          <w:szCs w:val="21"/>
        </w:rPr>
        <w:t>公司提供的产品样品并未注明生产者等识别性标记，且</w:t>
      </w:r>
      <w:r>
        <w:rPr>
          <w:rFonts w:ascii="Times New Roman" w:eastAsia="楷体_GB2312" w:hAnsi="Times New Roman" w:hint="eastAsia"/>
          <w:sz w:val="21"/>
          <w:szCs w:val="21"/>
        </w:rPr>
        <w:t>B</w:t>
      </w:r>
      <w:r>
        <w:rPr>
          <w:rFonts w:ascii="Times New Roman" w:eastAsia="楷体_GB2312" w:hAnsi="Times New Roman" w:hint="eastAsia"/>
          <w:sz w:val="21"/>
          <w:szCs w:val="21"/>
        </w:rPr>
        <w:t>公司又否认制造行为，所以，</w:t>
      </w:r>
      <w:r>
        <w:rPr>
          <w:rFonts w:ascii="Times New Roman" w:eastAsia="楷体_GB2312" w:hAnsi="Times New Roman" w:hint="eastAsia"/>
          <w:sz w:val="21"/>
          <w:szCs w:val="21"/>
        </w:rPr>
        <w:t>A</w:t>
      </w:r>
      <w:r>
        <w:rPr>
          <w:rFonts w:ascii="Times New Roman" w:eastAsia="楷体_GB2312" w:hAnsi="Times New Roman" w:hint="eastAsia"/>
          <w:sz w:val="21"/>
          <w:szCs w:val="21"/>
        </w:rPr>
        <w:t>公司认为</w:t>
      </w:r>
      <w:r>
        <w:rPr>
          <w:rFonts w:ascii="Times New Roman" w:eastAsia="楷体_GB2312" w:hAnsi="Times New Roman" w:hint="eastAsia"/>
          <w:sz w:val="21"/>
          <w:szCs w:val="21"/>
        </w:rPr>
        <w:t>B</w:t>
      </w:r>
      <w:r>
        <w:rPr>
          <w:rFonts w:ascii="Times New Roman" w:eastAsia="楷体_GB2312" w:hAnsi="Times New Roman" w:hint="eastAsia"/>
          <w:sz w:val="21"/>
          <w:szCs w:val="21"/>
        </w:rPr>
        <w:t>公司制造被控侵权产品举证尚不充分。本案</w:t>
      </w:r>
      <w:r>
        <w:rPr>
          <w:rFonts w:ascii="Times New Roman" w:eastAsia="楷体_GB2312" w:hAnsi="Times New Roman" w:hint="eastAsia"/>
          <w:sz w:val="21"/>
          <w:szCs w:val="21"/>
        </w:rPr>
        <w:t>B</w:t>
      </w:r>
      <w:r>
        <w:rPr>
          <w:rFonts w:ascii="Times New Roman" w:eastAsia="楷体_GB2312" w:hAnsi="Times New Roman" w:hint="eastAsia"/>
          <w:sz w:val="21"/>
          <w:szCs w:val="21"/>
        </w:rPr>
        <w:t>公司寄送样品的行为应属于“为销售而提供”的许诺销售行为。</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（一）将侵权产品作为零部件制造另一产品并销售</w:t>
      </w:r>
    </w:p>
    <w:p w:rsidR="00800760" w:rsidRDefault="00235733">
      <w:pPr>
        <w:pStyle w:val="fulltext-wraptitle"/>
        <w:jc w:val="left"/>
        <w:textAlignment w:val="baseline"/>
        <w:rPr>
          <w:rFonts w:cs="MingLiU_HKSCS"/>
          <w:color w:val="000000"/>
          <w:sz w:val="21"/>
          <w:szCs w:val="21"/>
        </w:rPr>
      </w:pPr>
      <w:r>
        <w:rPr>
          <w:rFonts w:cs="MingLiU_HKSCS" w:hint="eastAsia"/>
          <w:color w:val="000000"/>
          <w:sz w:val="21"/>
          <w:szCs w:val="21"/>
        </w:rPr>
        <w:t>将侵犯发明或者实用新型专利权的产品作为零部件，制造另一产品的，应当认定属于《</w:t>
      </w:r>
      <w:hyperlink r:id="rId16" w:history="1">
        <w:r>
          <w:rPr>
            <w:rStyle w:val="af2"/>
            <w:rFonts w:cs="MingLiU_HKSCS" w:hint="eastAsia"/>
            <w:color w:val="000000"/>
            <w:sz w:val="21"/>
            <w:szCs w:val="21"/>
            <w:u w:val="none"/>
          </w:rPr>
          <w:t>专利法</w:t>
        </w:r>
      </w:hyperlink>
      <w:r>
        <w:rPr>
          <w:rStyle w:val="af2"/>
          <w:rFonts w:cs="MingLiU_HKSCS" w:hint="eastAsia"/>
          <w:color w:val="000000"/>
          <w:sz w:val="21"/>
          <w:szCs w:val="21"/>
          <w:u w:val="none"/>
        </w:rPr>
        <w:t>》</w:t>
      </w:r>
      <w:r>
        <w:rPr>
          <w:rFonts w:cs="MingLiU_HKSCS" w:hint="eastAsia"/>
          <w:color w:val="000000"/>
          <w:sz w:val="21"/>
          <w:szCs w:val="21"/>
        </w:rPr>
        <w:t>第</w:t>
      </w:r>
      <w:hyperlink r:id="rId17" w:anchor="tiao_11" w:history="1">
        <w:r>
          <w:rPr>
            <w:rStyle w:val="af2"/>
            <w:rFonts w:cs="MingLiU_HKSCS" w:hint="eastAsia"/>
            <w:color w:val="000000"/>
            <w:sz w:val="21"/>
            <w:szCs w:val="21"/>
            <w:u w:val="none"/>
          </w:rPr>
          <w:t>十一条</w:t>
        </w:r>
      </w:hyperlink>
      <w:r>
        <w:rPr>
          <w:rFonts w:cs="MingLiU_HKSCS" w:hint="eastAsia"/>
          <w:color w:val="000000"/>
          <w:sz w:val="21"/>
          <w:szCs w:val="21"/>
        </w:rPr>
        <w:t>规定的使用行为；销售该另一产品的，应当认定属于销售侵权产品的行为。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将侵犯外观设计专利权的产品作为零部件，制造另一产品并销售的，应当认定属于销售侵犯外观设计专利权的产品的行为，但侵犯外观设计专利权的产品在另一产品中仅具有技术功能的除外。仅具有技术功能，是指该零部件在最终产品的正常使用中不产生视觉效果，只具有技术功能。不产生视觉效果，既有可能是零部件位于最终产品的内部等不可视部位，也有可能是零部件部分被遮挡，无法从整体上体现出侵权产品与现有设计的区别。</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w:t>
      </w:r>
      <w:r>
        <w:rPr>
          <w:rFonts w:hint="eastAsia"/>
          <w:color w:val="000000"/>
        </w:rPr>
        <w:t>案例</w:t>
      </w:r>
      <w:r>
        <w:rPr>
          <w:rFonts w:ascii="Times New Roman" w:hAnsi="Times New Roman"/>
          <w:color w:val="000000"/>
        </w:rPr>
        <w:t>3</w:t>
      </w: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w:t>
      </w:r>
      <w:r>
        <w:rPr>
          <w:rFonts w:ascii="Times New Roman" w:hAnsi="Times New Roman"/>
          <w:color w:val="000000"/>
        </w:rPr>
        <w:t>5</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在某专利侵权纠纷中，请求人拥有一项“导气堤式侧向螺旋进气道的单缸直喷式柴油机缸头”的实用新型专利权。在某次产品订货会上，请求人发现</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公司展示的柴油机上装有侵犯该专利权的产品，并且，</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公司已经就该柴油机与</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公司签订销售合同。请求人因此要求</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公司承担侵权责任。</w:t>
      </w:r>
    </w:p>
    <w:p w:rsidR="00800760" w:rsidRDefault="00235733">
      <w:pPr>
        <w:pStyle w:val="12"/>
        <w:topLinePunct/>
        <w:spacing w:line="336" w:lineRule="auto"/>
        <w:ind w:firstLine="420"/>
        <w:rPr>
          <w:rFonts w:ascii="Times New Roman" w:eastAsia="华文隶书" w:hAnsi="Times New Roman"/>
          <w:szCs w:val="32"/>
        </w:rPr>
      </w:pPr>
      <w:r>
        <w:rPr>
          <w:rFonts w:ascii="Times New Roman" w:eastAsia="华文隶书" w:hAnsi="Times New Roman" w:hint="eastAsia"/>
          <w:sz w:val="21"/>
          <w:szCs w:val="21"/>
        </w:rPr>
        <w:t>分析与评述：</w:t>
      </w:r>
      <w:r>
        <w:rPr>
          <w:rFonts w:ascii="Times New Roman" w:eastAsia="华文隶书" w:hAnsi="Times New Roman" w:hint="eastAsia"/>
          <w:sz w:val="21"/>
          <w:szCs w:val="21"/>
        </w:rPr>
        <w:t xml:space="preserve">  </w:t>
      </w:r>
      <w:r>
        <w:rPr>
          <w:rFonts w:ascii="Times New Roman" w:eastAsia="华文隶书" w:hAnsi="Times New Roman" w:hint="eastAsia"/>
        </w:rPr>
        <w:t xml:space="preserve">                                                     </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销售侵权产品并不意味着必须将侵权产品直接作为销售的对象，只要销售的产品中包含侵权产品，就可能构成销售侵权产品的行为。本案中，</w:t>
      </w:r>
      <w:r>
        <w:rPr>
          <w:rFonts w:ascii="Times New Roman" w:eastAsia="楷体_GB2312" w:hAnsi="Times New Roman" w:hint="eastAsia"/>
          <w:sz w:val="21"/>
          <w:szCs w:val="21"/>
        </w:rPr>
        <w:t>A</w:t>
      </w:r>
      <w:r>
        <w:rPr>
          <w:rFonts w:ascii="Times New Roman" w:eastAsia="楷体_GB2312" w:hAnsi="Times New Roman" w:hint="eastAsia"/>
          <w:sz w:val="21"/>
          <w:szCs w:val="21"/>
        </w:rPr>
        <w:t>公司展示并销售的柴油机上装有侵犯实用新型专利权的缸头产品，构成对专利产品的许诺销售和销售行为。</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（二）搭售、搭送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搭售，是指销售商要求消费者在购买其商品或服务的同时购买另一种商品或服务。搭售行为构成侵犯专利权既包括搭售品构成侵权的情形，也包括被搭售品构成侵权的情形。无论搭售行为在形式上是否具有独立性，只要搭售品或者被搭售品构成侵犯专利权，则搭售行为应被认定为侵权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搭送，是指销售者在销售某种商品或提供服务时，基于广告宣传等目的赠送某种商品或服务。与搭售行为不同，搭送行为从形式上对消费者是免费的。但这并不意味着即便搭送的是侵权产品，销售商也不承担侵权责任。如果销售商搭送的产品或服务侵犯了他人专利权，即使销售的产品未侵权，搭送行为和主销售行为合并成为一种特殊的销售行为，也构成侵犯专利权的行为。</w:t>
      </w:r>
    </w:p>
    <w:p w:rsidR="00800760" w:rsidRDefault="00235733">
      <w:pPr>
        <w:pStyle w:val="3"/>
        <w:topLinePunct/>
        <w:spacing w:before="240"/>
        <w:ind w:firstLine="444"/>
        <w:rPr>
          <w:rFonts w:ascii="Times New Roman" w:hAnsi="Times New Roman"/>
          <w:bCs/>
          <w:color w:val="000000"/>
        </w:rPr>
      </w:pPr>
      <w:bookmarkStart w:id="1240" w:name="_Toc14526"/>
      <w:bookmarkStart w:id="1241" w:name="_Toc2460"/>
      <w:bookmarkStart w:id="1242" w:name="_Toc17728"/>
      <w:bookmarkStart w:id="1243" w:name="_Toc24887"/>
      <w:bookmarkStart w:id="1244" w:name="_Toc1783"/>
      <w:bookmarkStart w:id="1245" w:name="_Toc26098"/>
      <w:bookmarkStart w:id="1246" w:name="_Toc26063"/>
      <w:bookmarkStart w:id="1247" w:name="_Toc12168"/>
      <w:bookmarkStart w:id="1248" w:name="_Toc20277"/>
      <w:bookmarkStart w:id="1249" w:name="_Toc18236"/>
      <w:bookmarkStart w:id="1250" w:name="_Toc24196"/>
      <w:bookmarkStart w:id="1251" w:name="_Toc14449"/>
      <w:bookmarkStart w:id="1252" w:name="_Toc30453"/>
      <w:bookmarkStart w:id="1253" w:name="_Toc7478"/>
      <w:bookmarkStart w:id="1254" w:name="_Toc17425"/>
      <w:bookmarkStart w:id="1255" w:name="_Toc16612"/>
      <w:bookmarkStart w:id="1256" w:name="_Toc24848"/>
      <w:bookmarkStart w:id="1257" w:name="_Toc23942"/>
      <w:bookmarkStart w:id="1258" w:name="_Toc24616"/>
      <w:bookmarkStart w:id="1259" w:name="_Toc18936"/>
      <w:bookmarkStart w:id="1260" w:name="_Toc7132"/>
      <w:bookmarkStart w:id="1261" w:name="_Toc29795"/>
      <w:bookmarkStart w:id="1262" w:name="_Toc30919"/>
      <w:bookmarkStart w:id="1263" w:name="_Toc31561"/>
      <w:bookmarkStart w:id="1264" w:name="_Toc25453"/>
      <w:bookmarkStart w:id="1265" w:name="_Toc15228"/>
      <w:bookmarkStart w:id="1266" w:name="_Toc6788"/>
      <w:bookmarkStart w:id="1267" w:name="_Toc4909"/>
      <w:bookmarkStart w:id="1268" w:name="_Toc14535"/>
      <w:bookmarkStart w:id="1269" w:name="_Toc7224"/>
      <w:bookmarkStart w:id="1270" w:name="_Toc31475"/>
      <w:bookmarkStart w:id="1271" w:name="_Toc28795"/>
      <w:bookmarkStart w:id="1272" w:name="_Toc30029"/>
      <w:bookmarkStart w:id="1273" w:name="_Toc20773"/>
      <w:bookmarkStart w:id="1274" w:name="_Toc18653"/>
      <w:bookmarkStart w:id="1275" w:name="_Toc5908"/>
      <w:bookmarkStart w:id="1276" w:name="_Toc217908614"/>
      <w:bookmarkStart w:id="1277" w:name="_Toc30803"/>
      <w:bookmarkStart w:id="1278" w:name="_Toc10245"/>
      <w:bookmarkStart w:id="1279" w:name="_Toc25786"/>
      <w:bookmarkStart w:id="1280" w:name="_Toc26449"/>
      <w:bookmarkStart w:id="1281" w:name="_Toc229114358"/>
      <w:bookmarkStart w:id="1282" w:name="_Toc17467"/>
      <w:bookmarkStart w:id="1283" w:name="_Toc25963"/>
      <w:bookmarkStart w:id="1284" w:name="_Toc229225454"/>
      <w:r>
        <w:rPr>
          <w:rFonts w:ascii="Times New Roman" w:hAnsi="Times New Roman" w:hint="eastAsia"/>
          <w:bCs/>
          <w:color w:val="000000"/>
        </w:rPr>
        <w:t>四、许诺销售</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在销售侵犯他人专利权的产品的行为实际发生前，被控侵权人作出销售侵犯他人专利权产品的意思表示的，构成许诺销售。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以做广告、在商店橱窗中陈列、在网络或者在展销会上展出、寄送供试用的侵权产品等方式作出销售侵犯他人专利权产品的意思表示的，可以认定为许诺销售。许诺销售的方式还可以是口头、电话、传真等。</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许诺销售既包括合同法上的要约，也包括合同法上的要约邀请。许诺销售成立的关键，不在于订立合同的意向最先由谁提出，只要被控侵权人一方作出将会提供侵权产品的意思表示即可构成许诺销售。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许诺销售行为本身即构成独立的直接侵犯专利权的行为，并非实际销售行为之前的准备性工作，不能以其后是否发生实际销售行为来认定许诺销售行为是否成立。许诺销售侵权产品，其后实际销售的产品未落入专利权保护范围的，即便以销售方式侵犯专利权的行为不能成立，也不影响对以许诺销售方式侵犯专利权的行为成立的认定。</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w:t>
      </w:r>
      <w:r>
        <w:rPr>
          <w:rFonts w:hint="eastAsia"/>
          <w:color w:val="000000"/>
        </w:rPr>
        <w:t>案例</w:t>
      </w:r>
      <w:r>
        <w:rPr>
          <w:rFonts w:ascii="Times New Roman" w:hAnsi="Times New Roman"/>
          <w:color w:val="000000"/>
        </w:rPr>
        <w:t>3</w:t>
      </w: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w:t>
      </w:r>
      <w:r>
        <w:rPr>
          <w:rFonts w:ascii="Times New Roman" w:hAnsi="Times New Roman"/>
          <w:color w:val="000000"/>
        </w:rPr>
        <w:t>6</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在某发明专利侵权纠纷中，请求人于</w:t>
      </w:r>
      <w:r>
        <w:rPr>
          <w:rFonts w:ascii="Times New Roman" w:eastAsia="楷体_GB2312" w:hAnsi="Times New Roman" w:cs="Times New Roman" w:hint="eastAsia"/>
          <w:sz w:val="21"/>
          <w:szCs w:val="21"/>
        </w:rPr>
        <w:t>1996</w:t>
      </w:r>
      <w:r>
        <w:rPr>
          <w:rFonts w:ascii="Times New Roman" w:eastAsia="楷体_GB2312" w:hAnsi="Times New Roman" w:hint="eastAsia"/>
          <w:sz w:val="21"/>
          <w:szCs w:val="21"/>
        </w:rPr>
        <w:t>年</w:t>
      </w:r>
      <w:r>
        <w:rPr>
          <w:rFonts w:ascii="Times New Roman" w:eastAsia="楷体_GB2312" w:hAnsi="Times New Roman" w:cs="Times New Roman" w:hint="eastAsia"/>
          <w:sz w:val="21"/>
          <w:szCs w:val="21"/>
        </w:rPr>
        <w:t>2</w:t>
      </w:r>
      <w:r>
        <w:rPr>
          <w:rFonts w:ascii="Times New Roman" w:eastAsia="楷体_GB2312" w:hAnsi="Times New Roman" w:hint="eastAsia"/>
          <w:sz w:val="21"/>
          <w:szCs w:val="21"/>
        </w:rPr>
        <w:t>月</w:t>
      </w:r>
      <w:r>
        <w:rPr>
          <w:rFonts w:ascii="Times New Roman" w:eastAsia="楷体_GB2312" w:hAnsi="Times New Roman" w:cs="Times New Roman" w:hint="eastAsia"/>
          <w:sz w:val="21"/>
          <w:szCs w:val="21"/>
        </w:rPr>
        <w:t>18</w:t>
      </w:r>
      <w:r>
        <w:rPr>
          <w:rFonts w:ascii="Times New Roman" w:eastAsia="楷体_GB2312" w:hAnsi="Times New Roman" w:hint="eastAsia"/>
          <w:sz w:val="21"/>
          <w:szCs w:val="21"/>
        </w:rPr>
        <w:t>日申请发明专利“多层园林绿化建筑”，国家知识产权局于</w:t>
      </w:r>
      <w:r>
        <w:rPr>
          <w:rFonts w:ascii="Times New Roman" w:eastAsia="楷体_GB2312" w:hAnsi="Times New Roman" w:cs="Times New Roman" w:hint="eastAsia"/>
          <w:sz w:val="21"/>
          <w:szCs w:val="21"/>
        </w:rPr>
        <w:t>2001</w:t>
      </w:r>
      <w:r>
        <w:rPr>
          <w:rFonts w:ascii="Times New Roman" w:eastAsia="楷体_GB2312" w:hAnsi="Times New Roman" w:hint="eastAsia"/>
          <w:sz w:val="21"/>
          <w:szCs w:val="21"/>
        </w:rPr>
        <w:t>年</w:t>
      </w:r>
      <w:r>
        <w:rPr>
          <w:rFonts w:ascii="Times New Roman" w:eastAsia="楷体_GB2312" w:hAnsi="Times New Roman" w:cs="Times New Roman" w:hint="eastAsia"/>
          <w:sz w:val="21"/>
          <w:szCs w:val="21"/>
        </w:rPr>
        <w:t>5</w:t>
      </w:r>
      <w:r>
        <w:rPr>
          <w:rFonts w:ascii="Times New Roman" w:eastAsia="楷体_GB2312" w:hAnsi="Times New Roman" w:hint="eastAsia"/>
          <w:sz w:val="21"/>
          <w:szCs w:val="21"/>
        </w:rPr>
        <w:t>月</w:t>
      </w:r>
      <w:r>
        <w:rPr>
          <w:rFonts w:ascii="Times New Roman" w:eastAsia="楷体_GB2312" w:hAnsi="Times New Roman" w:cs="Times New Roman" w:hint="eastAsia"/>
          <w:sz w:val="21"/>
          <w:szCs w:val="21"/>
        </w:rPr>
        <w:t>23</w:t>
      </w:r>
      <w:r>
        <w:rPr>
          <w:rFonts w:ascii="Times New Roman" w:eastAsia="楷体_GB2312" w:hAnsi="Times New Roman" w:hint="eastAsia"/>
          <w:sz w:val="21"/>
          <w:szCs w:val="21"/>
        </w:rPr>
        <w:t>日授予专利权。被请求人于</w:t>
      </w:r>
      <w:r>
        <w:rPr>
          <w:rFonts w:ascii="Times New Roman" w:eastAsia="楷体_GB2312" w:hAnsi="Times New Roman" w:cs="Times New Roman" w:hint="eastAsia"/>
          <w:sz w:val="21"/>
          <w:szCs w:val="21"/>
        </w:rPr>
        <w:t>2001</w:t>
      </w:r>
      <w:r>
        <w:rPr>
          <w:rFonts w:ascii="Times New Roman" w:eastAsia="楷体_GB2312" w:hAnsi="Times New Roman" w:hint="eastAsia"/>
          <w:sz w:val="21"/>
          <w:szCs w:val="21"/>
        </w:rPr>
        <w:t>年至</w:t>
      </w:r>
      <w:r>
        <w:rPr>
          <w:rFonts w:ascii="Times New Roman" w:eastAsia="楷体_GB2312" w:hAnsi="Times New Roman" w:cs="Times New Roman" w:hint="eastAsia"/>
          <w:sz w:val="21"/>
          <w:szCs w:val="21"/>
        </w:rPr>
        <w:t>2003</w:t>
      </w:r>
      <w:r>
        <w:rPr>
          <w:rFonts w:ascii="Times New Roman" w:eastAsia="楷体_GB2312" w:hAnsi="Times New Roman" w:hint="eastAsia"/>
          <w:sz w:val="21"/>
          <w:szCs w:val="21"/>
        </w:rPr>
        <w:t>年在某市开发了某花园</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区和</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区的空中花园商品住宅。为了宣传促销，被请求人印发了该花园</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区和</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区的宣传广告画册，在广告画册中印有</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区、</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区空中花园样板房实景图，同时还多次在商报上整版或半版刊登有空中花园结构特征的广告。根据被请求人已建成并销售入住的</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区和在建</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区及宣传广告行为，请求人于</w:t>
      </w:r>
      <w:r>
        <w:rPr>
          <w:rFonts w:ascii="Times New Roman" w:eastAsia="楷体_GB2312" w:hAnsi="Times New Roman" w:cs="Times New Roman" w:hint="eastAsia"/>
          <w:sz w:val="21"/>
          <w:szCs w:val="21"/>
        </w:rPr>
        <w:t>2003</w:t>
      </w:r>
      <w:r>
        <w:rPr>
          <w:rFonts w:ascii="Times New Roman" w:eastAsia="楷体_GB2312" w:hAnsi="Times New Roman" w:hint="eastAsia"/>
          <w:sz w:val="21"/>
          <w:szCs w:val="21"/>
        </w:rPr>
        <w:t>年</w:t>
      </w:r>
      <w:r>
        <w:rPr>
          <w:rFonts w:ascii="Times New Roman" w:eastAsia="楷体_GB2312" w:hAnsi="Times New Roman" w:cs="Times New Roman" w:hint="eastAsia"/>
          <w:sz w:val="21"/>
          <w:szCs w:val="21"/>
        </w:rPr>
        <w:t>5</w:t>
      </w:r>
      <w:r>
        <w:rPr>
          <w:rFonts w:ascii="Times New Roman" w:eastAsia="楷体_GB2312" w:hAnsi="Times New Roman" w:hint="eastAsia"/>
          <w:sz w:val="21"/>
          <w:szCs w:val="21"/>
        </w:rPr>
        <w:t>月</w:t>
      </w:r>
      <w:r>
        <w:rPr>
          <w:rFonts w:ascii="Times New Roman" w:eastAsia="楷体_GB2312" w:hAnsi="Times New Roman" w:cs="Times New Roman" w:hint="eastAsia"/>
          <w:sz w:val="21"/>
          <w:szCs w:val="21"/>
        </w:rPr>
        <w:t>26</w:t>
      </w:r>
      <w:r>
        <w:rPr>
          <w:rFonts w:ascii="Times New Roman" w:eastAsia="楷体_GB2312" w:hAnsi="Times New Roman" w:hint="eastAsia"/>
          <w:sz w:val="21"/>
          <w:szCs w:val="21"/>
        </w:rPr>
        <w:t>日向某省知识产权局提出请求，要求责令被请求人停止许诺销售和销售侵权行为。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许诺销售是指以做广告、在商店橱窗中陈列或者在展销会上展出等方式作出的销售商品的意思表示。要确认许诺销售行为，首先，行为人应当有做广告、在商店橱窗中陈列或展销会展出等销售商品的意思表示；其次，广告、陈列或展出的商品落入专利权的保护范围，方构成专利法意义上的许诺销售行为。本案中，首先，被请求人印发的某花园</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区、</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区宣传广告画册和在报纸上发布的广告，修建的</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区样板房，以及标注的空中花园销售价格都表明被请求人销售商品的意思表示；其次，被请求人印发的某花园</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区、</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区宣传广告画册和在报纸上发布的广告，以及修建的</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区样板房所展示的技术特征完全覆盖“多层园林绿化建筑”专利的技术特征。因此，这种广告、展示的行为是许诺销售行为。</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通常情况下，许诺销售与实际销售的标的物是一致的，但由于技术创新、产品改进或其他原因，实践中也存在许诺销售与实际销售的标的物不一致的情况。根据《专利法》第十一条第一款规定，制造、使用、许诺销售、销售、进口这几种侵权行为是并列平行的关系，即当事人未经专利权人许可实施上述行为中的任何一种行为都是专利侵权行为。因此，判断许诺销售行为是否构成专利侵权，以表示在广告或展示中的标的物为准，而判断销售是否构成专利侵权，以实际销售的标的物为准。由于被请求人在报纸上发布的某花园</w:t>
      </w:r>
      <w:r>
        <w:rPr>
          <w:rFonts w:ascii="Times New Roman" w:eastAsia="楷体_GB2312" w:hAnsi="Times New Roman" w:hint="eastAsia"/>
          <w:sz w:val="21"/>
          <w:szCs w:val="21"/>
        </w:rPr>
        <w:t>C</w:t>
      </w:r>
      <w:r>
        <w:rPr>
          <w:rFonts w:ascii="Times New Roman" w:eastAsia="楷体_GB2312" w:hAnsi="Times New Roman" w:hint="eastAsia"/>
          <w:sz w:val="21"/>
          <w:szCs w:val="21"/>
        </w:rPr>
        <w:t>区、</w:t>
      </w:r>
      <w:r>
        <w:rPr>
          <w:rFonts w:ascii="Times New Roman" w:eastAsia="楷体_GB2312" w:hAnsi="Times New Roman" w:hint="eastAsia"/>
          <w:sz w:val="21"/>
          <w:szCs w:val="21"/>
        </w:rPr>
        <w:t>D</w:t>
      </w:r>
      <w:r>
        <w:rPr>
          <w:rFonts w:ascii="Times New Roman" w:eastAsia="楷体_GB2312" w:hAnsi="Times New Roman" w:hint="eastAsia"/>
          <w:sz w:val="21"/>
          <w:szCs w:val="21"/>
        </w:rPr>
        <w:t>区的广告和印制的广告画册，以及在</w:t>
      </w:r>
      <w:r>
        <w:rPr>
          <w:rFonts w:ascii="Times New Roman" w:eastAsia="楷体_GB2312" w:hAnsi="Times New Roman" w:hint="eastAsia"/>
          <w:sz w:val="21"/>
          <w:szCs w:val="21"/>
        </w:rPr>
        <w:t>D</w:t>
      </w:r>
      <w:r>
        <w:rPr>
          <w:rFonts w:ascii="Times New Roman" w:eastAsia="楷体_GB2312" w:hAnsi="Times New Roman" w:hint="eastAsia"/>
          <w:sz w:val="21"/>
          <w:szCs w:val="21"/>
        </w:rPr>
        <w:t>区展示的实景样板房都十分明确地体现了“多层园林绿化建筑”发明专利的技术特征，广告中既有户型，又有价格和支付方式，表明了销售的意思表示，因此，属于许诺销售侵权产品的行为。但由于被请求人向业主卖房时交付的是清水房，其空中花园缺少“生长植物的种植层”这一必要技术特征，因此，被请求人最终的实际销售行为不构成侵权。</w:t>
      </w:r>
    </w:p>
    <w:p w:rsidR="00800760" w:rsidRDefault="00235733">
      <w:pPr>
        <w:pStyle w:val="3"/>
        <w:topLinePunct/>
        <w:spacing w:before="240"/>
        <w:ind w:firstLine="444"/>
        <w:rPr>
          <w:rFonts w:ascii="Times New Roman" w:hAnsi="Times New Roman"/>
          <w:bCs/>
          <w:color w:val="000000"/>
        </w:rPr>
      </w:pPr>
      <w:bookmarkStart w:id="1285" w:name="_Toc2585"/>
      <w:bookmarkStart w:id="1286" w:name="_Toc10999"/>
      <w:bookmarkStart w:id="1287" w:name="_Toc32175"/>
      <w:bookmarkStart w:id="1288" w:name="_Toc9201"/>
      <w:bookmarkStart w:id="1289" w:name="_Toc20148"/>
      <w:bookmarkStart w:id="1290" w:name="_Toc26843"/>
      <w:bookmarkStart w:id="1291" w:name="_Toc21109"/>
      <w:bookmarkStart w:id="1292" w:name="_Toc24962"/>
      <w:bookmarkStart w:id="1293" w:name="_Toc22462"/>
      <w:bookmarkStart w:id="1294" w:name="_Toc26289"/>
      <w:bookmarkStart w:id="1295" w:name="_Toc8029"/>
      <w:bookmarkStart w:id="1296" w:name="_Toc615"/>
      <w:bookmarkStart w:id="1297" w:name="_Toc23156"/>
      <w:bookmarkStart w:id="1298" w:name="_Toc7784"/>
      <w:bookmarkStart w:id="1299" w:name="_Toc6280"/>
      <w:bookmarkStart w:id="1300" w:name="_Toc2984"/>
      <w:bookmarkStart w:id="1301" w:name="_Toc24723"/>
      <w:bookmarkStart w:id="1302" w:name="_Toc21034"/>
      <w:bookmarkStart w:id="1303" w:name="_Toc6056"/>
      <w:bookmarkStart w:id="1304" w:name="_Toc19130"/>
      <w:bookmarkStart w:id="1305" w:name="_Toc25635"/>
      <w:bookmarkStart w:id="1306" w:name="_Toc26831"/>
      <w:bookmarkStart w:id="1307" w:name="_Toc13732"/>
      <w:bookmarkStart w:id="1308" w:name="_Toc1350"/>
      <w:bookmarkStart w:id="1309" w:name="_Toc4507"/>
      <w:bookmarkStart w:id="1310" w:name="_Toc6553"/>
      <w:bookmarkStart w:id="1311" w:name="_Toc21998"/>
      <w:bookmarkStart w:id="1312" w:name="_Toc23819"/>
      <w:bookmarkStart w:id="1313" w:name="_Toc29652"/>
      <w:bookmarkStart w:id="1314" w:name="_Toc16462"/>
      <w:bookmarkStart w:id="1315" w:name="_Toc18480"/>
      <w:bookmarkStart w:id="1316" w:name="_Toc31866"/>
      <w:bookmarkStart w:id="1317" w:name="_Toc266"/>
      <w:bookmarkStart w:id="1318" w:name="_Toc23556"/>
      <w:bookmarkStart w:id="1319" w:name="_Toc19435"/>
      <w:bookmarkStart w:id="1320" w:name="_Toc229114359"/>
      <w:bookmarkStart w:id="1321" w:name="_Toc3880"/>
      <w:bookmarkStart w:id="1322" w:name="_Toc6005"/>
      <w:bookmarkStart w:id="1323" w:name="_Toc5308"/>
      <w:bookmarkStart w:id="1324" w:name="_Toc1306"/>
      <w:bookmarkStart w:id="1325" w:name="_Toc27323"/>
      <w:bookmarkStart w:id="1326" w:name="_Toc24600"/>
      <w:bookmarkStart w:id="1327" w:name="_Toc24631"/>
      <w:bookmarkStart w:id="1328" w:name="_Toc217908615"/>
      <w:bookmarkStart w:id="1329" w:name="_Toc229225455"/>
      <w:r>
        <w:rPr>
          <w:rFonts w:ascii="Times New Roman" w:hAnsi="Times New Roman" w:hint="eastAsia"/>
          <w:bCs/>
          <w:color w:val="000000"/>
        </w:rPr>
        <w:t>五、进口</w:t>
      </w:r>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进口侵权产品，是指将落入产品专利权利要求保护范围的侵权产品、依照专利方法直接获得的侵权产品或者含有外观设计专利的侵权产品在空间上从境外运进境内的行为。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无论被控侵权产品自哪一国家进口，这种产品在其制造国或者出口国是否享有专利保护，该产品是专利产品还是依照专利方法直接得到的产品，进口者的主观状态如何，只要该产品越过边境进入海关，都属于进口侵权产品的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进口行为的成立，不以产品交付给进口商为判断基准，只要产品进入海关即可判定进口行为成立。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专利权人或者其被许可人在我国境外售出其专利产品或者依照专利方法直接获得的产品后，购买者将该产品进口到我国境内以及随后在我国境内使用、许诺销售、销售该产品的，不构成侵犯专利权的行为。</w:t>
      </w:r>
    </w:p>
    <w:p w:rsidR="00800760" w:rsidRDefault="00235733">
      <w:pPr>
        <w:pStyle w:val="3"/>
        <w:topLinePunct/>
        <w:spacing w:before="240"/>
        <w:ind w:firstLine="444"/>
        <w:rPr>
          <w:rFonts w:ascii="Times New Roman" w:hAnsi="Times New Roman"/>
          <w:bCs/>
          <w:color w:val="000000"/>
        </w:rPr>
      </w:pPr>
      <w:bookmarkStart w:id="1330" w:name="_Toc29257"/>
      <w:bookmarkStart w:id="1331" w:name="_Toc17469"/>
      <w:bookmarkStart w:id="1332" w:name="_Toc15329"/>
      <w:bookmarkStart w:id="1333" w:name="_Toc24851"/>
      <w:bookmarkStart w:id="1334" w:name="_Toc17848"/>
      <w:bookmarkStart w:id="1335" w:name="_Toc10581"/>
      <w:bookmarkStart w:id="1336" w:name="_Toc15965"/>
      <w:bookmarkStart w:id="1337" w:name="_Toc6181"/>
      <w:bookmarkStart w:id="1338" w:name="_Toc1597"/>
      <w:bookmarkStart w:id="1339" w:name="_Toc2676"/>
      <w:bookmarkStart w:id="1340" w:name="_Toc30142"/>
      <w:bookmarkStart w:id="1341" w:name="_Toc3384"/>
      <w:bookmarkStart w:id="1342" w:name="_Toc28359"/>
      <w:bookmarkStart w:id="1343" w:name="_Toc6571"/>
      <w:bookmarkStart w:id="1344" w:name="_Toc499"/>
      <w:bookmarkStart w:id="1345" w:name="_Toc11684"/>
      <w:bookmarkStart w:id="1346" w:name="_Toc26924"/>
      <w:bookmarkStart w:id="1347" w:name="_Toc9671"/>
      <w:bookmarkStart w:id="1348" w:name="_Toc1721"/>
      <w:bookmarkStart w:id="1349" w:name="_Toc31262"/>
      <w:bookmarkStart w:id="1350" w:name="_Toc25479"/>
      <w:bookmarkStart w:id="1351" w:name="_Toc19943"/>
      <w:bookmarkStart w:id="1352" w:name="_Toc11526"/>
      <w:bookmarkStart w:id="1353" w:name="_Toc3451"/>
      <w:bookmarkStart w:id="1354" w:name="_Toc13931"/>
      <w:bookmarkStart w:id="1355" w:name="_Toc28992"/>
      <w:bookmarkStart w:id="1356" w:name="_Toc26637"/>
      <w:bookmarkStart w:id="1357" w:name="_Toc31695"/>
      <w:bookmarkStart w:id="1358" w:name="_Toc29116"/>
      <w:bookmarkStart w:id="1359" w:name="_Toc24488"/>
      <w:bookmarkStart w:id="1360" w:name="_Toc14151"/>
      <w:bookmarkStart w:id="1361" w:name="_Toc31838"/>
      <w:bookmarkStart w:id="1362" w:name="_Toc9643"/>
      <w:bookmarkStart w:id="1363" w:name="_Toc3515"/>
      <w:bookmarkStart w:id="1364" w:name="_Toc19572"/>
      <w:bookmarkStart w:id="1365" w:name="_Toc25163"/>
      <w:bookmarkStart w:id="1366" w:name="_Toc2411"/>
      <w:bookmarkStart w:id="1367" w:name="_Toc11672"/>
      <w:bookmarkStart w:id="1368" w:name="_Toc29265"/>
      <w:bookmarkStart w:id="1369" w:name="_Toc217908616"/>
      <w:bookmarkStart w:id="1370" w:name="_Toc229114360"/>
      <w:bookmarkStart w:id="1371" w:name="_Toc11931"/>
      <w:bookmarkStart w:id="1372" w:name="_Toc24827"/>
      <w:bookmarkStart w:id="1373" w:name="_Toc7168"/>
      <w:bookmarkStart w:id="1374" w:name="_Toc229225456"/>
      <w:r>
        <w:rPr>
          <w:rFonts w:ascii="Times New Roman" w:hAnsi="Times New Roman" w:hint="eastAsia"/>
          <w:bCs/>
          <w:color w:val="000000"/>
        </w:rPr>
        <w:t>六、产品制造方法专利的延伸保护</w:t>
      </w:r>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产品制造方法专利的延伸保护”，是指一项产品制造方法发明专利权被授予后，任何单位或者个人未经专利权人许可，除了不得为生产经营目的使用该专利方法外，也不得为生产经营目的使用、许诺销售、销售或者进口依照该专利方法直接获得的产品。</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（一）延伸保护仅涉及产品制造方法获得的专利法意义上的产品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方法专利包括制造方法、加工方法、作业方法、物质的用途等专利。只有产生专利法意义上的产品的方法才涉及延伸保护，不产生专利法意义上的产品的方法不涉及延伸保护。</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专利法意义上的产品，是指符合专利法定义的，具有一定结构、组成、性状、功能的产品，不仅包括常规的物品，还包括物质、机器、装置、系统等。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产生专利法意义上的产品的方法主要是制造方法和加工方法。产生专利法意义上的产品既可以是通过将原材料经一系列加工步骤处理后获得一种全新的产品，也可以是对原有物品的性能、结构进行改进后获得一种不同于原有物品的产品。</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w:t>
      </w:r>
      <w:r>
        <w:rPr>
          <w:rFonts w:hint="eastAsia"/>
          <w:color w:val="000000"/>
        </w:rPr>
        <w:t>案例</w:t>
      </w:r>
      <w:r>
        <w:rPr>
          <w:rFonts w:ascii="Times New Roman" w:hAnsi="Times New Roman"/>
          <w:color w:val="000000"/>
        </w:rPr>
        <w:t>3</w:t>
      </w: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w:t>
      </w:r>
      <w:r>
        <w:rPr>
          <w:rFonts w:ascii="Times New Roman" w:hAnsi="Times New Roman"/>
          <w:color w:val="000000"/>
        </w:rPr>
        <w:t>7</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发明专利涉及一种新的发电方法。在专利侵权纠纷中，专利权人除主张某发电厂未经许可使用其专利方法从而侵犯其专利权外，还同时认为使用了该发电厂输送的电能的单位用户也侵犯了其专利权，因为这些单位用户使用了依照专利方法直接获得的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产品制造方法能够延伸到该产品制造方法直接获得的产品，但该产品必须是专利法意义上的产品，产品本身必须能够作为专利法保护的客体。本案中，虽然依据所述专利方法可获得电能，但是电能并不属于专利法意义上的产品，因此专利权人所能获得的保护仅限于禁止他人未经许可使用其发电方法。如果在此基础上进一步扩展其保护范围，限制他人使用由这种方法产生的电能，则不合理，也不可行。因此所述方法专利不能获得延伸保护。</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（二）“依照专利方法直接获得的产品”的含义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产品制造方法专利权只能延伸到依照该专利方法直接获得的产品。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依照专利方法直接获得的产品”，是指完成专利方法的最后一个步骤后所获得的最初产品。当权利要求的主题名称中的目标产品与完成最后一个方法步骤后获得的最初产品一致时，主题名称中的目标产品就是制备方法直接获得的产品；当主题名称中的目标产品与完成最后一个方法步骤后获得的最初产品不一致时，需要根据说明书的内容，考查二者的关系。如果说明书中已经明确最后一个方法步骤获得的最初产品能通过常规的方法转化为主题名称中的目标产品，则该权利要求直接获得的产品是所述主题名称中的目标产品；如果说明书中没有明确最后一个方法步骤获得的最初产品如何转化为主题名称中的目标产品，并且转化方法非所属领域的公知技术，则该权利要求直接获得的产品是最后一个方法步骤获得的最初产品。对于将依照专利方法直接获得的产品进一步加工、处理而获得的后续产品，应当认定属于依照该专利方法获得的产品。对于将依照专利方法直接获得的产品进一步加工、处理而获得后续产品，进行再加工、处理的，应当认定不属于“使用依照专利方法直接获得的产品”。</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w:t>
      </w:r>
      <w:r>
        <w:rPr>
          <w:rFonts w:hint="eastAsia"/>
          <w:color w:val="000000"/>
        </w:rPr>
        <w:t>案例</w:t>
      </w:r>
      <w:r>
        <w:rPr>
          <w:rFonts w:ascii="Times New Roman" w:hAnsi="Times New Roman"/>
          <w:color w:val="000000"/>
        </w:rPr>
        <w:t>3</w:t>
      </w: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w:t>
      </w:r>
      <w:r>
        <w:rPr>
          <w:rFonts w:ascii="Times New Roman" w:hAnsi="Times New Roman"/>
          <w:color w:val="000000"/>
        </w:rPr>
        <w:t>8</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说明书中公开的制备方法是：原料</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与</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反应形成</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经过转化形成</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情形</w:t>
      </w:r>
      <w:r>
        <w:rPr>
          <w:rFonts w:ascii="Times New Roman" w:eastAsia="楷体_GB2312" w:hAnsi="Times New Roman" w:cs="Times New Roman" w:hint="eastAsia"/>
          <w:sz w:val="21"/>
          <w:szCs w:val="21"/>
        </w:rPr>
        <w:t>1</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权利要求为：产品</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的制备方法，其特征在于由</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与</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反应形成</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，然后</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转化为</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情形</w:t>
      </w:r>
      <w:r>
        <w:rPr>
          <w:rFonts w:ascii="Times New Roman" w:eastAsia="楷体_GB2312" w:hAnsi="Times New Roman" w:cs="Times New Roman" w:hint="eastAsia"/>
          <w:sz w:val="21"/>
          <w:szCs w:val="21"/>
        </w:rPr>
        <w:t>2</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权利要求为：产品</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的制备方法，其特征在于由</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与</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反应形成</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，然后</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转化为</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情形</w:t>
      </w:r>
      <w:r>
        <w:rPr>
          <w:rFonts w:ascii="Times New Roman" w:eastAsia="楷体_GB2312" w:hAnsi="Times New Roman" w:cs="Times New Roman" w:hint="eastAsia"/>
          <w:sz w:val="21"/>
          <w:szCs w:val="21"/>
        </w:rPr>
        <w:t>3</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权利要求为：产品</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的制备方法，其特征在于包括使</w:t>
      </w:r>
      <w:r>
        <w:rPr>
          <w:rFonts w:ascii="Times New Roman" w:eastAsia="楷体_GB2312" w:hAnsi="Times New Roman" w:cs="Times New Roman" w:hint="eastAsia"/>
          <w:sz w:val="21"/>
          <w:szCs w:val="21"/>
        </w:rPr>
        <w:t>A</w:t>
      </w:r>
      <w:r>
        <w:rPr>
          <w:rFonts w:ascii="Times New Roman" w:eastAsia="楷体_GB2312" w:hAnsi="Times New Roman" w:hint="eastAsia"/>
          <w:sz w:val="21"/>
          <w:szCs w:val="21"/>
        </w:rPr>
        <w:t>与</w:t>
      </w:r>
      <w:r>
        <w:rPr>
          <w:rFonts w:ascii="Times New Roman" w:eastAsia="楷体_GB2312" w:hAnsi="Times New Roman" w:cs="Times New Roman" w:hint="eastAsia"/>
          <w:sz w:val="21"/>
          <w:szCs w:val="21"/>
        </w:rPr>
        <w:t>B</w:t>
      </w:r>
      <w:r>
        <w:rPr>
          <w:rFonts w:ascii="Times New Roman" w:eastAsia="楷体_GB2312" w:hAnsi="Times New Roman" w:hint="eastAsia"/>
          <w:sz w:val="21"/>
          <w:szCs w:val="21"/>
        </w:rPr>
        <w:t>反应形成</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的步骤。</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情形</w:t>
      </w:r>
      <w:r>
        <w:rPr>
          <w:rFonts w:ascii="Times New Roman" w:eastAsia="楷体_GB2312" w:hAnsi="Times New Roman" w:cs="Times New Roman" w:hint="eastAsia"/>
          <w:sz w:val="21"/>
          <w:szCs w:val="21"/>
        </w:rPr>
        <w:t>1</w:t>
      </w:r>
      <w:r>
        <w:rPr>
          <w:rFonts w:ascii="Times New Roman" w:eastAsia="楷体_GB2312" w:hAnsi="Times New Roman" w:hint="eastAsia"/>
          <w:sz w:val="21"/>
          <w:szCs w:val="21"/>
        </w:rPr>
        <w:t>中，权利要求主题名称中的目标产物与最后一个工艺步骤获得的产物完全一致（均为</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），此时，该制备方法权利要求直接获得的产品应当是</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情形</w:t>
      </w:r>
      <w:r>
        <w:rPr>
          <w:rFonts w:ascii="Times New Roman" w:eastAsia="楷体_GB2312" w:hAnsi="Times New Roman" w:cs="Times New Roman" w:hint="eastAsia"/>
          <w:sz w:val="21"/>
          <w:szCs w:val="21"/>
        </w:rPr>
        <w:t>2</w:t>
      </w:r>
      <w:r>
        <w:rPr>
          <w:rFonts w:ascii="Times New Roman" w:eastAsia="楷体_GB2312" w:hAnsi="Times New Roman" w:hint="eastAsia"/>
          <w:sz w:val="21"/>
          <w:szCs w:val="21"/>
        </w:rPr>
        <w:t>中，权利要求主题名称中的目标产物为</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，但工艺步骤特征中，</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仅仅作为中间产品存在，</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还通过另外的步骤转化为产品</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。此时，如果将</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视为该制备方法权利要求直接获得的产品，将会导致在解释权利要求时实质上忽略将</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转化为</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的步骤，这显然与解释权利要求的一般性规则相违背。因此，该制备方法权利要求直接获得的产品应当是</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情形</w:t>
      </w:r>
      <w:r>
        <w:rPr>
          <w:rFonts w:ascii="Times New Roman" w:eastAsia="楷体_GB2312" w:hAnsi="Times New Roman" w:cs="Times New Roman" w:hint="eastAsia"/>
          <w:sz w:val="21"/>
          <w:szCs w:val="21"/>
        </w:rPr>
        <w:t>3</w:t>
      </w:r>
      <w:r>
        <w:rPr>
          <w:rFonts w:ascii="Times New Roman" w:eastAsia="楷体_GB2312" w:hAnsi="Times New Roman" w:hint="eastAsia"/>
          <w:sz w:val="21"/>
          <w:szCs w:val="21"/>
        </w:rPr>
        <w:t>中，权利要求的工艺步骤特征不完整，仅仅包括得到中间体</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的步骤，缺少由中间体</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转化为最终产物</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的步骤描述，由此导致主题名称中的目标产物与工艺步骤得到的产物表面上不完全一致。此时，如果说明书中已经明确</w:t>
      </w:r>
      <w:r>
        <w:rPr>
          <w:rFonts w:ascii="Times New Roman" w:eastAsia="楷体_GB2312" w:hAnsi="Times New Roman" w:cs="Times New Roman" w:hint="eastAsia"/>
          <w:sz w:val="21"/>
          <w:szCs w:val="21"/>
        </w:rPr>
        <w:t>C</w:t>
      </w:r>
      <w:r>
        <w:rPr>
          <w:rFonts w:ascii="Times New Roman" w:eastAsia="楷体_GB2312" w:hAnsi="Times New Roman" w:hint="eastAsia"/>
          <w:sz w:val="21"/>
          <w:szCs w:val="21"/>
        </w:rPr>
        <w:t>通过常规的方法转化为</w:t>
      </w:r>
      <w:r>
        <w:rPr>
          <w:rFonts w:ascii="Times New Roman" w:eastAsia="楷体_GB2312" w:hAnsi="Times New Roman" w:cs="Times New Roman" w:hint="eastAsia"/>
          <w:sz w:val="21"/>
          <w:szCs w:val="21"/>
        </w:rPr>
        <w:t>D</w:t>
      </w:r>
      <w:r>
        <w:rPr>
          <w:rFonts w:ascii="Times New Roman" w:eastAsia="楷体_GB2312" w:hAnsi="Times New Roman" w:hint="eastAsia"/>
          <w:sz w:val="21"/>
          <w:szCs w:val="21"/>
        </w:rPr>
        <w:t>，则结合该说明书的内容和本领域技术人员的通常理解，将该制备方法权利要求直接获得的产品理解为</w:t>
      </w:r>
      <w:r>
        <w:rPr>
          <w:rFonts w:ascii="Times New Roman" w:eastAsia="楷体_GB2312" w:hAnsi="Times New Roman" w:hint="eastAsia"/>
          <w:sz w:val="21"/>
          <w:szCs w:val="21"/>
        </w:rPr>
        <w:t>D</w:t>
      </w:r>
      <w:r>
        <w:rPr>
          <w:rFonts w:ascii="Times New Roman" w:eastAsia="楷体_GB2312" w:hAnsi="Times New Roman" w:hint="eastAsia"/>
          <w:sz w:val="21"/>
          <w:szCs w:val="21"/>
        </w:rPr>
        <w:t>应当是合理的。但是，如果说明书中未明确</w:t>
      </w:r>
      <w:r>
        <w:rPr>
          <w:rFonts w:ascii="Times New Roman" w:eastAsia="楷体_GB2312" w:hAnsi="Times New Roman" w:hint="eastAsia"/>
          <w:sz w:val="21"/>
          <w:szCs w:val="21"/>
        </w:rPr>
        <w:t>C</w:t>
      </w:r>
      <w:r>
        <w:rPr>
          <w:rFonts w:ascii="Times New Roman" w:eastAsia="楷体_GB2312" w:hAnsi="Times New Roman" w:hint="eastAsia"/>
          <w:sz w:val="21"/>
          <w:szCs w:val="21"/>
        </w:rPr>
        <w:t>是如何转化为</w:t>
      </w:r>
      <w:r>
        <w:rPr>
          <w:rFonts w:ascii="Times New Roman" w:eastAsia="楷体_GB2312" w:hAnsi="Times New Roman" w:hint="eastAsia"/>
          <w:sz w:val="21"/>
          <w:szCs w:val="21"/>
        </w:rPr>
        <w:t>D</w:t>
      </w:r>
      <w:r>
        <w:rPr>
          <w:rFonts w:ascii="Times New Roman" w:eastAsia="楷体_GB2312" w:hAnsi="Times New Roman" w:hint="eastAsia"/>
          <w:sz w:val="21"/>
          <w:szCs w:val="21"/>
        </w:rPr>
        <w:t>的，并且也无证据表明</w:t>
      </w:r>
      <w:r>
        <w:rPr>
          <w:rFonts w:ascii="Times New Roman" w:eastAsia="楷体_GB2312" w:hAnsi="Times New Roman" w:hint="eastAsia"/>
          <w:sz w:val="21"/>
          <w:szCs w:val="21"/>
        </w:rPr>
        <w:t>C</w:t>
      </w:r>
      <w:r>
        <w:rPr>
          <w:rFonts w:ascii="Times New Roman" w:eastAsia="楷体_GB2312" w:hAnsi="Times New Roman" w:hint="eastAsia"/>
          <w:sz w:val="21"/>
          <w:szCs w:val="21"/>
        </w:rPr>
        <w:t>转化为</w:t>
      </w:r>
      <w:r>
        <w:rPr>
          <w:rFonts w:ascii="Times New Roman" w:eastAsia="楷体_GB2312" w:hAnsi="Times New Roman" w:hint="eastAsia"/>
          <w:sz w:val="21"/>
          <w:szCs w:val="21"/>
        </w:rPr>
        <w:t>D</w:t>
      </w:r>
      <w:r>
        <w:rPr>
          <w:rFonts w:ascii="Times New Roman" w:eastAsia="楷体_GB2312" w:hAnsi="Times New Roman" w:hint="eastAsia"/>
          <w:sz w:val="21"/>
          <w:szCs w:val="21"/>
        </w:rPr>
        <w:t>的方法为公知技术，此时，即便结合说明书的内容和本领域技术人员的常识，也无法知道</w:t>
      </w:r>
      <w:r>
        <w:rPr>
          <w:rFonts w:ascii="Times New Roman" w:eastAsia="楷体_GB2312" w:hAnsi="Times New Roman" w:hint="eastAsia"/>
          <w:sz w:val="21"/>
          <w:szCs w:val="21"/>
        </w:rPr>
        <w:t>C</w:t>
      </w:r>
      <w:r>
        <w:rPr>
          <w:rFonts w:ascii="Times New Roman" w:eastAsia="楷体_GB2312" w:hAnsi="Times New Roman" w:hint="eastAsia"/>
          <w:sz w:val="21"/>
          <w:szCs w:val="21"/>
        </w:rPr>
        <w:t>如何转化为</w:t>
      </w:r>
      <w:r>
        <w:rPr>
          <w:rFonts w:ascii="Times New Roman" w:eastAsia="楷体_GB2312" w:hAnsi="Times New Roman" w:hint="eastAsia"/>
          <w:sz w:val="21"/>
          <w:szCs w:val="21"/>
        </w:rPr>
        <w:t>D</w:t>
      </w:r>
      <w:r>
        <w:rPr>
          <w:rFonts w:ascii="Times New Roman" w:eastAsia="楷体_GB2312" w:hAnsi="Times New Roman" w:hint="eastAsia"/>
          <w:sz w:val="21"/>
          <w:szCs w:val="21"/>
        </w:rPr>
        <w:t>，这种情况下，把该制备方法权利要求直接获得的产品理解为</w:t>
      </w:r>
      <w:r>
        <w:rPr>
          <w:rFonts w:ascii="Times New Roman" w:eastAsia="楷体_GB2312" w:hAnsi="Times New Roman" w:hint="eastAsia"/>
          <w:sz w:val="21"/>
          <w:szCs w:val="21"/>
        </w:rPr>
        <w:t>C</w:t>
      </w:r>
      <w:r>
        <w:rPr>
          <w:rFonts w:ascii="Times New Roman" w:eastAsia="楷体_GB2312" w:hAnsi="Times New Roman" w:hint="eastAsia"/>
          <w:sz w:val="21"/>
          <w:szCs w:val="21"/>
        </w:rPr>
        <w:t>应当是合理的。</w:t>
      </w:r>
    </w:p>
    <w:p w:rsidR="00800760" w:rsidRDefault="00235733">
      <w:pPr>
        <w:pStyle w:val="4"/>
        <w:spacing w:before="240"/>
        <w:ind w:firstLine="444"/>
        <w:rPr>
          <w:rFonts w:ascii="Times New Roman" w:hAnsi="Times New Roman" w:cs="宋体"/>
          <w:bCs/>
          <w:color w:val="000000"/>
        </w:rPr>
      </w:pPr>
      <w:r>
        <w:rPr>
          <w:rFonts w:ascii="Times New Roman" w:hAnsi="Times New Roman" w:hint="eastAsia"/>
          <w:bCs/>
          <w:color w:val="000000"/>
        </w:rPr>
        <w:t>（三）延伸保护与是否获得新产品无关</w:t>
      </w:r>
      <w:r>
        <w:rPr>
          <w:rFonts w:ascii="Times New Roman" w:hAnsi="Times New Roman" w:hint="eastAsia"/>
          <w:bCs/>
          <w:color w:val="000000"/>
        </w:rPr>
        <w:t xml:space="preserve">             </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依照专利方法直接获得的产品，无论该产品是新产品还是已知产品均可获得延伸保护。只要制造方法本身被授予专利权，即使该方法直接获得的是已知产品，任何单位或个人未经专利权人许可许诺销售、销售、使用、进口该已知产品的行为也构成侵犯专利权的行为。专利侵权纠纷涉及新产品制造方法的发明专利的，制造同样产品的单位或者个人应当提供其产品制造方法不同于专利方法的证明。</w:t>
      </w:r>
    </w:p>
    <w:p w:rsidR="00800760" w:rsidRDefault="00235733">
      <w:pPr>
        <w:pStyle w:val="3"/>
        <w:spacing w:before="240"/>
        <w:ind w:firstLine="444"/>
        <w:rPr>
          <w:rFonts w:ascii="Times New Roman" w:hAnsi="Times New Roman"/>
          <w:bCs/>
          <w:color w:val="000000"/>
        </w:rPr>
      </w:pPr>
      <w:bookmarkStart w:id="1375" w:name="_Toc229114361"/>
      <w:bookmarkStart w:id="1376" w:name="_Toc229225457"/>
      <w:r>
        <w:rPr>
          <w:rFonts w:ascii="Times New Roman" w:hAnsi="Times New Roman" w:hint="eastAsia"/>
          <w:bCs/>
          <w:color w:val="000000"/>
        </w:rPr>
        <w:t>七、关于出租侵权产品的情形</w:t>
      </w:r>
      <w:bookmarkEnd w:id="1375"/>
      <w:bookmarkEnd w:id="1376"/>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其他需要特殊说明的情况是，对于将侵犯他人专利权的产品用于出租的行为，在作出侵权判断时，要具体考虑出租人的主观过错，出租人的行为性质，出租人与其他侵权人（承租人）的关系，所出租的被控侵权产品性质等。同时还要根据共同侵权的规定，认定出租行为是否属于教唆、帮助他人实施侵权行为。</w:t>
      </w:r>
    </w:p>
    <w:p w:rsidR="00800760" w:rsidRDefault="00235733">
      <w:pPr>
        <w:topLinePunct/>
        <w:spacing w:before="240"/>
        <w:rPr>
          <w:szCs w:val="21"/>
        </w:rPr>
      </w:pPr>
      <w:r>
        <w:rPr>
          <w:rFonts w:hint="eastAsia"/>
          <w:szCs w:val="21"/>
        </w:rPr>
        <w:t>承租人对相关产品的使用也应被认定为侵权行为，损害专利权人利益的，可以根据案件的具体情况，依照《民法典》侵权责任编第一千一百六十九条的相关规定，并参照《最高人民法院关于审理侵犯专利权纠纷案件应用法律若干问题的解释（二）》第二十一条进行认定。</w:t>
      </w:r>
    </w:p>
    <w:p w:rsidR="00800760" w:rsidRDefault="00235733">
      <w:pPr>
        <w:pStyle w:val="3"/>
        <w:spacing w:before="240"/>
        <w:ind w:firstLine="444"/>
        <w:rPr>
          <w:rFonts w:ascii="Times New Roman" w:eastAsia="宋体" w:hAnsi="Times New Roman" w:cs="MingLiU_HKSCS"/>
          <w:bCs/>
          <w:spacing w:val="0"/>
          <w:kern w:val="0"/>
          <w:highlight w:val="yellow"/>
        </w:rPr>
      </w:pPr>
      <w:bookmarkStart w:id="1377" w:name="_Toc229114362"/>
      <w:bookmarkStart w:id="1378" w:name="_Toc229225458"/>
      <w:r>
        <w:rPr>
          <w:rFonts w:hint="eastAsia"/>
          <w:bCs/>
          <w:color w:val="000000"/>
        </w:rPr>
        <w:t>八、</w:t>
      </w:r>
      <w:r>
        <w:rPr>
          <w:rFonts w:hint="eastAsia"/>
          <w:bCs/>
        </w:rPr>
        <w:t>其他需要注意的情况</w:t>
      </w:r>
      <w:bookmarkEnd w:id="1377"/>
      <w:bookmarkEnd w:id="1378"/>
    </w:p>
    <w:p w:rsidR="00800760" w:rsidRDefault="00235733">
      <w:pPr>
        <w:pStyle w:val="12"/>
        <w:topLinePunct/>
        <w:spacing w:line="336" w:lineRule="auto"/>
        <w:ind w:firstLine="420"/>
        <w:rPr>
          <w:rFonts w:ascii="Times New Roman" w:eastAsia="宋体" w:hAnsi="Times New Roman" w:cs="Times New Roman"/>
          <w:sz w:val="21"/>
          <w:szCs w:val="21"/>
        </w:rPr>
      </w:pPr>
      <w:r>
        <w:rPr>
          <w:rFonts w:ascii="Times New Roman" w:eastAsia="宋体" w:hAnsi="Times New Roman" w:hint="eastAsia"/>
          <w:sz w:val="21"/>
          <w:szCs w:val="21"/>
        </w:rPr>
        <w:t>为生产经营目的使用、许诺销售或者销售不知道是未经专利权人许可而制造并售出的专利侵权产品，能证明该产品合法来源的，不承担赔偿责任。</w:t>
      </w:r>
      <w:r>
        <w:rPr>
          <w:rFonts w:ascii="Times New Roman" w:eastAsia="宋体" w:hAnsi="Times New Roman" w:cs="Times New Roman" w:hint="eastAsia"/>
          <w:sz w:val="21"/>
          <w:szCs w:val="21"/>
        </w:rPr>
        <w:t>对于权利人请求停止上述使用、许诺销售、销售行为的主张，管理专利工作的部门应予支持，但被控侵权产品的使用者举证证明其已支付该产品的合理对价的除外。上述行为仍然构成侵权行为，对于许诺销售和销售行为，仍需承担停止侵权的侵权责任。对于使用行为，除非使用者能够证明其已支付该产品的合理对价，此时可以继续使用，否则也应停止使用行为。所称“不知道”，是指实际不知道且不应当知道。所称合法来源，是指通过合法的销售渠道、通常的买卖合同等正常商业方式取得产品。对于合法来源，使用者、许诺销售者或者销售者应当提供符合交易习惯的相关证据。</w:t>
      </w:r>
    </w:p>
    <w:p w:rsidR="00800760" w:rsidRDefault="00235733">
      <w:pPr>
        <w:pStyle w:val="af6"/>
        <w:spacing w:before="120"/>
        <w:ind w:firstLine="420"/>
        <w:rPr>
          <w:rFonts w:ascii="Times New Roman" w:hAnsi="Times New Roman"/>
          <w:highlight w:val="yellow"/>
        </w:rPr>
      </w:pPr>
      <w:r>
        <w:rPr>
          <w:rFonts w:ascii="Times New Roman" w:hAnsi="Times New Roman" w:hint="eastAsia"/>
          <w:color w:val="000000"/>
        </w:rPr>
        <w:t>【</w:t>
      </w:r>
      <w:r>
        <w:rPr>
          <w:rFonts w:hint="eastAsia"/>
          <w:color w:val="000000"/>
        </w:rPr>
        <w:t>案例</w:t>
      </w:r>
      <w:r>
        <w:rPr>
          <w:rFonts w:ascii="Times New Roman" w:hAnsi="Times New Roman"/>
          <w:color w:val="000000"/>
        </w:rPr>
        <w:t>3</w:t>
      </w: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w:t>
      </w:r>
      <w:r>
        <w:rPr>
          <w:rFonts w:ascii="Times New Roman" w:hAnsi="Times New Roman" w:cs="Times New Roman" w:hint="eastAsia"/>
          <w:color w:val="000000"/>
        </w:rPr>
        <w:t>9</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在某专利侵权纠纷中，请求人拥有一项“柴油机缸头”的实用新型专利权。</w:t>
      </w:r>
      <w:r>
        <w:rPr>
          <w:rFonts w:ascii="Times New Roman" w:eastAsia="楷体_GB2312" w:hAnsi="Times New Roman" w:hint="eastAsia"/>
          <w:sz w:val="21"/>
          <w:szCs w:val="21"/>
        </w:rPr>
        <w:t>A</w:t>
      </w:r>
      <w:r>
        <w:rPr>
          <w:rFonts w:ascii="Times New Roman" w:eastAsia="楷体_GB2312" w:hAnsi="Times New Roman" w:hint="eastAsia"/>
          <w:sz w:val="21"/>
          <w:szCs w:val="21"/>
        </w:rPr>
        <w:t>公司从</w:t>
      </w:r>
      <w:r>
        <w:rPr>
          <w:rFonts w:ascii="Times New Roman" w:eastAsia="楷体_GB2312" w:hAnsi="Times New Roman" w:hint="eastAsia"/>
          <w:sz w:val="21"/>
          <w:szCs w:val="21"/>
        </w:rPr>
        <w:t>B</w:t>
      </w:r>
      <w:r>
        <w:rPr>
          <w:rFonts w:ascii="Times New Roman" w:eastAsia="楷体_GB2312" w:hAnsi="Times New Roman" w:hint="eastAsia"/>
          <w:sz w:val="21"/>
          <w:szCs w:val="21"/>
        </w:rPr>
        <w:t>公司购买了被控侵权产品在内的悬挂输送系统后，将被控侵权产品作为零部件和其他部件共同组装成整套“柔智云系统”并将其销售给</w:t>
      </w:r>
      <w:r>
        <w:rPr>
          <w:rFonts w:ascii="Times New Roman" w:eastAsia="楷体_GB2312" w:hAnsi="Times New Roman" w:hint="eastAsia"/>
          <w:sz w:val="21"/>
          <w:szCs w:val="21"/>
        </w:rPr>
        <w:t>C</w:t>
      </w:r>
      <w:r>
        <w:rPr>
          <w:rFonts w:ascii="Times New Roman" w:eastAsia="楷体_GB2312" w:hAnsi="Times New Roman" w:hint="eastAsia"/>
          <w:sz w:val="21"/>
          <w:szCs w:val="21"/>
        </w:rPr>
        <w:t>公司。</w:t>
      </w:r>
      <w:r>
        <w:rPr>
          <w:rFonts w:ascii="Times New Roman" w:eastAsia="楷体_GB2312" w:hAnsi="Times New Roman" w:hint="eastAsia"/>
          <w:sz w:val="21"/>
          <w:szCs w:val="21"/>
        </w:rPr>
        <w:t>A</w:t>
      </w:r>
      <w:r>
        <w:rPr>
          <w:rFonts w:ascii="Times New Roman" w:eastAsia="楷体_GB2312" w:hAnsi="Times New Roman" w:hint="eastAsia"/>
          <w:sz w:val="21"/>
          <w:szCs w:val="21"/>
        </w:rPr>
        <w:t>公司辩称，该零件购自</w:t>
      </w:r>
      <w:r>
        <w:rPr>
          <w:rFonts w:ascii="Times New Roman" w:eastAsia="楷体_GB2312" w:hAnsi="Times New Roman" w:hint="eastAsia"/>
          <w:sz w:val="21"/>
          <w:szCs w:val="21"/>
        </w:rPr>
        <w:t>B</w:t>
      </w:r>
      <w:r>
        <w:rPr>
          <w:rFonts w:ascii="Times New Roman" w:eastAsia="楷体_GB2312" w:hAnsi="Times New Roman" w:hint="eastAsia"/>
          <w:sz w:val="21"/>
          <w:szCs w:val="21"/>
        </w:rPr>
        <w:t>公司，并提供了符合交易习惯的销售合同、付款凭证、发票等，证明其系通过合法的销售渠道正常取得被控侵权产品。</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华文隶书" w:hAnsi="Times New Roman" w:hint="eastAsia"/>
          <w:sz w:val="21"/>
          <w:szCs w:val="21"/>
        </w:rPr>
        <w:t>分析与评述：</w:t>
      </w:r>
    </w:p>
    <w:p w:rsidR="00800760" w:rsidRDefault="00235733">
      <w:r>
        <w:rPr>
          <w:rFonts w:eastAsia="楷体_GB2312" w:hint="eastAsia"/>
          <w:szCs w:val="21"/>
        </w:rPr>
        <w:t>A</w:t>
      </w:r>
      <w:r>
        <w:rPr>
          <w:rFonts w:eastAsia="楷体_GB2312" w:hint="eastAsia"/>
          <w:szCs w:val="21"/>
        </w:rPr>
        <w:t>公司系将侵犯请求人实用新型专利权的产品作为零部件并制造、销售另一产品，故其行为属于使用侵权产品行为、销售侵权产品行为。关于</w:t>
      </w:r>
      <w:r>
        <w:rPr>
          <w:rFonts w:eastAsia="楷体_GB2312" w:hint="eastAsia"/>
          <w:szCs w:val="21"/>
        </w:rPr>
        <w:t>A</w:t>
      </w:r>
      <w:r>
        <w:rPr>
          <w:rFonts w:eastAsia="楷体_GB2312" w:hint="eastAsia"/>
          <w:szCs w:val="21"/>
        </w:rPr>
        <w:t>公司的合法来源抗辩，其提供了所用齿条组件及输送线组件有合法来源的证明，证明其在主观上不存在实际知道或者应当知道被控侵权产品系未经专利权人许可而制造并售出的专利侵权产品的情形，则可依据《专利法》第七十七条的规定，不承担赔偿责任，但应停止侵权行为，即立即停止制造、销售落入该实用新型专利权保护范围的产品。</w:t>
      </w:r>
    </w:p>
    <w:p w:rsidR="00800760" w:rsidRDefault="00235733">
      <w:pPr>
        <w:pStyle w:val="2"/>
        <w:topLinePunct/>
        <w:ind w:firstLineChars="0" w:firstLine="0"/>
        <w:rPr>
          <w:rFonts w:ascii="Times New Roman" w:hAnsi="Times New Roman"/>
        </w:rPr>
      </w:pPr>
      <w:bookmarkStart w:id="1379" w:name="_Toc15543"/>
      <w:bookmarkStart w:id="1380" w:name="_Toc20006"/>
      <w:bookmarkStart w:id="1381" w:name="_Toc5216"/>
      <w:bookmarkStart w:id="1382" w:name="_Toc4119"/>
      <w:bookmarkStart w:id="1383" w:name="_Toc5997"/>
      <w:bookmarkStart w:id="1384" w:name="_Toc12887"/>
      <w:bookmarkStart w:id="1385" w:name="_Toc24198"/>
      <w:bookmarkStart w:id="1386" w:name="_Toc24521"/>
      <w:bookmarkStart w:id="1387" w:name="_Toc10496"/>
      <w:bookmarkStart w:id="1388" w:name="_Toc17013"/>
      <w:bookmarkStart w:id="1389" w:name="_Toc1981"/>
      <w:bookmarkStart w:id="1390" w:name="_Toc7198"/>
      <w:bookmarkStart w:id="1391" w:name="_Toc1950"/>
      <w:bookmarkStart w:id="1392" w:name="_Toc15550"/>
      <w:bookmarkStart w:id="1393" w:name="_Toc28257"/>
      <w:bookmarkStart w:id="1394" w:name="_Toc25632"/>
      <w:bookmarkStart w:id="1395" w:name="_Toc19165"/>
      <w:bookmarkStart w:id="1396" w:name="_Toc20127"/>
      <w:bookmarkStart w:id="1397" w:name="_Toc1567"/>
      <w:bookmarkStart w:id="1398" w:name="_Toc21682"/>
      <w:bookmarkStart w:id="1399" w:name="_Toc2458"/>
      <w:bookmarkStart w:id="1400" w:name="_Toc27786"/>
      <w:bookmarkStart w:id="1401" w:name="_Toc26935"/>
      <w:bookmarkStart w:id="1402" w:name="_Toc29700"/>
      <w:bookmarkStart w:id="1403" w:name="_Toc23706"/>
      <w:bookmarkStart w:id="1404" w:name="_Toc21047"/>
      <w:bookmarkStart w:id="1405" w:name="_Toc23498"/>
      <w:bookmarkStart w:id="1406" w:name="_Toc9674"/>
      <w:bookmarkStart w:id="1407" w:name="_Toc20372"/>
      <w:bookmarkStart w:id="1408" w:name="_Toc24945"/>
      <w:bookmarkStart w:id="1409" w:name="_Toc217908618"/>
      <w:bookmarkStart w:id="1410" w:name="_Toc229114363"/>
      <w:bookmarkStart w:id="1411" w:name="_Toc1951"/>
      <w:bookmarkStart w:id="1412" w:name="_Toc5995"/>
      <w:bookmarkStart w:id="1413" w:name="_Toc4408"/>
      <w:bookmarkStart w:id="1414" w:name="_Toc23105"/>
      <w:bookmarkStart w:id="1415" w:name="_Toc28503"/>
      <w:bookmarkStart w:id="1416" w:name="_Toc9836"/>
      <w:bookmarkStart w:id="1417" w:name="_Toc19046"/>
      <w:bookmarkStart w:id="1418" w:name="_Toc11631"/>
      <w:bookmarkStart w:id="1419" w:name="_Toc22600"/>
      <w:bookmarkStart w:id="1420" w:name="_Toc12416"/>
      <w:bookmarkStart w:id="1421" w:name="_Toc30055"/>
      <w:bookmarkStart w:id="1422" w:name="_Toc14767"/>
      <w:bookmarkStart w:id="1423" w:name="_Toc229225459"/>
      <w:bookmarkStart w:id="1424" w:name="_Toc28593251"/>
      <w:r>
        <w:rPr>
          <w:rFonts w:ascii="Times New Roman" w:hAnsi="Times New Roman" w:hint="eastAsia"/>
        </w:rPr>
        <w:t>第二节</w:t>
      </w:r>
      <w:r>
        <w:rPr>
          <w:rFonts w:ascii="Times New Roman" w:hAnsi="Times New Roman" w:hint="eastAsia"/>
          <w:color w:val="000000"/>
        </w:rPr>
        <w:t xml:space="preserve">　</w:t>
      </w:r>
      <w:r>
        <w:rPr>
          <w:rFonts w:ascii="Times New Roman" w:hAnsi="Times New Roman" w:hint="eastAsia"/>
        </w:rPr>
        <w:t>共同侵犯专利权的行为</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p w:rsidR="00800760" w:rsidRDefault="00235733">
      <w:pPr>
        <w:widowControl w:val="0"/>
        <w:topLinePunct/>
        <w:ind w:firstLine="428"/>
        <w:jc w:val="both"/>
        <w:rPr>
          <w:rFonts w:cs="MingLiU_HKSCS"/>
          <w:color w:val="000000"/>
          <w:szCs w:val="21"/>
          <w:lang w:val="zh-CN"/>
        </w:rPr>
      </w:pPr>
      <w:r>
        <w:rPr>
          <w:rFonts w:cs="MingLiU_HKSCS" w:hint="eastAsia"/>
          <w:color w:val="000000"/>
          <w:spacing w:val="2"/>
          <w:szCs w:val="21"/>
          <w:lang w:val="zh-CN"/>
        </w:rPr>
        <w:t>根据《民法典》第</w:t>
      </w:r>
      <w:r>
        <w:rPr>
          <w:rFonts w:cs="MingLiU_HKSCS" w:hint="eastAsia"/>
          <w:color w:val="000000"/>
          <w:szCs w:val="21"/>
          <w:lang w:val="zh-CN"/>
        </w:rPr>
        <w:t>一千一百六十九条</w:t>
      </w:r>
      <w:r>
        <w:rPr>
          <w:rFonts w:cs="MingLiU_HKSCS" w:hint="eastAsia"/>
          <w:color w:val="000000"/>
          <w:spacing w:val="2"/>
          <w:szCs w:val="21"/>
          <w:lang w:val="zh-CN"/>
        </w:rPr>
        <w:t>的规定，</w:t>
      </w:r>
      <w:r>
        <w:rPr>
          <w:rFonts w:cs="MingLiU_HKSCS" w:hint="eastAsia"/>
          <w:color w:val="000000"/>
          <w:szCs w:val="21"/>
          <w:lang w:val="zh-CN"/>
        </w:rPr>
        <w:t>教唆、帮助他人实施侵权行为的，应当与行为人承担连带责任。这意味着即使没有直接实施侵权行为，但通过教唆或帮助他人实施侵权行为的，也应承担连带责任。</w:t>
      </w:r>
    </w:p>
    <w:p w:rsidR="00800760" w:rsidRDefault="00235733">
      <w:pPr>
        <w:pStyle w:val="3"/>
        <w:topLinePunct/>
        <w:spacing w:before="240"/>
        <w:ind w:firstLine="444"/>
        <w:jc w:val="both"/>
        <w:rPr>
          <w:rFonts w:ascii="Times New Roman" w:hAnsi="Times New Roman"/>
        </w:rPr>
      </w:pPr>
      <w:bookmarkStart w:id="1425" w:name="_Toc1098"/>
      <w:bookmarkStart w:id="1426" w:name="_Toc14286"/>
      <w:bookmarkStart w:id="1427" w:name="_Toc12157"/>
      <w:bookmarkStart w:id="1428" w:name="_Toc30818"/>
      <w:bookmarkStart w:id="1429" w:name="_Toc22163"/>
      <w:bookmarkStart w:id="1430" w:name="_Toc16595"/>
      <w:bookmarkStart w:id="1431" w:name="_Toc4345"/>
      <w:bookmarkStart w:id="1432" w:name="_Toc27958"/>
      <w:bookmarkStart w:id="1433" w:name="_Toc27339"/>
      <w:bookmarkStart w:id="1434" w:name="_Toc14170"/>
      <w:bookmarkStart w:id="1435" w:name="_Toc7531"/>
      <w:bookmarkStart w:id="1436" w:name="_Toc26540"/>
      <w:bookmarkStart w:id="1437" w:name="_Toc322"/>
      <w:bookmarkStart w:id="1438" w:name="_Toc25438"/>
      <w:bookmarkStart w:id="1439" w:name="_Toc26431"/>
      <w:bookmarkStart w:id="1440" w:name="_Toc9412"/>
      <w:bookmarkStart w:id="1441" w:name="_Toc9691"/>
      <w:bookmarkStart w:id="1442" w:name="_Toc10286"/>
      <w:bookmarkStart w:id="1443" w:name="_Toc6836"/>
      <w:bookmarkStart w:id="1444" w:name="_Toc32188"/>
      <w:bookmarkStart w:id="1445" w:name="_Toc26524"/>
      <w:bookmarkStart w:id="1446" w:name="_Toc7366"/>
      <w:bookmarkStart w:id="1447" w:name="_Toc16425"/>
      <w:bookmarkStart w:id="1448" w:name="_Toc23832"/>
      <w:bookmarkStart w:id="1449" w:name="_Toc6450"/>
      <w:bookmarkStart w:id="1450" w:name="_Toc20066"/>
      <w:bookmarkStart w:id="1451" w:name="_Toc16627"/>
      <w:bookmarkStart w:id="1452" w:name="_Toc217908619"/>
      <w:bookmarkStart w:id="1453" w:name="_Toc17716"/>
      <w:bookmarkStart w:id="1454" w:name="_Toc22488"/>
      <w:bookmarkStart w:id="1455" w:name="_Toc4378"/>
      <w:bookmarkStart w:id="1456" w:name="_Toc24986"/>
      <w:bookmarkStart w:id="1457" w:name="_Toc950"/>
      <w:bookmarkStart w:id="1458" w:name="_Toc229114364"/>
      <w:bookmarkStart w:id="1459" w:name="_Toc30904"/>
      <w:bookmarkStart w:id="1460" w:name="_Toc12600"/>
      <w:bookmarkStart w:id="1461" w:name="_Toc13693"/>
      <w:bookmarkStart w:id="1462" w:name="_Toc21038"/>
      <w:bookmarkStart w:id="1463" w:name="_Toc22468"/>
      <w:bookmarkStart w:id="1464" w:name="_Toc6136"/>
      <w:bookmarkStart w:id="1465" w:name="_Toc10385"/>
      <w:bookmarkStart w:id="1466" w:name="_Toc16819"/>
      <w:bookmarkStart w:id="1467" w:name="_Toc22731"/>
      <w:bookmarkStart w:id="1468" w:name="_Toc24098"/>
      <w:bookmarkStart w:id="1469" w:name="_Toc229225460"/>
      <w:r>
        <w:rPr>
          <w:rFonts w:ascii="Times New Roman" w:hAnsi="Times New Roman" w:hint="eastAsia"/>
        </w:rPr>
        <w:t>一、教唆他人实施专利侵权行为</w:t>
      </w:r>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p>
    <w:p w:rsidR="00800760" w:rsidRDefault="00235733">
      <w:pPr>
        <w:widowControl w:val="0"/>
        <w:topLinePunct/>
        <w:jc w:val="both"/>
        <w:rPr>
          <w:rFonts w:cs="MingLiU_HKSCS"/>
          <w:color w:val="000000"/>
          <w:szCs w:val="21"/>
          <w:lang w:val="zh-CN"/>
        </w:rPr>
      </w:pPr>
      <w:r>
        <w:rPr>
          <w:rFonts w:cs="MingLiU_HKSCS" w:hint="eastAsia"/>
          <w:color w:val="000000"/>
          <w:szCs w:val="21"/>
          <w:lang w:val="en-US"/>
        </w:rPr>
        <w:t>对于</w:t>
      </w:r>
      <w:r>
        <w:rPr>
          <w:rFonts w:cs="MingLiU_HKSCS" w:hint="eastAsia"/>
          <w:color w:val="000000"/>
          <w:szCs w:val="21"/>
          <w:lang w:val="zh-CN"/>
        </w:rPr>
        <w:t>明知有关产品、方法被授予专利权，未经专利权人许可，为生产经营目的积极诱导他人实施了侵犯专利权的行为，该诱导者的行为应当认定为属于教唆他人实施侵权行为。</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对于教唆侵权行为，在主体上，要求教唆者对其教唆的侵犯专利权行为的性质和后果有确定的认识和判断能力。在主观上，教唆的故意应当体现为出于损害专利权人利益或生产经营等目的，积极诱导他人侵犯特定专利权的意思，如果只是泛泛地诱导他人从事专利侵权活动，但并没有明确的指向性，则不构成共同侵权行为意义上的“教唆”。在客观方面，教唆者应当以口头、书面或其他方式，进行了或明示或暗示的诱导行为，在其诱导下，被诱导者实施了制造、使用、销售、许诺销售或进口专利侵权产品、使用专利方法等专利侵权行为。</w:t>
      </w:r>
    </w:p>
    <w:p w:rsidR="00800760" w:rsidRDefault="00235733">
      <w:pPr>
        <w:pStyle w:val="af6"/>
        <w:spacing w:before="120"/>
        <w:ind w:firstLine="420"/>
        <w:rPr>
          <w:rFonts w:ascii="Times New Roman" w:hAnsi="Times New Roman"/>
        </w:rPr>
      </w:pPr>
      <w:bookmarkStart w:id="1470" w:name="_Toc31591"/>
      <w:bookmarkStart w:id="1471" w:name="_Toc30606"/>
      <w:r>
        <w:rPr>
          <w:rFonts w:ascii="Times New Roman" w:hAnsi="Times New Roman" w:hint="eastAsia"/>
        </w:rPr>
        <w:t>【</w:t>
      </w:r>
      <w:r>
        <w:rPr>
          <w:rFonts w:hint="eastAsia"/>
        </w:rPr>
        <w:t>案例</w:t>
      </w:r>
      <w:r>
        <w:rPr>
          <w:rFonts w:ascii="Times New Roman" w:hAnsi="Times New Roman"/>
        </w:rPr>
        <w:t>3-</w:t>
      </w:r>
      <w:r>
        <w:rPr>
          <w:rFonts w:ascii="Times New Roman" w:hAnsi="Times New Roman" w:hint="eastAsia"/>
        </w:rPr>
        <w:t>2</w:t>
      </w:r>
      <w:r>
        <w:rPr>
          <w:rFonts w:ascii="Times New Roman" w:hAnsi="Times New Roman"/>
        </w:rPr>
        <w:t>-1</w:t>
      </w:r>
      <w:r>
        <w:rPr>
          <w:rFonts w:ascii="Times New Roman" w:hAnsi="Times New Roman" w:hint="eastAsia"/>
        </w:rPr>
        <w:t>】</w:t>
      </w:r>
      <w:bookmarkEnd w:id="1470"/>
      <w:bookmarkEnd w:id="1471"/>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在某专利侵权纠纷中，</w:t>
      </w:r>
      <w:r>
        <w:rPr>
          <w:rFonts w:eastAsia="楷体_GB2312" w:cs="MingLiU_HKSCS" w:hint="eastAsia"/>
          <w:color w:val="000000"/>
          <w:szCs w:val="21"/>
          <w:lang w:val="zh-CN"/>
        </w:rPr>
        <w:t>A</w:t>
      </w:r>
      <w:r>
        <w:rPr>
          <w:rFonts w:eastAsia="楷体_GB2312" w:cs="MingLiU_HKSCS" w:hint="eastAsia"/>
          <w:color w:val="000000"/>
          <w:szCs w:val="21"/>
          <w:lang w:val="zh-CN"/>
        </w:rPr>
        <w:t>公司拥有一项“聚氨酯发泡材料封堵孔口的方法”的发明专利，权利要求</w:t>
      </w:r>
      <w:r>
        <w:rPr>
          <w:rFonts w:eastAsia="楷体_GB2312" w:cs="MingLiU_HKSCS" w:hint="eastAsia"/>
          <w:color w:val="000000"/>
          <w:szCs w:val="21"/>
          <w:lang w:val="zh-CN"/>
        </w:rPr>
        <w:t>1</w:t>
      </w:r>
      <w:r>
        <w:rPr>
          <w:rFonts w:eastAsia="楷体_GB2312" w:cs="MingLiU_HKSCS" w:hint="eastAsia"/>
          <w:color w:val="000000"/>
          <w:szCs w:val="21"/>
          <w:lang w:val="zh-CN"/>
        </w:rPr>
        <w:t>中记载了采用聚氨酯材料封堵孔口的方法。</w:t>
      </w:r>
      <w:r>
        <w:rPr>
          <w:rFonts w:eastAsia="楷体_GB2312" w:cs="MingLiU_HKSCS" w:hint="eastAsia"/>
          <w:color w:val="000000"/>
          <w:szCs w:val="21"/>
          <w:lang w:val="zh-CN"/>
        </w:rPr>
        <w:t>B</w:t>
      </w:r>
      <w:r>
        <w:rPr>
          <w:rFonts w:eastAsia="楷体_GB2312" w:cs="MingLiU_HKSCS" w:hint="eastAsia"/>
          <w:color w:val="000000"/>
          <w:szCs w:val="21"/>
          <w:lang w:val="zh-CN"/>
        </w:rPr>
        <w:t>公司曾就该专利方法，与</w:t>
      </w:r>
      <w:r>
        <w:rPr>
          <w:rFonts w:eastAsia="楷体_GB2312" w:cs="MingLiU_HKSCS" w:hint="eastAsia"/>
          <w:color w:val="000000"/>
          <w:szCs w:val="21"/>
          <w:lang w:val="en-US"/>
        </w:rPr>
        <w:t>A</w:t>
      </w:r>
      <w:r>
        <w:rPr>
          <w:rFonts w:eastAsia="楷体_GB2312" w:cs="MingLiU_HKSCS" w:hint="eastAsia"/>
          <w:color w:val="000000"/>
          <w:szCs w:val="21"/>
          <w:lang w:val="en-US"/>
        </w:rPr>
        <w:t>公司沟通</w:t>
      </w:r>
      <w:r>
        <w:rPr>
          <w:rFonts w:eastAsia="楷体_GB2312" w:cs="MingLiU_HKSCS" w:hint="eastAsia"/>
          <w:color w:val="000000"/>
          <w:szCs w:val="21"/>
          <w:lang w:val="zh-CN"/>
        </w:rPr>
        <w:t>专利实施许可相关事宜，最终未能达成一致。</w:t>
      </w:r>
      <w:r>
        <w:rPr>
          <w:rFonts w:eastAsia="楷体_GB2312" w:cs="MingLiU_HKSCS" w:hint="eastAsia"/>
          <w:color w:val="000000"/>
          <w:szCs w:val="21"/>
          <w:lang w:val="en-US"/>
        </w:rPr>
        <w:t>B</w:t>
      </w:r>
      <w:r>
        <w:rPr>
          <w:rFonts w:eastAsia="楷体_GB2312" w:cs="MingLiU_HKSCS" w:hint="eastAsia"/>
          <w:color w:val="000000"/>
          <w:szCs w:val="21"/>
          <w:lang w:val="en-US"/>
        </w:rPr>
        <w:t>公司</w:t>
      </w:r>
      <w:r>
        <w:rPr>
          <w:rFonts w:eastAsia="楷体_GB2312" w:cs="MingLiU_HKSCS" w:hint="eastAsia"/>
          <w:color w:val="000000"/>
          <w:szCs w:val="21"/>
          <w:lang w:val="zh-CN"/>
        </w:rPr>
        <w:t>在向某建筑施工公司</w:t>
      </w:r>
      <w:r>
        <w:rPr>
          <w:rFonts w:eastAsia="楷体_GB2312" w:cs="MingLiU_HKSCS" w:hint="eastAsia"/>
          <w:color w:val="000000"/>
          <w:szCs w:val="21"/>
          <w:lang w:val="zh-CN"/>
        </w:rPr>
        <w:t>C</w:t>
      </w:r>
      <w:r>
        <w:rPr>
          <w:rFonts w:eastAsia="楷体_GB2312" w:cs="MingLiU_HKSCS" w:hint="eastAsia"/>
          <w:color w:val="000000"/>
          <w:szCs w:val="21"/>
          <w:lang w:val="zh-CN"/>
        </w:rPr>
        <w:t>公司销售其袋装聚氨酯发泡材料产品用于封堵孔口，并在该产品的包装箱内附有产品说明书，说明书中记载了涉案专利的封堵方法，经查明，</w:t>
      </w:r>
      <w:r>
        <w:rPr>
          <w:rFonts w:eastAsia="楷体_GB2312" w:cs="MingLiU_HKSCS" w:hint="eastAsia"/>
          <w:color w:val="000000"/>
          <w:szCs w:val="21"/>
          <w:lang w:val="zh-CN"/>
        </w:rPr>
        <w:t>C</w:t>
      </w:r>
      <w:r>
        <w:rPr>
          <w:rFonts w:eastAsia="楷体_GB2312" w:cs="MingLiU_HKSCS" w:hint="eastAsia"/>
          <w:color w:val="000000"/>
          <w:szCs w:val="21"/>
          <w:lang w:val="zh-CN"/>
        </w:rPr>
        <w:t>公司在施工过程中使用该说明书记载方法用于封堵孔口。因此</w:t>
      </w:r>
      <w:r>
        <w:rPr>
          <w:rFonts w:eastAsia="楷体_GB2312" w:cs="MingLiU_HKSCS" w:hint="eastAsia"/>
          <w:color w:val="000000"/>
          <w:szCs w:val="21"/>
          <w:lang w:val="zh-CN"/>
        </w:rPr>
        <w:t>A</w:t>
      </w:r>
      <w:r>
        <w:rPr>
          <w:rFonts w:eastAsia="楷体_GB2312" w:cs="MingLiU_HKSCS" w:hint="eastAsia"/>
          <w:color w:val="000000"/>
          <w:szCs w:val="21"/>
          <w:lang w:val="zh-CN"/>
        </w:rPr>
        <w:t>公司要求</w:t>
      </w:r>
      <w:r>
        <w:rPr>
          <w:rFonts w:eastAsia="楷体_GB2312" w:cs="MingLiU_HKSCS" w:hint="eastAsia"/>
          <w:color w:val="000000"/>
          <w:szCs w:val="21"/>
          <w:lang w:val="zh-CN"/>
        </w:rPr>
        <w:t>B</w:t>
      </w:r>
      <w:r>
        <w:rPr>
          <w:rFonts w:eastAsia="楷体_GB2312" w:cs="MingLiU_HKSCS" w:hint="eastAsia"/>
          <w:color w:val="000000"/>
          <w:szCs w:val="21"/>
          <w:lang w:val="zh-CN"/>
        </w:rPr>
        <w:t>公司和</w:t>
      </w:r>
      <w:r>
        <w:rPr>
          <w:rFonts w:eastAsia="楷体_GB2312" w:cs="MingLiU_HKSCS" w:hint="eastAsia"/>
          <w:color w:val="000000"/>
          <w:szCs w:val="21"/>
          <w:lang w:val="zh-CN"/>
        </w:rPr>
        <w:t>C</w:t>
      </w:r>
      <w:r>
        <w:rPr>
          <w:rFonts w:eastAsia="楷体_GB2312" w:cs="MingLiU_HKSCS" w:hint="eastAsia"/>
          <w:color w:val="000000"/>
          <w:szCs w:val="21"/>
          <w:lang w:val="zh-CN"/>
        </w:rPr>
        <w:t>公司承担共同侵权责任。</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在这一侵权纠纷中，</w:t>
      </w:r>
      <w:r>
        <w:rPr>
          <w:rFonts w:eastAsia="楷体_GB2312" w:cs="MingLiU_HKSCS" w:hint="eastAsia"/>
          <w:color w:val="000000"/>
          <w:szCs w:val="21"/>
          <w:lang w:val="zh-CN"/>
        </w:rPr>
        <w:t>C</w:t>
      </w:r>
      <w:r>
        <w:rPr>
          <w:rFonts w:eastAsia="楷体_GB2312" w:cs="MingLiU_HKSCS" w:hint="eastAsia"/>
          <w:color w:val="000000"/>
          <w:szCs w:val="21"/>
          <w:lang w:val="zh-CN"/>
        </w:rPr>
        <w:t>公司出于生产经营的目的，在施工中按照涉案专利方法的步骤、条件逐一再现了专利方法的全过程，构成使用专利方法的侵权行为。</w:t>
      </w:r>
      <w:r>
        <w:rPr>
          <w:rFonts w:eastAsia="楷体_GB2312" w:cs="MingLiU_HKSCS" w:hint="eastAsia"/>
          <w:color w:val="000000"/>
          <w:szCs w:val="21"/>
          <w:lang w:val="zh-CN"/>
        </w:rPr>
        <w:t>B</w:t>
      </w:r>
      <w:r>
        <w:rPr>
          <w:rFonts w:eastAsia="楷体_GB2312" w:cs="MingLiU_HKSCS" w:hint="eastAsia"/>
          <w:color w:val="000000"/>
          <w:szCs w:val="21"/>
          <w:lang w:val="zh-CN"/>
        </w:rPr>
        <w:t>公司虽未使用涉案专利方法，但其在销售产品时，利用说明书向用户提供该侵权方法，</w:t>
      </w:r>
      <w:r>
        <w:rPr>
          <w:rFonts w:eastAsia="楷体_GB2312" w:cs="MingLiU_HKSCS" w:hint="eastAsia"/>
          <w:color w:val="000000"/>
          <w:szCs w:val="21"/>
          <w:lang w:val="zh-CN"/>
        </w:rPr>
        <w:t>B</w:t>
      </w:r>
      <w:r>
        <w:rPr>
          <w:rFonts w:eastAsia="楷体_GB2312" w:cs="MingLiU_HKSCS" w:hint="eastAsia"/>
          <w:color w:val="000000"/>
          <w:szCs w:val="21"/>
          <w:lang w:val="zh-CN"/>
        </w:rPr>
        <w:t>公司明知用户在使用产品时必然按照其说明书的方法使用相应产品，其行为构成诱导他人实施该侵权方法。</w:t>
      </w:r>
      <w:r>
        <w:rPr>
          <w:rFonts w:eastAsia="楷体_GB2312" w:cs="MingLiU_HKSCS" w:hint="eastAsia"/>
          <w:color w:val="000000"/>
          <w:szCs w:val="21"/>
          <w:lang w:val="zh-CN"/>
        </w:rPr>
        <w:t>B</w:t>
      </w:r>
      <w:r>
        <w:rPr>
          <w:rFonts w:eastAsia="楷体_GB2312" w:cs="MingLiU_HKSCS" w:hint="eastAsia"/>
          <w:color w:val="000000"/>
          <w:szCs w:val="21"/>
          <w:lang w:val="zh-CN"/>
        </w:rPr>
        <w:t>公司明知有关方法被授予专利权，未经专利权人许可，为生产经营目的积极诱导他人实施了侵犯专利权的行为，</w:t>
      </w:r>
      <w:r>
        <w:rPr>
          <w:rFonts w:eastAsia="楷体_GB2312" w:cs="MingLiU_HKSCS" w:hint="eastAsia"/>
          <w:color w:val="000000"/>
          <w:szCs w:val="21"/>
          <w:lang w:val="zh-CN"/>
        </w:rPr>
        <w:t>B</w:t>
      </w:r>
      <w:r>
        <w:rPr>
          <w:rFonts w:eastAsia="楷体_GB2312" w:cs="MingLiU_HKSCS" w:hint="eastAsia"/>
          <w:color w:val="000000"/>
          <w:szCs w:val="21"/>
          <w:lang w:val="zh-CN"/>
        </w:rPr>
        <w:t>公司与</w:t>
      </w:r>
      <w:r>
        <w:rPr>
          <w:rFonts w:eastAsia="楷体_GB2312" w:cs="MingLiU_HKSCS" w:hint="eastAsia"/>
          <w:color w:val="000000"/>
          <w:szCs w:val="21"/>
          <w:lang w:val="zh-CN"/>
        </w:rPr>
        <w:t>C</w:t>
      </w:r>
      <w:r>
        <w:rPr>
          <w:rFonts w:eastAsia="楷体_GB2312" w:cs="MingLiU_HKSCS" w:hint="eastAsia"/>
          <w:color w:val="000000"/>
          <w:szCs w:val="21"/>
          <w:lang w:val="zh-CN"/>
        </w:rPr>
        <w:t>公司构成共同侵权，承担连带责任。</w:t>
      </w:r>
    </w:p>
    <w:p w:rsidR="00800760" w:rsidRDefault="00235733">
      <w:pPr>
        <w:pStyle w:val="3"/>
        <w:topLinePunct/>
        <w:spacing w:before="240"/>
        <w:ind w:firstLine="444"/>
        <w:jc w:val="both"/>
        <w:rPr>
          <w:rFonts w:ascii="Times New Roman" w:hAnsi="Times New Roman"/>
        </w:rPr>
      </w:pPr>
      <w:bookmarkStart w:id="1472" w:name="_Toc3958"/>
      <w:bookmarkStart w:id="1473" w:name="_Toc27782"/>
      <w:bookmarkStart w:id="1474" w:name="_Toc9535"/>
      <w:bookmarkStart w:id="1475" w:name="_Toc22826"/>
      <w:bookmarkStart w:id="1476" w:name="_Toc31106"/>
      <w:bookmarkStart w:id="1477" w:name="_Toc11457"/>
      <w:bookmarkStart w:id="1478" w:name="_Toc1397"/>
      <w:bookmarkStart w:id="1479" w:name="_Toc9717"/>
      <w:bookmarkStart w:id="1480" w:name="_Toc4600"/>
      <w:bookmarkStart w:id="1481" w:name="_Toc21748"/>
      <w:bookmarkStart w:id="1482" w:name="_Toc20507"/>
      <w:bookmarkStart w:id="1483" w:name="_Toc9905"/>
      <w:bookmarkStart w:id="1484" w:name="_Toc7806"/>
      <w:bookmarkStart w:id="1485" w:name="_Toc897"/>
      <w:bookmarkStart w:id="1486" w:name="_Toc18159"/>
      <w:bookmarkStart w:id="1487" w:name="_Toc28237"/>
      <w:bookmarkStart w:id="1488" w:name="_Toc28760"/>
      <w:bookmarkStart w:id="1489" w:name="_Toc4469"/>
      <w:bookmarkStart w:id="1490" w:name="_Toc18879"/>
      <w:bookmarkStart w:id="1491" w:name="_Toc26310"/>
      <w:bookmarkStart w:id="1492" w:name="_Toc19533"/>
      <w:bookmarkStart w:id="1493" w:name="_Toc20280"/>
      <w:bookmarkStart w:id="1494" w:name="_Toc1530"/>
      <w:bookmarkStart w:id="1495" w:name="_Toc24005"/>
      <w:bookmarkStart w:id="1496" w:name="_Toc2241"/>
      <w:bookmarkStart w:id="1497" w:name="_Toc18830"/>
      <w:bookmarkStart w:id="1498" w:name="_Toc28864"/>
      <w:bookmarkStart w:id="1499" w:name="_Toc24544"/>
      <w:bookmarkStart w:id="1500" w:name="_Toc609"/>
      <w:bookmarkStart w:id="1501" w:name="_Toc22022"/>
      <w:bookmarkStart w:id="1502" w:name="_Toc2759"/>
      <w:bookmarkStart w:id="1503" w:name="_Toc17472"/>
      <w:bookmarkStart w:id="1504" w:name="_Toc229114365"/>
      <w:bookmarkStart w:id="1505" w:name="_Toc13538"/>
      <w:bookmarkStart w:id="1506" w:name="_Toc4895"/>
      <w:bookmarkStart w:id="1507" w:name="_Toc20986"/>
      <w:bookmarkStart w:id="1508" w:name="_Toc28611"/>
      <w:bookmarkStart w:id="1509" w:name="_Toc217908620"/>
      <w:bookmarkStart w:id="1510" w:name="_Toc26173"/>
      <w:bookmarkStart w:id="1511" w:name="_Toc32631"/>
      <w:bookmarkStart w:id="1512" w:name="_Toc8549"/>
      <w:bookmarkStart w:id="1513" w:name="_Toc22429"/>
      <w:bookmarkStart w:id="1514" w:name="_Toc29031"/>
      <w:bookmarkStart w:id="1515" w:name="_Toc16528"/>
      <w:bookmarkStart w:id="1516" w:name="_Toc229225461"/>
      <w:r>
        <w:rPr>
          <w:rFonts w:ascii="Times New Roman" w:hAnsi="Times New Roman" w:hint="eastAsia"/>
        </w:rPr>
        <w:t>二、帮助他人实施专利侵权行为</w:t>
      </w:r>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对于明知有关产品系专门用于实施专利的材料、设备、零部件、中间物等，未经专利权人许可，为生产经营目的将该产品提供给他人实施了侵犯专利权的行为，应当认定为属于帮助他人实施侵权行为。</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对于帮助侵权行为，其相比于教唆侵权行为，除了上述的构成要件，还强调了帮助人物理性的协助行为共同导致专利权人的损害。从生产经营的全过程来看，除了上述提供专用原材料或零部件等的行为，为他人侵害专利权提供的帮助行为，如仓储、运输、邮寄、隐匿、提供经营场所、</w:t>
      </w:r>
      <w:r>
        <w:rPr>
          <w:rFonts w:cs="Arial"/>
          <w:color w:val="333333"/>
          <w:shd w:val="clear" w:color="auto" w:fill="FFFFFF"/>
        </w:rPr>
        <w:t>网络商品交易平台</w:t>
      </w:r>
      <w:r>
        <w:rPr>
          <w:rFonts w:cs="Arial" w:hint="eastAsia"/>
          <w:color w:val="333333"/>
          <w:shd w:val="clear" w:color="auto" w:fill="FFFFFF"/>
        </w:rPr>
        <w:t>等的行为，如果专利权人能够证明其具有主观故意，也应当认定为</w:t>
      </w:r>
      <w:r>
        <w:rPr>
          <w:rFonts w:cs="MingLiU_HKSCS" w:hint="eastAsia"/>
          <w:color w:val="000000"/>
          <w:szCs w:val="21"/>
          <w:lang w:val="zh-CN"/>
        </w:rPr>
        <w:t>帮助他人实施侵权行为</w:t>
      </w:r>
      <w:r>
        <w:rPr>
          <w:rFonts w:cs="Arial" w:hint="eastAsia"/>
          <w:color w:val="333333"/>
          <w:shd w:val="clear" w:color="auto" w:fill="FFFFFF"/>
        </w:rPr>
        <w:t>。</w:t>
      </w:r>
    </w:p>
    <w:p w:rsidR="00800760" w:rsidRDefault="00235733">
      <w:pPr>
        <w:pStyle w:val="af6"/>
        <w:spacing w:before="120"/>
        <w:ind w:firstLine="420"/>
        <w:rPr>
          <w:rFonts w:ascii="Times New Roman" w:hAnsi="Times New Roman"/>
        </w:rPr>
      </w:pPr>
      <w:bookmarkStart w:id="1517" w:name="_Toc26681"/>
      <w:bookmarkStart w:id="1518" w:name="_Toc24006"/>
      <w:r>
        <w:rPr>
          <w:rFonts w:ascii="Times New Roman" w:hAnsi="Times New Roman" w:hint="eastAsia"/>
        </w:rPr>
        <w:t>【</w:t>
      </w:r>
      <w:r>
        <w:rPr>
          <w:rFonts w:hint="eastAsia"/>
        </w:rPr>
        <w:t>案例</w:t>
      </w:r>
      <w:r>
        <w:rPr>
          <w:rFonts w:ascii="Times New Roman" w:hAnsi="Times New Roman"/>
        </w:rPr>
        <w:t>3-</w:t>
      </w:r>
      <w:r>
        <w:rPr>
          <w:rFonts w:ascii="Times New Roman" w:hAnsi="Times New Roman" w:hint="eastAsia"/>
        </w:rPr>
        <w:t>2</w:t>
      </w:r>
      <w:r>
        <w:rPr>
          <w:rFonts w:ascii="Times New Roman" w:hAnsi="Times New Roman"/>
        </w:rPr>
        <w:t>-</w:t>
      </w:r>
      <w:r>
        <w:rPr>
          <w:rFonts w:ascii="Times New Roman" w:hAnsi="Times New Roman" w:hint="eastAsia"/>
        </w:rPr>
        <w:t>2</w:t>
      </w:r>
      <w:r>
        <w:rPr>
          <w:rFonts w:ascii="Times New Roman" w:hAnsi="Times New Roman" w:hint="eastAsia"/>
        </w:rPr>
        <w:t>】</w:t>
      </w:r>
      <w:bookmarkEnd w:id="1517"/>
      <w:bookmarkEnd w:id="1518"/>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在某专利侵权纠纷中，请求人拥有一项“全自动挂布机”的实用新型专利，权利要求中记载该装置包括隧道式机架和可在机架内移动的挂布车。</w:t>
      </w:r>
      <w:r>
        <w:rPr>
          <w:rFonts w:eastAsia="楷体_GB2312" w:cs="MingLiU_HKSCS" w:hint="eastAsia"/>
          <w:color w:val="000000"/>
          <w:szCs w:val="21"/>
          <w:lang w:val="zh-CN"/>
        </w:rPr>
        <w:t>B</w:t>
      </w:r>
      <w:r>
        <w:rPr>
          <w:rFonts w:eastAsia="楷体_GB2312" w:cs="MingLiU_HKSCS" w:hint="eastAsia"/>
          <w:color w:val="000000"/>
          <w:szCs w:val="21"/>
          <w:lang w:val="zh-CN"/>
        </w:rPr>
        <w:t>公司为一家</w:t>
      </w:r>
      <w:r>
        <w:rPr>
          <w:rFonts w:eastAsia="楷体_GB2312" w:cs="MingLiU_HKSCS"/>
          <w:color w:val="000000"/>
          <w:szCs w:val="21"/>
          <w:lang w:val="zh-CN"/>
        </w:rPr>
        <w:t>生产经营挂布机设备</w:t>
      </w:r>
      <w:r>
        <w:rPr>
          <w:rFonts w:eastAsia="楷体_GB2312" w:cs="MingLiU_HKSCS" w:hint="eastAsia"/>
          <w:color w:val="000000"/>
          <w:szCs w:val="21"/>
          <w:lang w:val="zh-CN"/>
        </w:rPr>
        <w:t>的公司，其将一款专用于组装挂布机的</w:t>
      </w:r>
      <w:r>
        <w:rPr>
          <w:rFonts w:eastAsia="楷体_GB2312" w:cs="MingLiU_HKSCS"/>
          <w:color w:val="000000"/>
          <w:szCs w:val="21"/>
          <w:lang w:val="zh-CN"/>
        </w:rPr>
        <w:t>隧道式机架</w:t>
      </w:r>
      <w:r>
        <w:rPr>
          <w:rFonts w:eastAsia="楷体_GB2312" w:cs="MingLiU_HKSCS" w:hint="eastAsia"/>
          <w:color w:val="000000"/>
          <w:szCs w:val="21"/>
          <w:lang w:val="zh-CN"/>
        </w:rPr>
        <w:t>产品售卖给</w:t>
      </w:r>
      <w:r>
        <w:rPr>
          <w:rFonts w:eastAsia="楷体_GB2312" w:cs="MingLiU_HKSCS" w:hint="eastAsia"/>
          <w:color w:val="000000"/>
          <w:szCs w:val="21"/>
          <w:lang w:val="zh-CN"/>
        </w:rPr>
        <w:t>A</w:t>
      </w:r>
      <w:r>
        <w:rPr>
          <w:rFonts w:eastAsia="楷体_GB2312" w:cs="MingLiU_HKSCS" w:hint="eastAsia"/>
          <w:color w:val="000000"/>
          <w:szCs w:val="21"/>
          <w:lang w:val="zh-CN"/>
        </w:rPr>
        <w:t>公司用于组装挂布机，该隧道式机架的技术特征与涉案专利限定的隧道式机架技术特征相同。</w:t>
      </w:r>
      <w:r>
        <w:rPr>
          <w:rFonts w:eastAsia="楷体_GB2312" w:cs="MingLiU_HKSCS"/>
          <w:color w:val="000000"/>
          <w:szCs w:val="21"/>
          <w:lang w:val="zh-CN"/>
        </w:rPr>
        <w:t>A</w:t>
      </w:r>
      <w:r>
        <w:rPr>
          <w:rFonts w:eastAsia="楷体_GB2312" w:cs="MingLiU_HKSCS"/>
          <w:color w:val="000000"/>
          <w:szCs w:val="21"/>
          <w:lang w:val="zh-CN"/>
        </w:rPr>
        <w:t>公司</w:t>
      </w:r>
      <w:r>
        <w:rPr>
          <w:rFonts w:eastAsia="楷体_GB2312" w:cs="MingLiU_HKSCS" w:hint="eastAsia"/>
          <w:color w:val="000000"/>
          <w:szCs w:val="21"/>
          <w:lang w:val="zh-CN"/>
        </w:rPr>
        <w:t>购买隧道式机架后，又自行制造挂布车结合使用，该挂布车的技术特征与涉案专利限定的挂布车技术特征相同。请求人因此要求</w:t>
      </w:r>
      <w:r>
        <w:rPr>
          <w:rFonts w:eastAsia="楷体_GB2312" w:cs="MingLiU_HKSCS" w:hint="eastAsia"/>
          <w:color w:val="000000"/>
          <w:szCs w:val="21"/>
          <w:lang w:val="zh-CN"/>
        </w:rPr>
        <w:t>A</w:t>
      </w:r>
      <w:r>
        <w:rPr>
          <w:rFonts w:eastAsia="楷体_GB2312" w:cs="MingLiU_HKSCS" w:hint="eastAsia"/>
          <w:color w:val="000000"/>
          <w:szCs w:val="21"/>
          <w:lang w:val="zh-CN"/>
        </w:rPr>
        <w:t>公司和</w:t>
      </w:r>
      <w:r>
        <w:rPr>
          <w:rFonts w:eastAsia="楷体_GB2312" w:cs="MingLiU_HKSCS" w:hint="eastAsia"/>
          <w:color w:val="000000"/>
          <w:szCs w:val="21"/>
          <w:lang w:val="zh-CN"/>
        </w:rPr>
        <w:t>B</w:t>
      </w:r>
      <w:r>
        <w:rPr>
          <w:rFonts w:eastAsia="楷体_GB2312" w:cs="MingLiU_HKSCS" w:hint="eastAsia"/>
          <w:color w:val="000000"/>
          <w:szCs w:val="21"/>
          <w:lang w:val="zh-CN"/>
        </w:rPr>
        <w:t>公司承担共同侵权责任。</w:t>
      </w:r>
      <w:r>
        <w:rPr>
          <w:rFonts w:eastAsia="楷体_GB2312" w:cs="MingLiU_HKSCS" w:hint="eastAsia"/>
          <w:color w:val="000000"/>
          <w:szCs w:val="21"/>
          <w:lang w:val="zh-CN"/>
        </w:rPr>
        <w:t>B</w:t>
      </w:r>
      <w:r>
        <w:rPr>
          <w:rFonts w:eastAsia="楷体_GB2312" w:cs="MingLiU_HKSCS" w:hint="eastAsia"/>
          <w:color w:val="000000"/>
          <w:szCs w:val="21"/>
          <w:lang w:val="zh-CN"/>
        </w:rPr>
        <w:t>公司辩称其生产、销售的隧道式机架产品不具备专利中的与“挂布车”有关的技术特征，因此不构成侵权。</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在这一侵权纠纷中，</w:t>
      </w:r>
      <w:r>
        <w:rPr>
          <w:rFonts w:eastAsia="楷体_GB2312" w:cs="MingLiU_HKSCS" w:hint="eastAsia"/>
          <w:color w:val="000000"/>
          <w:szCs w:val="21"/>
          <w:lang w:val="zh-CN"/>
        </w:rPr>
        <w:t>B</w:t>
      </w:r>
      <w:r>
        <w:rPr>
          <w:rFonts w:eastAsia="楷体_GB2312" w:cs="MingLiU_HKSCS" w:hint="eastAsia"/>
          <w:color w:val="000000"/>
          <w:szCs w:val="21"/>
          <w:lang w:val="zh-CN"/>
        </w:rPr>
        <w:t>公司虽未销售涉案专利的挂布机整体产品，但是其销售的隧道式机架具备涉案专利隧道式机架的全部技术特征，</w:t>
      </w:r>
      <w:r>
        <w:rPr>
          <w:rFonts w:eastAsia="楷体_GB2312" w:cs="MingLiU_HKSCS" w:hint="eastAsia"/>
          <w:color w:val="000000"/>
          <w:szCs w:val="21"/>
          <w:lang w:val="zh-CN"/>
        </w:rPr>
        <w:t>B</w:t>
      </w:r>
      <w:r>
        <w:rPr>
          <w:rFonts w:eastAsia="楷体_GB2312" w:cs="MingLiU_HKSCS" w:hint="eastAsia"/>
          <w:color w:val="000000"/>
          <w:szCs w:val="21"/>
          <w:lang w:val="zh-CN"/>
        </w:rPr>
        <w:t>公司作为同业经营者，其明知该隧道式机架需与挂布车配合使用，因此可以认定其销售的隧道式机架为专门用于实施涉案专利的设备。</w:t>
      </w:r>
      <w:r>
        <w:rPr>
          <w:rFonts w:eastAsia="楷体_GB2312" w:cs="MingLiU_HKSCS" w:hint="eastAsia"/>
          <w:color w:val="000000"/>
          <w:szCs w:val="21"/>
          <w:lang w:val="zh-CN"/>
        </w:rPr>
        <w:t>B</w:t>
      </w:r>
      <w:r>
        <w:rPr>
          <w:rFonts w:eastAsia="楷体_GB2312" w:cs="MingLiU_HKSCS" w:hint="eastAsia"/>
          <w:color w:val="000000"/>
          <w:szCs w:val="21"/>
          <w:lang w:val="zh-CN"/>
        </w:rPr>
        <w:t>公司为生产经营目的提供产品组件，且其明知该产品组件系用于实施侵犯他人专利权行为的专用产品，其行为应当依法认定为帮助他人实施侵权的行为，</w:t>
      </w:r>
      <w:r>
        <w:rPr>
          <w:rFonts w:eastAsia="楷体_GB2312" w:cs="MingLiU_HKSCS" w:hint="eastAsia"/>
          <w:color w:val="000000"/>
          <w:szCs w:val="21"/>
          <w:lang w:val="zh-CN"/>
        </w:rPr>
        <w:t>B</w:t>
      </w:r>
      <w:r>
        <w:rPr>
          <w:rFonts w:eastAsia="楷体_GB2312" w:cs="MingLiU_HKSCS" w:hint="eastAsia"/>
          <w:color w:val="000000"/>
          <w:szCs w:val="21"/>
          <w:lang w:val="zh-CN"/>
        </w:rPr>
        <w:t>公司不能以其未实施全面覆盖专利权利要求全部技术特征的行为为由主张不侵权。</w:t>
      </w:r>
      <w:r>
        <w:rPr>
          <w:rFonts w:eastAsia="楷体_GB2312" w:cs="MingLiU_HKSCS" w:hint="eastAsia"/>
          <w:color w:val="000000"/>
          <w:szCs w:val="21"/>
          <w:lang w:val="zh-CN"/>
        </w:rPr>
        <w:t>A</w:t>
      </w:r>
      <w:r>
        <w:rPr>
          <w:rFonts w:eastAsia="楷体_GB2312" w:cs="MingLiU_HKSCS" w:hint="eastAsia"/>
          <w:color w:val="000000"/>
          <w:szCs w:val="21"/>
          <w:lang w:val="zh-CN"/>
        </w:rPr>
        <w:t>公司和</w:t>
      </w:r>
      <w:r>
        <w:rPr>
          <w:rFonts w:eastAsia="楷体_GB2312" w:cs="MingLiU_HKSCS" w:hint="eastAsia"/>
          <w:color w:val="000000"/>
          <w:szCs w:val="21"/>
          <w:lang w:val="zh-CN"/>
        </w:rPr>
        <w:t>B</w:t>
      </w:r>
      <w:r>
        <w:rPr>
          <w:rFonts w:eastAsia="楷体_GB2312" w:cs="MingLiU_HKSCS" w:hint="eastAsia"/>
          <w:color w:val="000000"/>
          <w:szCs w:val="21"/>
          <w:lang w:val="zh-CN"/>
        </w:rPr>
        <w:t>公司构成共同侵权，承担连带责任。</w:t>
      </w:r>
    </w:p>
    <w:p w:rsidR="00800760" w:rsidRDefault="00800760">
      <w:pPr>
        <w:widowControl w:val="0"/>
        <w:topLinePunct/>
        <w:jc w:val="both"/>
        <w:rPr>
          <w:rFonts w:eastAsia="楷体_GB2312" w:cs="MingLiU_HKSCS"/>
          <w:color w:val="000000"/>
          <w:szCs w:val="21"/>
          <w:lang w:val="zh-CN"/>
        </w:rPr>
      </w:pPr>
    </w:p>
    <w:p w:rsidR="00800760" w:rsidRDefault="00235733">
      <w:pPr>
        <w:pStyle w:val="2"/>
        <w:topLinePunct/>
        <w:ind w:firstLineChars="0" w:firstLine="0"/>
        <w:rPr>
          <w:rFonts w:ascii="Times New Roman" w:hAnsi="Times New Roman"/>
        </w:rPr>
      </w:pPr>
      <w:bookmarkStart w:id="1519" w:name="_Toc5793"/>
      <w:bookmarkStart w:id="1520" w:name="_Toc11881"/>
      <w:bookmarkStart w:id="1521" w:name="_Toc183"/>
      <w:bookmarkStart w:id="1522" w:name="_Toc29857"/>
      <w:bookmarkStart w:id="1523" w:name="_Toc28867"/>
      <w:bookmarkStart w:id="1524" w:name="_Toc21429"/>
      <w:bookmarkStart w:id="1525" w:name="_Toc14201"/>
      <w:bookmarkStart w:id="1526" w:name="_Toc2427"/>
      <w:bookmarkStart w:id="1527" w:name="_Toc19321"/>
      <w:bookmarkStart w:id="1528" w:name="_Toc2054"/>
      <w:bookmarkStart w:id="1529" w:name="_Toc20647"/>
      <w:bookmarkStart w:id="1530" w:name="_Toc13896"/>
      <w:bookmarkStart w:id="1531" w:name="_Toc4942"/>
      <w:bookmarkStart w:id="1532" w:name="_Toc24154"/>
      <w:bookmarkStart w:id="1533" w:name="_Toc56"/>
      <w:bookmarkStart w:id="1534" w:name="_Toc303"/>
      <w:bookmarkStart w:id="1535" w:name="_Toc6124"/>
      <w:bookmarkStart w:id="1536" w:name="_Toc11963"/>
      <w:bookmarkStart w:id="1537" w:name="_Toc2030"/>
      <w:bookmarkStart w:id="1538" w:name="_Toc7609"/>
      <w:bookmarkStart w:id="1539" w:name="_Toc4271"/>
      <w:bookmarkStart w:id="1540" w:name="_Toc3990"/>
      <w:bookmarkStart w:id="1541" w:name="_Toc29908"/>
      <w:bookmarkStart w:id="1542" w:name="_Toc28670"/>
      <w:bookmarkStart w:id="1543" w:name="_Toc29969"/>
      <w:bookmarkStart w:id="1544" w:name="_Toc12742"/>
      <w:bookmarkStart w:id="1545" w:name="_Toc18590"/>
      <w:bookmarkStart w:id="1546" w:name="_Toc32503"/>
      <w:bookmarkStart w:id="1547" w:name="_Toc4237"/>
      <w:bookmarkStart w:id="1548" w:name="_Toc25325"/>
      <w:bookmarkStart w:id="1549" w:name="_Toc17658"/>
      <w:bookmarkStart w:id="1550" w:name="_Toc6396"/>
      <w:bookmarkStart w:id="1551" w:name="_Toc6726"/>
      <w:bookmarkStart w:id="1552" w:name="_Toc20113"/>
      <w:bookmarkStart w:id="1553" w:name="_Toc1224"/>
      <w:bookmarkStart w:id="1554" w:name="_Toc25207"/>
      <w:bookmarkStart w:id="1555" w:name="_Toc25595"/>
      <w:bookmarkStart w:id="1556" w:name="_Toc24973"/>
      <w:bookmarkStart w:id="1557" w:name="_Toc28401"/>
      <w:bookmarkStart w:id="1558" w:name="_Toc217908621"/>
      <w:bookmarkStart w:id="1559" w:name="_Toc16908"/>
      <w:bookmarkStart w:id="1560" w:name="_Toc9689"/>
      <w:bookmarkStart w:id="1561" w:name="_Toc229114366"/>
      <w:bookmarkStart w:id="1562" w:name="_Toc24525"/>
      <w:bookmarkStart w:id="1563" w:name="_Toc229225462"/>
      <w:bookmarkEnd w:id="1424"/>
      <w:r>
        <w:rPr>
          <w:rFonts w:ascii="Times New Roman" w:hAnsi="Times New Roman" w:hint="eastAsia"/>
        </w:rPr>
        <w:t>第三节　不侵犯专利权的行为</w:t>
      </w:r>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p>
    <w:p w:rsidR="00800760" w:rsidRDefault="00235733">
      <w:pPr>
        <w:widowControl w:val="0"/>
        <w:topLinePunct/>
        <w:ind w:firstLine="428"/>
        <w:jc w:val="both"/>
        <w:rPr>
          <w:rFonts w:cs="MingLiU_HKSCS"/>
          <w:color w:val="000000"/>
          <w:spacing w:val="2"/>
          <w:szCs w:val="21"/>
          <w:lang w:val="zh-CN"/>
        </w:rPr>
      </w:pPr>
      <w:r>
        <w:rPr>
          <w:rFonts w:cs="MingLiU_HKSCS" w:hint="eastAsia"/>
          <w:color w:val="000000"/>
          <w:spacing w:val="2"/>
          <w:szCs w:val="21"/>
          <w:lang w:val="zh-CN"/>
        </w:rPr>
        <w:t>根据《专利法》第十一条的规定，如果被控侵权人实施专利经过专利权人许可，或者不以生产经营为目的，或者获得《专利法》第六章规定的特别许可，或者被《专利法》第七十五条明确规定为不侵犯专利权，则该行为不构成侵犯专利权的行为。</w:t>
      </w:r>
    </w:p>
    <w:p w:rsidR="00800760" w:rsidRDefault="00235733">
      <w:pPr>
        <w:pStyle w:val="3"/>
        <w:topLinePunct/>
        <w:spacing w:before="240"/>
        <w:ind w:firstLine="444"/>
        <w:rPr>
          <w:rFonts w:ascii="Times New Roman" w:hAnsi="Times New Roman"/>
        </w:rPr>
      </w:pPr>
      <w:bookmarkStart w:id="1564" w:name="_Toc2882"/>
      <w:bookmarkStart w:id="1565" w:name="_Toc1425"/>
      <w:bookmarkStart w:id="1566" w:name="_Toc29230"/>
      <w:bookmarkStart w:id="1567" w:name="_Toc14561"/>
      <w:bookmarkStart w:id="1568" w:name="_Toc11978"/>
      <w:bookmarkStart w:id="1569" w:name="_Toc22043"/>
      <w:bookmarkStart w:id="1570" w:name="_Toc15919"/>
      <w:bookmarkStart w:id="1571" w:name="_Toc17643"/>
      <w:bookmarkStart w:id="1572" w:name="_Toc28434"/>
      <w:bookmarkStart w:id="1573" w:name="_Toc3182"/>
      <w:bookmarkStart w:id="1574" w:name="_Toc6323"/>
      <w:bookmarkStart w:id="1575" w:name="_Toc20201"/>
      <w:bookmarkStart w:id="1576" w:name="_Toc28593252"/>
      <w:bookmarkStart w:id="1577" w:name="_Toc1505"/>
      <w:bookmarkStart w:id="1578" w:name="_Toc24505"/>
      <w:bookmarkStart w:id="1579" w:name="_Toc25931"/>
      <w:bookmarkStart w:id="1580" w:name="_Toc20651"/>
      <w:bookmarkStart w:id="1581" w:name="_Toc14317"/>
      <w:bookmarkStart w:id="1582" w:name="_Toc7270"/>
      <w:bookmarkStart w:id="1583" w:name="_Toc27683"/>
      <w:bookmarkStart w:id="1584" w:name="_Toc19747"/>
      <w:bookmarkStart w:id="1585" w:name="_Toc20105"/>
      <w:bookmarkStart w:id="1586" w:name="_Toc12252"/>
      <w:bookmarkStart w:id="1587" w:name="_Toc12755"/>
      <w:bookmarkStart w:id="1588" w:name="_Toc27556"/>
      <w:bookmarkStart w:id="1589" w:name="_Toc17386"/>
      <w:bookmarkStart w:id="1590" w:name="_Toc24529"/>
      <w:bookmarkStart w:id="1591" w:name="_Toc27228"/>
      <w:bookmarkStart w:id="1592" w:name="_Toc15360"/>
      <w:bookmarkStart w:id="1593" w:name="_Toc24951"/>
      <w:bookmarkStart w:id="1594" w:name="_Toc3340"/>
      <w:bookmarkStart w:id="1595" w:name="_Toc10530"/>
      <w:bookmarkStart w:id="1596" w:name="_Toc3509"/>
      <w:bookmarkStart w:id="1597" w:name="_Toc7166"/>
      <w:bookmarkStart w:id="1598" w:name="_Toc18646"/>
      <w:bookmarkStart w:id="1599" w:name="_Toc31087"/>
      <w:bookmarkStart w:id="1600" w:name="_Toc30963"/>
      <w:bookmarkStart w:id="1601" w:name="_Toc30321"/>
      <w:bookmarkStart w:id="1602" w:name="_Toc24966"/>
      <w:bookmarkStart w:id="1603" w:name="_Toc19909"/>
      <w:bookmarkStart w:id="1604" w:name="_Toc32451"/>
      <w:bookmarkStart w:id="1605" w:name="_Toc217908622"/>
      <w:bookmarkStart w:id="1606" w:name="_Toc229114367"/>
      <w:bookmarkStart w:id="1607" w:name="_Toc11916"/>
      <w:bookmarkStart w:id="1608" w:name="_Toc14253"/>
      <w:bookmarkStart w:id="1609" w:name="_Toc229225463"/>
      <w:r>
        <w:rPr>
          <w:rFonts w:ascii="Times New Roman" w:hAnsi="Times New Roman" w:hint="eastAsia"/>
        </w:rPr>
        <w:t>一、经专利权人许可</w:t>
      </w:r>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专利权人许可分为明示许可和默示许可。专利权人明示许可是指专利权人以书面或口头形式确定其不会对被许可方实施专利的行为追究侵权责任。专利权人默示许可是指虽然不存在明确表示，但专利权人存在语言或行为暗示，使得他人认为其可以实施专利而不会被追究侵权责任。</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bookmarkStart w:id="1610" w:name="_Toc28593253"/>
      <w:r w:rsidR="00235733">
        <w:rPr>
          <w:rFonts w:ascii="Times New Roman" w:hAnsi="Times New Roman" w:hint="eastAsia"/>
          <w:color w:val="000000"/>
          <w:lang w:val="en-US"/>
        </w:rPr>
        <w:t>（一）</w:t>
      </w:r>
      <w:r>
        <w:rPr>
          <w:rFonts w:ascii="Times New Roman" w:hAnsi="Times New Roman"/>
          <w:color w:val="000000"/>
        </w:rPr>
        <w:fldChar w:fldCharType="end"/>
      </w:r>
      <w:r w:rsidR="00235733">
        <w:rPr>
          <w:rFonts w:ascii="Times New Roman" w:hAnsi="Times New Roman" w:hint="eastAsia"/>
          <w:color w:val="000000"/>
        </w:rPr>
        <w:t>专利权人明示许可</w:t>
      </w:r>
      <w:bookmarkEnd w:id="1610"/>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专利实施许可合同是专利权人作出明示许可的主要方式。专利实施许可合同是指专利权人、专利申请人或者其他权利人作为许可人，授权被许可人在约定的范围内实施专利，被许可人支付约定使用费所订立的合同。</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根据许可人是否保留实施权以及是否有权再许可他人实施，专利实施许可按许可方式分为普通实施许可、排他实施许可和独占实施许可。</w:t>
      </w:r>
      <w:bookmarkStart w:id="1611" w:name="tiao_25_kuan_1_xiang_2"/>
      <w:bookmarkStart w:id="1612" w:name="tiao_25_kuan_1_xiang_3"/>
      <w:bookmarkStart w:id="1613" w:name="tiao_25_kuan_1_xiang_1"/>
      <w:bookmarkStart w:id="1614" w:name="tiao_25_kuan_2"/>
      <w:bookmarkEnd w:id="1611"/>
      <w:bookmarkEnd w:id="1612"/>
      <w:bookmarkEnd w:id="1613"/>
      <w:bookmarkEnd w:id="1614"/>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普通实施许可，是指专利权人</w:t>
      </w:r>
      <w:r>
        <w:rPr>
          <w:rFonts w:cs="MingLiU_HKSCS"/>
          <w:color w:val="000000"/>
          <w:szCs w:val="21"/>
          <w:lang w:val="zh-CN"/>
        </w:rPr>
        <w:t>在约定许可实施专利的范围内许可他人实施该专利，并且可以自行实施该专利</w:t>
      </w:r>
      <w:r>
        <w:rPr>
          <w:rFonts w:cs="MingLiU_HKSCS" w:hint="eastAsia"/>
          <w:color w:val="000000"/>
          <w:szCs w:val="21"/>
          <w:lang w:val="zh-CN"/>
        </w:rPr>
        <w:t>，即专利权人保留在该范围内对该专利技术的使用权与转让权。普通专利实施许可的特征是，技术的使用权许可给被许可人的同时，专利权人仍保有使用这一专利技术的权利，同时不排斥其继续以同样条件在同一区域许可他人实施。</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排他实施许可，是指专利权人在约定许可实施专利的范围内将该专利仅许可一个被许可人实施，但专利权人依约定可以自行实施该专利。排他实施许可的特征是，被许可人在约定的范围内享有对合同约定的专利技术的使用权，专利权人仍保留在该范围内的使用权，但排除任何第三方在该范围内对同一专利技术的使用权。</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独占实施许可，是指专利权人在约定许可实施专利的范围内，将该专利仅许可一个被许可人实施，专利权人依约定不得实施该专利。独占实施许可的特征是，被许可人在约定的范围内享有对合同约定的专利技术的使用权，专利权人或任何第三方均不享有在该范围内对该项专利技术的使用权。</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双方当事人对专利实施许可方式没有约定或者约定不明确的，认定为普通实施许可。专利实施许可合同约定被许可人可以再许可他人实施专利的，除当事人另有约定外，该再许可应当认定为普通实施许可。</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bookmarkStart w:id="1615" w:name="_Toc28593254"/>
      <w:r w:rsidR="00235733">
        <w:rPr>
          <w:rFonts w:ascii="Times New Roman" w:hAnsi="Times New Roman" w:hint="eastAsia"/>
          <w:color w:val="000000"/>
          <w:lang w:val="en-US"/>
        </w:rPr>
        <w:t>（二）</w:t>
      </w:r>
      <w:r>
        <w:rPr>
          <w:rFonts w:ascii="Times New Roman" w:hAnsi="Times New Roman"/>
          <w:color w:val="000000"/>
        </w:rPr>
        <w:fldChar w:fldCharType="end"/>
      </w:r>
      <w:r w:rsidR="00235733">
        <w:rPr>
          <w:rFonts w:ascii="Times New Roman" w:hAnsi="Times New Roman" w:hint="eastAsia"/>
          <w:color w:val="000000"/>
        </w:rPr>
        <w:t>专利权人默示许可</w:t>
      </w:r>
      <w:bookmarkEnd w:id="1615"/>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专利权人默示许可是默示合同的一种形式。专利权人默示许可包括基于产品销售产生的专利默示许可和基于先前使用产生的专利默示许可等。</w:t>
      </w:r>
    </w:p>
    <w:p w:rsidR="00800760" w:rsidRDefault="00C22A7B" w:rsidP="00C22A7B">
      <w:pPr>
        <w:keepNext/>
        <w:topLinePunct/>
        <w:spacing w:beforeLines="50"/>
        <w:outlineLvl w:val="4"/>
        <w:rPr>
          <w:rFonts w:eastAsia="黑体"/>
          <w:color w:val="000000"/>
        </w:rPr>
      </w:pPr>
      <w:r>
        <w:rPr>
          <w:rFonts w:eastAsia="黑体"/>
          <w:color w:val="000000"/>
        </w:rPr>
        <w:fldChar w:fldCharType="begin"/>
      </w:r>
      <w:r w:rsidR="00235733">
        <w:rPr>
          <w:rFonts w:eastAsia="黑体"/>
          <w:color w:val="000000"/>
        </w:rPr>
        <w:instrText>= 1 \* GB1</w:instrText>
      </w:r>
      <w:r>
        <w:rPr>
          <w:rFonts w:eastAsia="黑体"/>
          <w:color w:val="000000"/>
        </w:rPr>
        <w:fldChar w:fldCharType="separate"/>
      </w:r>
      <w:bookmarkStart w:id="1616" w:name="_Toc28593255"/>
      <w:r w:rsidR="00235733">
        <w:rPr>
          <w:rFonts w:eastAsia="黑体" w:hint="eastAsia"/>
          <w:color w:val="000000"/>
        </w:rPr>
        <w:t xml:space="preserve">1. </w:t>
      </w:r>
      <w:r>
        <w:rPr>
          <w:rFonts w:eastAsia="黑体"/>
          <w:color w:val="000000"/>
        </w:rPr>
        <w:fldChar w:fldCharType="end"/>
      </w:r>
      <w:r w:rsidR="00235733">
        <w:rPr>
          <w:rFonts w:eastAsia="黑体" w:hint="eastAsia"/>
          <w:color w:val="000000"/>
        </w:rPr>
        <w:t>基于产品销售产生的专利默示许可</w:t>
      </w:r>
      <w:bookmarkEnd w:id="1616"/>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对于产品专利，如果专利权人或其被许可人并非销售专利产品本身，而是销售专利产品的相关零部件，并且这些零部件只能用于制造该专利产品，不能用于其他任何用途，同时专利权人或其被许可人在销售这些零部件时没有明确提出限制性条件，此时应当认为购买者获得了利用这些零部件制造、组装专利产品的默示许可，其制造、组装行为不构成专利侵权行为。</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对于方法专利，如果专利权人或其被许可人销售的设备或产品只能专用于实施其专利方法，同时专利权人或其被许可人在销售这些专利设备或产品时没有明确提出限制性条件，此时应当认为购买者获得了实施专利方法的默示许可。</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基于零部件或专用设备、产品的销售认定存在专利默示许可时应当满足两个条件：第一，专利权人或其被许可人销售的零部件、专用设备或产品除了用于实施专利技术外，没有其他任何用途；第二，专利权人或其被许可人在销售零部件、专用设备或产品时没有明确提出限制性条件。</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w:t>
      </w:r>
      <w:r>
        <w:rPr>
          <w:rFonts w:ascii="黑体" w:eastAsia="黑体" w:hAnsi="黑体" w:cs="MingLiU_HKSCS" w:hint="eastAsia"/>
          <w:color w:val="000000"/>
          <w:szCs w:val="21"/>
          <w:lang w:val="zh-CN"/>
        </w:rPr>
        <w:t>案例</w:t>
      </w:r>
      <w:r>
        <w:rPr>
          <w:rFonts w:eastAsia="黑体" w:cs="MingLiU_HKSCS"/>
          <w:color w:val="000000"/>
          <w:szCs w:val="21"/>
          <w:lang w:val="zh-CN"/>
        </w:rPr>
        <w:t>3-</w:t>
      </w:r>
      <w:r>
        <w:rPr>
          <w:rFonts w:eastAsia="黑体" w:cs="MingLiU_HKSCS" w:hint="eastAsia"/>
          <w:color w:val="000000"/>
          <w:szCs w:val="21"/>
          <w:lang w:val="zh-CN"/>
        </w:rPr>
        <w:t>3</w:t>
      </w:r>
      <w:r>
        <w:rPr>
          <w:rFonts w:eastAsia="黑体" w:cs="MingLiU_HKSCS"/>
          <w:color w:val="000000"/>
          <w:szCs w:val="21"/>
          <w:lang w:val="zh-CN"/>
        </w:rPr>
        <w:t>-</w:t>
      </w:r>
      <w:r>
        <w:rPr>
          <w:rFonts w:eastAsia="黑体" w:cs="MingLiU_HKSCS" w:hint="eastAsia"/>
          <w:color w:val="000000"/>
          <w:szCs w:val="21"/>
          <w:lang w:val="zh-CN"/>
        </w:rPr>
        <w:t>1</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在某专利侵权案件中，请求人拥有一项“全耐火纤维复合防火隔热卷帘”的实用新型专利权，其权利要求</w:t>
      </w:r>
      <w:r>
        <w:rPr>
          <w:rFonts w:eastAsia="楷体_GB2312" w:cs="MingLiU_HKSCS" w:hint="eastAsia"/>
          <w:color w:val="000000"/>
          <w:szCs w:val="21"/>
          <w:lang w:val="zh-CN"/>
        </w:rPr>
        <w:t>1</w:t>
      </w:r>
      <w:r>
        <w:rPr>
          <w:rFonts w:eastAsia="楷体_GB2312" w:cs="MingLiU_HKSCS" w:hint="eastAsia"/>
          <w:color w:val="000000"/>
          <w:szCs w:val="21"/>
          <w:lang w:val="zh-CN"/>
        </w:rPr>
        <w:t>如下：“一种全耐火纤维复合防火隔热卷帘，其有卷帘面、连接螺钉和薄钢带，其特征在于卷帘面中包含耐高温不锈钢丝、耐火纤维毯以及贴铝箔的耐火纤维布，耐高温不锈钢丝在耐火纤维毯的中间，耐火纤维毯的二边分别是耐火纤维布和贴铝箔的耐火纤维布。”该专利的发明点主要在于卷帘面本身的结构，而连接螺钉和薄钢带均为现有连接卷帘布的技术。请求人仅出售了涉案专利中的卷帘面，未出售带有连接螺钉和薄钢带的卷帘，但其卷帘面的产品说明书中载明，卷帘面须加装薄钢带和连接螺钉配套使用。</w:t>
      </w:r>
      <w:r>
        <w:rPr>
          <w:rFonts w:eastAsia="楷体_GB2312" w:cs="MingLiU_HKSCS" w:hint="eastAsia"/>
          <w:color w:val="000000"/>
          <w:szCs w:val="21"/>
          <w:lang w:val="zh-CN"/>
        </w:rPr>
        <w:t>A</w:t>
      </w:r>
      <w:r>
        <w:rPr>
          <w:rFonts w:eastAsia="楷体_GB2312" w:cs="MingLiU_HKSCS" w:hint="eastAsia"/>
          <w:color w:val="000000"/>
          <w:szCs w:val="21"/>
          <w:lang w:val="zh-CN"/>
        </w:rPr>
        <w:t>公司从请求人处购买了卷帘面后，加装了连接螺钉和薄钢带形成了卷帘成品，并将该卷帘成品进行售卖。请求人认为</w:t>
      </w:r>
      <w:r>
        <w:rPr>
          <w:rFonts w:eastAsia="楷体_GB2312" w:cs="MingLiU_HKSCS" w:hint="eastAsia"/>
          <w:color w:val="000000"/>
          <w:szCs w:val="21"/>
          <w:lang w:val="zh-CN"/>
        </w:rPr>
        <w:t>A</w:t>
      </w:r>
      <w:r>
        <w:rPr>
          <w:rFonts w:eastAsia="楷体_GB2312" w:cs="MingLiU_HKSCS" w:hint="eastAsia"/>
          <w:color w:val="000000"/>
          <w:szCs w:val="21"/>
          <w:lang w:val="zh-CN"/>
        </w:rPr>
        <w:t>公司侵犯了其专利权。</w:t>
      </w:r>
    </w:p>
    <w:p w:rsidR="00800760" w:rsidRDefault="00235733">
      <w:pPr>
        <w:widowControl w:val="0"/>
        <w:topLinePunct/>
        <w:jc w:val="both"/>
        <w:rPr>
          <w:rFonts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中，请求人出售了专用于涉案专利产品的半成品，而生产这些半成品的目的是销售给他人用于实施该项专利技术；该半成品的说明书也明确告知用户须加装薄钢带和连接螺钉配套使用，从中可以看出，该半成品包含了涉案专利的实质性特征。购买人购买该卷帘面后，必然会依照专利方法进行完工。因此，请求人对半成品卷帘面的销售行为本身就意味着对涉案专利的默示许可，</w:t>
      </w:r>
      <w:r>
        <w:rPr>
          <w:rFonts w:eastAsia="楷体_GB2312" w:cs="MingLiU_HKSCS" w:hint="eastAsia"/>
          <w:color w:val="000000"/>
          <w:szCs w:val="21"/>
          <w:lang w:val="zh-CN"/>
        </w:rPr>
        <w:t>A</w:t>
      </w:r>
      <w:r>
        <w:rPr>
          <w:rFonts w:eastAsia="楷体_GB2312" w:cs="MingLiU_HKSCS" w:hint="eastAsia"/>
          <w:color w:val="000000"/>
          <w:szCs w:val="21"/>
          <w:lang w:val="zh-CN"/>
        </w:rPr>
        <w:t>公司从专利权人处购买卷帘面并加工成专利产品的行为不构成侵犯专利权。</w:t>
      </w:r>
    </w:p>
    <w:p w:rsidR="00800760" w:rsidRDefault="00C22A7B" w:rsidP="00C22A7B">
      <w:pPr>
        <w:keepNext/>
        <w:topLinePunct/>
        <w:spacing w:beforeLines="50"/>
        <w:outlineLvl w:val="4"/>
        <w:rPr>
          <w:rFonts w:eastAsia="黑体"/>
          <w:color w:val="000000"/>
        </w:rPr>
      </w:pPr>
      <w:r>
        <w:rPr>
          <w:rFonts w:eastAsia="黑体"/>
          <w:color w:val="000000"/>
        </w:rPr>
        <w:fldChar w:fldCharType="begin"/>
      </w:r>
      <w:r w:rsidR="00235733">
        <w:rPr>
          <w:rFonts w:eastAsia="黑体"/>
          <w:color w:val="000000"/>
        </w:rPr>
        <w:instrText>= 2 \* GB1</w:instrText>
      </w:r>
      <w:r>
        <w:rPr>
          <w:rFonts w:eastAsia="黑体"/>
          <w:color w:val="000000"/>
        </w:rPr>
        <w:fldChar w:fldCharType="separate"/>
      </w:r>
      <w:bookmarkStart w:id="1617" w:name="_Toc28593256"/>
      <w:r w:rsidR="00235733">
        <w:rPr>
          <w:rFonts w:eastAsia="黑体" w:hint="eastAsia"/>
          <w:color w:val="000000"/>
        </w:rPr>
        <w:t xml:space="preserve">2. </w:t>
      </w:r>
      <w:r>
        <w:rPr>
          <w:rFonts w:eastAsia="黑体"/>
          <w:color w:val="000000"/>
        </w:rPr>
        <w:fldChar w:fldCharType="end"/>
      </w:r>
      <w:r w:rsidR="00235733">
        <w:rPr>
          <w:rFonts w:eastAsia="黑体" w:hint="eastAsia"/>
          <w:color w:val="000000"/>
        </w:rPr>
        <w:t>基于先前使用而产生的专利默示许可</w:t>
      </w:r>
      <w:bookmarkEnd w:id="1617"/>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如果专利权人先前存在允许他人使用的行为，则他人有可能基于该先前使用获得实施专利的默示许可。</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w:t>
      </w:r>
      <w:r>
        <w:rPr>
          <w:rFonts w:ascii="黑体" w:eastAsia="黑体" w:hAnsi="黑体" w:cs="MingLiU_HKSCS" w:hint="eastAsia"/>
          <w:color w:val="000000"/>
          <w:szCs w:val="21"/>
          <w:lang w:val="zh-CN"/>
        </w:rPr>
        <w:t>案例</w:t>
      </w:r>
      <w:r>
        <w:rPr>
          <w:rFonts w:eastAsia="黑体" w:cs="MingLiU_HKSCS"/>
          <w:color w:val="000000"/>
          <w:szCs w:val="21"/>
          <w:lang w:val="zh-CN"/>
        </w:rPr>
        <w:t>3-</w:t>
      </w:r>
      <w:r>
        <w:rPr>
          <w:rFonts w:eastAsia="黑体" w:cs="MingLiU_HKSCS" w:hint="eastAsia"/>
          <w:color w:val="000000"/>
          <w:szCs w:val="21"/>
          <w:lang w:val="zh-CN"/>
        </w:rPr>
        <w:t>3</w:t>
      </w:r>
      <w:r>
        <w:rPr>
          <w:rFonts w:eastAsia="黑体" w:cs="MingLiU_HKSCS"/>
          <w:color w:val="000000"/>
          <w:szCs w:val="21"/>
          <w:lang w:val="zh-CN"/>
        </w:rPr>
        <w:t>-</w:t>
      </w:r>
      <w:r>
        <w:rPr>
          <w:rFonts w:eastAsia="黑体" w:cs="MingLiU_HKSCS" w:hint="eastAsia"/>
          <w:color w:val="000000"/>
          <w:szCs w:val="21"/>
          <w:lang w:val="zh-CN"/>
        </w:rPr>
        <w:t>2</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在某专利侵权纠纷中，请求人拥有一项“单程线性内存模块”的发明专利权。请求人向</w:t>
      </w:r>
      <w:r>
        <w:rPr>
          <w:rFonts w:eastAsia="楷体_GB2312" w:cs="MingLiU_HKSCS"/>
          <w:color w:val="000000"/>
          <w:szCs w:val="21"/>
          <w:lang w:val="zh-CN"/>
        </w:rPr>
        <w:t>A</w:t>
      </w:r>
      <w:r>
        <w:rPr>
          <w:rFonts w:eastAsia="楷体_GB2312" w:cs="MingLiU_HKSCS" w:hint="eastAsia"/>
          <w:color w:val="000000"/>
          <w:szCs w:val="21"/>
          <w:lang w:val="zh-CN"/>
        </w:rPr>
        <w:t>公司提供了涉及该专利的图纸和其他技术细节，</w:t>
      </w:r>
      <w:r>
        <w:rPr>
          <w:rFonts w:eastAsia="楷体_GB2312" w:cs="MingLiU_HKSCS"/>
          <w:color w:val="000000"/>
          <w:szCs w:val="21"/>
          <w:lang w:val="zh-CN"/>
        </w:rPr>
        <w:t>A</w:t>
      </w:r>
      <w:r>
        <w:rPr>
          <w:rFonts w:eastAsia="楷体_GB2312" w:cs="MingLiU_HKSCS" w:hint="eastAsia"/>
          <w:color w:val="000000"/>
          <w:szCs w:val="21"/>
          <w:lang w:val="zh-CN"/>
        </w:rPr>
        <w:t>公司据此制造并销售该内存模块长达</w:t>
      </w:r>
      <w:r>
        <w:rPr>
          <w:rFonts w:eastAsia="楷体_GB2312" w:cs="MingLiU_HKSCS"/>
          <w:color w:val="000000"/>
          <w:szCs w:val="21"/>
          <w:lang w:val="zh-CN"/>
        </w:rPr>
        <w:t>6</w:t>
      </w:r>
      <w:r>
        <w:rPr>
          <w:rFonts w:eastAsia="楷体_GB2312" w:cs="MingLiU_HKSCS" w:hint="eastAsia"/>
          <w:color w:val="000000"/>
          <w:szCs w:val="21"/>
          <w:lang w:val="zh-CN"/>
        </w:rPr>
        <w:t>年之久，其中该内存模块也销售给了请求人，但请求人并未告知</w:t>
      </w:r>
      <w:r>
        <w:rPr>
          <w:rFonts w:eastAsia="楷体_GB2312" w:cs="MingLiU_HKSCS"/>
          <w:color w:val="000000"/>
          <w:szCs w:val="21"/>
          <w:lang w:val="zh-CN"/>
        </w:rPr>
        <w:t>A</w:t>
      </w:r>
      <w:r>
        <w:rPr>
          <w:rFonts w:eastAsia="楷体_GB2312" w:cs="MingLiU_HKSCS" w:hint="eastAsia"/>
          <w:color w:val="000000"/>
          <w:szCs w:val="21"/>
          <w:lang w:val="zh-CN"/>
        </w:rPr>
        <w:t>公司其已就此技术获得专利权。</w:t>
      </w:r>
      <w:r>
        <w:rPr>
          <w:rFonts w:eastAsia="楷体_GB2312" w:cs="MingLiU_HKSCS"/>
          <w:color w:val="000000"/>
          <w:szCs w:val="21"/>
          <w:lang w:val="zh-CN"/>
        </w:rPr>
        <w:t>6</w:t>
      </w:r>
      <w:r>
        <w:rPr>
          <w:rFonts w:eastAsia="楷体_GB2312" w:cs="MingLiU_HKSCS" w:hint="eastAsia"/>
          <w:color w:val="000000"/>
          <w:szCs w:val="21"/>
          <w:lang w:val="zh-CN"/>
        </w:rPr>
        <w:t>年后，请求人主张</w:t>
      </w:r>
      <w:r>
        <w:rPr>
          <w:rFonts w:eastAsia="楷体_GB2312" w:cs="MingLiU_HKSCS"/>
          <w:color w:val="000000"/>
          <w:szCs w:val="21"/>
          <w:lang w:val="zh-CN"/>
        </w:rPr>
        <w:t>A</w:t>
      </w:r>
      <w:r>
        <w:rPr>
          <w:rFonts w:eastAsia="楷体_GB2312" w:cs="MingLiU_HKSCS" w:hint="eastAsia"/>
          <w:color w:val="000000"/>
          <w:szCs w:val="21"/>
          <w:lang w:val="zh-CN"/>
        </w:rPr>
        <w:t>公司制造销售该内存模块的行为侵犯了其专利权。</w:t>
      </w:r>
    </w:p>
    <w:p w:rsidR="00800760" w:rsidRDefault="00235733">
      <w:pPr>
        <w:widowControl w:val="0"/>
        <w:topLinePunct/>
        <w:jc w:val="both"/>
        <w:rPr>
          <w:rFonts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本案中，事实表明，请求人曾通过提供设计、建议和样品，诱使</w:t>
      </w:r>
      <w:r>
        <w:rPr>
          <w:rFonts w:eastAsia="楷体_GB2312" w:cs="MingLiU_HKSCS"/>
          <w:color w:val="000000"/>
          <w:szCs w:val="21"/>
          <w:lang w:val="zh-CN"/>
        </w:rPr>
        <w:t>A</w:t>
      </w:r>
      <w:r>
        <w:rPr>
          <w:rFonts w:eastAsia="楷体_GB2312" w:cs="MingLiU_HKSCS" w:hint="eastAsia"/>
          <w:color w:val="000000"/>
          <w:szCs w:val="21"/>
          <w:lang w:val="zh-CN"/>
        </w:rPr>
        <w:t>公司进入内存模块市场，而请求人最终也向</w:t>
      </w:r>
      <w:r>
        <w:rPr>
          <w:rFonts w:eastAsia="楷体_GB2312" w:cs="MingLiU_HKSCS"/>
          <w:color w:val="000000"/>
          <w:szCs w:val="21"/>
          <w:lang w:val="zh-CN"/>
        </w:rPr>
        <w:t>A</w:t>
      </w:r>
      <w:r>
        <w:rPr>
          <w:rFonts w:eastAsia="楷体_GB2312" w:cs="MingLiU_HKSCS" w:hint="eastAsia"/>
          <w:color w:val="000000"/>
          <w:szCs w:val="21"/>
          <w:lang w:val="zh-CN"/>
        </w:rPr>
        <w:t>公司购买了该内存模块产品；同时，双方长达</w:t>
      </w:r>
      <w:r>
        <w:rPr>
          <w:rFonts w:eastAsia="楷体_GB2312" w:cs="MingLiU_HKSCS"/>
          <w:color w:val="000000"/>
          <w:szCs w:val="21"/>
          <w:lang w:val="zh-CN"/>
        </w:rPr>
        <w:t>6</w:t>
      </w:r>
      <w:r>
        <w:rPr>
          <w:rFonts w:eastAsia="楷体_GB2312" w:cs="MingLiU_HKSCS" w:hint="eastAsia"/>
          <w:color w:val="000000"/>
          <w:szCs w:val="21"/>
          <w:lang w:val="zh-CN"/>
        </w:rPr>
        <w:t>年的合作已经让</w:t>
      </w:r>
      <w:r>
        <w:rPr>
          <w:rFonts w:eastAsia="楷体_GB2312" w:cs="MingLiU_HKSCS"/>
          <w:color w:val="000000"/>
          <w:szCs w:val="21"/>
          <w:lang w:val="zh-CN"/>
        </w:rPr>
        <w:t>A</w:t>
      </w:r>
      <w:r>
        <w:rPr>
          <w:rFonts w:eastAsia="楷体_GB2312" w:cs="MingLiU_HKSCS" w:hint="eastAsia"/>
          <w:color w:val="000000"/>
          <w:szCs w:val="21"/>
          <w:lang w:val="zh-CN"/>
        </w:rPr>
        <w:t>公司合理地相信请求人同意其制造和销售专利产品。基于合理信赖的基本原则，</w:t>
      </w:r>
      <w:r>
        <w:rPr>
          <w:rFonts w:eastAsia="楷体_GB2312" w:cs="MingLiU_HKSCS"/>
          <w:color w:val="000000"/>
          <w:szCs w:val="21"/>
          <w:lang w:val="zh-CN"/>
        </w:rPr>
        <w:t>A</w:t>
      </w:r>
      <w:r>
        <w:rPr>
          <w:rFonts w:eastAsia="楷体_GB2312" w:cs="MingLiU_HKSCS" w:hint="eastAsia"/>
          <w:color w:val="000000"/>
          <w:szCs w:val="21"/>
          <w:lang w:val="zh-CN"/>
        </w:rPr>
        <w:t>公司已经基于对专利技术的在前先使用获得了实施专利的默示许可，其行为不构成侵犯专利权的行为。</w:t>
      </w:r>
    </w:p>
    <w:p w:rsidR="00800760" w:rsidRDefault="00235733">
      <w:pPr>
        <w:pStyle w:val="3"/>
        <w:topLinePunct/>
        <w:spacing w:before="240"/>
        <w:ind w:firstLine="444"/>
        <w:rPr>
          <w:rFonts w:ascii="Times New Roman" w:hAnsi="Times New Roman"/>
        </w:rPr>
      </w:pPr>
      <w:bookmarkStart w:id="1618" w:name="_Toc28593257"/>
      <w:bookmarkStart w:id="1619" w:name="_Toc5835"/>
      <w:bookmarkStart w:id="1620" w:name="_Toc14490"/>
      <w:bookmarkStart w:id="1621" w:name="_Toc4481"/>
      <w:bookmarkStart w:id="1622" w:name="_Toc19219"/>
      <w:bookmarkStart w:id="1623" w:name="_Toc23735"/>
      <w:bookmarkStart w:id="1624" w:name="_Toc22234"/>
      <w:bookmarkStart w:id="1625" w:name="_Toc3768"/>
      <w:bookmarkStart w:id="1626" w:name="_Toc19405"/>
      <w:bookmarkStart w:id="1627" w:name="_Toc2505"/>
      <w:bookmarkStart w:id="1628" w:name="_Toc18913"/>
      <w:bookmarkStart w:id="1629" w:name="_Toc2549"/>
      <w:bookmarkStart w:id="1630" w:name="_Toc22572"/>
      <w:bookmarkStart w:id="1631" w:name="_Toc26528"/>
      <w:bookmarkStart w:id="1632" w:name="_Toc31499"/>
      <w:bookmarkStart w:id="1633" w:name="_Toc10161"/>
      <w:bookmarkStart w:id="1634" w:name="_Toc25612"/>
      <w:bookmarkStart w:id="1635" w:name="_Toc3442"/>
      <w:bookmarkStart w:id="1636" w:name="_Toc32711"/>
      <w:bookmarkStart w:id="1637" w:name="_Toc3792"/>
      <w:bookmarkStart w:id="1638" w:name="_Toc20053"/>
      <w:bookmarkStart w:id="1639" w:name="_Toc18933"/>
      <w:bookmarkStart w:id="1640" w:name="_Toc4208"/>
      <w:bookmarkStart w:id="1641" w:name="_Toc6787"/>
      <w:bookmarkStart w:id="1642" w:name="_Toc10609"/>
      <w:bookmarkStart w:id="1643" w:name="_Toc21294"/>
      <w:bookmarkStart w:id="1644" w:name="_Toc7896"/>
      <w:bookmarkStart w:id="1645" w:name="_Toc9614"/>
      <w:bookmarkStart w:id="1646" w:name="_Toc21769"/>
      <w:bookmarkStart w:id="1647" w:name="_Toc27185"/>
      <w:bookmarkStart w:id="1648" w:name="_Toc11496"/>
      <w:bookmarkStart w:id="1649" w:name="_Toc33"/>
      <w:bookmarkStart w:id="1650" w:name="_Toc29922"/>
      <w:bookmarkStart w:id="1651" w:name="_Toc17488"/>
      <w:bookmarkStart w:id="1652" w:name="_Toc30917"/>
      <w:bookmarkStart w:id="1653" w:name="_Toc29526"/>
      <w:bookmarkStart w:id="1654" w:name="_Toc28865"/>
      <w:bookmarkStart w:id="1655" w:name="_Toc21901"/>
      <w:bookmarkStart w:id="1656" w:name="_Toc25334"/>
      <w:bookmarkStart w:id="1657" w:name="_Toc14469"/>
      <w:bookmarkStart w:id="1658" w:name="_Toc4553"/>
      <w:bookmarkStart w:id="1659" w:name="_Toc229114368"/>
      <w:bookmarkStart w:id="1660" w:name="_Toc217908623"/>
      <w:bookmarkStart w:id="1661" w:name="_Toc3995"/>
      <w:bookmarkStart w:id="1662" w:name="_Toc1955"/>
      <w:bookmarkStart w:id="1663" w:name="_Toc229225464"/>
      <w:r>
        <w:rPr>
          <w:rFonts w:ascii="Times New Roman" w:hAnsi="Times New Roman" w:hint="eastAsia"/>
        </w:rPr>
        <w:t>二、</w:t>
      </w:r>
      <w:bookmarkEnd w:id="1618"/>
      <w:r>
        <w:rPr>
          <w:rFonts w:ascii="Times New Roman" w:hAnsi="Times New Roman" w:hint="eastAsia"/>
        </w:rPr>
        <w:t>特别许可</w:t>
      </w:r>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r w:rsidR="00235733">
        <w:rPr>
          <w:rFonts w:ascii="Times New Roman" w:hAnsi="Times New Roman" w:hint="eastAsia"/>
          <w:color w:val="000000"/>
          <w:lang w:val="en-US"/>
        </w:rPr>
        <w:t>（一）</w:t>
      </w:r>
      <w:r>
        <w:rPr>
          <w:rFonts w:ascii="Times New Roman" w:hAnsi="Times New Roman"/>
          <w:color w:val="000000"/>
        </w:rPr>
        <w:fldChar w:fldCharType="end"/>
      </w:r>
      <w:r w:rsidR="00235733">
        <w:rPr>
          <w:rFonts w:ascii="Times New Roman" w:hAnsi="Times New Roman" w:hint="eastAsia"/>
          <w:color w:val="000000"/>
        </w:rPr>
        <w:t>指定许可</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根据《专利法》第四十九条的规定，对于国有企业事业单位的发明专利，其对国家利益或者公共利益具有重大意义，且经国务院有关主管部门和省、自治区、直辖市人民政府报经国务院批准，决定在批准的范围内推广应用而允许指定被控侵权人实施的，构成指定许可，不属于侵犯专利权的行为。</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r w:rsidR="00235733">
        <w:rPr>
          <w:rFonts w:ascii="Times New Roman" w:hAnsi="Times New Roman" w:hint="eastAsia"/>
          <w:color w:val="000000"/>
          <w:lang w:val="en-US"/>
        </w:rPr>
        <w:t>（二）</w:t>
      </w:r>
      <w:r>
        <w:rPr>
          <w:rFonts w:ascii="Times New Roman" w:hAnsi="Times New Roman"/>
          <w:color w:val="000000"/>
        </w:rPr>
        <w:fldChar w:fldCharType="end"/>
      </w:r>
      <w:r w:rsidR="00235733">
        <w:rPr>
          <w:rFonts w:ascii="Times New Roman" w:hAnsi="Times New Roman" w:hint="eastAsia"/>
          <w:color w:val="000000"/>
        </w:rPr>
        <w:t>开放许可</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根据《专利法》第五十条的规定，专利权人自愿以书面方式向国务院专利行政部门声明愿意许可任何单位或者个人实施其专利，并明确许可使用费支付方式、标准的，由国务院专利行政部门予以公告，实行开放许可。任何单位或者个人有意愿实施开放许可的专利的，以书面方式通知专利权人，并依照公告的许可使用费支付方式、标准支付许可使用费后，即获得专利实施许可，不属于侵犯专利权的行为。开放许可声明被公告撤回的，不影响在先给予的开放许可的效力。</w:t>
      </w:r>
    </w:p>
    <w:p w:rsidR="00800760" w:rsidRDefault="00C22A7B">
      <w:pPr>
        <w:pStyle w:val="4"/>
        <w:spacing w:before="240"/>
        <w:rPr>
          <w:rFonts w:ascii="Times New Roman" w:hAnsi="Times New Roman"/>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r w:rsidR="00235733">
        <w:rPr>
          <w:rFonts w:ascii="Times New Roman" w:hAnsi="Times New Roman" w:hint="eastAsia"/>
          <w:color w:val="000000"/>
          <w:lang w:val="en-US"/>
        </w:rPr>
        <w:t>（三）</w:t>
      </w:r>
      <w:r>
        <w:rPr>
          <w:rFonts w:ascii="Times New Roman" w:hAnsi="Times New Roman"/>
          <w:color w:val="000000"/>
        </w:rPr>
        <w:fldChar w:fldCharType="end"/>
      </w:r>
      <w:r w:rsidR="00235733">
        <w:rPr>
          <w:rFonts w:ascii="Times New Roman" w:hAnsi="Times New Roman" w:hint="eastAsia"/>
          <w:color w:val="000000"/>
        </w:rPr>
        <w:t>强制许可</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根据《专利法》第五十三条至第五十六条的规定，国家知识产权局对于发明或者实用新型专利给予被控侵权人专利实施强制许可的，不构成侵犯专利权。</w:t>
      </w:r>
      <w:bookmarkStart w:id="1664" w:name="_Toc28593258"/>
    </w:p>
    <w:p w:rsidR="00800760" w:rsidRDefault="00235733">
      <w:pPr>
        <w:pStyle w:val="3"/>
        <w:topLinePunct/>
        <w:spacing w:before="240"/>
        <w:ind w:firstLine="444"/>
        <w:rPr>
          <w:rFonts w:ascii="Times New Roman" w:hAnsi="Times New Roman"/>
        </w:rPr>
      </w:pPr>
      <w:bookmarkStart w:id="1665" w:name="_Toc23726"/>
      <w:bookmarkStart w:id="1666" w:name="_Toc11015"/>
      <w:bookmarkStart w:id="1667" w:name="_Toc17297"/>
      <w:bookmarkStart w:id="1668" w:name="_Toc1557"/>
      <w:bookmarkStart w:id="1669" w:name="_Toc22209"/>
      <w:bookmarkStart w:id="1670" w:name="_Toc28649"/>
      <w:bookmarkStart w:id="1671" w:name="_Toc15341"/>
      <w:bookmarkStart w:id="1672" w:name="_Toc24932"/>
      <w:bookmarkStart w:id="1673" w:name="_Toc6512"/>
      <w:bookmarkStart w:id="1674" w:name="_Toc19265"/>
      <w:bookmarkStart w:id="1675" w:name="_Toc26504"/>
      <w:bookmarkStart w:id="1676" w:name="_Toc14374"/>
      <w:bookmarkStart w:id="1677" w:name="_Toc23543"/>
      <w:bookmarkStart w:id="1678" w:name="_Toc16744"/>
      <w:bookmarkStart w:id="1679" w:name="_Toc27148"/>
      <w:bookmarkStart w:id="1680" w:name="_Toc31408"/>
      <w:bookmarkStart w:id="1681" w:name="_Toc26027"/>
      <w:bookmarkStart w:id="1682" w:name="_Toc136"/>
      <w:bookmarkStart w:id="1683" w:name="_Toc22720"/>
      <w:bookmarkStart w:id="1684" w:name="_Toc18016"/>
      <w:bookmarkStart w:id="1685" w:name="_Toc7010"/>
      <w:bookmarkStart w:id="1686" w:name="_Toc23148"/>
      <w:bookmarkStart w:id="1687" w:name="_Toc19156"/>
      <w:bookmarkStart w:id="1688" w:name="_Toc22288"/>
      <w:bookmarkStart w:id="1689" w:name="_Toc23199"/>
      <w:bookmarkStart w:id="1690" w:name="_Toc4486"/>
      <w:bookmarkStart w:id="1691" w:name="_Toc28035"/>
      <w:bookmarkStart w:id="1692" w:name="_Toc17631"/>
      <w:bookmarkStart w:id="1693" w:name="_Toc2786"/>
      <w:bookmarkStart w:id="1694" w:name="_Toc22828"/>
      <w:bookmarkStart w:id="1695" w:name="_Toc28050"/>
      <w:bookmarkStart w:id="1696" w:name="_Toc8717"/>
      <w:bookmarkStart w:id="1697" w:name="_Toc28547"/>
      <w:bookmarkStart w:id="1698" w:name="_Toc15380"/>
      <w:bookmarkStart w:id="1699" w:name="_Toc20117"/>
      <w:bookmarkStart w:id="1700" w:name="_Toc16384"/>
      <w:bookmarkStart w:id="1701" w:name="_Toc28384"/>
      <w:bookmarkStart w:id="1702" w:name="_Toc291"/>
      <w:bookmarkStart w:id="1703" w:name="_Toc3437"/>
      <w:bookmarkStart w:id="1704" w:name="_Toc10975"/>
      <w:bookmarkStart w:id="1705" w:name="_Toc22045"/>
      <w:bookmarkStart w:id="1706" w:name="_Toc18328"/>
      <w:bookmarkStart w:id="1707" w:name="_Toc217908624"/>
      <w:bookmarkStart w:id="1708" w:name="_Toc229114369"/>
      <w:bookmarkStart w:id="1709" w:name="_Toc229225465"/>
      <w:r>
        <w:rPr>
          <w:rFonts w:ascii="Times New Roman" w:hAnsi="Times New Roman" w:hint="eastAsia"/>
        </w:rPr>
        <w:t>三、不以生产经营为目的</w:t>
      </w:r>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p>
    <w:p w:rsidR="00800760" w:rsidRDefault="00235733">
      <w:pPr>
        <w:widowControl w:val="0"/>
        <w:topLinePunct/>
        <w:ind w:firstLine="428"/>
        <w:jc w:val="both"/>
        <w:rPr>
          <w:rFonts w:cs="MingLiU_HKSCS"/>
          <w:color w:val="000000"/>
          <w:spacing w:val="2"/>
          <w:szCs w:val="21"/>
          <w:lang w:val="zh-CN"/>
        </w:rPr>
      </w:pPr>
      <w:r>
        <w:rPr>
          <w:rFonts w:cs="MingLiU_HKSCS" w:hint="eastAsia"/>
          <w:color w:val="000000"/>
          <w:spacing w:val="2"/>
          <w:szCs w:val="21"/>
          <w:lang w:val="zh-CN"/>
        </w:rPr>
        <w:t>以生产经营为目的是指为工农业生产或者商业经营等目的，不包括以非商业为目的的私人消费行为。</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bookmarkStart w:id="1710" w:name="_Toc28593259"/>
      <w:r w:rsidR="00235733">
        <w:rPr>
          <w:rFonts w:ascii="Times New Roman" w:hAnsi="Times New Roman" w:hint="eastAsia"/>
          <w:color w:val="000000"/>
          <w:lang w:val="en-US"/>
        </w:rPr>
        <w:t>（一）</w:t>
      </w:r>
      <w:r>
        <w:rPr>
          <w:rFonts w:ascii="Times New Roman" w:hAnsi="Times New Roman"/>
          <w:color w:val="000000"/>
        </w:rPr>
        <w:fldChar w:fldCharType="end"/>
      </w:r>
      <w:r w:rsidR="00235733">
        <w:rPr>
          <w:rFonts w:ascii="Times New Roman" w:hAnsi="Times New Roman" w:hint="eastAsia"/>
          <w:color w:val="000000"/>
        </w:rPr>
        <w:t>以私人方式实施专利的行为</w:t>
      </w:r>
      <w:bookmarkEnd w:id="1710"/>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判断私人方式实施专利的行为是否属于“以生产经营为目的”的行为，重点在于判断其是否为商业目的。为满足个人使用或者消费目的实施专利的行为通常不构成“以生产经营为目的”的行为，私人方式的许诺销售和销售则应认定为“以生产经营为目的”。例如，未经权利人许可，以私人方式将专利产品销售给朋友、邻居的行为，构成侵犯专利权的行为；未经权利人许可，雇佣他人实施专利供私人使用，由于被雇佣人获得了利益，因此被雇佣人实施专利的行为，也构成侵犯专利权的行为。</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bookmarkStart w:id="1711" w:name="_Toc28593260"/>
      <w:r w:rsidR="00235733">
        <w:rPr>
          <w:rFonts w:ascii="Times New Roman" w:hAnsi="Times New Roman" w:hint="eastAsia"/>
          <w:color w:val="000000"/>
          <w:lang w:val="en-US"/>
        </w:rPr>
        <w:t>（二）</w:t>
      </w:r>
      <w:r>
        <w:rPr>
          <w:rFonts w:ascii="Times New Roman" w:hAnsi="Times New Roman"/>
          <w:color w:val="000000"/>
        </w:rPr>
        <w:fldChar w:fldCharType="end"/>
      </w:r>
      <w:r w:rsidR="00235733">
        <w:rPr>
          <w:rFonts w:ascii="Times New Roman" w:hAnsi="Times New Roman" w:hint="eastAsia"/>
          <w:color w:val="000000"/>
        </w:rPr>
        <w:t>在公共服务、公益事业、慈善事业中实施专利的行为</w:t>
      </w:r>
      <w:bookmarkEnd w:id="1711"/>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判断从事公共服务、公益事业、慈善事业等是否属于“不以生产经营为目的”，应该结合具体案情具体分析，单位的性质并不能决定其行为的非生产经营性，应结合具体案情具体分析，重点考查行为本身是否为以生产经营为目的。如果政府机关、非营利性单位、社会团体的制造、使用、进口等行为不单纯是为了公共服务、公益事业或慈善事业，也可能构成生产经营行为。市场化运行的公共服务主体，在公共服务行为中，未经许可实施专利，不能主张“非生产经营目的”抗辩。</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以生产经营为目的并不要求以营利为目的，但以营利为目的的行为应当属于“以生产经营为目的”的行为。制造、使用、进口专利产品和使用专利方法的行为，可能为生产经营目的而实施，也可能为非生产经营目的而实施，但销售和许诺销售一般只能为生产经营目的而实施。单位为自己员工福利和需求，未经许可实施专利，虽然并没有营利，也不能主张“不以生产经营为目的”的抗辩。</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w:t>
      </w:r>
      <w:r>
        <w:rPr>
          <w:rFonts w:ascii="黑体" w:eastAsia="黑体" w:hAnsi="黑体" w:cs="MingLiU_HKSCS" w:hint="eastAsia"/>
          <w:color w:val="000000"/>
          <w:szCs w:val="21"/>
          <w:lang w:val="zh-CN"/>
        </w:rPr>
        <w:t>案例</w:t>
      </w:r>
      <w:r>
        <w:rPr>
          <w:rFonts w:eastAsia="黑体" w:cs="MingLiU_HKSCS"/>
          <w:color w:val="000000"/>
          <w:szCs w:val="21"/>
          <w:lang w:val="zh-CN"/>
        </w:rPr>
        <w:t>3-</w:t>
      </w:r>
      <w:r>
        <w:rPr>
          <w:rFonts w:eastAsia="黑体" w:cs="MingLiU_HKSCS" w:hint="eastAsia"/>
          <w:color w:val="000000"/>
          <w:szCs w:val="21"/>
          <w:lang w:val="zh-CN"/>
        </w:rPr>
        <w:t>3</w:t>
      </w:r>
      <w:r>
        <w:rPr>
          <w:rFonts w:eastAsia="黑体" w:cs="MingLiU_HKSCS"/>
          <w:color w:val="000000"/>
          <w:szCs w:val="21"/>
          <w:lang w:val="zh-CN"/>
        </w:rPr>
        <w:t>-</w:t>
      </w:r>
      <w:r>
        <w:rPr>
          <w:rFonts w:eastAsia="黑体" w:cs="MingLiU_HKSCS" w:hint="eastAsia"/>
          <w:color w:val="000000"/>
          <w:szCs w:val="21"/>
          <w:lang w:val="zh-CN"/>
        </w:rPr>
        <w:t>3</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甲为“宣传柜橱”外观设计的专利权人，其认为乙公司和丙交警支队协议建造的广告牌与其拥有的“宣传柜橱”外观设计专利近似，落入了其外观设计专利权的保护范围。管理专利工作的部门认为：首先，从乙公司和丙交警支队的协议可以看出，丙交警支队提供某岗楼建造位置及规格、式样，负责办理设置服务板所需的一切手续及有关单位的审批手续，并对施工质量进行监督，乙公司按照丙交警支队提供图样和地点进行投资建造，两者为涉案广告牌的共同制造者；其次，乙公司和丙交警支队实施专利未经甲许可；最后，从乙公司和丙交警支队的协议看，三面翻广告牌有两面可由乙公司发布商业广告，故乙公司进行商业经营获利目的明显。对于丙交警支队，其发布公益广告的行为，虽不具有经营目的，但依照丙交警支队和乙公司的协议，丙交警支队为广告牌图样的提供方、广告牌的制作委托方和广告牌产权的所有者，虽未实际出资或支付建造费用，却成为广告牌的产权人，实际上是以一定期间广告牌的免费使用来换取广告牌的建造费用。广告牌建成后，乙公司仅在约定的期间内免费使用，期限届满后，该广告牌即变为有偿使用，只不过享有优先使用权。由此可见，丙交警支队的行为也具有经营性质。因此，丙交警支队、乙公司的行为均具备经营目的，共同侵犯了甲的专利权。</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w:t>
      </w:r>
      <w:r>
        <w:rPr>
          <w:rFonts w:ascii="黑体" w:eastAsia="黑体" w:hAnsi="黑体" w:cs="MingLiU_HKSCS" w:hint="eastAsia"/>
          <w:color w:val="000000"/>
          <w:szCs w:val="21"/>
          <w:lang w:val="zh-CN"/>
        </w:rPr>
        <w:t>案例</w:t>
      </w:r>
      <w:r>
        <w:rPr>
          <w:rFonts w:eastAsia="黑体" w:cs="MingLiU_HKSCS"/>
          <w:color w:val="000000"/>
          <w:szCs w:val="21"/>
          <w:lang w:val="zh-CN"/>
        </w:rPr>
        <w:t>3-</w:t>
      </w:r>
      <w:r>
        <w:rPr>
          <w:rFonts w:eastAsia="黑体" w:cs="MingLiU_HKSCS" w:hint="eastAsia"/>
          <w:color w:val="000000"/>
          <w:szCs w:val="21"/>
          <w:lang w:val="zh-CN"/>
        </w:rPr>
        <w:t>3</w:t>
      </w:r>
      <w:r>
        <w:rPr>
          <w:rFonts w:eastAsia="黑体" w:cs="MingLiU_HKSCS"/>
          <w:color w:val="000000"/>
          <w:szCs w:val="21"/>
          <w:lang w:val="zh-CN"/>
        </w:rPr>
        <w:t>-</w:t>
      </w:r>
      <w:r>
        <w:rPr>
          <w:rFonts w:eastAsia="黑体" w:cs="MingLiU_HKSCS" w:hint="eastAsia"/>
          <w:color w:val="000000"/>
          <w:szCs w:val="21"/>
          <w:lang w:val="zh-CN"/>
        </w:rPr>
        <w:t>4</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因某区环卫局未经许可制造并使用与请求人“坑位垃圾挤压机”实用新型专利完全相同的产品，请求人提起侵犯专利权纠纷处理请求。该环卫局认为，其制造、使用专利的行为出于社会公共利益，不属于“为生产经营目的”的行为。该抗辩理由未得到管理专利工作的部门的支持。</w:t>
      </w:r>
    </w:p>
    <w:p w:rsidR="00800760" w:rsidRDefault="00235733">
      <w:pPr>
        <w:widowControl w:val="0"/>
        <w:topLinePunct/>
        <w:jc w:val="both"/>
        <w:rPr>
          <w:rFonts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pacing w:val="2"/>
          <w:szCs w:val="21"/>
          <w:lang w:val="zh-CN"/>
        </w:rPr>
      </w:pPr>
      <w:r>
        <w:rPr>
          <w:rFonts w:eastAsia="楷体_GB2312" w:cs="MingLiU_HKSCS" w:hint="eastAsia"/>
          <w:color w:val="000000"/>
          <w:szCs w:val="21"/>
          <w:lang w:val="zh-CN"/>
        </w:rPr>
        <w:t>从上述两个案件可以看出，实施专利的行为是否属于“不以生产经营为目的”的行为需要具体案件具体分析。在“宣传柜橱”案件中，虽然其中有一部分也涉及公益事业的目的，但是，被请求人还具有获得经济利益的行为，这一行为具有商业性质，因此构成了“为生产经营目的”而使用专利的行为；在“坑位垃圾挤压机”案件中，公共服务本身不能成为否定“为生产经营目的”的理由，环卫局的工作虽然具有公共服务的性质，但其本身为市场化运行的公共服务主体，其对于垃圾的回收、处</w:t>
      </w:r>
      <w:r>
        <w:rPr>
          <w:rFonts w:eastAsia="楷体_GB2312" w:cs="MingLiU_HKSCS" w:hint="eastAsia"/>
          <w:color w:val="000000"/>
          <w:spacing w:val="2"/>
          <w:szCs w:val="21"/>
          <w:lang w:val="zh-CN"/>
        </w:rPr>
        <w:t>理和利用与单位的效益直接相关，因此，其在公共服务行为中使用专利的行为同样是“为生产经营目的”。</w:t>
      </w:r>
    </w:p>
    <w:p w:rsidR="00800760" w:rsidRDefault="00235733">
      <w:pPr>
        <w:pStyle w:val="3"/>
        <w:topLinePunct/>
        <w:spacing w:before="240"/>
        <w:ind w:firstLine="444"/>
        <w:rPr>
          <w:rFonts w:ascii="Times New Roman" w:hAnsi="Times New Roman"/>
        </w:rPr>
      </w:pPr>
      <w:bookmarkStart w:id="1712" w:name="_Toc21597"/>
      <w:bookmarkStart w:id="1713" w:name="_Toc1889"/>
      <w:bookmarkStart w:id="1714" w:name="_Toc25293"/>
      <w:bookmarkStart w:id="1715" w:name="_Toc5731"/>
      <w:bookmarkStart w:id="1716" w:name="_Toc27998"/>
      <w:bookmarkStart w:id="1717" w:name="_Toc9796"/>
      <w:bookmarkStart w:id="1718" w:name="_Toc31082"/>
      <w:bookmarkStart w:id="1719" w:name="_Toc2587"/>
      <w:bookmarkStart w:id="1720" w:name="_Toc24939"/>
      <w:bookmarkStart w:id="1721" w:name="_Toc7031"/>
      <w:bookmarkStart w:id="1722" w:name="_Toc17198"/>
      <w:bookmarkStart w:id="1723" w:name="_Toc15010"/>
      <w:bookmarkStart w:id="1724" w:name="_Toc31205"/>
      <w:bookmarkStart w:id="1725" w:name="_Toc28070"/>
      <w:bookmarkStart w:id="1726" w:name="_Toc15339"/>
      <w:bookmarkStart w:id="1727" w:name="_Toc10495"/>
      <w:bookmarkStart w:id="1728" w:name="_Toc6329"/>
      <w:bookmarkStart w:id="1729" w:name="_Toc17749"/>
      <w:bookmarkStart w:id="1730" w:name="_Toc26132"/>
      <w:bookmarkStart w:id="1731" w:name="_Toc3752"/>
      <w:bookmarkStart w:id="1732" w:name="_Toc3434"/>
      <w:bookmarkStart w:id="1733" w:name="_Toc4887"/>
      <w:bookmarkStart w:id="1734" w:name="_Toc28131"/>
      <w:bookmarkStart w:id="1735" w:name="_Toc1359"/>
      <w:bookmarkStart w:id="1736" w:name="_Toc1227"/>
      <w:bookmarkStart w:id="1737" w:name="_Toc5937"/>
      <w:bookmarkStart w:id="1738" w:name="_Toc31030"/>
      <w:bookmarkStart w:id="1739" w:name="_Toc20"/>
      <w:bookmarkStart w:id="1740" w:name="_Toc2330"/>
      <w:bookmarkStart w:id="1741" w:name="_Toc25068"/>
      <w:bookmarkStart w:id="1742" w:name="_Toc10319"/>
      <w:bookmarkStart w:id="1743" w:name="_Toc17617"/>
      <w:bookmarkStart w:id="1744" w:name="_Toc12748"/>
      <w:bookmarkStart w:id="1745" w:name="_Toc217908625"/>
      <w:bookmarkStart w:id="1746" w:name="_Toc30150"/>
      <w:bookmarkStart w:id="1747" w:name="_Toc3865"/>
      <w:bookmarkStart w:id="1748" w:name="_Toc22580"/>
      <w:bookmarkStart w:id="1749" w:name="_Toc32138"/>
      <w:bookmarkStart w:id="1750" w:name="_Toc229114370"/>
      <w:bookmarkStart w:id="1751" w:name="_Toc24591"/>
      <w:bookmarkStart w:id="1752" w:name="_Toc11616"/>
      <w:bookmarkStart w:id="1753" w:name="_Toc30862"/>
      <w:bookmarkStart w:id="1754" w:name="_Toc25721"/>
      <w:bookmarkStart w:id="1755" w:name="_Toc15846"/>
      <w:bookmarkStart w:id="1756" w:name="_Toc229225466"/>
      <w:r>
        <w:rPr>
          <w:rFonts w:ascii="Times New Roman" w:hAnsi="Times New Roman" w:hint="eastAsia"/>
        </w:rPr>
        <w:t>四、不视为侵犯专利权的行为</w:t>
      </w:r>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p>
    <w:p w:rsidR="00800760" w:rsidRDefault="00235733">
      <w:pPr>
        <w:widowControl w:val="0"/>
        <w:topLinePunct/>
        <w:jc w:val="both"/>
        <w:rPr>
          <w:rFonts w:eastAsia="仿宋_GB2312" w:cs="MingLiU_HKSCS"/>
          <w:color w:val="000000"/>
          <w:spacing w:val="2"/>
          <w:szCs w:val="21"/>
          <w:lang w:val="zh-CN"/>
        </w:rPr>
      </w:pPr>
      <w:r>
        <w:rPr>
          <w:rFonts w:cs="MingLiU_HKSCS" w:hint="eastAsia"/>
          <w:color w:val="000000"/>
          <w:szCs w:val="21"/>
          <w:lang w:val="zh-CN"/>
        </w:rPr>
        <w:t>根据《专利法》第七十五条的规定，</w:t>
      </w:r>
      <w:r>
        <w:rPr>
          <w:rFonts w:cs="MingLiU_HKSCS" w:hint="eastAsia"/>
          <w:color w:val="000000"/>
          <w:spacing w:val="2"/>
          <w:szCs w:val="21"/>
          <w:lang w:val="zh-CN"/>
        </w:rPr>
        <w:t>以下情形不视为侵犯专利权：</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GB4</w:instrText>
      </w:r>
      <w:r>
        <w:rPr>
          <w:rFonts w:cs="MingLiU_HKSCS"/>
          <w:color w:val="000000"/>
          <w:szCs w:val="21"/>
          <w:lang w:val="zh-CN"/>
        </w:rPr>
        <w:fldChar w:fldCharType="separate"/>
      </w:r>
      <w:r w:rsidR="00235733">
        <w:rPr>
          <w:rFonts w:cs="MingLiU_HKSCS" w:hint="eastAsia"/>
          <w:color w:val="000000"/>
          <w:szCs w:val="21"/>
          <w:lang w:val="zh-CN"/>
        </w:rPr>
        <w:t>（</w:t>
      </w:r>
      <w:r w:rsidR="00235733">
        <w:rPr>
          <w:rFonts w:cs="MingLiU_HKSCS" w:hint="eastAsia"/>
          <w:color w:val="000000"/>
          <w:szCs w:val="21"/>
          <w:lang w:val="en-US"/>
        </w:rPr>
        <w:t>1</w:t>
      </w:r>
      <w:r w:rsidR="00235733">
        <w:rPr>
          <w:rFonts w:cs="MingLiU_HKSCS" w:hint="eastAsia"/>
          <w:color w:val="000000"/>
          <w:szCs w:val="21"/>
          <w:lang w:val="zh-CN"/>
        </w:rPr>
        <w:t>）</w:t>
      </w:r>
      <w:r>
        <w:rPr>
          <w:rFonts w:cs="MingLiU_HKSCS"/>
          <w:color w:val="000000"/>
          <w:szCs w:val="21"/>
          <w:lang w:val="zh-CN"/>
        </w:rPr>
        <w:fldChar w:fldCharType="end"/>
      </w:r>
      <w:r w:rsidR="00235733">
        <w:rPr>
          <w:rFonts w:cs="MingLiU_HKSCS" w:hint="eastAsia"/>
          <w:color w:val="000000"/>
          <w:szCs w:val="21"/>
          <w:lang w:val="zh-CN"/>
        </w:rPr>
        <w:t>专利产品或者依照专利方法直接获得的产品，由专利权人或者经其许可的单位、个人售出后，使用、许诺销售、销售、进口该产品的；</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GB4</w:instrText>
      </w:r>
      <w:r>
        <w:rPr>
          <w:rFonts w:cs="MingLiU_HKSCS"/>
          <w:color w:val="000000"/>
          <w:szCs w:val="21"/>
          <w:lang w:val="zh-CN"/>
        </w:rPr>
        <w:fldChar w:fldCharType="separate"/>
      </w:r>
      <w:r w:rsidR="00235733">
        <w:rPr>
          <w:rFonts w:cs="MingLiU_HKSCS" w:hint="eastAsia"/>
          <w:color w:val="000000"/>
          <w:szCs w:val="21"/>
          <w:lang w:val="zh-CN"/>
        </w:rPr>
        <w:t>（</w:t>
      </w:r>
      <w:r w:rsidR="00235733">
        <w:rPr>
          <w:rFonts w:cs="MingLiU_HKSCS" w:hint="eastAsia"/>
          <w:color w:val="000000"/>
          <w:szCs w:val="21"/>
          <w:lang w:val="en-US"/>
        </w:rPr>
        <w:t>2</w:t>
      </w:r>
      <w:r w:rsidR="00235733">
        <w:rPr>
          <w:rFonts w:cs="MingLiU_HKSCS" w:hint="eastAsia"/>
          <w:color w:val="000000"/>
          <w:szCs w:val="21"/>
          <w:lang w:val="zh-CN"/>
        </w:rPr>
        <w:t>）</w:t>
      </w:r>
      <w:r>
        <w:rPr>
          <w:rFonts w:cs="MingLiU_HKSCS"/>
          <w:color w:val="000000"/>
          <w:szCs w:val="21"/>
          <w:lang w:val="zh-CN"/>
        </w:rPr>
        <w:fldChar w:fldCharType="end"/>
      </w:r>
      <w:r w:rsidR="00235733">
        <w:rPr>
          <w:rFonts w:cs="MingLiU_HKSCS" w:hint="eastAsia"/>
          <w:color w:val="000000"/>
          <w:szCs w:val="21"/>
          <w:lang w:val="zh-CN"/>
        </w:rPr>
        <w:t>在专利申请日前已经制造相同产品、使用相同方法或者已经作好制造、使用的必要准备，并且仅在原有范围内继续制造、使用的；</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GB4</w:instrText>
      </w:r>
      <w:r>
        <w:rPr>
          <w:rFonts w:cs="MingLiU_HKSCS"/>
          <w:color w:val="000000"/>
          <w:szCs w:val="21"/>
          <w:lang w:val="zh-CN"/>
        </w:rPr>
        <w:fldChar w:fldCharType="separate"/>
      </w:r>
      <w:r w:rsidR="00235733">
        <w:rPr>
          <w:rFonts w:cs="MingLiU_HKSCS" w:hint="eastAsia"/>
          <w:color w:val="000000"/>
          <w:szCs w:val="21"/>
          <w:lang w:val="zh-CN"/>
        </w:rPr>
        <w:t>（</w:t>
      </w:r>
      <w:r w:rsidR="00235733">
        <w:rPr>
          <w:rFonts w:cs="MingLiU_HKSCS" w:hint="eastAsia"/>
          <w:color w:val="000000"/>
          <w:szCs w:val="21"/>
          <w:lang w:val="en-US"/>
        </w:rPr>
        <w:t>3</w:t>
      </w:r>
      <w:r w:rsidR="00235733">
        <w:rPr>
          <w:rFonts w:cs="MingLiU_HKSCS" w:hint="eastAsia"/>
          <w:color w:val="000000"/>
          <w:szCs w:val="21"/>
          <w:lang w:val="zh-CN"/>
        </w:rPr>
        <w:t>）</w:t>
      </w:r>
      <w:r>
        <w:rPr>
          <w:rFonts w:cs="MingLiU_HKSCS"/>
          <w:color w:val="000000"/>
          <w:szCs w:val="21"/>
          <w:lang w:val="zh-CN"/>
        </w:rPr>
        <w:fldChar w:fldCharType="end"/>
      </w:r>
      <w:r w:rsidR="00235733">
        <w:rPr>
          <w:rFonts w:cs="MingLiU_HKSCS" w:hint="eastAsia"/>
          <w:color w:val="000000"/>
          <w:szCs w:val="21"/>
          <w:lang w:val="zh-CN"/>
        </w:rPr>
        <w:t>临时通过中国领陆、领水、领空的外国运输工具，依照其所属国同中国签订的协议或者共同参加的国际条约，或者依照互惠原则，为运输工具自身需要而在其装置和设备中使用有关专利的；</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GB4</w:instrText>
      </w:r>
      <w:r>
        <w:rPr>
          <w:rFonts w:cs="MingLiU_HKSCS"/>
          <w:color w:val="000000"/>
          <w:szCs w:val="21"/>
          <w:lang w:val="zh-CN"/>
        </w:rPr>
        <w:fldChar w:fldCharType="separate"/>
      </w:r>
      <w:r w:rsidR="00235733">
        <w:rPr>
          <w:rFonts w:cs="MingLiU_HKSCS" w:hint="eastAsia"/>
          <w:color w:val="000000"/>
          <w:szCs w:val="21"/>
          <w:lang w:val="zh-CN"/>
        </w:rPr>
        <w:t>（</w:t>
      </w:r>
      <w:r w:rsidR="00235733">
        <w:rPr>
          <w:rFonts w:cs="MingLiU_HKSCS" w:hint="eastAsia"/>
          <w:color w:val="000000"/>
          <w:szCs w:val="21"/>
          <w:lang w:val="en-US"/>
        </w:rPr>
        <w:t>4</w:t>
      </w:r>
      <w:r w:rsidR="00235733">
        <w:rPr>
          <w:rFonts w:cs="MingLiU_HKSCS" w:hint="eastAsia"/>
          <w:color w:val="000000"/>
          <w:szCs w:val="21"/>
          <w:lang w:val="zh-CN"/>
        </w:rPr>
        <w:t>）</w:t>
      </w:r>
      <w:r>
        <w:rPr>
          <w:rFonts w:cs="MingLiU_HKSCS"/>
          <w:color w:val="000000"/>
          <w:szCs w:val="21"/>
          <w:lang w:val="zh-CN"/>
        </w:rPr>
        <w:fldChar w:fldCharType="end"/>
      </w:r>
      <w:r w:rsidR="00235733">
        <w:rPr>
          <w:rFonts w:cs="MingLiU_HKSCS" w:hint="eastAsia"/>
          <w:color w:val="000000"/>
          <w:szCs w:val="21"/>
          <w:lang w:val="zh-CN"/>
        </w:rPr>
        <w:t>专为科学研究和实验而使用有关专利的；</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GB4</w:instrText>
      </w:r>
      <w:r>
        <w:rPr>
          <w:rFonts w:cs="MingLiU_HKSCS"/>
          <w:color w:val="000000"/>
          <w:szCs w:val="21"/>
          <w:lang w:val="zh-CN"/>
        </w:rPr>
        <w:fldChar w:fldCharType="separate"/>
      </w:r>
      <w:r w:rsidR="00235733">
        <w:rPr>
          <w:rFonts w:cs="MingLiU_HKSCS" w:hint="eastAsia"/>
          <w:color w:val="000000"/>
          <w:szCs w:val="21"/>
          <w:lang w:val="zh-CN"/>
        </w:rPr>
        <w:t>（</w:t>
      </w:r>
      <w:r w:rsidR="00235733">
        <w:rPr>
          <w:rFonts w:cs="MingLiU_HKSCS" w:hint="eastAsia"/>
          <w:color w:val="000000"/>
          <w:szCs w:val="21"/>
          <w:lang w:val="en-US"/>
        </w:rPr>
        <w:t>5</w:t>
      </w:r>
      <w:r w:rsidR="00235733">
        <w:rPr>
          <w:rFonts w:cs="MingLiU_HKSCS" w:hint="eastAsia"/>
          <w:color w:val="000000"/>
          <w:szCs w:val="21"/>
          <w:lang w:val="zh-CN"/>
        </w:rPr>
        <w:t>）</w:t>
      </w:r>
      <w:r>
        <w:rPr>
          <w:rFonts w:cs="MingLiU_HKSCS"/>
          <w:color w:val="000000"/>
          <w:szCs w:val="21"/>
          <w:lang w:val="zh-CN"/>
        </w:rPr>
        <w:fldChar w:fldCharType="end"/>
      </w:r>
      <w:r w:rsidR="00235733">
        <w:rPr>
          <w:rFonts w:cs="MingLiU_HKSCS" w:hint="eastAsia"/>
          <w:color w:val="000000"/>
          <w:szCs w:val="21"/>
          <w:lang w:val="zh-CN"/>
        </w:rPr>
        <w:t>为提供行政审批所需要的信息，制造、使用、进口专利药品或者专利医疗器械的，以及专门为其制造、进口专利药品或者专利医疗器械的。</w:t>
      </w:r>
    </w:p>
    <w:p w:rsidR="00800760" w:rsidRDefault="00800760">
      <w:pPr>
        <w:widowControl w:val="0"/>
        <w:topLinePunct/>
        <w:jc w:val="both"/>
        <w:rPr>
          <w:rFonts w:cs="MingLiU_HKSCS"/>
          <w:color w:val="000000"/>
          <w:szCs w:val="21"/>
          <w:lang w:val="zh-CN"/>
        </w:rPr>
      </w:pPr>
    </w:p>
    <w:p w:rsidR="00800760" w:rsidRDefault="00235733">
      <w:pPr>
        <w:pStyle w:val="2"/>
        <w:topLinePunct/>
        <w:ind w:firstLineChars="0" w:firstLine="0"/>
        <w:rPr>
          <w:rFonts w:ascii="Times New Roman" w:hAnsi="Times New Roman"/>
          <w:color w:val="000000"/>
        </w:rPr>
      </w:pPr>
      <w:bookmarkStart w:id="1757" w:name="_Toc25995"/>
      <w:bookmarkStart w:id="1758" w:name="_Toc6798"/>
      <w:bookmarkStart w:id="1759" w:name="_Toc14290"/>
      <w:bookmarkStart w:id="1760" w:name="_Toc1947"/>
      <w:bookmarkStart w:id="1761" w:name="_Toc10277"/>
      <w:bookmarkStart w:id="1762" w:name="_Toc28515"/>
      <w:bookmarkStart w:id="1763" w:name="_Toc20451"/>
      <w:bookmarkStart w:id="1764" w:name="_Toc23712"/>
      <w:bookmarkStart w:id="1765" w:name="_Toc2198"/>
      <w:bookmarkStart w:id="1766" w:name="_Toc15616"/>
      <w:bookmarkStart w:id="1767" w:name="_Toc31977"/>
      <w:bookmarkStart w:id="1768" w:name="_Toc27817"/>
      <w:bookmarkStart w:id="1769" w:name="_Toc17673"/>
      <w:bookmarkStart w:id="1770" w:name="_Toc26303"/>
      <w:bookmarkStart w:id="1771" w:name="_Toc11287"/>
      <w:bookmarkStart w:id="1772" w:name="_Toc27640"/>
      <w:bookmarkStart w:id="1773" w:name="_Toc25301"/>
      <w:bookmarkStart w:id="1774" w:name="_Toc20797"/>
      <w:bookmarkStart w:id="1775" w:name="_Toc26652"/>
      <w:bookmarkStart w:id="1776" w:name="_Toc30201"/>
      <w:bookmarkStart w:id="1777" w:name="_Toc21764"/>
      <w:bookmarkStart w:id="1778" w:name="_Toc14747"/>
      <w:bookmarkStart w:id="1779" w:name="_Toc14143"/>
      <w:bookmarkStart w:id="1780" w:name="_Toc5027"/>
      <w:bookmarkStart w:id="1781" w:name="_Toc229114371"/>
      <w:bookmarkStart w:id="1782" w:name="_Toc14640"/>
      <w:bookmarkStart w:id="1783" w:name="_Toc17582"/>
      <w:bookmarkStart w:id="1784" w:name="_Toc2680"/>
      <w:bookmarkStart w:id="1785" w:name="_Toc14618"/>
      <w:bookmarkStart w:id="1786" w:name="_Toc217908626"/>
      <w:bookmarkStart w:id="1787" w:name="_Toc20034"/>
      <w:bookmarkStart w:id="1788" w:name="_Toc30087"/>
      <w:bookmarkStart w:id="1789" w:name="_Toc30026"/>
      <w:bookmarkStart w:id="1790" w:name="_Toc4055"/>
      <w:bookmarkStart w:id="1791" w:name="_Toc10324"/>
      <w:bookmarkStart w:id="1792" w:name="_Toc10757"/>
      <w:bookmarkStart w:id="1793" w:name="_Toc14513"/>
      <w:bookmarkStart w:id="1794" w:name="_Toc7306"/>
      <w:bookmarkStart w:id="1795" w:name="_Toc3240"/>
      <w:bookmarkStart w:id="1796" w:name="_Toc30696"/>
      <w:bookmarkStart w:id="1797" w:name="_Toc1012"/>
      <w:bookmarkStart w:id="1798" w:name="_Toc31793"/>
      <w:bookmarkStart w:id="1799" w:name="_Toc675"/>
      <w:bookmarkStart w:id="1800" w:name="_Toc24528"/>
      <w:bookmarkStart w:id="1801" w:name="_Toc229225467"/>
      <w:bookmarkStart w:id="1802" w:name="_Toc28593332"/>
      <w:bookmarkStart w:id="1803" w:name="_Toc28593357"/>
      <w:r>
        <w:rPr>
          <w:rFonts w:ascii="Times New Roman" w:hAnsi="Times New Roman" w:hint="eastAsia"/>
          <w:color w:val="000000"/>
        </w:rPr>
        <w:t>第</w:t>
      </w:r>
      <w:r>
        <w:rPr>
          <w:rFonts w:ascii="Times New Roman" w:hAnsi="Times New Roman" w:hint="eastAsia"/>
          <w:color w:val="000000"/>
          <w:lang w:val="en-US"/>
        </w:rPr>
        <w:t>四</w:t>
      </w:r>
      <w:r>
        <w:rPr>
          <w:rFonts w:ascii="Times New Roman" w:hAnsi="Times New Roman" w:hint="eastAsia"/>
          <w:color w:val="000000"/>
        </w:rPr>
        <w:t>节　发明、实用新型专利侵权判定</w:t>
      </w:r>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根据《专利法》第二条的规定，发明，是指对产品、方法或者其改进所提出的新的技术方案；实用新型，是指对产品的形状、构造或者其结合所提出的适于实用的新的技术方案。</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发明与实用新型专利的保护对象都是智力成果，即对要解决的技术问题所采用的利用了自然规律的技术手段的集合，这决定了对于发明和实用新型的专利侵权判定方法基本上是一致的。目前，在判定被控侵权产品或方法（以下简称“被控侵权技术方案”）是否侵犯发明或者实用新型专利权时，首先要对权利要求的保护范围进行确定，然后再判断被控侵权技术方案是否落入专利权的保护范围。</w:t>
      </w:r>
    </w:p>
    <w:p w:rsidR="00800760" w:rsidRDefault="00235733">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hint="eastAsia"/>
          <w:sz w:val="21"/>
          <w:szCs w:val="21"/>
        </w:rPr>
        <w:t>在判定被控侵权技术方案是否落入专利权的保护范围时，首先要对专利权利要求和被控侵权技术方案进行技术特征划分，然后将相应的技术特征进行特征对比，之后判断被控侵权技术方案对于专利权利</w:t>
      </w:r>
      <w:r>
        <w:rPr>
          <w:rFonts w:ascii="Times New Roman" w:eastAsia="宋体" w:hAnsi="Times New Roman" w:hint="eastAsia"/>
          <w:spacing w:val="2"/>
          <w:sz w:val="21"/>
          <w:szCs w:val="21"/>
        </w:rPr>
        <w:t>要求是否构成相同侵权。如不构成相同侵权，必要时还需进一步判定被控侵权技术方案对于专利权利要求是否构成等同侵权。在此过程中，还要考虑被控侵权人的抗辩理由，如现有技术抗辩是否成立。</w:t>
      </w:r>
    </w:p>
    <w:p w:rsidR="00800760" w:rsidRDefault="00235733">
      <w:pPr>
        <w:pStyle w:val="3"/>
        <w:topLinePunct/>
        <w:spacing w:before="240"/>
        <w:ind w:firstLine="444"/>
        <w:rPr>
          <w:rFonts w:ascii="Times New Roman" w:hAnsi="Times New Roman"/>
          <w:color w:val="000000"/>
        </w:rPr>
      </w:pPr>
      <w:bookmarkStart w:id="1804" w:name="_Toc9755"/>
      <w:bookmarkStart w:id="1805" w:name="_Toc12417"/>
      <w:bookmarkStart w:id="1806" w:name="_Toc26350"/>
      <w:bookmarkStart w:id="1807" w:name="_Toc18379"/>
      <w:bookmarkStart w:id="1808" w:name="_Toc11570"/>
      <w:bookmarkStart w:id="1809" w:name="_Toc3484"/>
      <w:bookmarkStart w:id="1810" w:name="_Toc20631"/>
      <w:bookmarkStart w:id="1811" w:name="_Toc24380"/>
      <w:bookmarkStart w:id="1812" w:name="_Toc12654"/>
      <w:bookmarkStart w:id="1813" w:name="_Toc30783"/>
      <w:bookmarkStart w:id="1814" w:name="_Toc22394"/>
      <w:bookmarkStart w:id="1815" w:name="_Toc26979"/>
      <w:bookmarkStart w:id="1816" w:name="_Toc26058"/>
      <w:bookmarkStart w:id="1817" w:name="_Toc24799"/>
      <w:bookmarkStart w:id="1818" w:name="_Toc9400"/>
      <w:bookmarkStart w:id="1819" w:name="_Toc22991"/>
      <w:bookmarkStart w:id="1820" w:name="_Toc912"/>
      <w:bookmarkStart w:id="1821" w:name="_Toc29303"/>
      <w:bookmarkStart w:id="1822" w:name="_Toc24844"/>
      <w:bookmarkStart w:id="1823" w:name="_Toc21685"/>
      <w:bookmarkStart w:id="1824" w:name="_Toc27039"/>
      <w:bookmarkStart w:id="1825" w:name="_Toc1653"/>
      <w:bookmarkStart w:id="1826" w:name="_Toc14275"/>
      <w:bookmarkStart w:id="1827" w:name="_Toc1466"/>
      <w:bookmarkStart w:id="1828" w:name="_Toc2382"/>
      <w:bookmarkStart w:id="1829" w:name="_Toc7266"/>
      <w:bookmarkStart w:id="1830" w:name="_Toc22147"/>
      <w:bookmarkStart w:id="1831" w:name="_Toc12761"/>
      <w:bookmarkStart w:id="1832" w:name="_Toc25432"/>
      <w:bookmarkStart w:id="1833" w:name="_Toc25560"/>
      <w:bookmarkStart w:id="1834" w:name="_Toc4850"/>
      <w:bookmarkStart w:id="1835" w:name="_Toc25993"/>
      <w:bookmarkStart w:id="1836" w:name="_Toc4672"/>
      <w:bookmarkStart w:id="1837" w:name="_Toc4410"/>
      <w:bookmarkStart w:id="1838" w:name="_Toc642"/>
      <w:bookmarkStart w:id="1839" w:name="_Toc6640"/>
      <w:bookmarkStart w:id="1840" w:name="_Toc3909"/>
      <w:bookmarkStart w:id="1841" w:name="_Toc15488"/>
      <w:bookmarkStart w:id="1842" w:name="_Toc7015"/>
      <w:bookmarkStart w:id="1843" w:name="_Toc21670"/>
      <w:bookmarkStart w:id="1844" w:name="_Toc11478"/>
      <w:bookmarkStart w:id="1845" w:name="_Toc4522"/>
      <w:bookmarkStart w:id="1846" w:name="_Toc217908627"/>
      <w:bookmarkStart w:id="1847" w:name="_Toc229114372"/>
      <w:bookmarkStart w:id="1848" w:name="_Toc229225468"/>
      <w:r>
        <w:rPr>
          <w:rFonts w:ascii="Times New Roman" w:hAnsi="Times New Roman" w:hint="eastAsia"/>
          <w:color w:val="000000"/>
        </w:rPr>
        <w:t>一、发明、实用新型专利权保护范围的确定</w:t>
      </w:r>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《专利法》第六十四条第一款中规定，发明或者实用新型专利权的保护范围以其权利要求的内容为准，说明书及附图可以用于解释权利要求的内容。</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r w:rsidR="00235733">
        <w:rPr>
          <w:rFonts w:ascii="Times New Roman" w:hAnsi="Times New Roman" w:hint="eastAsia"/>
          <w:color w:val="000000"/>
        </w:rPr>
        <w:t>（一）</w:t>
      </w:r>
      <w:r>
        <w:rPr>
          <w:rFonts w:ascii="Times New Roman" w:hAnsi="Times New Roman"/>
          <w:color w:val="000000"/>
        </w:rPr>
        <w:fldChar w:fldCharType="end"/>
      </w:r>
      <w:r w:rsidR="00235733">
        <w:rPr>
          <w:rFonts w:ascii="Times New Roman" w:hAnsi="Times New Roman" w:hint="eastAsia"/>
          <w:color w:val="000000"/>
        </w:rPr>
        <w:t>基本概念</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在确定专利权的保护范围时，涉及几个最基本的概念。</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r w:rsidR="00235733">
        <w:rPr>
          <w:rFonts w:hint="eastAsia"/>
          <w:color w:val="000000"/>
        </w:rPr>
        <w:t xml:space="preserve">1. </w:t>
      </w:r>
      <w:r>
        <w:rPr>
          <w:color w:val="000000"/>
        </w:rPr>
        <w:fldChar w:fldCharType="end"/>
      </w:r>
      <w:r w:rsidR="00235733">
        <w:rPr>
          <w:rFonts w:hint="eastAsia"/>
          <w:color w:val="000000"/>
        </w:rPr>
        <w:t>说明书与权利要求书</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根据专利法第二十六条第一款的规定，一件发明专利申请应当有说明书（必要时应当有附图</w:t>
      </w:r>
      <w:r>
        <w:rPr>
          <w:rFonts w:ascii="Times New Roman" w:eastAsia="宋体" w:hAnsi="Times New Roman"/>
          <w:sz w:val="21"/>
          <w:szCs w:val="21"/>
        </w:rPr>
        <w:t xml:space="preserve"> </w:t>
      </w:r>
      <w:r>
        <w:rPr>
          <w:rFonts w:ascii="Times New Roman" w:eastAsia="宋体" w:hAnsi="Times New Roman"/>
          <w:sz w:val="21"/>
          <w:szCs w:val="21"/>
        </w:rPr>
        <w:t>）及其摘要和权利要求书；</w:t>
      </w:r>
      <w:r>
        <w:rPr>
          <w:rFonts w:ascii="Times New Roman" w:eastAsia="宋体" w:hAnsi="Times New Roman"/>
          <w:sz w:val="21"/>
          <w:szCs w:val="21"/>
        </w:rPr>
        <w:t xml:space="preserve"> </w:t>
      </w:r>
      <w:r>
        <w:rPr>
          <w:rFonts w:ascii="Times New Roman" w:eastAsia="宋体" w:hAnsi="Times New Roman"/>
          <w:sz w:val="21"/>
          <w:szCs w:val="21"/>
        </w:rPr>
        <w:t>一件实用新型专利</w:t>
      </w:r>
      <w:r>
        <w:rPr>
          <w:rFonts w:ascii="Times New Roman" w:eastAsia="宋体" w:hAnsi="Times New Roman"/>
          <w:sz w:val="21"/>
          <w:szCs w:val="21"/>
        </w:rPr>
        <w:t xml:space="preserve"> </w:t>
      </w:r>
      <w:r>
        <w:rPr>
          <w:rFonts w:ascii="Times New Roman" w:eastAsia="宋体" w:hAnsi="Times New Roman"/>
          <w:sz w:val="21"/>
          <w:szCs w:val="21"/>
        </w:rPr>
        <w:t>申请应</w:t>
      </w:r>
      <w:r>
        <w:rPr>
          <w:rFonts w:ascii="Times New Roman" w:eastAsia="宋体" w:hAnsi="Times New Roman"/>
          <w:sz w:val="21"/>
          <w:szCs w:val="21"/>
        </w:rPr>
        <w:t xml:space="preserve"> </w:t>
      </w:r>
      <w:r>
        <w:rPr>
          <w:rFonts w:ascii="Times New Roman" w:eastAsia="宋体" w:hAnsi="Times New Roman"/>
          <w:sz w:val="21"/>
          <w:szCs w:val="21"/>
        </w:rPr>
        <w:t>当有说</w:t>
      </w:r>
      <w:r>
        <w:rPr>
          <w:rFonts w:ascii="Times New Roman" w:eastAsia="宋体" w:hAnsi="Times New Roman"/>
          <w:sz w:val="21"/>
          <w:szCs w:val="21"/>
        </w:rPr>
        <w:t xml:space="preserve"> </w:t>
      </w:r>
      <w:r>
        <w:rPr>
          <w:rFonts w:ascii="Times New Roman" w:eastAsia="宋体" w:hAnsi="Times New Roman"/>
          <w:sz w:val="21"/>
          <w:szCs w:val="21"/>
        </w:rPr>
        <w:t>明书（包括</w:t>
      </w:r>
      <w:r>
        <w:rPr>
          <w:rFonts w:ascii="Times New Roman" w:eastAsia="宋体" w:hAnsi="Times New Roman"/>
          <w:sz w:val="21"/>
          <w:szCs w:val="21"/>
        </w:rPr>
        <w:t xml:space="preserve"> </w:t>
      </w:r>
      <w:r>
        <w:rPr>
          <w:rFonts w:ascii="Times New Roman" w:eastAsia="宋体" w:hAnsi="Times New Roman"/>
          <w:sz w:val="21"/>
          <w:szCs w:val="21"/>
        </w:rPr>
        <w:t>附</w:t>
      </w:r>
      <w:r>
        <w:rPr>
          <w:rFonts w:ascii="Times New Roman" w:eastAsia="宋体" w:hAnsi="Times New Roman"/>
          <w:sz w:val="21"/>
          <w:szCs w:val="21"/>
        </w:rPr>
        <w:t xml:space="preserve"> </w:t>
      </w:r>
      <w:r>
        <w:rPr>
          <w:rFonts w:ascii="Times New Roman" w:eastAsia="宋体" w:hAnsi="Times New Roman"/>
          <w:sz w:val="21"/>
          <w:szCs w:val="21"/>
        </w:rPr>
        <w:t>图）及其摘要和权利要求书。</w:t>
      </w:r>
      <w:r>
        <w:rPr>
          <w:rFonts w:ascii="Times New Roman" w:eastAsia="宋体" w:hAnsi="Times New Roman" w:hint="eastAsia"/>
          <w:sz w:val="21"/>
          <w:szCs w:val="21"/>
        </w:rPr>
        <w:t>说明书，是申请人公开其发明或者实用新型的文件，其作用主要体现在以下三个方面</w:t>
      </w:r>
      <w:r>
        <w:rPr>
          <w:rFonts w:ascii="Times New Roman" w:eastAsia="宋体" w:hAnsi="Times New Roman"/>
          <w:sz w:val="21"/>
          <w:szCs w:val="21"/>
        </w:rPr>
        <w:t>：</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清楚、完整地公开发明或者实用新型的技术方案，使本领域技术人员能够理解并实施该发明或者实用新型，并为社会公众提供新的有用的技术信息；</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提供发明或实用新型的所属技术领域、背景技术、要解决的技术问题、解决其技术问题采用的技术方案、技术方案所能产生的有益效果等各方面的详细信息，为国家知识产权局进行审查、判断技术方案是否能够被授予专利权提供基础和依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作为权利要求书的基础和依据，在专利申请被授权后，在侵权纠纷处理过程中，一定条件下用于解释权利要求书，以便准确地界定专利权的保护范围。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权利要求书，是提交专利申请和确定专利权保护范围不可缺少的文件，其</w:t>
      </w:r>
      <w:r>
        <w:rPr>
          <w:rFonts w:ascii="Times New Roman" w:eastAsia="宋体" w:hAnsi="Times New Roman"/>
          <w:sz w:val="21"/>
          <w:szCs w:val="21"/>
        </w:rPr>
        <w:t>应当记载发明或者实用新型的技术特征</w:t>
      </w:r>
      <w:r>
        <w:rPr>
          <w:rFonts w:ascii="Times New Roman" w:eastAsia="宋体" w:hAnsi="Times New Roman" w:hint="eastAsia"/>
          <w:sz w:val="21"/>
          <w:szCs w:val="21"/>
        </w:rPr>
        <w:t>，作用是确定专利申请和专利权的保护范围，包含以下两个方面的意义</w:t>
      </w:r>
      <w:r>
        <w:rPr>
          <w:rFonts w:ascii="Times New Roman" w:eastAsia="宋体" w:hAnsi="Times New Roman"/>
          <w:sz w:val="21"/>
          <w:szCs w:val="21"/>
        </w:rPr>
        <w:t>：</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表明申请人希望获得多大的法律保护。申请人在提交发明或者实用新型专利申请时，应当提交权利要求书。此时，权利要求书的作用在于划定申请人想获得的保护范围。国家知识产权局进行的审查，就是确定申请人提交的权利要求书限定的范围是否能够被授予专利权。</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作为专利授权后确定专利权保护范围的依据。在授予专利权之后的专利侵权纠纷处理中，管理专利工作的部门和法院判断被控侵权技术方案是否侵犯专利权，要以权利要求书所界定的保护范围为基准。</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r w:rsidR="00235733">
        <w:rPr>
          <w:rFonts w:hint="eastAsia"/>
          <w:color w:val="000000"/>
        </w:rPr>
        <w:t xml:space="preserve">2. </w:t>
      </w:r>
      <w:r>
        <w:rPr>
          <w:color w:val="000000"/>
        </w:rPr>
        <w:fldChar w:fldCharType="end"/>
      </w:r>
      <w:r w:rsidR="00235733">
        <w:rPr>
          <w:rFonts w:hint="eastAsia"/>
          <w:color w:val="000000"/>
        </w:rPr>
        <w:t>产品权利要求与方法权利要求</w:t>
      </w:r>
    </w:p>
    <w:p w:rsidR="00800760" w:rsidRDefault="00235733">
      <w:pPr>
        <w:pStyle w:val="-11"/>
        <w:topLinePunct/>
        <w:spacing w:line="336" w:lineRule="auto"/>
        <w:ind w:firstLine="420"/>
        <w:rPr>
          <w:sz w:val="21"/>
          <w:szCs w:val="21"/>
          <w:lang w:eastAsia="zh-CN"/>
        </w:rPr>
      </w:pPr>
      <w:r>
        <w:rPr>
          <w:rFonts w:hint="eastAsia"/>
          <w:sz w:val="21"/>
          <w:szCs w:val="21"/>
          <w:lang w:eastAsia="zh-CN"/>
        </w:rPr>
        <w:t>按照保护对象的不同，权利要求分为两种类型，</w:t>
      </w:r>
      <w:r>
        <w:rPr>
          <w:sz w:val="21"/>
          <w:szCs w:val="21"/>
          <w:lang w:eastAsia="zh-CN"/>
        </w:rPr>
        <w:t>即物的权利要求和活动的权利要求，或者简单地称为产品权利要求和方法权利要求。第一种基本类型的权利要求包括人类技术生产的物（产品、设备）；第二种基本类型的权利要求包括有时间过程要素的活动（方法</w:t>
      </w:r>
      <w:r>
        <w:rPr>
          <w:sz w:val="21"/>
          <w:szCs w:val="21"/>
          <w:lang w:eastAsia="zh-CN"/>
        </w:rPr>
        <w:t xml:space="preserve"> </w:t>
      </w:r>
      <w:r>
        <w:rPr>
          <w:sz w:val="21"/>
          <w:szCs w:val="21"/>
          <w:lang w:eastAsia="zh-CN"/>
        </w:rPr>
        <w:t>、用途）。属于物的权利要求有物品、物质、材料、工具、装置、设备等权利要求；属于活动的权利要求有制造方法、使用方法、通讯方法、处理方法以及将产品用于特定用途的方法等权利要求。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权利要求的类型体现于权利要求的主题名称。当权利要求的主题名称保护的是产品，即使特征部分涉及的均是方法特征，该权利要求也属于产品权利要求。相反，如果权利要求的主题名称保护的是方法，即使特征部分包括材料、产品特征，也不能改变权利要求类型为方法权利要求的属性。</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r w:rsidR="00235733">
        <w:rPr>
          <w:rFonts w:hint="eastAsia"/>
          <w:color w:val="000000"/>
        </w:rPr>
        <w:t xml:space="preserve">3. </w:t>
      </w:r>
      <w:r>
        <w:rPr>
          <w:color w:val="000000"/>
        </w:rPr>
        <w:fldChar w:fldCharType="end"/>
      </w:r>
      <w:r w:rsidR="00235733">
        <w:rPr>
          <w:rFonts w:hint="eastAsia"/>
          <w:color w:val="000000"/>
        </w:rPr>
        <w:t>独立权利要求与从属权利要求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根据《专利法实施细则》第二十三条第一款的规定，权利要求书应当有独立权利要求，也可以有从属权利要求。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独立权利要求是指从整体上反映发明或者实用新型的技术方案，记载解决技术问题的必要技术特征的权利要求。独立权利要求由前序部分和特征部分构成。</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从属权利要求是指用附加技术特征的形式，对引用的权利要求作进一步限定的权利要求。从属权利要求包括其引用的权利要求的所有技术特征。从属权利要求也由两部分构成，即引用部分和限定部分。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独立权利要求确定了最大的保护范围，所有从属权利要求的保护范围都是其所引用的那项权利要求保护范围的一个子集合。由于从属权利要求用附加的技术特征对所引用的权利要求作了进一步的</w:t>
      </w:r>
      <w:r>
        <w:rPr>
          <w:rFonts w:ascii="Times New Roman" w:eastAsia="宋体" w:hAnsi="Times New Roman" w:hint="eastAsia"/>
          <w:sz w:val="21"/>
          <w:szCs w:val="21"/>
        </w:rPr>
        <w:t xml:space="preserve"> </w:t>
      </w:r>
      <w:r>
        <w:rPr>
          <w:rFonts w:ascii="Times New Roman" w:eastAsia="宋体" w:hAnsi="Times New Roman" w:hint="eastAsia"/>
          <w:sz w:val="21"/>
          <w:szCs w:val="21"/>
        </w:rPr>
        <w:t>限定，所以其保护范围落在其所引用的权利要求的保护范围之内。在判断被控侵权技术方案是否构成侵权时，无论其落入专利的哪一项权利要求保护范围内，都将被认定构成侵权。一般情况下，如果认定被控侵权技术方案落入某一项从属权利要求保护范围内，其必然落入独立权利要求保护范围内；但是，如果认定被控侵权技术方案落入独立权利要求保护范围内，其并不必然落入某一项从属权利要求保护范围内。</w:t>
      </w:r>
    </w:p>
    <w:p w:rsidR="00800760" w:rsidRDefault="00C22A7B">
      <w:pPr>
        <w:pStyle w:val="5"/>
        <w:spacing w:before="120"/>
      </w:pPr>
      <w:r>
        <w:fldChar w:fldCharType="begin"/>
      </w:r>
      <w:r w:rsidR="00235733">
        <w:instrText>= 4 \* GB1</w:instrText>
      </w:r>
      <w:r>
        <w:fldChar w:fldCharType="separate"/>
      </w:r>
      <w:r w:rsidR="00235733">
        <w:t xml:space="preserve">4. </w:t>
      </w:r>
      <w:r>
        <w:fldChar w:fldCharType="end"/>
      </w:r>
      <w:r w:rsidR="00235733">
        <w:rPr>
          <w:rFonts w:hint="eastAsia"/>
        </w:rPr>
        <w:t>专利权的保护范围与权利要求限定的范围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hint="eastAsia"/>
          <w:color w:val="auto"/>
          <w:sz w:val="21"/>
          <w:szCs w:val="21"/>
          <w:lang w:val="en-GB"/>
        </w:rPr>
        <w:t>《专利法》第六十四条第一款中规定的“专利权的保护范围”应以权利要求记载的全部技术特征所确定的范围为准。</w:t>
      </w:r>
      <w:r>
        <w:rPr>
          <w:rFonts w:ascii="Times New Roman" w:eastAsia="宋体" w:hAnsi="Times New Roman" w:hint="eastAsia"/>
          <w:sz w:val="21"/>
          <w:szCs w:val="21"/>
        </w:rPr>
        <w:t>即由专利授权公告文本中权利要求的文字界定的范围，该范围以权利要求的内容为准，但说明书和附图可以对权利要求的内容进行解释。</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授权程序主要是通过对申请文件进行审查，通过审查员与申请人之间的交流互动，明确权利要求限定的范围。确权程序主要是国家知识产权局基于无效宣告请求人的请求，根据无效宣告请求人提出的理由和提交的证据，确定已授权的权利要求限定的范围是否合适。专利侵权判定，则是由管理专利工作的部门或者法院在解释权利要求限定范围的基础上，通过对是否适用等同原则以及等同范围的确定，明晰权利人实际能够获得的保护范围，并对被控侵权技术方案是否落入该保护范围进行判定。</w:t>
      </w:r>
    </w:p>
    <w:p w:rsidR="00800760" w:rsidRDefault="00C22A7B">
      <w:pPr>
        <w:pStyle w:val="5"/>
        <w:spacing w:before="120"/>
        <w:rPr>
          <w:color w:val="000000"/>
        </w:rPr>
      </w:pPr>
      <w:r>
        <w:rPr>
          <w:color w:val="000000"/>
        </w:rPr>
        <w:fldChar w:fldCharType="begin"/>
      </w:r>
      <w:r w:rsidR="00235733">
        <w:rPr>
          <w:color w:val="000000"/>
        </w:rPr>
        <w:instrText>= 5 \* GB1</w:instrText>
      </w:r>
      <w:r>
        <w:rPr>
          <w:color w:val="000000"/>
        </w:rPr>
        <w:fldChar w:fldCharType="separate"/>
      </w:r>
      <w:r w:rsidR="00235733">
        <w:rPr>
          <w:rFonts w:hint="eastAsia"/>
          <w:color w:val="000000"/>
        </w:rPr>
        <w:t xml:space="preserve">5. </w:t>
      </w:r>
      <w:r>
        <w:rPr>
          <w:color w:val="000000"/>
        </w:rPr>
        <w:fldChar w:fldCharType="end"/>
      </w:r>
      <w:r w:rsidR="00235733">
        <w:rPr>
          <w:rFonts w:hint="eastAsia"/>
          <w:color w:val="000000"/>
        </w:rPr>
        <w:t>申请文本、公开文本、授权公告文本和被生效法律文书确定的专利文本</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申请文本</w:t>
      </w:r>
      <w:r>
        <w:rPr>
          <w:rFonts w:ascii="Times New Roman" w:eastAsia="宋体" w:hAnsi="Times New Roman"/>
          <w:sz w:val="21"/>
          <w:szCs w:val="21"/>
        </w:rPr>
        <w:t>：</w:t>
      </w:r>
      <w:r>
        <w:rPr>
          <w:rFonts w:ascii="Times New Roman" w:eastAsia="宋体" w:hAnsi="Times New Roman" w:hint="eastAsia"/>
          <w:sz w:val="21"/>
          <w:szCs w:val="21"/>
        </w:rPr>
        <w:t>对于发明和实用新型专利而言</w:t>
      </w:r>
      <w:r>
        <w:rPr>
          <w:rFonts w:ascii="Times New Roman" w:eastAsia="宋体" w:hAnsi="Times New Roman"/>
          <w:sz w:val="21"/>
          <w:szCs w:val="21"/>
        </w:rPr>
        <w:t>，</w:t>
      </w:r>
      <w:r>
        <w:rPr>
          <w:rFonts w:ascii="Times New Roman" w:eastAsia="宋体" w:hAnsi="Times New Roman" w:hint="eastAsia"/>
          <w:sz w:val="21"/>
          <w:szCs w:val="21"/>
        </w:rPr>
        <w:t>申请文本是指在提出专利申请时申请人提交的文本。</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公开文本</w:t>
      </w:r>
      <w:r>
        <w:rPr>
          <w:rFonts w:ascii="Times New Roman" w:eastAsia="宋体" w:hAnsi="Times New Roman"/>
          <w:sz w:val="21"/>
          <w:szCs w:val="21"/>
        </w:rPr>
        <w:t>：</w:t>
      </w:r>
      <w:r>
        <w:rPr>
          <w:rFonts w:ascii="Times New Roman" w:eastAsia="宋体" w:hAnsi="Times New Roman" w:hint="eastAsia"/>
          <w:sz w:val="21"/>
          <w:szCs w:val="21"/>
        </w:rPr>
        <w:t>发明专利申请经过初步审查合格后</w:t>
      </w:r>
      <w:r>
        <w:rPr>
          <w:rFonts w:ascii="Times New Roman" w:eastAsia="宋体" w:hAnsi="Times New Roman"/>
          <w:sz w:val="21"/>
          <w:szCs w:val="21"/>
        </w:rPr>
        <w:t>，</w:t>
      </w:r>
      <w:r>
        <w:rPr>
          <w:rFonts w:ascii="Times New Roman" w:eastAsia="宋体" w:hAnsi="Times New Roman" w:hint="eastAsia"/>
          <w:sz w:val="21"/>
          <w:szCs w:val="21"/>
        </w:rPr>
        <w:t>国家知识产权局会公开该专利申请文本，该文本即为发明专利申请的公开文本。</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授权公告文本</w:t>
      </w:r>
      <w:r>
        <w:rPr>
          <w:rFonts w:ascii="Times New Roman" w:eastAsia="宋体" w:hAnsi="Times New Roman"/>
          <w:sz w:val="21"/>
          <w:szCs w:val="21"/>
        </w:rPr>
        <w:t>：</w:t>
      </w:r>
      <w:r>
        <w:rPr>
          <w:rFonts w:ascii="Times New Roman" w:eastAsia="宋体" w:hAnsi="Times New Roman" w:hint="eastAsia"/>
          <w:sz w:val="21"/>
          <w:szCs w:val="21"/>
        </w:rPr>
        <w:t>发明专利申请经过实质审查、实用新型专利申请经过初步审查，符合授权条件时，国家知识产权局将会授权并公告该专利，此为授权公告文本。</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被生效法律文书确定的专利文本</w:t>
      </w:r>
      <w:r>
        <w:rPr>
          <w:rFonts w:ascii="Times New Roman" w:eastAsia="宋体" w:hAnsi="Times New Roman"/>
          <w:sz w:val="21"/>
          <w:szCs w:val="21"/>
        </w:rPr>
        <w:t>：</w:t>
      </w:r>
      <w:r>
        <w:rPr>
          <w:rFonts w:ascii="Times New Roman" w:eastAsia="宋体" w:hAnsi="Times New Roman" w:hint="eastAsia"/>
          <w:sz w:val="21"/>
          <w:szCs w:val="21"/>
        </w:rPr>
        <w:t>当发明或实用新型专利经历过无效宣告程序后，所述专利有可能被宣告部分无效，当相关无效宣告请求审查决定（以下简称“无效决定”）生效后，该无效决定维持有效的文本即为“被生效法律文书确定的专利文本”。</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在确定发明、实用新型的保护范围时，应当以国家知识产权局公告授权的专利文本为基础；如果有被生效法律文书确定的专利文本，则以最后的被生效法律文书确定的专利文本为基础。</w:t>
      </w:r>
    </w:p>
    <w:p w:rsidR="00800760" w:rsidRDefault="00C22A7B">
      <w:pPr>
        <w:pStyle w:val="5"/>
        <w:spacing w:before="120"/>
        <w:rPr>
          <w:color w:val="000000"/>
        </w:rPr>
      </w:pPr>
      <w:r>
        <w:rPr>
          <w:color w:val="000000"/>
        </w:rPr>
        <w:fldChar w:fldCharType="begin"/>
      </w:r>
      <w:r w:rsidR="00235733">
        <w:rPr>
          <w:color w:val="000000"/>
        </w:rPr>
        <w:instrText>= 6 \* GB1</w:instrText>
      </w:r>
      <w:r>
        <w:rPr>
          <w:color w:val="000000"/>
        </w:rPr>
        <w:fldChar w:fldCharType="separate"/>
      </w:r>
      <w:r w:rsidR="00235733">
        <w:rPr>
          <w:rFonts w:hint="eastAsia"/>
          <w:color w:val="000000"/>
        </w:rPr>
        <w:t xml:space="preserve">6. </w:t>
      </w:r>
      <w:r>
        <w:rPr>
          <w:color w:val="000000"/>
        </w:rPr>
        <w:fldChar w:fldCharType="end"/>
      </w:r>
      <w:r w:rsidR="00235733">
        <w:rPr>
          <w:rFonts w:hint="eastAsia"/>
          <w:color w:val="000000"/>
        </w:rPr>
        <w:t>内部证据与外部证据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内部证据是指在专利申请和授权过程中形成的材料</w:t>
      </w:r>
      <w:r>
        <w:rPr>
          <w:rFonts w:ascii="Times New Roman" w:eastAsia="宋体" w:hAnsi="Times New Roman"/>
          <w:sz w:val="21"/>
          <w:szCs w:val="21"/>
        </w:rPr>
        <w:t>，</w:t>
      </w:r>
      <w:r>
        <w:rPr>
          <w:rFonts w:ascii="Times New Roman" w:eastAsia="宋体" w:hAnsi="Times New Roman" w:hint="eastAsia"/>
          <w:sz w:val="21"/>
          <w:szCs w:val="21"/>
        </w:rPr>
        <w:t>包括说明书和附图</w:t>
      </w:r>
      <w:r>
        <w:rPr>
          <w:rFonts w:ascii="Times New Roman" w:eastAsia="宋体" w:hAnsi="Times New Roman"/>
          <w:sz w:val="21"/>
          <w:szCs w:val="21"/>
        </w:rPr>
        <w:t>，</w:t>
      </w:r>
      <w:r>
        <w:rPr>
          <w:rFonts w:ascii="Times New Roman" w:eastAsia="宋体" w:hAnsi="Times New Roman" w:hint="eastAsia"/>
          <w:sz w:val="21"/>
          <w:szCs w:val="21"/>
        </w:rPr>
        <w:t>权利要求书中的其他权利要求</w:t>
      </w:r>
      <w:r>
        <w:rPr>
          <w:rFonts w:ascii="Times New Roman" w:eastAsia="宋体" w:hAnsi="Times New Roman"/>
          <w:sz w:val="21"/>
          <w:szCs w:val="21"/>
        </w:rPr>
        <w:t>，</w:t>
      </w:r>
      <w:r>
        <w:rPr>
          <w:rFonts w:ascii="Times New Roman" w:eastAsia="宋体" w:hAnsi="Times New Roman" w:hint="eastAsia"/>
          <w:sz w:val="21"/>
          <w:szCs w:val="21"/>
        </w:rPr>
        <w:t>初步审查、实质审查、复审和无效宣告请求审查中形成的审查档案</w:t>
      </w:r>
      <w:r>
        <w:rPr>
          <w:rFonts w:ascii="Times New Roman" w:eastAsia="宋体" w:hAnsi="Times New Roman"/>
          <w:sz w:val="21"/>
          <w:szCs w:val="21"/>
        </w:rPr>
        <w:t>，</w:t>
      </w:r>
      <w:r>
        <w:rPr>
          <w:rFonts w:ascii="Times New Roman" w:eastAsia="宋体" w:hAnsi="Times New Roman" w:hint="eastAsia"/>
          <w:sz w:val="21"/>
          <w:szCs w:val="21"/>
        </w:rPr>
        <w:t>以及生效的授权、确权行政决定等文件。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外部证据，是指除内部证据之外，在确定专利权的保护范围时，能够用于对权利要求进行解释的证据，包括辞典</w:t>
      </w:r>
      <w:r>
        <w:rPr>
          <w:rFonts w:ascii="Times New Roman" w:eastAsia="宋体" w:hAnsi="Times New Roman"/>
          <w:sz w:val="21"/>
          <w:szCs w:val="21"/>
        </w:rPr>
        <w:t>（</w:t>
      </w:r>
      <w:r>
        <w:rPr>
          <w:rFonts w:ascii="Times New Roman" w:eastAsia="宋体" w:hAnsi="Times New Roman" w:hint="eastAsia"/>
          <w:sz w:val="21"/>
          <w:szCs w:val="21"/>
        </w:rPr>
        <w:t>尤其是专业技术辞典</w:t>
      </w:r>
      <w:r>
        <w:rPr>
          <w:rFonts w:ascii="Times New Roman" w:eastAsia="宋体" w:hAnsi="Times New Roman"/>
          <w:sz w:val="21"/>
          <w:szCs w:val="21"/>
        </w:rPr>
        <w:t>）</w:t>
      </w:r>
      <w:r>
        <w:rPr>
          <w:rFonts w:ascii="Times New Roman" w:eastAsia="宋体" w:hAnsi="Times New Roman" w:hint="eastAsia"/>
          <w:sz w:val="21"/>
          <w:szCs w:val="21"/>
        </w:rPr>
        <w:t>、技术工具书</w:t>
      </w:r>
      <w:r>
        <w:rPr>
          <w:rFonts w:ascii="Times New Roman" w:eastAsia="宋体" w:hAnsi="Times New Roman"/>
          <w:sz w:val="21"/>
          <w:szCs w:val="21"/>
        </w:rPr>
        <w:t>（</w:t>
      </w:r>
      <w:r>
        <w:rPr>
          <w:rFonts w:ascii="Times New Roman" w:eastAsia="宋体" w:hAnsi="Times New Roman" w:hint="eastAsia"/>
          <w:sz w:val="21"/>
          <w:szCs w:val="21"/>
        </w:rPr>
        <w:t>尤其是技术手册、技术标准</w:t>
      </w:r>
      <w:r>
        <w:rPr>
          <w:rFonts w:ascii="Times New Roman" w:eastAsia="宋体" w:hAnsi="Times New Roman"/>
          <w:sz w:val="21"/>
          <w:szCs w:val="21"/>
        </w:rPr>
        <w:t>）</w:t>
      </w:r>
      <w:r>
        <w:rPr>
          <w:rFonts w:ascii="Times New Roman" w:eastAsia="宋体" w:hAnsi="Times New Roman" w:hint="eastAsia"/>
          <w:sz w:val="21"/>
          <w:szCs w:val="21"/>
        </w:rPr>
        <w:t>、教科书、百科全书、专家证言等。</w:t>
      </w:r>
    </w:p>
    <w:p w:rsidR="00800760" w:rsidRDefault="00C22A7B">
      <w:pPr>
        <w:pStyle w:val="5"/>
        <w:spacing w:before="120"/>
        <w:rPr>
          <w:color w:val="000000"/>
        </w:rPr>
      </w:pPr>
      <w:r>
        <w:rPr>
          <w:color w:val="000000"/>
        </w:rPr>
        <w:fldChar w:fldCharType="begin"/>
      </w:r>
      <w:r w:rsidR="00235733">
        <w:rPr>
          <w:color w:val="000000"/>
        </w:rPr>
        <w:instrText>= 7 \* GB1</w:instrText>
      </w:r>
      <w:r>
        <w:rPr>
          <w:color w:val="000000"/>
        </w:rPr>
        <w:fldChar w:fldCharType="separate"/>
      </w:r>
      <w:r w:rsidR="00235733">
        <w:rPr>
          <w:rFonts w:hint="eastAsia"/>
          <w:color w:val="000000"/>
        </w:rPr>
        <w:t>7.</w:t>
      </w:r>
      <w:r>
        <w:rPr>
          <w:color w:val="000000"/>
        </w:rPr>
        <w:fldChar w:fldCharType="end"/>
      </w:r>
      <w:r w:rsidR="00235733">
        <w:rPr>
          <w:rFonts w:hint="eastAsia"/>
          <w:color w:val="000000"/>
        </w:rPr>
        <w:t>技术方案、技术特征和技术手段</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技术方案是指对要解决的技术问题所采取的利用了自然规律的技术手段的集合，而技术手段通常是由技术特征来体现的。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技术特征是指在权利要求所限定的技术方案中，能够相对独立地执行一定功能、产生相对独立的技术效果的最小技术单元。在产品技术方案中，该技术单元一般是产品的部件或者部件之间的关系。在方法技术方案中，该技术单元一般是方法的原料、产物、步骤或者步骤之间的关系。</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r w:rsidR="00235733">
        <w:rPr>
          <w:rFonts w:ascii="Times New Roman" w:hAnsi="Times New Roman" w:hint="eastAsia"/>
          <w:color w:val="000000"/>
          <w:lang w:val="en-US"/>
        </w:rPr>
        <w:t>（二）</w:t>
      </w:r>
      <w:r>
        <w:rPr>
          <w:rFonts w:ascii="Times New Roman" w:hAnsi="Times New Roman"/>
          <w:color w:val="000000"/>
        </w:rPr>
        <w:fldChar w:fldCharType="end"/>
      </w:r>
      <w:r w:rsidR="00235733">
        <w:rPr>
          <w:rFonts w:ascii="Times New Roman" w:hAnsi="Times New Roman" w:hint="eastAsia"/>
          <w:color w:val="000000"/>
        </w:rPr>
        <w:t>权利要求的解释</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解释权利要求通常包括根据权利要求本身、相关的权利要求以及说明书和附图等专利文档或本领域技术人员的公知常识等，对权利要求中的技术术语或特征进行理解，澄清权利要求中技术术语或特征在表述上的不清楚之处，以明确权利要求限定的范围。</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r w:rsidR="00235733">
        <w:rPr>
          <w:rFonts w:hint="eastAsia"/>
          <w:color w:val="000000"/>
        </w:rPr>
        <w:t xml:space="preserve">1. </w:t>
      </w:r>
      <w:r>
        <w:rPr>
          <w:color w:val="000000"/>
        </w:rPr>
        <w:fldChar w:fldCharType="end"/>
      </w:r>
      <w:r w:rsidR="00235733">
        <w:rPr>
          <w:rFonts w:hint="eastAsia"/>
          <w:color w:val="000000"/>
        </w:rPr>
        <w:t>权利要求解释的原则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sz w:val="21"/>
          <w:szCs w:val="21"/>
        </w:rPr>
        <w:t>1</w:t>
      </w:r>
      <w:r w:rsidR="00235733">
        <w:rPr>
          <w:rFonts w:ascii="Times New Roman" w:eastAsia="宋体" w:hAnsi="Times New Roman"/>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折中原则</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确定发明、实用新型专利权的保护范围时，应当以其权利要求的内容为准，说明书和附图可以用于解释权利要求的内容。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权利要求的内容”，是指权利要求记载的技术内容，而不仅仅是权利要求的文字或措辞的字面含义。确定权利要求记载的技术内容，应当根据权利要求概括的技术方案、说明书及附图、发明或实用新型解决的技术问题、专利对现有技术的贡献等因素合理确定，不能将专利权的保护范围扩大到本领域技术人员在阅读说明书及附图后需要经过创造性劳动才能联想到的内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sz w:val="21"/>
          <w:szCs w:val="21"/>
        </w:rPr>
        <w:t>2</w:t>
      </w:r>
      <w:r w:rsidR="00235733">
        <w:rPr>
          <w:rFonts w:ascii="Times New Roman" w:eastAsia="宋体" w:hAnsi="Times New Roman"/>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整体原则</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确定发明、实用新型专利权的保护范围时，应当将权利要求中记载的全部技术特征所表达的技术内容作为一个整体加以考虑，记载在前序部分或引用部分的技术特征与记载在特征部分或限定部分的技术特征，在确定专利权的保护范围时起同等重要的作用。</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sz w:val="21"/>
          <w:szCs w:val="21"/>
        </w:rPr>
        <w:t>3</w:t>
      </w:r>
      <w:r w:rsidR="00235733">
        <w:rPr>
          <w:rFonts w:ascii="Times New Roman" w:eastAsia="宋体" w:hAnsi="Times New Roman"/>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公平原则</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解释权利要求时，不仅要充分考虑专利对现有技术所作的贡献，合理界定专利权利要求限定的范围，保护权利人的利益，还要充分考虑公众的利益，避免将不应受保护的内容解释到权利要求的范围当中。</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r w:rsidR="00235733">
        <w:rPr>
          <w:rFonts w:hint="eastAsia"/>
          <w:color w:val="000000"/>
        </w:rPr>
        <w:t xml:space="preserve">2. </w:t>
      </w:r>
      <w:r>
        <w:rPr>
          <w:color w:val="000000"/>
        </w:rPr>
        <w:fldChar w:fldCharType="end"/>
      </w:r>
      <w:r w:rsidR="00235733">
        <w:rPr>
          <w:rFonts w:hint="eastAsia"/>
          <w:color w:val="000000"/>
        </w:rPr>
        <w:t>权利要求解释的主体</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对权利要求作出解释的主体应当是本领域技术人员。</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本领域技术人员，是一种假设的“人”，假定他知晓申请日或优先权日之前发明或者实用新型专利所属技术领域的所有普通技术知识，能够获知该领域的所有现有技术，并且具有应用该日期之前常规实验手段的能力，但他不具有创造能力。</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r w:rsidR="00235733">
        <w:rPr>
          <w:rFonts w:hint="eastAsia"/>
          <w:color w:val="000000"/>
        </w:rPr>
        <w:t xml:space="preserve">3. </w:t>
      </w:r>
      <w:r>
        <w:rPr>
          <w:color w:val="000000"/>
        </w:rPr>
        <w:fldChar w:fldCharType="end"/>
      </w:r>
      <w:r w:rsidR="00235733">
        <w:rPr>
          <w:rFonts w:hint="eastAsia"/>
          <w:color w:val="000000"/>
        </w:rPr>
        <w:t>权利要求解释的基础</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确定发明、实用新型专利的保护范围，应当以权利人主张的权利要求为准。权利人既可以主张以独立权利要求为基础，也可以主张以从属权利要求为基础，也可以同时主张独立权利要求和从属权利要求。</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当权利人主张以某一独立权利要求为基础确定专利权的保护范围时，应当以该独立权利要求的全部技术特征为基础，即将该独立权利要求的前序部分与特征部分所记载的技术特征并在一起。</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当权利人主张以某一从属权利要求为基础确定专利权的保护范围时，应当以该从属权利要求的全部技术特征为基础，即将该从属权利要求的附加技术特征与其直接或间接引用的权利要求所记载的技术特征并在一起。</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当权利人主张被控侵权技术方案既落入独立权利要求的保护范围，又落入从属权利要求的保护范围时，管理专利工作的部门应当予以全面审查。如果经审查认定被控侵权技术方案未落入独立权利要求保护范围之内时，可以直接认定被控侵权技术方案也未落入从属权利要求的保护范围；如果经审查认定被控侵权技术方案已落入独立权利要求的保护范围，则应当继续对被控侵权技术方案是否落入从属权利要求的保护范围作出认定。</w:t>
      </w:r>
    </w:p>
    <w:p w:rsidR="00800760" w:rsidRDefault="00C22A7B">
      <w:pPr>
        <w:pStyle w:val="5"/>
        <w:spacing w:before="120"/>
        <w:rPr>
          <w:color w:val="000000"/>
        </w:rPr>
      </w:pPr>
      <w:r>
        <w:rPr>
          <w:color w:val="000000"/>
        </w:rPr>
        <w:fldChar w:fldCharType="begin"/>
      </w:r>
      <w:r w:rsidR="00235733">
        <w:rPr>
          <w:color w:val="000000"/>
        </w:rPr>
        <w:instrText>= 4 \* GB1</w:instrText>
      </w:r>
      <w:r>
        <w:rPr>
          <w:color w:val="000000"/>
        </w:rPr>
        <w:fldChar w:fldCharType="separate"/>
      </w:r>
      <w:r w:rsidR="00235733">
        <w:rPr>
          <w:rFonts w:hint="eastAsia"/>
          <w:color w:val="000000"/>
        </w:rPr>
        <w:t xml:space="preserve">4. </w:t>
      </w:r>
      <w:r>
        <w:rPr>
          <w:color w:val="000000"/>
        </w:rPr>
        <w:fldChar w:fldCharType="end"/>
      </w:r>
      <w:r w:rsidR="00235733">
        <w:rPr>
          <w:rFonts w:hint="eastAsia"/>
          <w:color w:val="000000"/>
        </w:rPr>
        <w:t>权利要求解释的规则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“先内后外”</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在解释权利要求时，应坚持“先内后外”的基本顺序，即首先依据内部证据进行解释，在依据内部证据仍不能明确权利要求的含义时，可以结合外部证据以及本领域技术人员的通常理解进行解释。</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内部证据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rPr>
        <w:t>a</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说明书及附图</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说明书包括一项发明或者实用新型专利的所有技术信息，是本领域技术人员理解和实施专利的最重要的文件，对于确定权利要求中技术特征或者技术术语的含义尤其具有重要的意义。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说明书附图是说明书的一部分，尤其是在实用新型专利中，附图对于帮助理解实用新型的技术方案具有重要的作用。很多情况下，附图要与说明书结合在一起，作为解释权利要求的依据。</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w:t>
      </w:r>
      <w:r>
        <w:rPr>
          <w:rFonts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-1</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专利权利要求１为</w:t>
      </w:r>
      <w:r>
        <w:rPr>
          <w:rFonts w:ascii="Times New Roman" w:eastAsia="楷体_GB2312" w:hAnsi="Times New Roman"/>
          <w:sz w:val="21"/>
          <w:szCs w:val="21"/>
        </w:rPr>
        <w:t>：</w:t>
      </w:r>
      <w:r>
        <w:rPr>
          <w:rFonts w:ascii="Times New Roman" w:eastAsia="楷体_GB2312" w:hAnsi="Times New Roman" w:hint="eastAsia"/>
          <w:sz w:val="21"/>
          <w:szCs w:val="21"/>
        </w:rPr>
        <w:t>“一种玻镁、竹、木、植物纤维复合板，它由镁质胶凝竹、木、植物纤维复合层和玻璃网格布层或竹编网增强层组成，其特征在于</w:t>
      </w:r>
      <w:r>
        <w:rPr>
          <w:rFonts w:ascii="Times New Roman" w:eastAsia="楷体_GB2312" w:hAnsi="Times New Roman"/>
          <w:sz w:val="21"/>
          <w:szCs w:val="21"/>
        </w:rPr>
        <w:t>：</w:t>
      </w:r>
      <w:r>
        <w:rPr>
          <w:rFonts w:ascii="Times New Roman" w:eastAsia="楷体_GB2312" w:hAnsi="Times New Roman" w:hint="eastAsia"/>
          <w:sz w:val="21"/>
          <w:szCs w:val="21"/>
        </w:rPr>
        <w:t>镁质胶凝竹、木、植物纤维复合层至少有两层，玻璃网格布层或竹编网增强层至少有一层，两层镁质胶凝竹、木、植物纤维复合层置于玻璃网格布层或竹编网增强层的上面或下面。”</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本案的争议点在于：专利权利要求中“镁质胶凝竹、木、植物纤维复合层”中的“竹、木、植物纤维”是同时具备还是可以选择，即“竹、木、植物纤维”中的标点符号“、”究竟表示“和”还是“或”。</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根据该专利说明书具体实施例所述</w:t>
      </w:r>
      <w:r>
        <w:rPr>
          <w:rFonts w:ascii="Times New Roman" w:eastAsia="楷体_GB2312" w:hAnsi="Times New Roman"/>
          <w:sz w:val="21"/>
          <w:szCs w:val="21"/>
        </w:rPr>
        <w:t>：</w:t>
      </w:r>
      <w:r>
        <w:rPr>
          <w:rFonts w:ascii="Times New Roman" w:eastAsia="楷体_GB2312" w:hAnsi="Times New Roman" w:hint="eastAsia"/>
          <w:sz w:val="21"/>
          <w:szCs w:val="21"/>
        </w:rPr>
        <w:t>“镁质胶凝植物纤维层是由氧化镁和竹纤维或木糠或植物纤维制成的混合物”，显然，该复合层在说明书中被进一步明确为由三种材料中的一种、两种或三种构成，三者是选择而非并用关系，即权利要求</w:t>
      </w:r>
      <w:r>
        <w:rPr>
          <w:rFonts w:ascii="Times New Roman" w:eastAsia="楷体_GB2312" w:hAnsi="Times New Roman"/>
          <w:sz w:val="21"/>
          <w:szCs w:val="21"/>
        </w:rPr>
        <w:t>1</w:t>
      </w:r>
      <w:r>
        <w:rPr>
          <w:rFonts w:ascii="Times New Roman" w:eastAsia="楷体_GB2312" w:hAnsi="Times New Roman" w:hint="eastAsia"/>
          <w:sz w:val="21"/>
          <w:szCs w:val="21"/>
        </w:rPr>
        <w:t>中“竹、木、植物纤维”应当为竹或木或植物纤维。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b</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权利要求书中的相关权利要求</w:t>
      </w:r>
    </w:p>
    <w:p w:rsidR="00800760" w:rsidRDefault="00235733">
      <w:pPr>
        <w:pStyle w:val="af6"/>
        <w:topLinePunct/>
        <w:spacing w:beforeLines="0"/>
        <w:ind w:firstLine="420"/>
        <w:rPr>
          <w:rFonts w:ascii="Times New Roman" w:eastAsia="宋体" w:hAnsi="Times New Roman"/>
        </w:rPr>
      </w:pPr>
      <w:r>
        <w:rPr>
          <w:rFonts w:ascii="Times New Roman" w:eastAsia="宋体" w:hAnsi="Times New Roman" w:hint="eastAsia"/>
        </w:rPr>
        <w:t>在一份专利申请文件中，通常情况下相同的术语应当解释为具有相同的含义。在不同的权利要求中，对于具有相同或类似技术含义的概念，当采用不同的术语时，可以推定这些术语具有不同的含义，除非根据说明书的解释</w:t>
      </w:r>
      <w:r>
        <w:rPr>
          <w:rFonts w:ascii="Times New Roman" w:eastAsia="宋体" w:hAnsi="Times New Roman"/>
        </w:rPr>
        <w:t>或者本领域技术人员阅读权利要求书、说明书和附图</w:t>
      </w:r>
      <w:r>
        <w:rPr>
          <w:rFonts w:ascii="Times New Roman" w:eastAsia="宋体" w:hAnsi="Times New Roman" w:hint="eastAsia"/>
        </w:rPr>
        <w:t>可以确定具有相同含义。当对一项权利要求中的某一术语的含义无法准确界定时，可以根据其他权利要求中相应术语的含义加以解释。</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-2</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涉案专利权利要求如下</w:t>
      </w:r>
      <w:r>
        <w:rPr>
          <w:rFonts w:ascii="Times New Roman" w:eastAsia="楷体_GB2312" w:hAnsi="Times New Roman"/>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w:t>
      </w:r>
      <w:r>
        <w:rPr>
          <w:rFonts w:ascii="Times New Roman" w:eastAsia="楷体_GB2312" w:hAnsi="Times New Roman"/>
          <w:sz w:val="21"/>
          <w:szCs w:val="21"/>
        </w:rPr>
        <w:t xml:space="preserve">1. </w:t>
      </w:r>
      <w:r>
        <w:rPr>
          <w:rFonts w:ascii="Times New Roman" w:eastAsia="楷体_GB2312" w:hAnsi="Times New Roman" w:hint="eastAsia"/>
          <w:sz w:val="21"/>
          <w:szCs w:val="21"/>
        </w:rPr>
        <w:t>一种水烟筒，包括烟筒和烟嘴，烟筒内设有一条烟管，其特征在于</w:t>
      </w:r>
      <w:r>
        <w:rPr>
          <w:rFonts w:ascii="Times New Roman" w:eastAsia="楷体_GB2312" w:hAnsi="Times New Roman"/>
          <w:sz w:val="21"/>
          <w:szCs w:val="21"/>
        </w:rPr>
        <w:t>：</w:t>
      </w:r>
      <w:r>
        <w:rPr>
          <w:rFonts w:ascii="Times New Roman" w:eastAsia="楷体_GB2312" w:hAnsi="Times New Roman" w:hint="eastAsia"/>
          <w:sz w:val="21"/>
          <w:szCs w:val="21"/>
        </w:rPr>
        <w:t>所述的烟筒的上端连接有一个烟锅座，烟锅座上连接有一个烟锅，烟锅的底部设有多个小通孔，该小通孔与烟筒内的烟管相通；烟筒的下端连接有一个盛水容器，烟筒内的烟管伸入盛水容器中，烟筒的下端与盛水容器的连接处设有一个空腔；烟筒的下端还设有一个烟孔接头，该烟孔接头与空腔连通，烟嘴通过一个长软管与烟孔接头连接。</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w:t>
      </w:r>
      <w:r>
        <w:rPr>
          <w:rFonts w:ascii="Times New Roman" w:eastAsia="楷体_GB2312" w:hAnsi="Times New Roman"/>
          <w:sz w:val="21"/>
          <w:szCs w:val="21"/>
        </w:rPr>
        <w:t xml:space="preserve">2. </w:t>
      </w:r>
      <w:r>
        <w:rPr>
          <w:rFonts w:ascii="Times New Roman" w:eastAsia="楷体_GB2312" w:hAnsi="Times New Roman" w:hint="eastAsia"/>
          <w:sz w:val="21"/>
          <w:szCs w:val="21"/>
        </w:rPr>
        <w:t>如权利要求</w:t>
      </w:r>
      <w:r>
        <w:rPr>
          <w:rFonts w:ascii="Times New Roman" w:eastAsia="楷体_GB2312" w:hAnsi="Times New Roman"/>
          <w:sz w:val="21"/>
          <w:szCs w:val="21"/>
        </w:rPr>
        <w:t>1</w:t>
      </w:r>
      <w:r>
        <w:rPr>
          <w:rFonts w:ascii="Times New Roman" w:eastAsia="楷体_GB2312" w:hAnsi="Times New Roman" w:hint="eastAsia"/>
          <w:sz w:val="21"/>
          <w:szCs w:val="21"/>
        </w:rPr>
        <w:t>所述的水烟筒，其特征在于</w:t>
      </w:r>
      <w:r>
        <w:rPr>
          <w:rFonts w:ascii="Times New Roman" w:eastAsia="楷体_GB2312" w:hAnsi="Times New Roman"/>
          <w:sz w:val="21"/>
          <w:szCs w:val="21"/>
        </w:rPr>
        <w:t>：</w:t>
      </w:r>
      <w:r>
        <w:rPr>
          <w:rFonts w:ascii="Times New Roman" w:eastAsia="楷体_GB2312" w:hAnsi="Times New Roman" w:hint="eastAsia"/>
          <w:sz w:val="21"/>
          <w:szCs w:val="21"/>
        </w:rPr>
        <w:t>所述的烟筒的下端还设有一个排烟阀，排烟阀与烟筒下端的空腔连通。”</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涉案专利图示说明</w:t>
      </w:r>
      <w:r>
        <w:rPr>
          <w:rFonts w:ascii="Times New Roman" w:eastAsia="楷体_GB2312" w:hAnsi="Times New Roman"/>
          <w:sz w:val="21"/>
          <w:szCs w:val="21"/>
        </w:rPr>
        <w:t>：</w:t>
      </w:r>
      <w:r>
        <w:rPr>
          <w:rFonts w:ascii="Times New Roman" w:eastAsia="楷体_GB2312" w:hAnsi="Times New Roman" w:hint="eastAsia"/>
          <w:sz w:val="21"/>
          <w:szCs w:val="21"/>
        </w:rPr>
        <w:t>图</w:t>
      </w:r>
      <w:r>
        <w:rPr>
          <w:rFonts w:ascii="Times New Roman" w:eastAsia="楷体_GB2312" w:hAnsi="Times New Roman"/>
          <w:sz w:val="21"/>
          <w:szCs w:val="21"/>
        </w:rPr>
        <w:t>1</w:t>
      </w:r>
      <w:r>
        <w:rPr>
          <w:rFonts w:ascii="Times New Roman" w:eastAsia="楷体_GB2312" w:hAnsi="Times New Roman" w:hint="eastAsia"/>
          <w:sz w:val="21"/>
          <w:szCs w:val="21"/>
        </w:rPr>
        <w:t>和图</w:t>
      </w:r>
      <w:r>
        <w:rPr>
          <w:rFonts w:ascii="Times New Roman" w:eastAsia="楷体_GB2312" w:hAnsi="Times New Roman"/>
          <w:sz w:val="21"/>
          <w:szCs w:val="21"/>
        </w:rPr>
        <w:t>2</w:t>
      </w:r>
      <w:r>
        <w:rPr>
          <w:rFonts w:ascii="Times New Roman" w:eastAsia="楷体_GB2312" w:hAnsi="Times New Roman" w:hint="eastAsia"/>
          <w:sz w:val="21"/>
          <w:szCs w:val="21"/>
        </w:rPr>
        <w:t>为涉案专利的结构分解图。其中包括</w:t>
      </w:r>
      <w:r>
        <w:rPr>
          <w:rFonts w:ascii="Times New Roman" w:eastAsia="楷体_GB2312" w:hAnsi="Times New Roman"/>
          <w:sz w:val="21"/>
          <w:szCs w:val="21"/>
        </w:rPr>
        <w:t>：</w:t>
      </w:r>
      <w:r>
        <w:rPr>
          <w:rFonts w:ascii="Times New Roman" w:eastAsia="楷体_GB2312" w:hAnsi="Times New Roman" w:hint="eastAsia"/>
          <w:sz w:val="21"/>
          <w:szCs w:val="21"/>
        </w:rPr>
        <w:t>烟筒</w:t>
      </w:r>
      <w:r>
        <w:rPr>
          <w:rFonts w:ascii="Times New Roman" w:eastAsia="楷体_GB2312" w:hAnsi="Times New Roman"/>
          <w:sz w:val="21"/>
          <w:szCs w:val="21"/>
        </w:rPr>
        <w:t>1</w:t>
      </w:r>
      <w:r>
        <w:rPr>
          <w:rFonts w:ascii="Times New Roman" w:eastAsia="楷体_GB2312" w:hAnsi="Times New Roman" w:hint="eastAsia"/>
          <w:sz w:val="21"/>
          <w:szCs w:val="21"/>
        </w:rPr>
        <w:t>、烟嘴</w:t>
      </w:r>
      <w:r>
        <w:rPr>
          <w:rFonts w:ascii="Times New Roman" w:eastAsia="楷体_GB2312" w:hAnsi="Times New Roman"/>
          <w:sz w:val="21"/>
          <w:szCs w:val="21"/>
        </w:rPr>
        <w:t>2</w:t>
      </w:r>
      <w:r>
        <w:rPr>
          <w:rFonts w:ascii="Times New Roman" w:eastAsia="楷体_GB2312" w:hAnsi="Times New Roman" w:hint="eastAsia"/>
          <w:sz w:val="21"/>
          <w:szCs w:val="21"/>
        </w:rPr>
        <w:t>、烟管</w:t>
      </w:r>
      <w:r>
        <w:rPr>
          <w:rFonts w:ascii="Times New Roman" w:eastAsia="楷体_GB2312" w:hAnsi="Times New Roman"/>
          <w:sz w:val="21"/>
          <w:szCs w:val="21"/>
        </w:rPr>
        <w:t>3</w:t>
      </w:r>
      <w:r>
        <w:rPr>
          <w:rFonts w:ascii="Times New Roman" w:eastAsia="楷体_GB2312" w:hAnsi="Times New Roman" w:hint="eastAsia"/>
          <w:sz w:val="21"/>
          <w:szCs w:val="21"/>
        </w:rPr>
        <w:t>、烟锅座</w:t>
      </w:r>
      <w:r>
        <w:rPr>
          <w:rFonts w:ascii="Times New Roman" w:eastAsia="楷体_GB2312" w:hAnsi="Times New Roman"/>
          <w:sz w:val="21"/>
          <w:szCs w:val="21"/>
        </w:rPr>
        <w:t>4</w:t>
      </w:r>
      <w:r>
        <w:rPr>
          <w:rFonts w:ascii="Times New Roman" w:eastAsia="楷体_GB2312" w:hAnsi="Times New Roman" w:hint="eastAsia"/>
          <w:sz w:val="21"/>
          <w:szCs w:val="21"/>
        </w:rPr>
        <w:t>、烟锅</w:t>
      </w:r>
      <w:r>
        <w:rPr>
          <w:rFonts w:ascii="Times New Roman" w:eastAsia="楷体_GB2312" w:hAnsi="Times New Roman"/>
          <w:sz w:val="21"/>
          <w:szCs w:val="21"/>
        </w:rPr>
        <w:t>5</w:t>
      </w:r>
      <w:r>
        <w:rPr>
          <w:rFonts w:ascii="Times New Roman" w:eastAsia="楷体_GB2312" w:hAnsi="Times New Roman" w:hint="eastAsia"/>
          <w:sz w:val="21"/>
          <w:szCs w:val="21"/>
        </w:rPr>
        <w:t>、空腔</w:t>
      </w:r>
      <w:r>
        <w:rPr>
          <w:rFonts w:ascii="Times New Roman" w:eastAsia="楷体_GB2312" w:hAnsi="Times New Roman"/>
          <w:sz w:val="21"/>
          <w:szCs w:val="21"/>
        </w:rPr>
        <w:t>8</w:t>
      </w:r>
      <w:r>
        <w:rPr>
          <w:rFonts w:ascii="Times New Roman" w:eastAsia="楷体_GB2312" w:hAnsi="Times New Roman" w:hint="eastAsia"/>
          <w:sz w:val="21"/>
          <w:szCs w:val="21"/>
        </w:rPr>
        <w:t>、烟孔接头</w:t>
      </w:r>
      <w:r>
        <w:rPr>
          <w:rFonts w:ascii="Times New Roman" w:eastAsia="楷体_GB2312" w:hAnsi="Times New Roman"/>
          <w:sz w:val="21"/>
          <w:szCs w:val="21"/>
        </w:rPr>
        <w:t>9</w:t>
      </w:r>
      <w:r>
        <w:rPr>
          <w:rFonts w:ascii="Times New Roman" w:eastAsia="楷体_GB2312" w:hAnsi="Times New Roman" w:hint="eastAsia"/>
          <w:sz w:val="21"/>
          <w:szCs w:val="21"/>
        </w:rPr>
        <w:t>、长软管</w:t>
      </w:r>
      <w:r>
        <w:rPr>
          <w:rFonts w:ascii="Times New Roman" w:eastAsia="楷体_GB2312" w:hAnsi="Times New Roman"/>
          <w:sz w:val="21"/>
          <w:szCs w:val="21"/>
        </w:rPr>
        <w:t>10</w:t>
      </w:r>
      <w:r>
        <w:rPr>
          <w:rFonts w:ascii="Times New Roman" w:eastAsia="楷体_GB2312" w:hAnsi="Times New Roman" w:hint="eastAsia"/>
          <w:sz w:val="21"/>
          <w:szCs w:val="21"/>
        </w:rPr>
        <w:t>、排烟阀</w:t>
      </w:r>
      <w:r>
        <w:rPr>
          <w:rFonts w:ascii="Times New Roman" w:eastAsia="楷体_GB2312" w:hAnsi="Times New Roman"/>
          <w:sz w:val="21"/>
          <w:szCs w:val="21"/>
        </w:rPr>
        <w:t>11</w:t>
      </w:r>
      <w:r>
        <w:rPr>
          <w:rFonts w:ascii="Times New Roman" w:eastAsia="楷体_GB2312" w:hAnsi="Times New Roman" w:hint="eastAsia"/>
          <w:sz w:val="21"/>
          <w:szCs w:val="21"/>
        </w:rPr>
        <w:t>、托盘</w:t>
      </w:r>
      <w:r>
        <w:rPr>
          <w:rFonts w:ascii="Times New Roman" w:eastAsia="楷体_GB2312" w:hAnsi="Times New Roman"/>
          <w:sz w:val="21"/>
          <w:szCs w:val="21"/>
        </w:rPr>
        <w:t>12</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本案的争议点在于：权利要求</w:t>
      </w:r>
      <w:r>
        <w:rPr>
          <w:rFonts w:ascii="Times New Roman" w:eastAsia="楷体_GB2312" w:hAnsi="Times New Roman"/>
          <w:sz w:val="21"/>
          <w:szCs w:val="21"/>
        </w:rPr>
        <w:t>1</w:t>
      </w:r>
      <w:r>
        <w:rPr>
          <w:rFonts w:ascii="Times New Roman" w:eastAsia="楷体_GB2312" w:hAnsi="Times New Roman" w:hint="eastAsia"/>
          <w:sz w:val="21"/>
          <w:szCs w:val="21"/>
        </w:rPr>
        <w:t>中的术语“空腔”具体的含义。</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pacing w:val="-2"/>
          <w:sz w:val="21"/>
          <w:szCs w:val="21"/>
        </w:rPr>
      </w:pPr>
      <w:r>
        <w:rPr>
          <w:rFonts w:ascii="Times New Roman" w:eastAsia="楷体_GB2312" w:hAnsi="Times New Roman" w:hint="eastAsia"/>
          <w:sz w:val="21"/>
          <w:szCs w:val="21"/>
        </w:rPr>
        <w:t>对于涉案专利中的术语“空腔”，根据权利要求</w:t>
      </w:r>
      <w:r>
        <w:rPr>
          <w:rFonts w:ascii="Times New Roman" w:eastAsia="楷体_GB2312" w:hAnsi="Times New Roman"/>
          <w:sz w:val="21"/>
          <w:szCs w:val="21"/>
        </w:rPr>
        <w:t>1</w:t>
      </w:r>
      <w:r>
        <w:rPr>
          <w:rFonts w:ascii="Times New Roman" w:eastAsia="楷体_GB2312" w:hAnsi="Times New Roman" w:hint="eastAsia"/>
          <w:sz w:val="21"/>
          <w:szCs w:val="21"/>
        </w:rPr>
        <w:t>的记载，空腔设置在“烟筒的下端与盛水容器的连接处”，根据权利要求</w:t>
      </w:r>
      <w:r>
        <w:rPr>
          <w:rFonts w:ascii="Times New Roman" w:eastAsia="楷体_GB2312" w:hAnsi="Times New Roman"/>
          <w:sz w:val="21"/>
          <w:szCs w:val="21"/>
        </w:rPr>
        <w:t>2</w:t>
      </w:r>
      <w:r>
        <w:rPr>
          <w:rFonts w:ascii="Times New Roman" w:eastAsia="楷体_GB2312" w:hAnsi="Times New Roman" w:hint="eastAsia"/>
          <w:sz w:val="21"/>
          <w:szCs w:val="21"/>
        </w:rPr>
        <w:t>的记载，“排烟阀与空腔连通”，说明书明确标注了空腔的位置为</w:t>
      </w:r>
      <w:r>
        <w:rPr>
          <w:rFonts w:ascii="Times New Roman" w:eastAsia="楷体_GB2312" w:hAnsi="Times New Roman"/>
          <w:sz w:val="21"/>
          <w:szCs w:val="21"/>
        </w:rPr>
        <w:t>8</w:t>
      </w:r>
      <w:r>
        <w:rPr>
          <w:rFonts w:ascii="Times New Roman" w:eastAsia="楷体_GB2312" w:hAnsi="Times New Roman" w:hint="eastAsia"/>
          <w:sz w:val="21"/>
          <w:szCs w:val="21"/>
        </w:rPr>
        <w:t>。据此，空腔应当解释为是在烟筒下端，盛水容器瓶口上方，并与烟孔接头连通，作用在于盛水容器内烟气浓</w:t>
      </w:r>
      <w:r>
        <w:rPr>
          <w:rFonts w:ascii="Times New Roman" w:eastAsia="楷体_GB2312" w:hAnsi="Times New Roman" w:hint="eastAsia"/>
          <w:spacing w:val="-2"/>
          <w:sz w:val="21"/>
          <w:szCs w:val="21"/>
        </w:rPr>
        <w:t>度过大时，可拧松排烟阀，从烟嘴处吹气，排出浓烟，因此，结合权利要求</w:t>
      </w:r>
      <w:r>
        <w:rPr>
          <w:rFonts w:ascii="Times New Roman" w:eastAsia="楷体_GB2312" w:hAnsi="Times New Roman" w:hint="eastAsia"/>
          <w:spacing w:val="-2"/>
          <w:sz w:val="21"/>
          <w:szCs w:val="21"/>
        </w:rPr>
        <w:t>2</w:t>
      </w:r>
      <w:r>
        <w:rPr>
          <w:rFonts w:ascii="Times New Roman" w:eastAsia="楷体_GB2312" w:hAnsi="Times New Roman" w:hint="eastAsia"/>
          <w:spacing w:val="-2"/>
          <w:sz w:val="21"/>
          <w:szCs w:val="21"/>
        </w:rPr>
        <w:t>和说明书中关于空腔的结构与作用的记载，权利要求</w:t>
      </w:r>
      <w:r>
        <w:rPr>
          <w:rFonts w:ascii="Times New Roman" w:eastAsia="楷体_GB2312" w:hAnsi="Times New Roman"/>
          <w:spacing w:val="-2"/>
          <w:sz w:val="21"/>
          <w:szCs w:val="21"/>
        </w:rPr>
        <w:t>1</w:t>
      </w:r>
      <w:r>
        <w:rPr>
          <w:rFonts w:ascii="Times New Roman" w:eastAsia="楷体_GB2312" w:hAnsi="Times New Roman" w:hint="eastAsia"/>
          <w:spacing w:val="-2"/>
          <w:sz w:val="21"/>
          <w:szCs w:val="21"/>
        </w:rPr>
        <w:t>中空腔的形状只能被理解为环绕烟管四周的中空结构，且连通烟孔接头与排烟阀。</w:t>
      </w:r>
    </w:p>
    <w:p w:rsidR="00800760" w:rsidRDefault="00235733">
      <w:pPr>
        <w:pStyle w:val="12"/>
        <w:topLinePunct/>
        <w:spacing w:line="336" w:lineRule="auto"/>
        <w:ind w:firstLineChars="0" w:firstLine="0"/>
        <w:jc w:val="center"/>
        <w:rPr>
          <w:rFonts w:ascii="Times New Roman" w:eastAsia="宋体" w:hAnsi="Times New Roman"/>
          <w:sz w:val="21"/>
          <w:szCs w:val="21"/>
        </w:rPr>
      </w:pPr>
      <w:r>
        <w:rPr>
          <w:rFonts w:ascii="Times New Roman" w:hAnsi="Times New Roman"/>
          <w:noProof/>
          <w:lang w:val="en-US"/>
        </w:rPr>
        <w:drawing>
          <wp:inline distT="0" distB="0" distL="0" distR="0">
            <wp:extent cx="5210175" cy="3143250"/>
            <wp:effectExtent l="19050" t="0" r="9525" b="0"/>
            <wp:docPr id="1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
                    <pic:cNvPicPr>
                      <a:picLocks noChangeAspect="1" noChangeArrowheads="1"/>
                    </pic:cNvPicPr>
                  </pic:nvPicPr>
                  <pic:blipFill>
                    <a:blip r:embed="rId18" cstate="print"/>
                    <a:srcRect/>
                    <a:stretch>
                      <a:fillRect/>
                    </a:stretch>
                  </pic:blipFill>
                  <pic:spPr>
                    <a:xfrm>
                      <a:off x="0" y="0"/>
                      <a:ext cx="5210175" cy="3143250"/>
                    </a:xfrm>
                    <a:prstGeom prst="rect">
                      <a:avLst/>
                    </a:prstGeom>
                    <a:noFill/>
                    <a:ln w="9525">
                      <a:noFill/>
                      <a:miter lim="800000"/>
                      <a:headEnd/>
                      <a:tailEnd/>
                    </a:ln>
                  </pic:spPr>
                </pic:pic>
              </a:graphicData>
            </a:graphic>
          </wp:inline>
        </w:drawing>
      </w:r>
    </w:p>
    <w:p w:rsidR="00800760" w:rsidRDefault="00235733" w:rsidP="00235733">
      <w:pPr>
        <w:tabs>
          <w:tab w:val="left" w:pos="7200"/>
        </w:tabs>
        <w:topLinePunct/>
        <w:ind w:leftChars="800" w:left="1680" w:firstLineChars="111" w:firstLine="200"/>
        <w:jc w:val="both"/>
        <w:rPr>
          <w:rFonts w:eastAsia="黑体"/>
          <w:color w:val="000000"/>
          <w:sz w:val="18"/>
          <w:szCs w:val="18"/>
        </w:rPr>
      </w:pPr>
      <w:r>
        <w:rPr>
          <w:rFonts w:eastAsia="黑体" w:hint="eastAsia"/>
          <w:color w:val="000000"/>
          <w:sz w:val="18"/>
          <w:szCs w:val="18"/>
        </w:rPr>
        <w:t>图１</w:t>
      </w:r>
      <w:r>
        <w:rPr>
          <w:rFonts w:eastAsia="黑体"/>
          <w:color w:val="000000"/>
          <w:sz w:val="18"/>
          <w:szCs w:val="18"/>
        </w:rPr>
        <w:tab/>
      </w:r>
      <w:r>
        <w:rPr>
          <w:rFonts w:eastAsia="黑体" w:hint="eastAsia"/>
          <w:color w:val="000000"/>
          <w:sz w:val="18"/>
          <w:szCs w:val="18"/>
        </w:rPr>
        <w:t>图２</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-3</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某发明专利，权利要求</w:t>
      </w:r>
      <w:r>
        <w:rPr>
          <w:rFonts w:ascii="Times New Roman" w:eastAsia="楷体_GB2312" w:hAnsi="Times New Roman"/>
          <w:sz w:val="21"/>
          <w:szCs w:val="21"/>
        </w:rPr>
        <w:t>14</w:t>
      </w:r>
      <w:r>
        <w:rPr>
          <w:rFonts w:ascii="Times New Roman" w:eastAsia="楷体_GB2312" w:hAnsi="Times New Roman" w:hint="eastAsia"/>
          <w:sz w:val="21"/>
          <w:szCs w:val="21"/>
        </w:rPr>
        <w:t>中限定可视透光体的层结构为包括介电层、介电外层以及“喷积绝缘体”</w:t>
      </w:r>
      <w:r>
        <w:rPr>
          <w:rFonts w:ascii="Times New Roman" w:eastAsia="楷体_GB2312" w:hAnsi="Times New Roman"/>
          <w:sz w:val="21"/>
          <w:szCs w:val="21"/>
        </w:rPr>
        <w:t>（</w:t>
      </w:r>
      <w:r>
        <w:rPr>
          <w:rFonts w:ascii="Times New Roman" w:eastAsia="楷体_GB2312" w:hAnsi="Times New Roman"/>
          <w:sz w:val="21"/>
          <w:szCs w:val="21"/>
        </w:rPr>
        <w:t>sputter-deposited dielectric</w:t>
      </w:r>
      <w:r>
        <w:rPr>
          <w:rFonts w:ascii="Times New Roman" w:eastAsia="楷体_GB2312" w:hAnsi="Times New Roman"/>
          <w:sz w:val="21"/>
          <w:szCs w:val="21"/>
        </w:rPr>
        <w:t>）</w:t>
      </w:r>
      <w:r>
        <w:rPr>
          <w:rFonts w:ascii="Times New Roman" w:eastAsia="楷体_GB2312" w:hAnsi="Times New Roman" w:hint="eastAsia"/>
          <w:sz w:val="21"/>
          <w:szCs w:val="21"/>
        </w:rPr>
        <w:t>等的多层结构。</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专利权人主张</w:t>
      </w:r>
      <w:r>
        <w:rPr>
          <w:rFonts w:ascii="Times New Roman" w:eastAsia="楷体_GB2312" w:hAnsi="Times New Roman"/>
          <w:sz w:val="21"/>
          <w:szCs w:val="21"/>
        </w:rPr>
        <w:t>，</w:t>
      </w:r>
      <w:r>
        <w:rPr>
          <w:rFonts w:ascii="Times New Roman" w:eastAsia="楷体_GB2312" w:hAnsi="Times New Roman" w:hint="eastAsia"/>
          <w:sz w:val="21"/>
          <w:szCs w:val="21"/>
        </w:rPr>
        <w:t>权利要求中的“喷积绝缘体”包括以前喷积后经过氧化转化的绝缘体层。被请求人举证认为，在专利申请审查过程中，专利申请人</w:t>
      </w:r>
      <w:r>
        <w:rPr>
          <w:rFonts w:ascii="Times New Roman" w:eastAsia="楷体_GB2312" w:hAnsi="Times New Roman"/>
          <w:sz w:val="21"/>
          <w:szCs w:val="21"/>
        </w:rPr>
        <w:t>（</w:t>
      </w:r>
      <w:r>
        <w:rPr>
          <w:rFonts w:ascii="Times New Roman" w:eastAsia="楷体_GB2312" w:hAnsi="Times New Roman" w:hint="eastAsia"/>
          <w:sz w:val="21"/>
          <w:szCs w:val="21"/>
        </w:rPr>
        <w:t>即专利权人</w:t>
      </w:r>
      <w:r>
        <w:rPr>
          <w:rFonts w:ascii="Times New Roman" w:eastAsia="楷体_GB2312" w:hAnsi="Times New Roman"/>
          <w:sz w:val="21"/>
          <w:szCs w:val="21"/>
        </w:rPr>
        <w:t>）</w:t>
      </w:r>
      <w:r>
        <w:rPr>
          <w:rFonts w:ascii="Times New Roman" w:eastAsia="楷体_GB2312" w:hAnsi="Times New Roman" w:hint="eastAsia"/>
          <w:sz w:val="21"/>
          <w:szCs w:val="21"/>
        </w:rPr>
        <w:t>曾针对一项权利要求</w:t>
      </w:r>
      <w:r>
        <w:rPr>
          <w:rFonts w:ascii="Times New Roman" w:eastAsia="楷体_GB2312" w:hAnsi="Times New Roman"/>
          <w:sz w:val="21"/>
          <w:szCs w:val="21"/>
        </w:rPr>
        <w:t>36</w:t>
      </w:r>
      <w:r>
        <w:rPr>
          <w:rFonts w:ascii="Times New Roman" w:eastAsia="楷体_GB2312" w:hAnsi="Times New Roman" w:hint="eastAsia"/>
          <w:sz w:val="21"/>
          <w:szCs w:val="21"/>
        </w:rPr>
        <w:t>陈述意见，称其与在先技术的区别在于，专利发明通过喷射直接形成绝缘层。对于被请求人的这一意见，专利权人称，其在审查过程中所作的如上陈述是针对一项权利要求</w:t>
      </w:r>
      <w:r>
        <w:rPr>
          <w:rFonts w:ascii="Times New Roman" w:eastAsia="楷体_GB2312" w:hAnsi="Times New Roman"/>
          <w:sz w:val="21"/>
          <w:szCs w:val="21"/>
        </w:rPr>
        <w:t>36</w:t>
      </w:r>
      <w:r>
        <w:rPr>
          <w:rFonts w:ascii="Times New Roman" w:eastAsia="楷体_GB2312" w:hAnsi="Times New Roman" w:hint="eastAsia"/>
          <w:sz w:val="21"/>
          <w:szCs w:val="21"/>
        </w:rPr>
        <w:t>提出的，不适用于案中所争议的权利要求</w:t>
      </w:r>
      <w:r>
        <w:rPr>
          <w:rFonts w:ascii="Times New Roman" w:eastAsia="楷体_GB2312" w:hAnsi="Times New Roman"/>
          <w:sz w:val="21"/>
          <w:szCs w:val="21"/>
        </w:rPr>
        <w:t>14</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本案中，争议点在于如何解释权利要求</w:t>
      </w:r>
      <w:r>
        <w:rPr>
          <w:rFonts w:ascii="Times New Roman" w:eastAsia="楷体_GB2312" w:hAnsi="Times New Roman"/>
          <w:sz w:val="21"/>
          <w:szCs w:val="21"/>
        </w:rPr>
        <w:t>14</w:t>
      </w:r>
      <w:r>
        <w:rPr>
          <w:rFonts w:ascii="Times New Roman" w:eastAsia="楷体_GB2312" w:hAnsi="Times New Roman" w:hint="eastAsia"/>
          <w:sz w:val="21"/>
          <w:szCs w:val="21"/>
        </w:rPr>
        <w:t>中的术语“喷积绝缘体”。</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解释权利要求时，应当对权利要求的用语进行连贯性解释，即针对同一技术术语，对于所有权利要求中使用的该技术用语都应当作相同的解释，不能在不同的权利要求中作出不同的解释，除非权利要求书、说明书和附图有明确的相反指示。本案中，权利要求</w:t>
      </w:r>
      <w:r>
        <w:rPr>
          <w:rFonts w:ascii="Times New Roman" w:eastAsia="楷体_GB2312" w:hAnsi="Times New Roman"/>
          <w:sz w:val="21"/>
          <w:szCs w:val="21"/>
        </w:rPr>
        <w:t>14</w:t>
      </w:r>
      <w:r>
        <w:rPr>
          <w:rFonts w:ascii="Times New Roman" w:eastAsia="楷体_GB2312" w:hAnsi="Times New Roman" w:hint="eastAsia"/>
          <w:sz w:val="21"/>
          <w:szCs w:val="21"/>
        </w:rPr>
        <w:t>和</w:t>
      </w:r>
      <w:r>
        <w:rPr>
          <w:rFonts w:ascii="Times New Roman" w:eastAsia="楷体_GB2312" w:hAnsi="Times New Roman"/>
          <w:sz w:val="21"/>
          <w:szCs w:val="21"/>
        </w:rPr>
        <w:t>36</w:t>
      </w:r>
      <w:r>
        <w:rPr>
          <w:rFonts w:ascii="Times New Roman" w:eastAsia="楷体_GB2312" w:hAnsi="Times New Roman" w:hint="eastAsia"/>
          <w:sz w:val="21"/>
          <w:szCs w:val="21"/>
        </w:rPr>
        <w:t>中出现了相同的技术术语“喷积绝缘体”，但专利权人将权利要求</w:t>
      </w:r>
      <w:r>
        <w:rPr>
          <w:rFonts w:ascii="Times New Roman" w:eastAsia="楷体_GB2312" w:hAnsi="Times New Roman"/>
          <w:sz w:val="21"/>
          <w:szCs w:val="21"/>
        </w:rPr>
        <w:t>36</w:t>
      </w:r>
      <w:r>
        <w:rPr>
          <w:rFonts w:ascii="Times New Roman" w:eastAsia="楷体_GB2312" w:hAnsi="Times New Roman" w:hint="eastAsia"/>
          <w:sz w:val="21"/>
          <w:szCs w:val="21"/>
        </w:rPr>
        <w:t>中的“喷积绝缘体”解释为“通过喷射直接形成绝缘层”，却将权利要求</w:t>
      </w:r>
      <w:r>
        <w:rPr>
          <w:rFonts w:ascii="Times New Roman" w:eastAsia="楷体_GB2312" w:hAnsi="Times New Roman"/>
          <w:sz w:val="21"/>
          <w:szCs w:val="21"/>
        </w:rPr>
        <w:t>14</w:t>
      </w:r>
      <w:r>
        <w:rPr>
          <w:rFonts w:ascii="Times New Roman" w:eastAsia="楷体_GB2312" w:hAnsi="Times New Roman" w:hint="eastAsia"/>
          <w:sz w:val="21"/>
          <w:szCs w:val="21"/>
        </w:rPr>
        <w:t>中的“喷积绝缘体”解释为“以前喷积后经过氧化转化的绝缘体层”，这种对相同技术术语作出不同解释的做法不符合权利要求解释的基本规则。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c</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专利审查档案</w:t>
      </w:r>
    </w:p>
    <w:p w:rsidR="00800760" w:rsidRDefault="00235733">
      <w:pPr>
        <w:pStyle w:val="af6"/>
        <w:topLinePunct/>
        <w:spacing w:beforeLines="0"/>
        <w:ind w:firstLine="420"/>
        <w:rPr>
          <w:rFonts w:ascii="Times New Roman" w:eastAsia="宋体" w:hAnsi="Times New Roman" w:cs="宋体"/>
        </w:rPr>
      </w:pPr>
      <w:r>
        <w:rPr>
          <w:rFonts w:ascii="Times New Roman" w:eastAsia="宋体" w:hAnsi="Times New Roman" w:cs="宋体" w:hint="eastAsia"/>
        </w:rPr>
        <w:t>专利审查档案，是指专利申请审查和无效宣告程序中的档案，包括专利审查、复审、无效宣告程序中专利申请人或者专利权人提交的书面材料，国家知识产权局制作的审查意见通知书、会晤记录、口头审理记录、生效的专利复审请求审查决定书、专利无效宣告请求审查决定书等。必要时，也可以包括与涉案专利存在分案申请关系的其他专利及其专利审查档案、生效的专利授权确权裁判文书。有些情况下，专利审查档案是解释权利要求不可或缺的载体。例如，当专利文件中存在印刷错误，且该印刷错误影响到专利权保护范围的确定时，可以依据专利申请档案、专利复审及无效档案对所述印刷错误进行解释。</w:t>
      </w:r>
    </w:p>
    <w:p w:rsidR="00800760" w:rsidRDefault="00235733">
      <w:pPr>
        <w:pStyle w:val="af6"/>
        <w:topLinePunct/>
        <w:spacing w:beforeLines="0"/>
        <w:ind w:firstLine="420"/>
        <w:rPr>
          <w:rFonts w:ascii="Times New Roman" w:eastAsia="宋体" w:hAnsi="Times New Roman" w:cs="宋体"/>
        </w:rPr>
      </w:pPr>
      <w:r>
        <w:rPr>
          <w:rFonts w:ascii="Times New Roman" w:eastAsia="宋体" w:hAnsi="Times New Roman" w:cs="宋体" w:hint="eastAsia"/>
        </w:rPr>
        <w:t>当专利申请人在授权程序中或者专利权人在确权程序中，为了克服审查意见或者是无效宣告请求指明的缺陷对权利要求的某些技术术语或特征作出限缩性解释时，专利审查档案也可以成为解释权利要求的依据。</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-4</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涉案专利独立权利要求为</w:t>
      </w:r>
      <w:r>
        <w:rPr>
          <w:rFonts w:ascii="Times New Roman" w:eastAsia="楷体_GB2312" w:hAnsi="Times New Roman"/>
          <w:sz w:val="21"/>
          <w:szCs w:val="21"/>
        </w:rPr>
        <w:t>：</w:t>
      </w:r>
      <w:r>
        <w:rPr>
          <w:rFonts w:ascii="Times New Roman" w:eastAsia="楷体_GB2312" w:hAnsi="Times New Roman" w:hint="eastAsia"/>
          <w:sz w:val="21"/>
          <w:szCs w:val="21"/>
        </w:rPr>
        <w:t>“在管式反应器中将硝酸与氨进行中和，以生产浓硝酸铵溶液的方法，其特征在于，当反应物总流量是使产物的产量低于</w:t>
      </w:r>
      <w:r>
        <w:rPr>
          <w:rFonts w:ascii="Times New Roman" w:eastAsia="楷体_GB2312" w:hAnsi="Times New Roman"/>
          <w:sz w:val="21"/>
          <w:szCs w:val="21"/>
        </w:rPr>
        <w:t>150</w:t>
      </w:r>
      <w:r>
        <w:rPr>
          <w:rFonts w:ascii="Times New Roman" w:eastAsia="楷体_GB2312" w:hAnsi="Times New Roman" w:hint="eastAsia"/>
          <w:sz w:val="21"/>
          <w:szCs w:val="21"/>
        </w:rPr>
        <w:t>公斤</w:t>
      </w:r>
      <w:r>
        <w:rPr>
          <w:rFonts w:ascii="Times New Roman" w:eastAsia="楷体_GB2312" w:hAnsi="Times New Roman" w:hint="eastAsia"/>
          <w:sz w:val="21"/>
          <w:szCs w:val="21"/>
        </w:rPr>
        <w:t>/</w:t>
      </w:r>
      <w:r>
        <w:rPr>
          <w:rFonts w:ascii="Times New Roman" w:eastAsia="楷体_GB2312" w:hAnsi="Times New Roman" w:hint="eastAsia"/>
          <w:sz w:val="21"/>
          <w:szCs w:val="21"/>
        </w:rPr>
        <w:t>（小时·平方厘米）时，在有循环比为</w:t>
      </w:r>
      <w:r>
        <w:rPr>
          <w:rFonts w:ascii="Times New Roman" w:eastAsia="楷体_GB2312" w:hAnsi="Times New Roman"/>
          <w:sz w:val="21"/>
          <w:szCs w:val="21"/>
        </w:rPr>
        <w:t>1</w:t>
      </w:r>
      <w:r>
        <w:rPr>
          <w:rFonts w:ascii="Times New Roman" w:eastAsia="楷体_GB2312" w:hAnsi="Times New Roman" w:hint="eastAsia"/>
          <w:sz w:val="21"/>
          <w:szCs w:val="21"/>
        </w:rPr>
        <w:t>至</w:t>
      </w:r>
      <w:r>
        <w:rPr>
          <w:rFonts w:ascii="Times New Roman" w:eastAsia="楷体_GB2312" w:hAnsi="Times New Roman"/>
          <w:sz w:val="21"/>
          <w:szCs w:val="21"/>
        </w:rPr>
        <w:t>5</w:t>
      </w:r>
      <w:r>
        <w:rPr>
          <w:rFonts w:ascii="Times New Roman" w:eastAsia="楷体_GB2312" w:hAnsi="Times New Roman" w:hint="eastAsia"/>
          <w:sz w:val="21"/>
          <w:szCs w:val="21"/>
        </w:rPr>
        <w:t>的硝酸铵溶液循环物存在的情况下进行该中和反应；或当反应物总流量高于</w:t>
      </w:r>
      <w:r>
        <w:rPr>
          <w:rFonts w:ascii="Times New Roman" w:eastAsia="楷体_GB2312" w:hAnsi="Times New Roman"/>
          <w:sz w:val="21"/>
          <w:szCs w:val="21"/>
        </w:rPr>
        <w:t>150</w:t>
      </w:r>
      <w:r>
        <w:rPr>
          <w:rFonts w:ascii="Times New Roman" w:eastAsia="楷体_GB2312" w:hAnsi="Times New Roman" w:hint="eastAsia"/>
          <w:sz w:val="21"/>
          <w:szCs w:val="21"/>
        </w:rPr>
        <w:t>公斤</w:t>
      </w:r>
      <w:r>
        <w:rPr>
          <w:rFonts w:ascii="Times New Roman" w:eastAsia="楷体_GB2312" w:hAnsi="Times New Roman" w:hint="eastAsia"/>
          <w:sz w:val="21"/>
          <w:szCs w:val="21"/>
        </w:rPr>
        <w:t>/</w:t>
      </w:r>
      <w:r>
        <w:rPr>
          <w:rFonts w:ascii="Times New Roman" w:eastAsia="楷体_GB2312" w:hAnsi="Times New Roman" w:hint="eastAsia"/>
          <w:sz w:val="21"/>
          <w:szCs w:val="21"/>
        </w:rPr>
        <w:t>（小时·平方厘米）时，在没有硝酸铵溶液循环情况下，进行该中和反应。”</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本侵权纠纷处理过程中，对于该独立权利要求究竟是一个技术方案还是包括两个技术方案，双方当事人存在争议。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根据专利申请审查档案可知</w:t>
      </w:r>
      <w:r>
        <w:rPr>
          <w:rFonts w:ascii="Times New Roman" w:eastAsia="楷体_GB2312" w:hAnsi="Times New Roman"/>
          <w:sz w:val="21"/>
          <w:szCs w:val="21"/>
        </w:rPr>
        <w:t>：</w:t>
      </w:r>
      <w:r>
        <w:rPr>
          <w:rFonts w:ascii="Times New Roman" w:eastAsia="楷体_GB2312" w:hAnsi="Times New Roman" w:hint="eastAsia"/>
          <w:sz w:val="21"/>
          <w:szCs w:val="21"/>
        </w:rPr>
        <w:t>专利申请人原始提交的前四项权利要求为</w:t>
      </w:r>
      <w:r>
        <w:rPr>
          <w:rFonts w:ascii="Times New Roman" w:eastAsia="楷体_GB2312" w:hAnsi="Times New Roman"/>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w:t>
      </w:r>
      <w:r>
        <w:rPr>
          <w:rFonts w:ascii="Times New Roman" w:eastAsia="楷体_GB2312" w:hAnsi="Times New Roman"/>
          <w:sz w:val="21"/>
          <w:szCs w:val="21"/>
        </w:rPr>
        <w:t xml:space="preserve">1. </w:t>
      </w:r>
      <w:r>
        <w:rPr>
          <w:rFonts w:ascii="Times New Roman" w:eastAsia="楷体_GB2312" w:hAnsi="Times New Roman" w:hint="eastAsia"/>
          <w:sz w:val="21"/>
          <w:szCs w:val="21"/>
        </w:rPr>
        <w:t>用氨中和硝酸制备浓缩硝酸铵溶液的方法</w:t>
      </w:r>
      <w:r>
        <w:rPr>
          <w:rFonts w:ascii="Times New Roman" w:eastAsia="楷体_GB2312" w:hAnsi="Times New Roman"/>
          <w:sz w:val="21"/>
          <w:szCs w:val="21"/>
        </w:rPr>
        <w:t>，</w:t>
      </w:r>
      <w:r>
        <w:rPr>
          <w:rFonts w:ascii="Times New Roman" w:eastAsia="楷体_GB2312" w:hAnsi="Times New Roman" w:hint="eastAsia"/>
          <w:sz w:val="21"/>
          <w:szCs w:val="21"/>
        </w:rPr>
        <w:t>其特征是中和反应在管式反应器中实现。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w:t>
      </w:r>
      <w:r>
        <w:rPr>
          <w:rFonts w:ascii="Times New Roman" w:eastAsia="楷体_GB2312" w:hAnsi="Times New Roman"/>
          <w:sz w:val="21"/>
          <w:szCs w:val="21"/>
        </w:rPr>
        <w:t xml:space="preserve">2. </w:t>
      </w:r>
      <w:r>
        <w:rPr>
          <w:rFonts w:ascii="Times New Roman" w:eastAsia="楷体_GB2312" w:hAnsi="Times New Roman" w:hint="eastAsia"/>
          <w:sz w:val="21"/>
          <w:szCs w:val="21"/>
        </w:rPr>
        <w:t>根据权利要求</w:t>
      </w:r>
      <w:r>
        <w:rPr>
          <w:rFonts w:ascii="Times New Roman" w:eastAsia="楷体_GB2312" w:hAnsi="Times New Roman"/>
          <w:sz w:val="21"/>
          <w:szCs w:val="21"/>
        </w:rPr>
        <w:t>1</w:t>
      </w:r>
      <w:r>
        <w:rPr>
          <w:rFonts w:ascii="Times New Roman" w:eastAsia="楷体_GB2312" w:hAnsi="Times New Roman" w:hint="eastAsia"/>
          <w:sz w:val="21"/>
          <w:szCs w:val="21"/>
        </w:rPr>
        <w:t>的方法</w:t>
      </w:r>
      <w:r>
        <w:rPr>
          <w:rFonts w:ascii="Times New Roman" w:eastAsia="楷体_GB2312" w:hAnsi="Times New Roman"/>
          <w:sz w:val="21"/>
          <w:szCs w:val="21"/>
        </w:rPr>
        <w:t>，</w:t>
      </w:r>
      <w:r>
        <w:rPr>
          <w:rFonts w:ascii="Times New Roman" w:eastAsia="楷体_GB2312" w:hAnsi="Times New Roman" w:hint="eastAsia"/>
          <w:sz w:val="21"/>
          <w:szCs w:val="21"/>
        </w:rPr>
        <w:t>其特征是反应物总流量相当于低于</w:t>
      </w:r>
      <w:r>
        <w:rPr>
          <w:rFonts w:ascii="Times New Roman" w:eastAsia="楷体_GB2312" w:hAnsi="Times New Roman"/>
          <w:sz w:val="21"/>
          <w:szCs w:val="21"/>
        </w:rPr>
        <w:t>150</w:t>
      </w:r>
      <w:r>
        <w:rPr>
          <w:rFonts w:ascii="Times New Roman" w:eastAsia="楷体_GB2312" w:hAnsi="Times New Roman" w:hint="eastAsia"/>
          <w:sz w:val="21"/>
          <w:szCs w:val="21"/>
        </w:rPr>
        <w:t>公斤</w:t>
      </w:r>
      <w:r>
        <w:rPr>
          <w:rFonts w:ascii="Times New Roman" w:eastAsia="楷体_GB2312" w:hAnsi="Times New Roman"/>
          <w:sz w:val="21"/>
          <w:szCs w:val="21"/>
        </w:rPr>
        <w:t>/</w:t>
      </w:r>
      <w:r>
        <w:rPr>
          <w:rFonts w:ascii="Times New Roman" w:eastAsia="楷体_GB2312" w:hAnsi="Times New Roman" w:hint="eastAsia"/>
          <w:sz w:val="21"/>
          <w:szCs w:val="21"/>
        </w:rPr>
        <w:t>（小时·平方厘米）的产量</w:t>
      </w:r>
      <w:r>
        <w:rPr>
          <w:rFonts w:ascii="Times New Roman" w:eastAsia="楷体_GB2312" w:hAnsi="Times New Roman"/>
          <w:sz w:val="21"/>
          <w:szCs w:val="21"/>
        </w:rPr>
        <w:t>，</w:t>
      </w:r>
      <w:r>
        <w:rPr>
          <w:rFonts w:ascii="Times New Roman" w:eastAsia="楷体_GB2312" w:hAnsi="Times New Roman" w:hint="eastAsia"/>
          <w:sz w:val="21"/>
          <w:szCs w:val="21"/>
        </w:rPr>
        <w:t>中和反应是在有循环的硝酸铵物流存在下实现的。</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w:t>
      </w:r>
      <w:r>
        <w:rPr>
          <w:rFonts w:ascii="Times New Roman" w:eastAsia="楷体_GB2312" w:hAnsi="Times New Roman"/>
          <w:sz w:val="21"/>
          <w:szCs w:val="21"/>
        </w:rPr>
        <w:t xml:space="preserve">3. </w:t>
      </w:r>
      <w:r>
        <w:rPr>
          <w:rFonts w:ascii="Times New Roman" w:eastAsia="楷体_GB2312" w:hAnsi="Times New Roman" w:hint="eastAsia"/>
          <w:sz w:val="21"/>
          <w:szCs w:val="21"/>
        </w:rPr>
        <w:t>根据权利要求</w:t>
      </w:r>
      <w:r>
        <w:rPr>
          <w:rFonts w:ascii="Times New Roman" w:eastAsia="楷体_GB2312" w:hAnsi="Times New Roman"/>
          <w:sz w:val="21"/>
          <w:szCs w:val="21"/>
        </w:rPr>
        <w:t>2</w:t>
      </w:r>
      <w:r>
        <w:rPr>
          <w:rFonts w:ascii="Times New Roman" w:eastAsia="楷体_GB2312" w:hAnsi="Times New Roman" w:hint="eastAsia"/>
          <w:sz w:val="21"/>
          <w:szCs w:val="21"/>
        </w:rPr>
        <w:t>的方法</w:t>
      </w:r>
      <w:r>
        <w:rPr>
          <w:rFonts w:ascii="Times New Roman" w:eastAsia="楷体_GB2312" w:hAnsi="Times New Roman"/>
          <w:sz w:val="21"/>
          <w:szCs w:val="21"/>
        </w:rPr>
        <w:t>，</w:t>
      </w:r>
      <w:r>
        <w:rPr>
          <w:rFonts w:ascii="Times New Roman" w:eastAsia="楷体_GB2312" w:hAnsi="Times New Roman" w:hint="eastAsia"/>
          <w:sz w:val="21"/>
          <w:szCs w:val="21"/>
        </w:rPr>
        <w:t>其特征是循环比率为</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sz w:val="21"/>
          <w:szCs w:val="21"/>
        </w:rPr>
        <w:t>5</w:t>
      </w:r>
      <w:r>
        <w:rPr>
          <w:rFonts w:ascii="Times New Roman" w:eastAsia="楷体_GB2312" w:hAnsi="Times New Roman" w:hint="eastAsia"/>
          <w:sz w:val="21"/>
          <w:szCs w:val="21"/>
        </w:rPr>
        <w:t>之间。</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w:t>
      </w:r>
      <w:r>
        <w:rPr>
          <w:rFonts w:ascii="Times New Roman" w:eastAsia="楷体_GB2312" w:hAnsi="Times New Roman"/>
          <w:sz w:val="21"/>
          <w:szCs w:val="21"/>
        </w:rPr>
        <w:t xml:space="preserve">4. </w:t>
      </w:r>
      <w:r>
        <w:rPr>
          <w:rFonts w:ascii="Times New Roman" w:eastAsia="楷体_GB2312" w:hAnsi="Times New Roman" w:hint="eastAsia"/>
          <w:sz w:val="21"/>
          <w:szCs w:val="21"/>
        </w:rPr>
        <w:t>根据权利要求</w:t>
      </w:r>
      <w:r>
        <w:rPr>
          <w:rFonts w:ascii="Times New Roman" w:eastAsia="楷体_GB2312" w:hAnsi="Times New Roman"/>
          <w:sz w:val="21"/>
          <w:szCs w:val="21"/>
        </w:rPr>
        <w:t>1</w:t>
      </w:r>
      <w:r>
        <w:rPr>
          <w:rFonts w:ascii="Times New Roman" w:eastAsia="楷体_GB2312" w:hAnsi="Times New Roman" w:hint="eastAsia"/>
          <w:sz w:val="21"/>
          <w:szCs w:val="21"/>
        </w:rPr>
        <w:t>的方法</w:t>
      </w:r>
      <w:r>
        <w:rPr>
          <w:rFonts w:ascii="Times New Roman" w:eastAsia="楷体_GB2312" w:hAnsi="Times New Roman"/>
          <w:sz w:val="21"/>
          <w:szCs w:val="21"/>
        </w:rPr>
        <w:t>，</w:t>
      </w:r>
      <w:r>
        <w:rPr>
          <w:rFonts w:ascii="Times New Roman" w:eastAsia="楷体_GB2312" w:hAnsi="Times New Roman" w:hint="eastAsia"/>
          <w:sz w:val="21"/>
          <w:szCs w:val="21"/>
        </w:rPr>
        <w:t>其特征是反应物总流量高于</w:t>
      </w:r>
      <w:r>
        <w:rPr>
          <w:rFonts w:ascii="Times New Roman" w:eastAsia="楷体_GB2312" w:hAnsi="Times New Roman"/>
          <w:sz w:val="21"/>
          <w:szCs w:val="21"/>
        </w:rPr>
        <w:t>150</w:t>
      </w:r>
      <w:r>
        <w:rPr>
          <w:rFonts w:ascii="Times New Roman" w:eastAsia="楷体_GB2312" w:hAnsi="Times New Roman" w:hint="eastAsia"/>
          <w:sz w:val="21"/>
          <w:szCs w:val="21"/>
        </w:rPr>
        <w:t>公斤</w:t>
      </w:r>
      <w:r>
        <w:rPr>
          <w:rFonts w:ascii="Times New Roman" w:eastAsia="楷体_GB2312" w:hAnsi="Times New Roman"/>
          <w:sz w:val="21"/>
          <w:szCs w:val="21"/>
        </w:rPr>
        <w:t>/</w:t>
      </w:r>
      <w:r>
        <w:rPr>
          <w:rFonts w:ascii="Times New Roman" w:eastAsia="楷体_GB2312" w:hAnsi="Times New Roman" w:hint="eastAsia"/>
          <w:sz w:val="21"/>
          <w:szCs w:val="21"/>
        </w:rPr>
        <w:t>（小时·平方厘米）</w:t>
      </w:r>
      <w:r>
        <w:rPr>
          <w:rFonts w:ascii="Times New Roman" w:eastAsia="楷体_GB2312" w:hAnsi="Times New Roman"/>
          <w:sz w:val="21"/>
          <w:szCs w:val="21"/>
        </w:rPr>
        <w:t>，</w:t>
      </w:r>
      <w:r>
        <w:rPr>
          <w:rFonts w:ascii="Times New Roman" w:eastAsia="楷体_GB2312" w:hAnsi="Times New Roman" w:hint="eastAsia"/>
          <w:sz w:val="21"/>
          <w:szCs w:val="21"/>
        </w:rPr>
        <w:t>且其中的硝酸铵不进行循环。”</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针对该原始申请文本</w:t>
      </w:r>
      <w:r>
        <w:rPr>
          <w:rFonts w:ascii="Times New Roman" w:eastAsia="楷体_GB2312" w:hAnsi="Times New Roman"/>
          <w:sz w:val="21"/>
          <w:szCs w:val="21"/>
        </w:rPr>
        <w:t>，</w:t>
      </w:r>
      <w:r>
        <w:rPr>
          <w:rFonts w:ascii="Times New Roman" w:eastAsia="楷体_GB2312" w:hAnsi="Times New Roman" w:hint="eastAsia"/>
          <w:sz w:val="21"/>
          <w:szCs w:val="21"/>
        </w:rPr>
        <w:t>审查员在审查意见通知书中指出权利要求</w:t>
      </w:r>
      <w:r>
        <w:rPr>
          <w:rFonts w:ascii="Times New Roman" w:eastAsia="楷体_GB2312" w:hAnsi="Times New Roman"/>
          <w:sz w:val="21"/>
          <w:szCs w:val="21"/>
        </w:rPr>
        <w:t>1</w:t>
      </w:r>
      <w:r>
        <w:rPr>
          <w:rFonts w:ascii="Times New Roman" w:eastAsia="楷体_GB2312" w:hAnsi="Times New Roman" w:hint="eastAsia"/>
          <w:sz w:val="21"/>
          <w:szCs w:val="21"/>
        </w:rPr>
        <w:t>已被对比文件公开</w:t>
      </w:r>
      <w:r>
        <w:rPr>
          <w:rFonts w:ascii="Times New Roman" w:eastAsia="楷体_GB2312" w:hAnsi="Times New Roman"/>
          <w:sz w:val="21"/>
          <w:szCs w:val="21"/>
        </w:rPr>
        <w:t>，</w:t>
      </w:r>
      <w:r>
        <w:rPr>
          <w:rFonts w:ascii="Times New Roman" w:eastAsia="楷体_GB2312" w:hAnsi="Times New Roman" w:hint="eastAsia"/>
          <w:sz w:val="21"/>
          <w:szCs w:val="21"/>
        </w:rPr>
        <w:t>并且权利要求</w:t>
      </w:r>
      <w:r>
        <w:rPr>
          <w:rFonts w:ascii="Times New Roman" w:eastAsia="楷体_GB2312" w:hAnsi="Times New Roman"/>
          <w:sz w:val="21"/>
          <w:szCs w:val="21"/>
        </w:rPr>
        <w:t>1</w:t>
      </w:r>
      <w:r>
        <w:rPr>
          <w:rFonts w:ascii="Times New Roman" w:eastAsia="楷体_GB2312" w:hAnsi="Times New Roman" w:hint="eastAsia"/>
          <w:sz w:val="21"/>
          <w:szCs w:val="21"/>
        </w:rPr>
        <w:t>没有从整体上反映发明的主要技术内容。将发明与对比文件中公开的现有技术相比，二者的区别仅在于“中和反应应在有循环的硝酸铵存在下进行”，这一点应当是发明的必要技术特征，然而独立权利要求</w:t>
      </w:r>
      <w:r>
        <w:rPr>
          <w:rFonts w:ascii="Times New Roman" w:eastAsia="楷体_GB2312" w:hAnsi="Times New Roman"/>
          <w:sz w:val="21"/>
          <w:szCs w:val="21"/>
        </w:rPr>
        <w:t>1</w:t>
      </w:r>
      <w:r>
        <w:rPr>
          <w:rFonts w:ascii="Times New Roman" w:eastAsia="楷体_GB2312" w:hAnsi="Times New Roman" w:hint="eastAsia"/>
          <w:sz w:val="21"/>
          <w:szCs w:val="21"/>
        </w:rPr>
        <w:t>缺少这一特征，因而不符合《专利法实施细则》第二十三条第二款的规定。针对该审查意见，申请人提交意见陈述书，并将专利权利要求修改为授权公告时的权利要求。</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审理需要考虑专利审查档案的内容，从专利权人获得专利权的审查过程看，审查员在审查意见通知书中认为，“中和反应在有循环的硝酸铵存在下进行”是发明的必要技术特征。专利申请人根据该意见，对权利要求书进行了修改。这说明专利权人也同意该专利的发明目的是在管式反应器中将硝酸与氨进行中和，在低流量时进行循环以防止产生烟雾。专利说明书也阐述了该发明的优点在于有循环。因此，流量低于</w:t>
      </w:r>
      <w:r>
        <w:rPr>
          <w:rFonts w:ascii="Times New Roman" w:eastAsia="楷体_GB2312" w:hAnsi="Times New Roman"/>
          <w:sz w:val="21"/>
          <w:szCs w:val="21"/>
        </w:rPr>
        <w:t>150</w:t>
      </w:r>
      <w:r>
        <w:rPr>
          <w:rFonts w:ascii="Times New Roman" w:eastAsia="楷体_GB2312" w:hAnsi="Times New Roman" w:hint="eastAsia"/>
          <w:sz w:val="21"/>
          <w:szCs w:val="21"/>
        </w:rPr>
        <w:t>公斤</w:t>
      </w:r>
      <w:r>
        <w:rPr>
          <w:rFonts w:ascii="Times New Roman" w:eastAsia="楷体_GB2312" w:hAnsi="Times New Roman"/>
          <w:sz w:val="21"/>
          <w:szCs w:val="21"/>
        </w:rPr>
        <w:t>/</w:t>
      </w:r>
      <w:r>
        <w:rPr>
          <w:rFonts w:ascii="Times New Roman" w:eastAsia="楷体_GB2312" w:hAnsi="Times New Roman" w:hint="eastAsia"/>
          <w:sz w:val="21"/>
          <w:szCs w:val="21"/>
        </w:rPr>
        <w:t>（小时·平方厘米）时有循环和流量高于</w:t>
      </w:r>
      <w:r>
        <w:rPr>
          <w:rFonts w:ascii="Times New Roman" w:eastAsia="楷体_GB2312" w:hAnsi="Times New Roman"/>
          <w:sz w:val="21"/>
          <w:szCs w:val="21"/>
        </w:rPr>
        <w:t>150</w:t>
      </w:r>
      <w:r>
        <w:rPr>
          <w:rFonts w:ascii="Times New Roman" w:eastAsia="楷体_GB2312" w:hAnsi="Times New Roman" w:hint="eastAsia"/>
          <w:sz w:val="21"/>
          <w:szCs w:val="21"/>
        </w:rPr>
        <w:t>公斤</w:t>
      </w:r>
      <w:r>
        <w:rPr>
          <w:rFonts w:ascii="Times New Roman" w:eastAsia="楷体_GB2312" w:hAnsi="Times New Roman"/>
          <w:sz w:val="21"/>
          <w:szCs w:val="21"/>
        </w:rPr>
        <w:t>/</w:t>
      </w:r>
      <w:r>
        <w:rPr>
          <w:rFonts w:ascii="Times New Roman" w:eastAsia="楷体_GB2312" w:hAnsi="Times New Roman" w:hint="eastAsia"/>
          <w:sz w:val="21"/>
          <w:szCs w:val="21"/>
        </w:rPr>
        <w:t>（小时·平方厘米）时没有循环是一个独立的技术方案，并非包括两个技术方案。</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-5</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涉案专利是一件分案申请，其授权公告的权利要求</w:t>
      </w:r>
      <w:r>
        <w:rPr>
          <w:rFonts w:ascii="Times New Roman" w:eastAsia="楷体_GB2312" w:hAnsi="Times New Roman"/>
          <w:sz w:val="21"/>
          <w:szCs w:val="21"/>
        </w:rPr>
        <w:t>1</w:t>
      </w:r>
      <w:r>
        <w:rPr>
          <w:rFonts w:ascii="Times New Roman" w:eastAsia="楷体_GB2312" w:hAnsi="Times New Roman" w:hint="eastAsia"/>
          <w:sz w:val="21"/>
          <w:szCs w:val="21"/>
        </w:rPr>
        <w:t>为</w:t>
      </w:r>
      <w:r>
        <w:rPr>
          <w:rFonts w:ascii="Times New Roman" w:eastAsia="楷体_GB2312" w:hAnsi="Times New Roman"/>
          <w:sz w:val="21"/>
          <w:szCs w:val="21"/>
        </w:rPr>
        <w:t>：</w:t>
      </w:r>
      <w:r>
        <w:rPr>
          <w:rFonts w:ascii="Times New Roman" w:eastAsia="楷体_GB2312" w:hAnsi="Times New Roman" w:hint="eastAsia"/>
          <w:sz w:val="21"/>
          <w:szCs w:val="21"/>
        </w:rPr>
        <w:t>“一种现浇砼空心模壳构件，包括上底</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4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4</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、周围侧壁</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5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5</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、下底</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6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6</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，上底</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4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4</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和周围侧壁</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5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5</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构成模壳</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7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7</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，模壳</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7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7</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与下底</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6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6</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彼此围成有封闭空腔</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8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8</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的模壳构件</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3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3</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，其特征在于所述的模壳</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7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7</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由至少两块分块模壳板</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9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⑼</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拼接组装而成，分块模壳板（</w:t>
      </w:r>
      <w:r>
        <w:rPr>
          <w:rFonts w:ascii="Times New Roman" w:eastAsia="楷体_GB2312" w:hAnsi="Times New Roman" w:hint="eastAsia"/>
          <w:sz w:val="21"/>
          <w:szCs w:val="21"/>
        </w:rPr>
        <w:t>9</w:t>
      </w:r>
      <w:r>
        <w:rPr>
          <w:rFonts w:ascii="Times New Roman" w:eastAsia="楷体_GB2312" w:hAnsi="Times New Roman" w:hint="eastAsia"/>
          <w:sz w:val="21"/>
          <w:szCs w:val="21"/>
        </w:rPr>
        <w:t>）有至少一根加强杆</w:t>
      </w:r>
      <w:r>
        <w:rPr>
          <w:rFonts w:ascii="Times New Roman" w:eastAsia="楷体_GB2312" w:hAnsi="Times New Roman"/>
          <w:sz w:val="21"/>
          <w:szCs w:val="21"/>
        </w:rPr>
        <w:t>（</w:t>
      </w:r>
      <w:r>
        <w:rPr>
          <w:rFonts w:ascii="Times New Roman" w:eastAsia="楷体_GB2312" w:hAnsi="Times New Roman"/>
          <w:sz w:val="21"/>
          <w:szCs w:val="21"/>
        </w:rPr>
        <w:t>12</w:t>
      </w:r>
      <w:r>
        <w:rPr>
          <w:rFonts w:ascii="Times New Roman" w:eastAsia="楷体_GB2312" w:hAnsi="Times New Roman"/>
          <w:sz w:val="21"/>
          <w:szCs w:val="21"/>
        </w:rPr>
        <w:t>）</w:t>
      </w:r>
      <w:r>
        <w:rPr>
          <w:rFonts w:ascii="Times New Roman" w:eastAsia="楷体_GB2312" w:hAnsi="Times New Roman" w:hint="eastAsia"/>
          <w:sz w:val="21"/>
          <w:szCs w:val="21"/>
        </w:rPr>
        <w:t>支撑。”</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涉案专利说明书中记载</w:t>
      </w:r>
      <w:r>
        <w:rPr>
          <w:rFonts w:ascii="Times New Roman" w:eastAsia="楷体_GB2312" w:hAnsi="Times New Roman"/>
          <w:sz w:val="21"/>
          <w:szCs w:val="21"/>
        </w:rPr>
        <w:t>：</w:t>
      </w:r>
      <w:r>
        <w:rPr>
          <w:rFonts w:ascii="Times New Roman" w:eastAsia="楷体_GB2312" w:hAnsi="Times New Roman" w:hint="eastAsia"/>
          <w:sz w:val="21"/>
          <w:szCs w:val="21"/>
        </w:rPr>
        <w:t>分块模壳板为包括部分上板和与之相连的部分侧壁的成型件</w:t>
      </w:r>
      <w:r>
        <w:rPr>
          <w:rFonts w:ascii="Times New Roman" w:eastAsia="宋体" w:hAnsi="Times New Roman" w:hint="eastAsia"/>
          <w:sz w:val="21"/>
          <w:szCs w:val="21"/>
        </w:rPr>
        <w:t>……</w:t>
      </w:r>
      <w:r>
        <w:rPr>
          <w:rFonts w:ascii="Times New Roman" w:eastAsia="楷体_GB2312" w:hAnsi="Times New Roman" w:hint="eastAsia"/>
          <w:sz w:val="21"/>
          <w:szCs w:val="21"/>
        </w:rPr>
        <w:t>模壳由至少两块分块模壳板拼接组装而成，分块模壳板由至少一根加强杆支撑。分块模壳板为包括部分上板和与之相连的部分侧壁的成型件。</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权利要求</w:t>
      </w:r>
      <w:r>
        <w:rPr>
          <w:rFonts w:ascii="Times New Roman" w:eastAsia="楷体_GB2312" w:hAnsi="Times New Roman"/>
          <w:sz w:val="21"/>
          <w:szCs w:val="21"/>
        </w:rPr>
        <w:t>4</w:t>
      </w:r>
      <w:r>
        <w:rPr>
          <w:rFonts w:ascii="Times New Roman" w:eastAsia="楷体_GB2312" w:hAnsi="Times New Roman" w:hint="eastAsia"/>
          <w:sz w:val="21"/>
          <w:szCs w:val="21"/>
        </w:rPr>
        <w:t>记载，根据权利要求</w:t>
      </w:r>
      <w:r>
        <w:rPr>
          <w:rFonts w:ascii="Times New Roman" w:eastAsia="楷体_GB2312" w:hAnsi="Times New Roman"/>
          <w:sz w:val="21"/>
          <w:szCs w:val="21"/>
        </w:rPr>
        <w:t>1</w:t>
      </w:r>
      <w:r>
        <w:rPr>
          <w:rFonts w:ascii="Times New Roman" w:eastAsia="楷体_GB2312" w:hAnsi="Times New Roman" w:hint="eastAsia"/>
          <w:sz w:val="21"/>
          <w:szCs w:val="21"/>
        </w:rPr>
        <w:t>的现浇砼空心模壳构件，其特征在于周围侧壁</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5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5</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由四块分块模壳板组成。但母案申请中没有记载该权利要求</w:t>
      </w:r>
      <w:r>
        <w:rPr>
          <w:rFonts w:ascii="Times New Roman" w:eastAsia="楷体_GB2312" w:hAnsi="Times New Roman"/>
          <w:sz w:val="21"/>
          <w:szCs w:val="21"/>
        </w:rPr>
        <w:t>4</w:t>
      </w:r>
      <w:r>
        <w:rPr>
          <w:rFonts w:ascii="Times New Roman" w:eastAsia="楷体_GB2312" w:hAnsi="Times New Roman" w:hint="eastAsia"/>
          <w:sz w:val="21"/>
          <w:szCs w:val="21"/>
        </w:rPr>
        <w:t>的内容。</w:t>
      </w:r>
    </w:p>
    <w:p w:rsidR="00800760" w:rsidRDefault="00235733">
      <w:pPr>
        <w:pStyle w:val="12"/>
        <w:topLinePunct/>
        <w:spacing w:line="336" w:lineRule="auto"/>
        <w:ind w:firstLine="428"/>
        <w:rPr>
          <w:rFonts w:ascii="Times New Roman" w:eastAsia="楷体_GB2312" w:hAnsi="Times New Roman"/>
          <w:spacing w:val="2"/>
          <w:sz w:val="21"/>
          <w:szCs w:val="21"/>
        </w:rPr>
      </w:pPr>
      <w:r>
        <w:rPr>
          <w:rFonts w:ascii="Times New Roman" w:eastAsia="楷体_GB2312" w:hAnsi="Times New Roman" w:hint="eastAsia"/>
          <w:spacing w:val="2"/>
          <w:sz w:val="21"/>
          <w:szCs w:val="21"/>
        </w:rPr>
        <w:t>专利权人认为，根据分块模壳板本身的含义以及涉案专利权利要求</w:t>
      </w:r>
      <w:r>
        <w:rPr>
          <w:rFonts w:ascii="Times New Roman" w:eastAsia="楷体_GB2312" w:hAnsi="Times New Roman"/>
          <w:spacing w:val="2"/>
          <w:sz w:val="21"/>
          <w:szCs w:val="21"/>
        </w:rPr>
        <w:t>4</w:t>
      </w:r>
      <w:r>
        <w:rPr>
          <w:rFonts w:ascii="Times New Roman" w:eastAsia="楷体_GB2312" w:hAnsi="Times New Roman" w:hint="eastAsia"/>
          <w:spacing w:val="2"/>
          <w:sz w:val="21"/>
          <w:szCs w:val="21"/>
        </w:rPr>
        <w:t>，涉案专利中的分块模壳板既包括由部分上板和与之相连的部分侧壁的成型件形式，也包括上板为一整块、周围侧壁为四块板片的形式。</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本案争议点在于：如何解释涉案专利中的术语“分块模壳板”。</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说明书对“分块模壳板”的含义给出了明确界定，即“模壳由至少两块分块模壳板拼接组装而成，分块模壳板由至少一根加强杆支撑。分块模壳板为包括部分上板和与之相连的部分侧壁的成型件”。根据该含义，分块模壳板由部分上板和部分侧壁构成，并且，部分上板与部分侧壁之间相互连接。由于分块模壳板至少为两块，上板只有一块，因此，构成分块模壳板的上板只能为上板的一部分，也即涉案专利权的保护范围不包括模壳的上底为一块整板的结构。</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虽然从权利要求</w:t>
      </w:r>
      <w:r>
        <w:rPr>
          <w:rFonts w:ascii="Times New Roman" w:eastAsia="楷体_GB2312" w:hAnsi="Times New Roman"/>
          <w:sz w:val="21"/>
          <w:szCs w:val="21"/>
        </w:rPr>
        <w:t>4</w:t>
      </w:r>
      <w:r>
        <w:rPr>
          <w:rFonts w:ascii="Times New Roman" w:eastAsia="楷体_GB2312" w:hAnsi="Times New Roman" w:hint="eastAsia"/>
          <w:sz w:val="21"/>
          <w:szCs w:val="21"/>
        </w:rPr>
        <w:t>可以得到，组成周围侧壁的四个板片似乎也可归入涉案专利“分块模壳板”的范畴，但所述权利要求</w:t>
      </w:r>
      <w:r>
        <w:rPr>
          <w:rFonts w:ascii="Times New Roman" w:eastAsia="楷体_GB2312" w:hAnsi="Times New Roman"/>
          <w:sz w:val="21"/>
          <w:szCs w:val="21"/>
        </w:rPr>
        <w:t>4</w:t>
      </w:r>
      <w:r>
        <w:rPr>
          <w:rFonts w:ascii="Times New Roman" w:eastAsia="楷体_GB2312" w:hAnsi="Times New Roman" w:hint="eastAsia"/>
          <w:sz w:val="21"/>
          <w:szCs w:val="21"/>
        </w:rPr>
        <w:t>在母案申请文件中并未记载。由于分案申请要受到母案申请文件的约束，对于分案申请而言，母案申请将构成其特殊的专利审查档案，母案申请文件中未记载的内容不能作为权利人基于分案申请主张权利的依据。因此，专利权人基于涉案专利权利要求</w:t>
      </w:r>
      <w:r>
        <w:rPr>
          <w:rFonts w:ascii="Times New Roman" w:eastAsia="楷体_GB2312" w:hAnsi="Times New Roman"/>
          <w:sz w:val="21"/>
          <w:szCs w:val="21"/>
        </w:rPr>
        <w:t>4</w:t>
      </w:r>
      <w:r>
        <w:rPr>
          <w:rFonts w:ascii="Times New Roman" w:eastAsia="楷体_GB2312" w:hAnsi="Times New Roman" w:hint="eastAsia"/>
          <w:sz w:val="21"/>
          <w:szCs w:val="21"/>
        </w:rPr>
        <w:t>，将“分块模壳板”解释为可呈单独一块板片的形式的主张不能成立。</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基于涉案专利中将“分块模壳板”明确定义为“包括部分上板和与之相连的部分侧壁的成型件”，其截面结构呈“┎</w:t>
      </w:r>
      <w:r>
        <w:rPr>
          <w:rFonts w:ascii="Times New Roman" w:eastAsia="楷体_GB2312" w:hAnsi="Times New Roman"/>
          <w:sz w:val="21"/>
          <w:szCs w:val="21"/>
        </w:rPr>
        <w:t xml:space="preserve"> </w:t>
      </w:r>
      <w:r>
        <w:rPr>
          <w:rFonts w:ascii="Times New Roman" w:eastAsia="楷体_GB2312" w:hAnsi="Times New Roman" w:hint="eastAsia"/>
          <w:sz w:val="21"/>
          <w:szCs w:val="21"/>
        </w:rPr>
        <w:t>┒”或“┎”形式，而被控侵权产品是一种建筑用叠合箱，由四个侧框板组成相邻侧框板通过四角的连接杆连接，施工时再与一底板和顶板叠合为一个空腔叠合箱，其截面呈“一”字形，上板为一整块结构，因此，二者既不相同，也不等同。</w:t>
      </w:r>
    </w:p>
    <w:p w:rsidR="00800760" w:rsidRDefault="00C22A7B">
      <w:pPr>
        <w:pStyle w:val="1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外部证据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部证据通常只在内部证据不足以解释权利要求中模糊不清的技术术语或技术特征时使用。上述方法仍不能明确权利要求含义的，可以结合工具书、教科书等公知文献以及本领域普通技术人员的通常理解进行解释。</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-6</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涉案专利的权利要求</w:t>
      </w:r>
      <w:r>
        <w:rPr>
          <w:rFonts w:ascii="Times New Roman" w:eastAsia="楷体_GB2312" w:hAnsi="Times New Roman"/>
          <w:sz w:val="21"/>
          <w:szCs w:val="21"/>
        </w:rPr>
        <w:t>1</w:t>
      </w:r>
      <w:r>
        <w:rPr>
          <w:rFonts w:ascii="Times New Roman" w:eastAsia="楷体_GB2312" w:hAnsi="Times New Roman" w:hint="eastAsia"/>
          <w:sz w:val="21"/>
          <w:szCs w:val="21"/>
        </w:rPr>
        <w:t>为</w:t>
      </w:r>
      <w:r>
        <w:rPr>
          <w:rFonts w:ascii="Times New Roman" w:eastAsia="楷体_GB2312" w:hAnsi="Times New Roman"/>
          <w:sz w:val="21"/>
          <w:szCs w:val="21"/>
        </w:rPr>
        <w:t>：</w:t>
      </w:r>
      <w:r>
        <w:rPr>
          <w:rFonts w:ascii="Times New Roman" w:eastAsia="楷体_GB2312" w:hAnsi="Times New Roman" w:hint="eastAsia"/>
          <w:sz w:val="21"/>
          <w:szCs w:val="21"/>
        </w:rPr>
        <w:t>“一种用于盛放液体的带托板容器</w:t>
      </w:r>
      <w:r>
        <w:rPr>
          <w:rFonts w:ascii="Times New Roman" w:eastAsia="楷体_GB2312" w:hAnsi="Times New Roman"/>
          <w:sz w:val="21"/>
          <w:szCs w:val="21"/>
        </w:rPr>
        <w:t>，</w:t>
      </w:r>
      <w:r>
        <w:rPr>
          <w:rFonts w:ascii="Times New Roman" w:eastAsia="楷体_GB2312" w:hAnsi="Times New Roman" w:hint="eastAsia"/>
          <w:sz w:val="21"/>
          <w:szCs w:val="21"/>
        </w:rPr>
        <w:t>它具有一个带有可关闭的注入开口与排出开口的塑料制的内容器和一个贴靠着内容器的、由薄金属板制成的或由金属栅格构成的外套</w:t>
      </w:r>
      <w:r>
        <w:rPr>
          <w:rFonts w:ascii="Times New Roman" w:eastAsia="楷体_GB2312" w:hAnsi="Times New Roman"/>
          <w:sz w:val="21"/>
          <w:szCs w:val="21"/>
        </w:rPr>
        <w:t>，</w:t>
      </w:r>
      <w:r>
        <w:rPr>
          <w:rFonts w:ascii="Times New Roman" w:eastAsia="楷体_GB2312" w:hAnsi="Times New Roman" w:hint="eastAsia"/>
          <w:sz w:val="21"/>
          <w:szCs w:val="21"/>
        </w:rPr>
        <w:t>以及一个设置来通过叉车、货架操作器械或其他装置来进行搬运的托板</w:t>
      </w:r>
      <w:r>
        <w:rPr>
          <w:rFonts w:ascii="Times New Roman" w:eastAsia="楷体_GB2312" w:hAnsi="Times New Roman"/>
          <w:sz w:val="21"/>
          <w:szCs w:val="21"/>
        </w:rPr>
        <w:t>，</w:t>
      </w:r>
      <w:r>
        <w:rPr>
          <w:rFonts w:ascii="Times New Roman" w:eastAsia="楷体_GB2312" w:hAnsi="Times New Roman" w:hint="eastAsia"/>
          <w:sz w:val="21"/>
          <w:szCs w:val="21"/>
        </w:rPr>
        <w:t>该托板设计成用来形状配合地容纳内容器以及固定外套的底盘</w:t>
      </w:r>
      <w:r>
        <w:rPr>
          <w:rFonts w:ascii="Times New Roman" w:eastAsia="楷体_GB2312" w:hAnsi="Times New Roman"/>
          <w:sz w:val="21"/>
          <w:szCs w:val="21"/>
        </w:rPr>
        <w:t>，</w:t>
      </w:r>
      <w:r>
        <w:rPr>
          <w:rFonts w:ascii="Times New Roman" w:eastAsia="楷体_GB2312" w:hAnsi="Times New Roman" w:hint="eastAsia"/>
          <w:sz w:val="21"/>
          <w:szCs w:val="21"/>
        </w:rPr>
        <w:t>该底盘固定到托板框架上</w:t>
      </w:r>
      <w:r>
        <w:rPr>
          <w:rFonts w:ascii="Times New Roman" w:eastAsia="楷体_GB2312" w:hAnsi="Times New Roman"/>
          <w:sz w:val="21"/>
          <w:szCs w:val="21"/>
        </w:rPr>
        <w:t>，</w:t>
      </w:r>
      <w:r>
        <w:rPr>
          <w:rFonts w:ascii="Times New Roman" w:eastAsia="楷体_GB2312" w:hAnsi="Times New Roman" w:hint="eastAsia"/>
          <w:sz w:val="21"/>
          <w:szCs w:val="21"/>
        </w:rPr>
        <w:t>内容器的底部设置成带有一个居中的浅排流槽的排流底部</w:t>
      </w:r>
      <w:r>
        <w:rPr>
          <w:rFonts w:ascii="Times New Roman" w:eastAsia="楷体_GB2312" w:hAnsi="Times New Roman"/>
          <w:sz w:val="21"/>
          <w:szCs w:val="21"/>
        </w:rPr>
        <w:t>，</w:t>
      </w:r>
      <w:r>
        <w:rPr>
          <w:rFonts w:ascii="Times New Roman" w:eastAsia="楷体_GB2312" w:hAnsi="Times New Roman" w:hint="eastAsia"/>
          <w:sz w:val="21"/>
          <w:szCs w:val="21"/>
        </w:rPr>
        <w:t>该排流槽带有一个轻微的坡度从内容器后壁伸展到装在内容器前壁上的排放接头</w:t>
      </w:r>
      <w:r>
        <w:rPr>
          <w:rFonts w:ascii="Times New Roman" w:eastAsia="楷体_GB2312" w:hAnsi="Times New Roman"/>
          <w:sz w:val="21"/>
          <w:szCs w:val="21"/>
        </w:rPr>
        <w:t>，</w:t>
      </w:r>
      <w:r>
        <w:rPr>
          <w:rFonts w:ascii="Times New Roman" w:eastAsia="楷体_GB2312" w:hAnsi="Times New Roman" w:hint="eastAsia"/>
          <w:sz w:val="21"/>
          <w:szCs w:val="21"/>
        </w:rPr>
        <w:t>该排放接头用于连接排放龙头</w:t>
      </w:r>
      <w:r>
        <w:rPr>
          <w:rFonts w:ascii="Times New Roman" w:eastAsia="楷体_GB2312" w:hAnsi="Times New Roman"/>
          <w:sz w:val="21"/>
          <w:szCs w:val="21"/>
        </w:rPr>
        <w:t>，</w:t>
      </w:r>
      <w:r>
        <w:rPr>
          <w:rFonts w:ascii="Times New Roman" w:eastAsia="楷体_GB2312" w:hAnsi="Times New Roman" w:hint="eastAsia"/>
          <w:sz w:val="21"/>
          <w:szCs w:val="21"/>
        </w:rPr>
        <w:t>其特征在于</w:t>
      </w:r>
      <w:r>
        <w:rPr>
          <w:rFonts w:ascii="Times New Roman" w:eastAsia="楷体_GB2312" w:hAnsi="Times New Roman"/>
          <w:sz w:val="21"/>
          <w:szCs w:val="21"/>
        </w:rPr>
        <w:t>，</w:t>
      </w:r>
      <w:r>
        <w:rPr>
          <w:rFonts w:ascii="Times New Roman" w:eastAsia="楷体_GB2312" w:hAnsi="Times New Roman" w:hint="eastAsia"/>
          <w:sz w:val="21"/>
          <w:szCs w:val="21"/>
        </w:rPr>
        <w:t>一体制出的底盘的与内容器的排流底部相匹配的底部设计成自身支撑结构并具有加强筋</w:t>
      </w:r>
      <w:r>
        <w:rPr>
          <w:rFonts w:ascii="Times New Roman" w:eastAsia="楷体_GB2312" w:hAnsi="Times New Roman"/>
          <w:sz w:val="21"/>
          <w:szCs w:val="21"/>
        </w:rPr>
        <w:t>，</w:t>
      </w:r>
      <w:r>
        <w:rPr>
          <w:rFonts w:ascii="Times New Roman" w:eastAsia="楷体_GB2312" w:hAnsi="Times New Roman" w:hint="eastAsia"/>
          <w:sz w:val="21"/>
          <w:szCs w:val="21"/>
        </w:rPr>
        <w:t>并且这些加强筋的底部处在一个共同的水平平面上。”</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专利权人认为，涉案专利权利要求中的排流槽有一轻微的坡度，根据《辞海》“轻”与“微”的解释，“轻微”可解释为忽略不计。</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本案的争议点在于：涉案专利权利要求中的“轻微”坡度应作何解释。</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排流槽带有一个“轻微”的坡度，对该“轻微”一词的理解，必须首先根据涉案专利说明书及附图进行解释。根据涉案专利说明书的记载，涉案专利排流槽带有一个轻微的坡度，目的是使涉案专利发明能够自动地排空容器中的残液，故“轻微”并非可有可无，并非可忽略不计，“轻微”的坡度必须达到能够使容器中的残液能即时排空的程度。在说明书中对于“轻微”一词有特定含义的情况下，专利权人仅仅根据《辞海》对“轻微”一词作“可忽略不计”的解释不能被接受。</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由本案可以看出，对于专利权利要求书中的技术术语，首先应当以专利说明书及附图等内部证据为依据进行解释。在不能直接从专利说明书及附图中得到清晰理解的情况下，才应当根据本领域技术人员对该技术术语的通常理解，或者借助技术工具书、百科全书、字典等外部证据来确定该技术术语的含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sz w:val="21"/>
          <w:szCs w:val="21"/>
        </w:rPr>
        <w:t>2</w:t>
      </w:r>
      <w:r w:rsidR="00235733">
        <w:rPr>
          <w:rFonts w:ascii="Times New Roman" w:eastAsia="宋体" w:hAnsi="Times New Roman"/>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解释权利要求的注意事项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不能将权利要求的内容仅解释为说明书或者附图公开的具体实施例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通常</w:t>
      </w:r>
      <w:r>
        <w:rPr>
          <w:rFonts w:ascii="Times New Roman" w:eastAsia="宋体" w:hAnsi="Times New Roman"/>
          <w:sz w:val="21"/>
          <w:szCs w:val="21"/>
        </w:rPr>
        <w:t>，</w:t>
      </w:r>
      <w:r>
        <w:rPr>
          <w:rFonts w:ascii="Times New Roman" w:eastAsia="宋体" w:hAnsi="Times New Roman" w:hint="eastAsia"/>
          <w:sz w:val="21"/>
          <w:szCs w:val="21"/>
        </w:rPr>
        <w:t>专利权利要求是在说明书或者附图公开的实施例的基础上进行的合理概括；实施例仅仅是权利要求范围内技术方案的示例</w:t>
      </w:r>
      <w:r>
        <w:rPr>
          <w:rFonts w:ascii="Times New Roman" w:eastAsia="宋体" w:hAnsi="Times New Roman"/>
          <w:sz w:val="21"/>
          <w:szCs w:val="21"/>
        </w:rPr>
        <w:t>，</w:t>
      </w:r>
      <w:r>
        <w:rPr>
          <w:rFonts w:ascii="Times New Roman" w:eastAsia="宋体" w:hAnsi="Times New Roman" w:hint="eastAsia"/>
          <w:sz w:val="21"/>
          <w:szCs w:val="21"/>
        </w:rPr>
        <w:t>是专利申请人认为实现发明或者实用新型的优选方式</w:t>
      </w:r>
      <w:r>
        <w:rPr>
          <w:rFonts w:ascii="Times New Roman" w:eastAsia="宋体" w:hAnsi="Times New Roman"/>
          <w:sz w:val="21"/>
          <w:szCs w:val="21"/>
        </w:rPr>
        <w:t>。</w:t>
      </w:r>
      <w:r>
        <w:rPr>
          <w:rFonts w:ascii="Times New Roman" w:eastAsia="宋体" w:hAnsi="Times New Roman" w:hint="eastAsia"/>
          <w:sz w:val="21"/>
          <w:szCs w:val="21"/>
        </w:rPr>
        <w:t>除非该权利要求实质上就是实施例所记载的技术方案</w:t>
      </w:r>
      <w:r>
        <w:rPr>
          <w:rFonts w:ascii="Times New Roman" w:eastAsia="宋体" w:hAnsi="Times New Roman"/>
          <w:sz w:val="21"/>
          <w:szCs w:val="21"/>
        </w:rPr>
        <w:t>，</w:t>
      </w:r>
      <w:r>
        <w:rPr>
          <w:rFonts w:ascii="Times New Roman" w:eastAsia="宋体" w:hAnsi="Times New Roman" w:hint="eastAsia"/>
          <w:sz w:val="21"/>
          <w:szCs w:val="21"/>
        </w:rPr>
        <w:t>否则不能将权利要求的内容仅仅解释为说明书或附图公开的具体实施例。</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-7</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涉案专利的权利要求为</w:t>
      </w:r>
      <w:r>
        <w:rPr>
          <w:rFonts w:ascii="Times New Roman" w:eastAsia="楷体_GB2312" w:hAnsi="Times New Roman"/>
          <w:sz w:val="21"/>
          <w:szCs w:val="21"/>
        </w:rPr>
        <w:t>：</w:t>
      </w:r>
      <w:r>
        <w:rPr>
          <w:rFonts w:ascii="Times New Roman" w:eastAsia="楷体_GB2312" w:hAnsi="Times New Roman" w:hint="eastAsia"/>
          <w:sz w:val="21"/>
          <w:szCs w:val="21"/>
        </w:rPr>
        <w:t>“一种辊式磨机，包括磨盘、磨辊、主轴、支架、机座和上下机壳，磨盘位于下机壳内，在磨盘上方通过支架活动装有磨辊，支架通过主轴装在机座上并位于上机壳内，由主轴、皮带轮驱动，在机座上装有料斗，下机壳的下面装有出料套管，其特征是磨盘的磨面与磨辊之间存在可调节的间隙而构成间隙式磨合面。”</w:t>
      </w:r>
      <w:r>
        <w:rPr>
          <w:rFonts w:ascii="Times New Roman" w:eastAsia="楷体_GB2312" w:hAnsi="Times New Roman"/>
          <w:sz w:val="21"/>
          <w:szCs w:val="21"/>
        </w:rPr>
        <w:t xml:space="preserve"> </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对于其中“磨盘的磨面与磨辊之间存在可调节的间隙”的技术特征，说明书实施例中记载了采用调节螺钉来调节间隙的具体实施方式。</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涉案专利的权利要求中</w:t>
      </w:r>
      <w:bookmarkStart w:id="1849" w:name="OLE_LINK4"/>
      <w:bookmarkStart w:id="1850" w:name="OLE_LINK3"/>
      <w:r>
        <w:rPr>
          <w:rFonts w:ascii="Times New Roman" w:eastAsia="楷体_GB2312" w:hAnsi="Times New Roman" w:hint="eastAsia"/>
          <w:sz w:val="21"/>
          <w:szCs w:val="21"/>
        </w:rPr>
        <w:t>“</w:t>
      </w:r>
      <w:bookmarkEnd w:id="1849"/>
      <w:bookmarkEnd w:id="1850"/>
      <w:r>
        <w:rPr>
          <w:rFonts w:ascii="Times New Roman" w:eastAsia="楷体_GB2312" w:hAnsi="Times New Roman" w:hint="eastAsia"/>
          <w:sz w:val="21"/>
          <w:szCs w:val="21"/>
        </w:rPr>
        <w:t>磨盘的磨面与磨辊之间存在可调节的间隙”这一技术特征是对说明书实施例中具体实施方式的上位概括，其中除了包含采用调节螺钉来调节间隙之外，还包括本领域中通常采用的其他调节方式来调节磨盘与磨辊之间的间隙，这些调节方式均可以实现涉案专利最基本的发明目的。因此，不能将权利要求中“磨盘的磨面与磨辊之间存在可调节的间隙”这一技术特征解释为实施例中通过调节螺钉实现上、下等距位移这一具体的间隙调节方式。</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不能省略权利要求记载的特征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通常情况下，记载在权利要求中的所有技术特征均对专利权的保护范围起到限定作用。在解释权利要求时，不能省略掉任何一个技术特征。</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-8</w:t>
      </w:r>
      <w:r>
        <w:rPr>
          <w:rFonts w:ascii="Times New Roman" w:hAnsi="Times New Roman" w:hint="eastAsia"/>
          <w:color w:val="000000"/>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涉案专利的权利要求</w:t>
      </w:r>
      <w:r>
        <w:rPr>
          <w:rFonts w:ascii="Times New Roman" w:eastAsia="楷体_GB2312" w:hAnsi="Times New Roman"/>
          <w:sz w:val="21"/>
          <w:szCs w:val="21"/>
        </w:rPr>
        <w:t>1</w:t>
      </w:r>
      <w:r>
        <w:rPr>
          <w:rFonts w:ascii="Times New Roman" w:eastAsia="楷体_GB2312" w:hAnsi="Times New Roman" w:hint="eastAsia"/>
          <w:sz w:val="21"/>
          <w:szCs w:val="21"/>
        </w:rPr>
        <w:t>为</w:t>
      </w:r>
      <w:r>
        <w:rPr>
          <w:rFonts w:ascii="Times New Roman" w:eastAsia="楷体_GB2312" w:hAnsi="Times New Roman"/>
          <w:sz w:val="21"/>
          <w:szCs w:val="21"/>
        </w:rPr>
        <w:t>：</w:t>
      </w:r>
      <w:r>
        <w:rPr>
          <w:rFonts w:ascii="Times New Roman" w:eastAsia="楷体_GB2312" w:hAnsi="Times New Roman" w:hint="eastAsia"/>
          <w:sz w:val="21"/>
          <w:szCs w:val="21"/>
        </w:rPr>
        <w:t>“一种木耳袋栽的生产方法，其特征在于以棉子壳</w:t>
      </w:r>
      <w:r>
        <w:rPr>
          <w:rFonts w:ascii="Times New Roman" w:eastAsia="楷体_GB2312" w:hAnsi="Times New Roman"/>
          <w:sz w:val="21"/>
          <w:szCs w:val="21"/>
        </w:rPr>
        <w:t>40%</w:t>
      </w:r>
      <w:r>
        <w:rPr>
          <w:rFonts w:ascii="Times New Roman" w:eastAsia="楷体_GB2312" w:hAnsi="Times New Roman" w:hint="eastAsia"/>
          <w:sz w:val="21"/>
          <w:szCs w:val="21"/>
        </w:rPr>
        <w:t>、庄稼秸秆</w:t>
      </w:r>
      <w:r>
        <w:rPr>
          <w:rFonts w:ascii="Times New Roman" w:eastAsia="楷体_GB2312" w:hAnsi="Times New Roman"/>
          <w:sz w:val="21"/>
          <w:szCs w:val="21"/>
        </w:rPr>
        <w:t>55%</w:t>
      </w:r>
      <w:r>
        <w:rPr>
          <w:rFonts w:ascii="Times New Roman" w:eastAsia="楷体_GB2312" w:hAnsi="Times New Roman" w:hint="eastAsia"/>
          <w:sz w:val="21"/>
          <w:szCs w:val="21"/>
        </w:rPr>
        <w:t>、食用植物油</w:t>
      </w:r>
      <w:r>
        <w:rPr>
          <w:rFonts w:ascii="Times New Roman" w:eastAsia="楷体_GB2312" w:hAnsi="Times New Roman"/>
          <w:sz w:val="21"/>
          <w:szCs w:val="21"/>
        </w:rPr>
        <w:t>1%</w:t>
      </w:r>
      <w:r>
        <w:rPr>
          <w:rFonts w:ascii="Times New Roman" w:eastAsia="楷体_GB2312" w:hAnsi="Times New Roman" w:hint="eastAsia"/>
          <w:sz w:val="21"/>
          <w:szCs w:val="21"/>
        </w:rPr>
        <w:t>、磷酸二氢钾</w:t>
      </w:r>
      <w:r>
        <w:rPr>
          <w:rFonts w:ascii="Times New Roman" w:eastAsia="楷体_GB2312" w:hAnsi="Times New Roman"/>
          <w:sz w:val="21"/>
          <w:szCs w:val="21"/>
        </w:rPr>
        <w:t>1%</w:t>
      </w:r>
      <w:r>
        <w:rPr>
          <w:rFonts w:ascii="Times New Roman" w:eastAsia="楷体_GB2312" w:hAnsi="Times New Roman" w:hint="eastAsia"/>
          <w:sz w:val="21"/>
          <w:szCs w:val="21"/>
        </w:rPr>
        <w:t>、轻质碳酸钙</w:t>
      </w:r>
      <w:r>
        <w:rPr>
          <w:rFonts w:ascii="Times New Roman" w:eastAsia="楷体_GB2312" w:hAnsi="Times New Roman"/>
          <w:sz w:val="21"/>
          <w:szCs w:val="21"/>
        </w:rPr>
        <w:t>1%</w:t>
      </w:r>
      <w:r>
        <w:rPr>
          <w:rFonts w:ascii="Times New Roman" w:eastAsia="楷体_GB2312" w:hAnsi="Times New Roman" w:hint="eastAsia"/>
          <w:sz w:val="21"/>
          <w:szCs w:val="21"/>
        </w:rPr>
        <w:t>、硫酸钙</w:t>
      </w:r>
      <w:r>
        <w:rPr>
          <w:rFonts w:ascii="Times New Roman" w:eastAsia="楷体_GB2312" w:hAnsi="Times New Roman"/>
          <w:sz w:val="21"/>
          <w:szCs w:val="21"/>
        </w:rPr>
        <w:t>1%</w:t>
      </w:r>
      <w:r>
        <w:rPr>
          <w:rFonts w:ascii="Times New Roman" w:eastAsia="楷体_GB2312" w:hAnsi="Times New Roman" w:hint="eastAsia"/>
          <w:sz w:val="21"/>
          <w:szCs w:val="21"/>
        </w:rPr>
        <w:t>、硫酸镁</w:t>
      </w:r>
      <w:r>
        <w:rPr>
          <w:rFonts w:ascii="Times New Roman" w:eastAsia="楷体_GB2312" w:hAnsi="Times New Roman"/>
          <w:sz w:val="21"/>
          <w:szCs w:val="21"/>
        </w:rPr>
        <w:t>1%</w:t>
      </w:r>
      <w:r>
        <w:rPr>
          <w:rFonts w:ascii="Times New Roman" w:eastAsia="楷体_GB2312" w:hAnsi="Times New Roman" w:hint="eastAsia"/>
          <w:sz w:val="21"/>
          <w:szCs w:val="21"/>
        </w:rPr>
        <w:t>均匀混合作基料装入菌袋，菌袋为厚</w:t>
      </w:r>
      <w:r>
        <w:rPr>
          <w:rFonts w:ascii="Times New Roman" w:eastAsia="楷体_GB2312" w:hAnsi="Times New Roman"/>
          <w:sz w:val="21"/>
          <w:szCs w:val="21"/>
        </w:rPr>
        <w:t>2.5</w:t>
      </w:r>
      <w:r>
        <w:rPr>
          <w:rFonts w:ascii="Times New Roman" w:eastAsia="楷体_GB2312" w:hAnsi="Times New Roman" w:hint="eastAsia"/>
          <w:sz w:val="21"/>
          <w:szCs w:val="21"/>
        </w:rPr>
        <w:t>微米以下的高密度低压聚乙烯筒料</w:t>
      </w:r>
      <w:r>
        <w:rPr>
          <w:rFonts w:ascii="Times New Roman" w:eastAsia="楷体_GB2312" w:hAnsi="Times New Roman"/>
          <w:sz w:val="21"/>
          <w:szCs w:val="21"/>
        </w:rPr>
        <w:t>，</w:t>
      </w:r>
      <w:r>
        <w:rPr>
          <w:rFonts w:ascii="Times New Roman" w:eastAsia="楷体_GB2312" w:hAnsi="Times New Roman" w:hint="eastAsia"/>
          <w:sz w:val="21"/>
          <w:szCs w:val="21"/>
        </w:rPr>
        <w:t>蒸压灭菌、接种培养放置长出耳基后挂入荫棚中</w:t>
      </w:r>
      <w:r>
        <w:rPr>
          <w:rFonts w:ascii="Times New Roman" w:eastAsia="楷体_GB2312" w:hAnsi="Times New Roman"/>
          <w:sz w:val="21"/>
          <w:szCs w:val="21"/>
        </w:rPr>
        <w:t>，</w:t>
      </w:r>
      <w:r>
        <w:rPr>
          <w:rFonts w:ascii="Times New Roman" w:eastAsia="楷体_GB2312" w:hAnsi="Times New Roman" w:hint="eastAsia"/>
          <w:sz w:val="21"/>
          <w:szCs w:val="21"/>
        </w:rPr>
        <w:t>荫棚为绿色、迷彩色塑料膜</w:t>
      </w:r>
      <w:r>
        <w:rPr>
          <w:rFonts w:ascii="Times New Roman" w:eastAsia="楷体_GB2312" w:hAnsi="Times New Roman"/>
          <w:sz w:val="21"/>
          <w:szCs w:val="21"/>
        </w:rPr>
        <w:t>，</w:t>
      </w:r>
      <w:r>
        <w:rPr>
          <w:rFonts w:ascii="Times New Roman" w:eastAsia="楷体_GB2312" w:hAnsi="Times New Roman" w:hint="eastAsia"/>
          <w:sz w:val="21"/>
          <w:szCs w:val="21"/>
        </w:rPr>
        <w:t>荫棚内采用增氧加湿机进行增氧加湿加温。”</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本案中，涉案专利是一种木耳袋栽的生产方法，其技术特征包括基料特征、菌袋特征、荫棚特征、生产步骤特征等。虽然其技术特征中包括使用厚度为</w:t>
      </w:r>
      <w:r>
        <w:rPr>
          <w:rFonts w:ascii="Times New Roman" w:eastAsia="楷体_GB2312" w:hAnsi="Times New Roman" w:hint="eastAsia"/>
          <w:sz w:val="21"/>
          <w:szCs w:val="21"/>
        </w:rPr>
        <w:t>2. 5</w:t>
      </w:r>
      <w:r>
        <w:rPr>
          <w:rFonts w:ascii="Times New Roman" w:eastAsia="楷体_GB2312" w:hAnsi="Times New Roman" w:hint="eastAsia"/>
          <w:sz w:val="21"/>
          <w:szCs w:val="21"/>
        </w:rPr>
        <w:t>微米以下的高密度低压聚乙烯菌袋，但该项特征并不构成一项独立的专利。被请求人生产的</w:t>
      </w:r>
      <w:r>
        <w:rPr>
          <w:rFonts w:ascii="Times New Roman" w:eastAsia="楷体_GB2312" w:hAnsi="Times New Roman" w:hint="eastAsia"/>
          <w:sz w:val="21"/>
          <w:szCs w:val="21"/>
        </w:rPr>
        <w:t>2. 5</w:t>
      </w:r>
      <w:r>
        <w:rPr>
          <w:rFonts w:ascii="Times New Roman" w:eastAsia="楷体_GB2312" w:hAnsi="Times New Roman" w:hint="eastAsia"/>
          <w:sz w:val="21"/>
          <w:szCs w:val="21"/>
        </w:rPr>
        <w:t>微米厚的高密度低压聚乙烯塑料袋只是涉案专利方法中使用的一种材料，生产和销售该材料并未落入涉案专利权的保护范围。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不能用说明书摘要来解释权利要求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说明书摘要是说明书记载内容的概述，其作用是向公众提供技术信息</w:t>
      </w:r>
      <w:r>
        <w:rPr>
          <w:rFonts w:ascii="Times New Roman" w:eastAsia="宋体" w:hAnsi="Times New Roman"/>
          <w:sz w:val="21"/>
          <w:szCs w:val="21"/>
        </w:rPr>
        <w:t>，</w:t>
      </w:r>
      <w:r>
        <w:rPr>
          <w:rFonts w:ascii="Times New Roman" w:eastAsia="宋体" w:hAnsi="Times New Roman" w:hint="eastAsia"/>
          <w:sz w:val="21"/>
          <w:szCs w:val="21"/>
        </w:rPr>
        <w:t>便于公众检索和掌握专利的主要内容。其本身不具有法律效力</w:t>
      </w:r>
      <w:r>
        <w:rPr>
          <w:rFonts w:ascii="Times New Roman" w:eastAsia="宋体" w:hAnsi="Times New Roman"/>
          <w:sz w:val="21"/>
          <w:szCs w:val="21"/>
        </w:rPr>
        <w:t>，</w:t>
      </w:r>
      <w:r>
        <w:rPr>
          <w:rFonts w:ascii="Times New Roman" w:eastAsia="宋体" w:hAnsi="Times New Roman" w:hint="eastAsia"/>
          <w:sz w:val="21"/>
          <w:szCs w:val="21"/>
        </w:rPr>
        <w:t>不能用于解释权利要求。</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不能将权利要求中涉及附图标记的特征解释为附图标记反映的具体结构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附图标记是对权利要求中相关技术特征的举例说明。当权利要求中包含附图标记时，不能用附图中该附图标记所反映的具体结构来限缩性解释权利要求中相关技术特征的含义。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xml:space="preserve"> </w:instrText>
      </w:r>
      <w:r w:rsidR="00235733">
        <w:rPr>
          <w:rFonts w:ascii="Times New Roman" w:eastAsia="宋体" w:hAnsi="Times New Roman" w:hint="eastAsia"/>
          <w:sz w:val="21"/>
          <w:szCs w:val="21"/>
        </w:rPr>
        <w:instrText>= 5 \* GB3</w:instrText>
      </w:r>
      <w:r w:rsidR="00235733">
        <w:rPr>
          <w:rFonts w:ascii="Times New Roman" w:eastAsia="宋体" w:hAnsi="Times New Roman"/>
          <w:sz w:val="21"/>
          <w:szCs w:val="21"/>
        </w:rPr>
        <w:instrText xml:space="preserve"> </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关于存在歧义的表达</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权利要求书、说明书及附图中的语法、文字、标点、图形、符号等存有歧义，但本领域普通技术人员通过阅读权利要求书、说明书及附图可以得出唯一理解的，管理专利工作的部门应当根据该唯一理解予以认定。</w:t>
      </w:r>
    </w:p>
    <w:p w:rsidR="00800760" w:rsidRDefault="00C22A7B" w:rsidP="00C22A7B">
      <w:pPr>
        <w:keepNext/>
        <w:topLinePunct/>
        <w:spacing w:beforeLines="50"/>
        <w:outlineLvl w:val="4"/>
        <w:rPr>
          <w:rFonts w:eastAsia="黑体"/>
          <w:color w:val="000000"/>
        </w:rPr>
      </w:pPr>
      <w:r>
        <w:rPr>
          <w:rFonts w:eastAsia="黑体"/>
          <w:color w:val="000000"/>
        </w:rPr>
        <w:fldChar w:fldCharType="begin"/>
      </w:r>
      <w:r w:rsidR="00235733">
        <w:rPr>
          <w:rFonts w:eastAsia="黑体"/>
          <w:color w:val="000000"/>
        </w:rPr>
        <w:instrText>= 5 \* GB1</w:instrText>
      </w:r>
      <w:r>
        <w:rPr>
          <w:rFonts w:eastAsia="黑体"/>
          <w:color w:val="000000"/>
        </w:rPr>
        <w:fldChar w:fldCharType="separate"/>
      </w:r>
      <w:bookmarkStart w:id="1851" w:name="_Toc28593348"/>
      <w:r w:rsidR="00235733">
        <w:rPr>
          <w:rFonts w:eastAsia="黑体" w:hint="eastAsia"/>
          <w:color w:val="000000"/>
        </w:rPr>
        <w:t xml:space="preserve">5. </w:t>
      </w:r>
      <w:r>
        <w:rPr>
          <w:rFonts w:eastAsia="黑体"/>
          <w:color w:val="000000"/>
        </w:rPr>
        <w:fldChar w:fldCharType="end"/>
      </w:r>
      <w:r w:rsidR="00235733">
        <w:rPr>
          <w:rFonts w:eastAsia="黑体" w:hint="eastAsia"/>
          <w:color w:val="000000"/>
        </w:rPr>
        <w:t>权利要求解释的典型情形</w:t>
      </w:r>
      <w:bookmarkEnd w:id="1851"/>
    </w:p>
    <w:p w:rsidR="00800760" w:rsidRDefault="00C22A7B">
      <w:pPr>
        <w:keepNext/>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GB2</w:instrText>
      </w:r>
      <w:r>
        <w:rPr>
          <w:rFonts w:cs="MingLiU_HKSCS"/>
          <w:color w:val="000000"/>
          <w:szCs w:val="21"/>
          <w:lang w:val="zh-CN"/>
        </w:rPr>
        <w:fldChar w:fldCharType="separate"/>
      </w:r>
      <w:r w:rsidR="00235733">
        <w:rPr>
          <w:rFonts w:cs="MingLiU_HKSCS" w:hint="eastAsia"/>
          <w:color w:val="000000"/>
          <w:szCs w:val="21"/>
          <w:lang w:val="en-US"/>
        </w:rPr>
        <w:t>（</w:t>
      </w:r>
      <w:r w:rsidR="00235733">
        <w:rPr>
          <w:rFonts w:cs="MingLiU_HKSCS" w:hint="eastAsia"/>
          <w:color w:val="000000"/>
          <w:szCs w:val="21"/>
          <w:lang w:val="en-US"/>
        </w:rPr>
        <w:t>1</w:t>
      </w:r>
      <w:r w:rsidR="00235733">
        <w:rPr>
          <w:rFonts w:cs="MingLiU_HKSCS" w:hint="eastAsia"/>
          <w:color w:val="000000"/>
          <w:szCs w:val="21"/>
          <w:lang w:val="en-US"/>
        </w:rPr>
        <w:t>）</w:t>
      </w:r>
      <w:r>
        <w:rPr>
          <w:rFonts w:cs="MingLiU_HKSCS"/>
          <w:color w:val="000000"/>
          <w:szCs w:val="21"/>
          <w:lang w:val="zh-CN"/>
        </w:rPr>
        <w:fldChar w:fldCharType="end"/>
      </w:r>
      <w:r w:rsidR="00235733">
        <w:rPr>
          <w:rFonts w:cs="MingLiU_HKSCS" w:hint="eastAsia"/>
          <w:color w:val="000000"/>
          <w:szCs w:val="21"/>
          <w:lang w:val="zh-CN"/>
        </w:rPr>
        <w:t>技术术语</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界定权利要求中某一技术术语的含义</w:t>
      </w:r>
      <w:r>
        <w:rPr>
          <w:rFonts w:cs="MingLiU_HKSCS"/>
          <w:color w:val="000000"/>
          <w:szCs w:val="21"/>
          <w:lang w:val="zh-CN"/>
        </w:rPr>
        <w:t>，</w:t>
      </w:r>
      <w:r>
        <w:rPr>
          <w:rFonts w:cs="MingLiU_HKSCS" w:hint="eastAsia"/>
          <w:color w:val="000000"/>
          <w:szCs w:val="21"/>
          <w:lang w:val="zh-CN"/>
        </w:rPr>
        <w:t>可以遵循以下规则。</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GB3</w:instrText>
      </w:r>
      <w:r>
        <w:rPr>
          <w:rFonts w:cs="MingLiU_HKSCS"/>
          <w:color w:val="000000"/>
          <w:szCs w:val="21"/>
          <w:lang w:val="zh-CN"/>
        </w:rPr>
        <w:fldChar w:fldCharType="separate"/>
      </w:r>
      <w:r w:rsidR="00235733">
        <w:rPr>
          <w:rFonts w:cs="MingLiU_HKSCS" w:hint="eastAsia"/>
          <w:color w:val="000000"/>
          <w:szCs w:val="21"/>
          <w:lang w:val="en-US"/>
        </w:rPr>
        <w:t>①</w:t>
      </w:r>
      <w:r>
        <w:rPr>
          <w:rFonts w:cs="MingLiU_HKSCS"/>
          <w:color w:val="000000"/>
          <w:szCs w:val="21"/>
          <w:lang w:val="zh-CN"/>
        </w:rPr>
        <w:fldChar w:fldCharType="end"/>
      </w:r>
      <w:r w:rsidR="00235733">
        <w:rPr>
          <w:rFonts w:cs="MingLiU_HKSCS" w:hint="eastAsia"/>
          <w:color w:val="000000"/>
          <w:szCs w:val="21"/>
          <w:lang w:val="zh-CN"/>
        </w:rPr>
        <w:t>相同术语</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在同一专利文件中，相同的技术术语在不同的权利要求以及说明书中</w:t>
      </w:r>
      <w:r>
        <w:rPr>
          <w:rFonts w:cs="MingLiU_HKSCS"/>
          <w:color w:val="000000"/>
          <w:szCs w:val="21"/>
          <w:lang w:val="zh-CN"/>
        </w:rPr>
        <w:t>，一般</w:t>
      </w:r>
      <w:r>
        <w:rPr>
          <w:rFonts w:cs="MingLiU_HKSCS" w:hint="eastAsia"/>
          <w:color w:val="000000"/>
          <w:szCs w:val="21"/>
          <w:lang w:val="zh-CN"/>
        </w:rPr>
        <w:t>应当认为具有相同的含义</w:t>
      </w:r>
      <w:r>
        <w:rPr>
          <w:rFonts w:cs="MingLiU_HKSCS"/>
          <w:color w:val="000000"/>
          <w:szCs w:val="21"/>
          <w:lang w:val="zh-CN"/>
        </w:rPr>
        <w:t>，除非本领域技术人员可以通过权利要求书、说明书和附图确定不同的含义</w:t>
      </w:r>
      <w:r>
        <w:rPr>
          <w:rFonts w:cs="MingLiU_HKSCS" w:hint="eastAsia"/>
          <w:color w:val="000000"/>
          <w:szCs w:val="21"/>
          <w:lang w:val="zh-CN"/>
        </w:rPr>
        <w:t>。在同一专利文件中，如果对具有相同或类似技术含义的概念采用不同的术语，可以假定这些术语具有不同的含义，除非</w:t>
      </w:r>
      <w:r>
        <w:rPr>
          <w:rFonts w:cs="MingLiU_HKSCS"/>
          <w:color w:val="000000"/>
          <w:szCs w:val="21"/>
          <w:lang w:val="zh-CN"/>
        </w:rPr>
        <w:t>本领域技术人员可以通过权利要求书、说明书和附图</w:t>
      </w:r>
      <w:r>
        <w:rPr>
          <w:rFonts w:cs="MingLiU_HKSCS" w:hint="eastAsia"/>
          <w:color w:val="000000"/>
          <w:szCs w:val="21"/>
          <w:lang w:val="zh-CN"/>
        </w:rPr>
        <w:t>确定其有相同含义。</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2 \* GB3</w:instrText>
      </w:r>
      <w:r>
        <w:rPr>
          <w:rFonts w:cs="MingLiU_HKSCS"/>
          <w:color w:val="000000"/>
          <w:szCs w:val="21"/>
          <w:lang w:val="zh-CN"/>
        </w:rPr>
        <w:fldChar w:fldCharType="separate"/>
      </w:r>
      <w:r w:rsidR="00235733">
        <w:rPr>
          <w:rFonts w:cs="MingLiU_HKSCS" w:hint="eastAsia"/>
          <w:color w:val="000000"/>
          <w:szCs w:val="21"/>
          <w:lang w:val="en-US"/>
        </w:rPr>
        <w:t>②</w:t>
      </w:r>
      <w:r>
        <w:rPr>
          <w:rFonts w:cs="MingLiU_HKSCS"/>
          <w:color w:val="000000"/>
          <w:szCs w:val="21"/>
          <w:lang w:val="zh-CN"/>
        </w:rPr>
        <w:fldChar w:fldCharType="end"/>
      </w:r>
      <w:r w:rsidR="00235733">
        <w:rPr>
          <w:rFonts w:cs="MingLiU_HKSCS" w:hint="eastAsia"/>
          <w:color w:val="000000"/>
          <w:szCs w:val="21"/>
          <w:lang w:val="zh-CN"/>
        </w:rPr>
        <w:t>已知术语</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专利权人在权利要求中使用的已知术语，含义既可以比其在字典中的普通含义宽，也可以比其普通含义窄。在确定专利权利要求中使用的已知术语的含义时，首先看专利权人在专利说明书</w:t>
      </w:r>
      <w:r>
        <w:rPr>
          <w:rFonts w:cs="MingLiU_HKSCS"/>
          <w:color w:val="000000"/>
          <w:szCs w:val="21"/>
          <w:lang w:val="zh-CN"/>
        </w:rPr>
        <w:t>和附图</w:t>
      </w:r>
      <w:r>
        <w:rPr>
          <w:rFonts w:cs="MingLiU_HKSCS" w:hint="eastAsia"/>
          <w:color w:val="000000"/>
          <w:szCs w:val="21"/>
          <w:lang w:val="zh-CN"/>
        </w:rPr>
        <w:t>中是否赋予其特别含义，如果能找到专利权人赋予其特别含义的明确指示，则将该已知术语解释为该特别含义；如果专利权人未赋予其特别含义，则以字典</w:t>
      </w:r>
      <w:r>
        <w:rPr>
          <w:rFonts w:cs="MingLiU_HKSCS"/>
          <w:color w:val="000000"/>
          <w:szCs w:val="21"/>
          <w:lang w:val="zh-CN"/>
        </w:rPr>
        <w:t>、教科书或其他技术手册</w:t>
      </w:r>
      <w:r>
        <w:rPr>
          <w:rFonts w:cs="MingLiU_HKSCS" w:hint="eastAsia"/>
          <w:color w:val="000000"/>
          <w:szCs w:val="21"/>
          <w:lang w:val="zh-CN"/>
        </w:rPr>
        <w:t>中的普通含义对该已知术语进行解释；如果说明书中对于该已知术语的解释与其普通含义不一致，则依照说明书中的解释。</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-9</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涉及一种蛋糕饰品制作机器，该机器在操作时用扫描机将图片进行扫描，然后再用复印机把图片印刷复制到可食纸张上，从而可以放置在蛋糕上作为装饰品。该机器在操作时，必须准备一张可食用的基材，并送进一个影印机中。由于一般的影印机为了节约空间，通常将送纸通道做成扭转重叠的形状，同时会对纸张进行加热以便碳粉快速融化附着在纸张上，但是可食用的基材</w:t>
      </w:r>
      <w:r>
        <w:rPr>
          <w:rFonts w:eastAsia="楷体_GB2312" w:cs="MingLiU_HKSCS"/>
          <w:color w:val="000000"/>
          <w:szCs w:val="21"/>
          <w:lang w:val="zh-CN"/>
        </w:rPr>
        <w:t>（</w:t>
      </w:r>
      <w:r>
        <w:rPr>
          <w:rFonts w:eastAsia="楷体_GB2312" w:cs="MingLiU_HKSCS" w:hint="eastAsia"/>
          <w:color w:val="000000"/>
          <w:szCs w:val="21"/>
          <w:lang w:val="zh-CN"/>
        </w:rPr>
        <w:t>如可食纸张</w:t>
      </w:r>
      <w:r>
        <w:rPr>
          <w:rFonts w:eastAsia="楷体_GB2312" w:cs="MingLiU_HKSCS"/>
          <w:color w:val="000000"/>
          <w:szCs w:val="21"/>
          <w:lang w:val="zh-CN"/>
        </w:rPr>
        <w:t>）</w:t>
      </w:r>
      <w:r>
        <w:rPr>
          <w:rFonts w:eastAsia="楷体_GB2312" w:cs="MingLiU_HKSCS" w:hint="eastAsia"/>
          <w:color w:val="000000"/>
          <w:szCs w:val="21"/>
          <w:lang w:val="zh-CN"/>
        </w:rPr>
        <w:t>通常较脆易碎，在弯曲的送纸通道中经过加热后几乎无法使用。因此，涉案专利提出一种具有近乎长形的、非扭转的，且和其他部分没有重叠的、无需加热的送纸通道来解决这一问题。</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涉案专利的权利要求１为</w:t>
      </w:r>
      <w:r>
        <w:rPr>
          <w:rFonts w:eastAsia="楷体_GB2312" w:cs="MingLiU_HKSCS"/>
          <w:color w:val="000000"/>
          <w:szCs w:val="21"/>
          <w:lang w:val="zh-CN"/>
        </w:rPr>
        <w:t>：</w:t>
      </w:r>
      <w:r>
        <w:rPr>
          <w:rFonts w:eastAsia="楷体_GB2312" w:cs="MingLiU_HKSCS" w:hint="eastAsia"/>
          <w:color w:val="000000"/>
          <w:szCs w:val="21"/>
          <w:lang w:val="zh-CN"/>
        </w:rPr>
        <w:t>“一种将影像复制到可食纸张而以图片装饰烘焙物品的方法，包括</w:t>
      </w:r>
      <w:r>
        <w:rPr>
          <w:rFonts w:eastAsia="楷体_GB2312" w:cs="MingLiU_HKSCS"/>
          <w:color w:val="000000"/>
          <w:szCs w:val="21"/>
          <w:lang w:val="zh-CN"/>
        </w:rPr>
        <w:t>：</w:t>
      </w:r>
      <w:r>
        <w:rPr>
          <w:rFonts w:eastAsia="楷体_GB2312" w:cs="MingLiU_HKSCS" w:hint="eastAsia"/>
          <w:color w:val="000000"/>
          <w:szCs w:val="21"/>
          <w:lang w:val="zh-CN"/>
        </w:rPr>
        <w:t>将一影像放至复印机的复制玻璃上；将一可食纸张沿着一近乎长形、非扭转的复印线送进复印机，且无需对可食纸张进行实质加热，复制线的各部分彼此没有互相重叠，可食纸张沿着一条没有扭转和弯曲的复印线前进；以及当可食纸张通过复印线时，用可食墨汁将复印玻璃上的影像复制到可食纸张上。”</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专利说明书中清楚地给出了“复印机”的定义</w:t>
      </w:r>
      <w:r>
        <w:rPr>
          <w:rFonts w:eastAsia="楷体_GB2312" w:cs="MingLiU_HKSCS"/>
          <w:color w:val="000000"/>
          <w:szCs w:val="21"/>
          <w:lang w:val="zh-CN"/>
        </w:rPr>
        <w:t>：</w:t>
      </w:r>
      <w:r>
        <w:rPr>
          <w:rFonts w:eastAsia="楷体_GB2312" w:cs="MingLiU_HKSCS" w:hint="eastAsia"/>
          <w:color w:val="000000"/>
          <w:szCs w:val="21"/>
          <w:lang w:val="zh-CN"/>
        </w:rPr>
        <w:t>“本发明的复印机扫描与影像复制的功能无须安装于同一机壳内。”</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专利权人主张，涉案专利中的复印机具有特定结构，与一般的办公用复印机在外观上有很明显的差异。被请求人认为，复印机具有普遍的含义，涉案专利中的复印机应定义为一般的办公用复印机，扫描与复印功能必须是一体的，必须包含在同一机壳内。</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本案的争议点是：权利要求中的术语“复印机”应作何解释。</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专利权人可以赋予专利文件中某一术语不同于一般通用意义的特殊含义。当说明书中以明示或是暗示的方式对某一术语给出特殊定义时，说明书就成为涉案专利中专利权人自己的字典。本案中，专利权人在其说明书中对“复印机”作出不同于一般办公用复印机的特殊定义，应当可以用于解释专利权利要求限定的范围，即本案中的术语“复印机”并非是扫描与影像复制功能安装于同一机壳内的一般意义上的复印机。</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-10</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涉案专利权利要求中有一个术语是“铝”，说明书中有些地方提到了“铝层”，有些地方记载的是“铝”。</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本案的争议点在于：涉案专利权利要求中的“铝”指的是铝层还是合金中的纯铝。</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如果将权利要求中的“铝”解释为普通含义以外的内容，必须符合两个条件</w:t>
      </w:r>
      <w:r>
        <w:rPr>
          <w:rFonts w:eastAsia="楷体_GB2312" w:cs="MingLiU_HKSCS"/>
          <w:color w:val="000000"/>
          <w:szCs w:val="21"/>
          <w:lang w:val="zh-CN"/>
        </w:rPr>
        <w:t>：</w:t>
      </w:r>
      <w:r>
        <w:rPr>
          <w:rFonts w:eastAsia="楷体_GB2312"/>
          <w:color w:val="000000"/>
          <w:szCs w:val="21"/>
          <w:lang w:val="zh-CN"/>
        </w:rPr>
        <w:t>a.</w:t>
      </w:r>
      <w:r>
        <w:rPr>
          <w:rFonts w:eastAsia="楷体_GB2312" w:cs="MingLiU_HKSCS" w:hint="eastAsia"/>
          <w:color w:val="000000"/>
          <w:szCs w:val="21"/>
          <w:lang w:val="zh-CN"/>
        </w:rPr>
        <w:t>专利权人在内部证据中将“铝”定义为其他含义；或者</w:t>
      </w:r>
      <w:r>
        <w:rPr>
          <w:rFonts w:eastAsia="楷体_GB2312" w:hint="eastAsia"/>
          <w:color w:val="000000"/>
          <w:szCs w:val="21"/>
          <w:lang w:val="zh-CN"/>
        </w:rPr>
        <w:t>b</w:t>
      </w:r>
      <w:r>
        <w:rPr>
          <w:rFonts w:eastAsia="楷体_GB2312"/>
          <w:color w:val="000000"/>
          <w:szCs w:val="21"/>
          <w:lang w:val="zh-CN"/>
        </w:rPr>
        <w:t>.</w:t>
      </w:r>
      <w:r>
        <w:rPr>
          <w:rFonts w:eastAsia="楷体_GB2312" w:cs="MingLiU_HKSCS" w:hint="eastAsia"/>
          <w:color w:val="000000"/>
          <w:szCs w:val="21"/>
          <w:lang w:val="zh-CN"/>
        </w:rPr>
        <w:t>“铝”的普通含义使权利要求变得不清楚。本案中，虽然专利权人在说明书中有的地方使用了“铝层”，但并不是一直使用“铝层”，因此，没有明确的指示说明专利权人赋予了“铝”以“铝层”的含义。而且，将“铝”解释为其普通含义也不会导致权利要求不清楚。在此情况下，权利要求中的术语“铝”应当按照所属领域的普通含义理解，不能解释为“铝层”。</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3 \* GB3</w:instrText>
      </w:r>
      <w:r>
        <w:rPr>
          <w:rFonts w:cs="MingLiU_HKSCS"/>
          <w:color w:val="000000"/>
          <w:szCs w:val="21"/>
          <w:lang w:val="zh-CN"/>
        </w:rPr>
        <w:fldChar w:fldCharType="separate"/>
      </w:r>
      <w:r w:rsidR="00235733">
        <w:rPr>
          <w:rFonts w:cs="MingLiU_HKSCS" w:hint="eastAsia"/>
          <w:color w:val="000000"/>
          <w:szCs w:val="21"/>
          <w:lang w:val="en-US"/>
        </w:rPr>
        <w:t>③</w:t>
      </w:r>
      <w:r>
        <w:rPr>
          <w:rFonts w:cs="MingLiU_HKSCS"/>
          <w:color w:val="000000"/>
          <w:szCs w:val="21"/>
          <w:lang w:val="zh-CN"/>
        </w:rPr>
        <w:fldChar w:fldCharType="end"/>
      </w:r>
      <w:r w:rsidR="00235733">
        <w:rPr>
          <w:rFonts w:cs="MingLiU_HKSCS" w:hint="eastAsia"/>
          <w:color w:val="000000"/>
          <w:szCs w:val="21"/>
          <w:lang w:val="zh-CN"/>
        </w:rPr>
        <w:t>含义发生变化的术语</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如果被控侵权行为发生时，某一技术术语产生了新的含义，在解释该技术术语时，应当依照专利申请日时的含义。</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4 \* GB3</w:instrText>
      </w:r>
      <w:r>
        <w:rPr>
          <w:rFonts w:cs="MingLiU_HKSCS"/>
          <w:color w:val="000000"/>
          <w:szCs w:val="21"/>
          <w:lang w:val="zh-CN"/>
        </w:rPr>
        <w:fldChar w:fldCharType="separate"/>
      </w:r>
      <w:r w:rsidR="00235733">
        <w:rPr>
          <w:rFonts w:cs="MingLiU_HKSCS" w:hint="eastAsia"/>
          <w:color w:val="000000"/>
          <w:szCs w:val="21"/>
          <w:lang w:val="en-US"/>
        </w:rPr>
        <w:t>④</w:t>
      </w:r>
      <w:r>
        <w:rPr>
          <w:rFonts w:cs="MingLiU_HKSCS"/>
          <w:color w:val="000000"/>
          <w:szCs w:val="21"/>
          <w:lang w:val="zh-CN"/>
        </w:rPr>
        <w:fldChar w:fldCharType="end"/>
      </w:r>
      <w:r w:rsidR="00235733">
        <w:rPr>
          <w:rFonts w:cs="MingLiU_HKSCS" w:hint="eastAsia"/>
          <w:color w:val="000000"/>
          <w:szCs w:val="21"/>
          <w:lang w:val="zh-CN"/>
        </w:rPr>
        <w:t>自定义词</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对于专利权人在申请文件中的自定义词，</w:t>
      </w:r>
      <w:r>
        <w:t>通常需要借助专利说明书、其他权利要求以及专利审查档案中对该特定词语的描述，确定该词语的含义。</w:t>
      </w:r>
      <w:r>
        <w:rPr>
          <w:rFonts w:cs="MingLiU_HKSCS" w:hint="eastAsia"/>
          <w:color w:val="000000"/>
          <w:szCs w:val="21"/>
          <w:lang w:val="zh-CN"/>
        </w:rPr>
        <w:t>如果说明书中没有明确的定义，应当根据说明书中与该自定义词相关的上下文加以理解，将其解释为最符合发明目的的含义。自定义词因无通用含义，因此其含义必须严格遵循说明书、权利要求和审查档案的内容，不得脱离原始文件随意变更解释，从而避免专利权人在专利授权</w:t>
      </w:r>
      <w:r>
        <w:rPr>
          <w:rFonts w:cs="MingLiU_HKSCS" w:hint="eastAsia"/>
          <w:color w:val="000000"/>
          <w:szCs w:val="21"/>
          <w:lang w:val="zh-CN"/>
        </w:rPr>
        <w:t>/</w:t>
      </w:r>
      <w:r>
        <w:rPr>
          <w:rFonts w:cs="MingLiU_HKSCS" w:hint="eastAsia"/>
          <w:color w:val="000000"/>
          <w:szCs w:val="21"/>
          <w:lang w:val="zh-CN"/>
        </w:rPr>
        <w:t>确权阶段与侵权纠纷阶段对同一技术特征作出不一致的解释，明确专利权的保护范围。</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如果专利权人在说明书中没有对其自定义词的含义作出定义，同时本领域技术人员结合权利要求、说明书的上下文也无法予以清楚解释，导致无法确定权利要求的保护范围，管理专利工作的部门可以告知当事人向国家知识产权局提起无效宣告请求。</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所称“自定义词”，是指专利权人在专利文件中自己创造的术语，该术语在字典、科技论文等材料中均无法找到。</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-11</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涉案专利的权利要求１为</w:t>
      </w:r>
      <w:r>
        <w:rPr>
          <w:rFonts w:eastAsia="楷体_GB2312" w:cs="MingLiU_HKSCS"/>
          <w:color w:val="000000"/>
          <w:szCs w:val="21"/>
          <w:lang w:val="zh-CN"/>
        </w:rPr>
        <w:t>：</w:t>
      </w:r>
      <w:r>
        <w:rPr>
          <w:rFonts w:eastAsia="楷体_GB2312" w:cs="MingLiU_HKSCS" w:hint="eastAsia"/>
          <w:color w:val="000000"/>
          <w:szCs w:val="21"/>
          <w:lang w:val="zh-CN"/>
        </w:rPr>
        <w:t>“一种钢砂生产方法，其特征在于将轴承厂生产轴承时冲切下来的边角废料，进行淬火，淬火后分两级破碎，筛分得到不同粒度的钢砂，制得多棱形的钢砂。”</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说明书中记载</w:t>
      </w:r>
      <w:r>
        <w:rPr>
          <w:rFonts w:eastAsia="楷体_GB2312" w:cs="MingLiU_HKSCS"/>
          <w:color w:val="000000"/>
          <w:szCs w:val="21"/>
          <w:lang w:val="zh-CN"/>
        </w:rPr>
        <w:t>：</w:t>
      </w:r>
      <w:r>
        <w:rPr>
          <w:rFonts w:eastAsia="楷体_GB2312" w:cs="MingLiU_HKSCS" w:hint="eastAsia"/>
          <w:color w:val="000000"/>
          <w:szCs w:val="21"/>
          <w:lang w:val="zh-CN"/>
        </w:rPr>
        <w:t>“本发明的创新之处在于</w:t>
      </w:r>
      <w:r>
        <w:rPr>
          <w:rFonts w:eastAsia="楷体_GB2312" w:cs="MingLiU_HKSCS"/>
          <w:color w:val="000000"/>
          <w:szCs w:val="21"/>
          <w:lang w:val="zh-CN"/>
        </w:rPr>
        <w:t>：</w:t>
      </w:r>
      <w:r>
        <w:rPr>
          <w:rFonts w:eastAsia="楷体_GB2312" w:cs="MingLiU_HKSCS" w:hint="eastAsia"/>
          <w:color w:val="000000"/>
          <w:szCs w:val="21"/>
          <w:lang w:val="zh-CN"/>
        </w:rPr>
        <w:t>本发明采用两级破碎，粗碎用颚式破碎机，细碎用辐式破碎机</w:t>
      </w:r>
      <w:r>
        <w:rPr>
          <w:rFonts w:cs="MingLiU_HKSCS" w:hint="eastAsia"/>
          <w:color w:val="000000"/>
          <w:szCs w:val="21"/>
          <w:lang w:val="zh-CN"/>
        </w:rPr>
        <w:t>……</w:t>
      </w:r>
      <w:r>
        <w:rPr>
          <w:rFonts w:eastAsia="楷体_GB2312" w:cs="MingLiU_HKSCS" w:hint="eastAsia"/>
          <w:color w:val="000000"/>
          <w:szCs w:val="21"/>
          <w:lang w:val="zh-CN"/>
        </w:rPr>
        <w:t>对于粗大的冲切料，本发明采取先用颚式破碎机将其轧碎成小块，而后进行细碎，破碎成钢砂</w:t>
      </w:r>
      <w:r>
        <w:rPr>
          <w:rFonts w:cs="MingLiU_HKSCS" w:hint="eastAsia"/>
          <w:color w:val="000000"/>
          <w:szCs w:val="21"/>
          <w:lang w:val="zh-CN"/>
        </w:rPr>
        <w:t>……</w:t>
      </w:r>
      <w:r>
        <w:rPr>
          <w:rFonts w:eastAsia="楷体_GB2312"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本案的争议点在于：如何解释权利要求中的自定义词“两级破碎”。</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hint="eastAsia"/>
          <w:szCs w:val="21"/>
        </w:rPr>
        <w:t>根据本领域技术人员对说明书记载的内容的理解，涉案专利中的“两级破碎”应理解为采用两种不同的机器分别进行粗碎和细碎两种等级的破碎，即对于粗大的冲切料，先用颚式破碎机将其轧碎成小块，而后通过辐式破碎机进行细碎，破碎成钢砂，不能解释为使用同一机器进行两次破碎。</w:t>
      </w:r>
      <w:r>
        <w:t>虽然该术语在相关行业领域并没有明确的定义，但涉案专利说明书中的记载指明了其具有的特定的含义，并且该界定明确了涉案专利权利要求</w:t>
      </w:r>
      <w:r>
        <w:t>1</w:t>
      </w:r>
      <w:r>
        <w:t>的保护范围，所以应当以说明书的界定理解权利要求用语的含义。</w:t>
      </w:r>
      <w:bookmarkStart w:id="1852" w:name="_Hlk191144725"/>
    </w:p>
    <w:bookmarkEnd w:id="1852"/>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2 \* GB2</w:instrText>
      </w:r>
      <w:r>
        <w:rPr>
          <w:rFonts w:cs="MingLiU_HKSCS"/>
          <w:color w:val="000000"/>
          <w:szCs w:val="21"/>
          <w:lang w:val="zh-CN"/>
        </w:rPr>
        <w:fldChar w:fldCharType="separate"/>
      </w:r>
      <w:r w:rsidR="00235733">
        <w:rPr>
          <w:rFonts w:cs="MingLiU_HKSCS" w:hint="eastAsia"/>
          <w:color w:val="000000"/>
          <w:szCs w:val="21"/>
          <w:lang w:val="en-US"/>
        </w:rPr>
        <w:t>（</w:t>
      </w:r>
      <w:r w:rsidR="00235733">
        <w:rPr>
          <w:rFonts w:cs="MingLiU_HKSCS" w:hint="eastAsia"/>
          <w:color w:val="000000"/>
          <w:szCs w:val="21"/>
          <w:lang w:val="en-US"/>
        </w:rPr>
        <w:t>2</w:t>
      </w:r>
      <w:r w:rsidR="00235733">
        <w:rPr>
          <w:rFonts w:cs="MingLiU_HKSCS" w:hint="eastAsia"/>
          <w:color w:val="000000"/>
          <w:szCs w:val="21"/>
          <w:lang w:val="en-US"/>
        </w:rPr>
        <w:t>）</w:t>
      </w:r>
      <w:r>
        <w:rPr>
          <w:rFonts w:cs="MingLiU_HKSCS"/>
          <w:color w:val="000000"/>
          <w:szCs w:val="21"/>
          <w:lang w:val="zh-CN"/>
        </w:rPr>
        <w:fldChar w:fldCharType="end"/>
      </w:r>
      <w:r w:rsidR="00235733">
        <w:rPr>
          <w:rFonts w:cs="MingLiU_HKSCS" w:hint="eastAsia"/>
          <w:color w:val="000000"/>
          <w:szCs w:val="21"/>
          <w:lang w:val="zh-CN"/>
        </w:rPr>
        <w:t>权利要求与说明书不一致或者相互矛盾</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GB3</w:instrText>
      </w:r>
      <w:r>
        <w:rPr>
          <w:rFonts w:cs="MingLiU_HKSCS"/>
          <w:color w:val="000000"/>
          <w:szCs w:val="21"/>
          <w:lang w:val="zh-CN"/>
        </w:rPr>
        <w:fldChar w:fldCharType="separate"/>
      </w:r>
      <w:r w:rsidR="00235733">
        <w:rPr>
          <w:rFonts w:cs="MingLiU_HKSCS" w:hint="eastAsia"/>
          <w:color w:val="000000"/>
          <w:szCs w:val="21"/>
          <w:lang w:val="en-US"/>
        </w:rPr>
        <w:t>①</w:t>
      </w:r>
      <w:r>
        <w:rPr>
          <w:rFonts w:cs="MingLiU_HKSCS"/>
          <w:color w:val="000000"/>
          <w:szCs w:val="21"/>
          <w:lang w:val="zh-CN"/>
        </w:rPr>
        <w:fldChar w:fldCharType="end"/>
      </w:r>
      <w:r w:rsidR="00235733">
        <w:rPr>
          <w:rFonts w:cs="MingLiU_HKSCS" w:hint="eastAsia"/>
          <w:color w:val="000000"/>
          <w:szCs w:val="21"/>
          <w:lang w:val="zh-CN"/>
        </w:rPr>
        <w:t>权利要求存在明显错误</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尽管权利要求与说明书存在不一致之处</w:t>
      </w:r>
      <w:r>
        <w:rPr>
          <w:rFonts w:cs="MingLiU_HKSCS"/>
          <w:color w:val="000000"/>
          <w:szCs w:val="21"/>
          <w:lang w:val="zh-CN"/>
        </w:rPr>
        <w:t>，</w:t>
      </w:r>
      <w:r>
        <w:rPr>
          <w:rFonts w:cs="MingLiU_HKSCS" w:hint="eastAsia"/>
          <w:color w:val="000000"/>
          <w:szCs w:val="21"/>
          <w:lang w:val="zh-CN"/>
        </w:rPr>
        <w:t>但如果本领域技术人员在阅读说明书、附图以及权利要求书后</w:t>
      </w:r>
      <w:r>
        <w:rPr>
          <w:rFonts w:cs="MingLiU_HKSCS"/>
          <w:color w:val="000000"/>
          <w:szCs w:val="21"/>
          <w:lang w:val="zh-CN"/>
        </w:rPr>
        <w:t>，</w:t>
      </w:r>
      <w:r>
        <w:rPr>
          <w:rFonts w:cs="MingLiU_HKSCS" w:hint="eastAsia"/>
          <w:color w:val="000000"/>
          <w:szCs w:val="21"/>
          <w:lang w:val="zh-CN"/>
        </w:rPr>
        <w:t>能够立即发现权利要求的表述存在错误</w:t>
      </w:r>
      <w:r>
        <w:rPr>
          <w:rFonts w:cs="MingLiU_HKSCS"/>
          <w:color w:val="000000"/>
          <w:szCs w:val="21"/>
          <w:lang w:val="zh-CN"/>
        </w:rPr>
        <w:t>，</w:t>
      </w:r>
      <w:r>
        <w:rPr>
          <w:rFonts w:cs="MingLiU_HKSCS" w:hint="eastAsia"/>
          <w:color w:val="000000"/>
          <w:szCs w:val="21"/>
          <w:lang w:val="zh-CN"/>
        </w:rPr>
        <w:t>并且还能通过排除合理怀疑确定</w:t>
      </w:r>
      <w:r>
        <w:t>其唯一的正确理解</w:t>
      </w:r>
      <w:r>
        <w:rPr>
          <w:rFonts w:cs="MingLiU_HKSCS"/>
          <w:color w:val="000000"/>
          <w:szCs w:val="21"/>
          <w:lang w:val="zh-CN"/>
        </w:rPr>
        <w:t>，</w:t>
      </w:r>
      <w:r>
        <w:rPr>
          <w:rFonts w:cs="MingLiU_HKSCS" w:hint="eastAsia"/>
          <w:color w:val="000000"/>
          <w:szCs w:val="21"/>
          <w:lang w:val="zh-CN"/>
        </w:rPr>
        <w:t>则此时应当将权利要求中的错误归结为明显错误</w:t>
      </w:r>
      <w:r>
        <w:rPr>
          <w:rFonts w:cs="MingLiU_HKSCS"/>
          <w:color w:val="000000"/>
          <w:szCs w:val="21"/>
          <w:lang w:val="zh-CN"/>
        </w:rPr>
        <w:t>，</w:t>
      </w:r>
      <w:r>
        <w:rPr>
          <w:rFonts w:cs="MingLiU_HKSCS" w:hint="eastAsia"/>
          <w:color w:val="000000"/>
          <w:szCs w:val="21"/>
          <w:lang w:val="zh-CN"/>
        </w:rPr>
        <w:t>将其解释为本领域技术人员能够理解的正确含义。</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-12</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涉案专利的权利要求１为</w:t>
      </w:r>
      <w:r>
        <w:rPr>
          <w:rFonts w:eastAsia="楷体_GB2312" w:cs="MingLiU_HKSCS"/>
          <w:color w:val="000000"/>
          <w:szCs w:val="21"/>
          <w:lang w:val="zh-CN"/>
        </w:rPr>
        <w:t>：</w:t>
      </w:r>
      <w:r>
        <w:rPr>
          <w:rFonts w:eastAsia="楷体_GB2312" w:cs="MingLiU_HKSCS" w:hint="eastAsia"/>
          <w:color w:val="000000"/>
          <w:szCs w:val="21"/>
          <w:lang w:val="zh-CN"/>
        </w:rPr>
        <w:t>“一种精密旋转补偿器，包括外套管、内管、压料法兰、延伸管和密封材料，内管</w:t>
      </w:r>
      <w:r>
        <w:rPr>
          <w:rFonts w:eastAsia="楷体_GB2312" w:cs="MingLiU_HKSCS"/>
          <w:color w:val="000000"/>
          <w:szCs w:val="21"/>
          <w:lang w:val="zh-CN"/>
        </w:rPr>
        <w:t>（</w:t>
      </w:r>
      <w:r>
        <w:rPr>
          <w:rFonts w:eastAsia="楷体_GB2312" w:cs="MingLiU_HKSCS" w:hint="eastAsia"/>
          <w:color w:val="000000"/>
          <w:szCs w:val="21"/>
          <w:lang w:val="zh-CN"/>
        </w:rPr>
        <w:t>１</w:t>
      </w:r>
      <w:r>
        <w:rPr>
          <w:rFonts w:eastAsia="楷体_GB2312" w:cs="MingLiU_HKSCS"/>
          <w:color w:val="000000"/>
          <w:szCs w:val="21"/>
          <w:lang w:val="zh-CN"/>
        </w:rPr>
        <w:t>）</w:t>
      </w:r>
      <w:r>
        <w:rPr>
          <w:rFonts w:eastAsia="楷体_GB2312" w:cs="MingLiU_HKSCS" w:hint="eastAsia"/>
          <w:color w:val="000000"/>
          <w:szCs w:val="21"/>
          <w:lang w:val="zh-CN"/>
        </w:rPr>
        <w:t>与外套管之间装有柔性石墨填料，柔性石墨填料的端面装有压料法兰，压料法兰与外套管一端的法兰之间由螺栓连接，外套管内凸环和内套管外凸环之间设有钢球；在所述的外套管的另一端与延伸管连接，两者之间留有间隙，其特征在于</w:t>
      </w:r>
      <w:r>
        <w:rPr>
          <w:rFonts w:eastAsia="楷体_GB2312" w:cs="MingLiU_HKSCS"/>
          <w:color w:val="000000"/>
          <w:szCs w:val="21"/>
          <w:lang w:val="zh-CN"/>
        </w:rPr>
        <w:t>：</w:t>
      </w:r>
      <w:r>
        <w:rPr>
          <w:rFonts w:eastAsia="楷体_GB2312" w:cs="MingLiU_HKSCS" w:hint="eastAsia"/>
          <w:color w:val="000000"/>
          <w:szCs w:val="21"/>
          <w:lang w:val="zh-CN"/>
        </w:rPr>
        <w:t>所述的延伸管为与内套管内径相同的直管，两者同轴对应；所述的压料法兰的外侧与外套管的内侧为紧密配合。”</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专利说明书的具体实施方式部分记载</w:t>
      </w:r>
      <w:r>
        <w:rPr>
          <w:rFonts w:eastAsia="楷体_GB2312" w:cs="MingLiU_HKSCS"/>
          <w:color w:val="000000"/>
          <w:szCs w:val="21"/>
          <w:lang w:val="zh-CN"/>
        </w:rPr>
        <w:t>：</w:t>
      </w:r>
      <w:r>
        <w:rPr>
          <w:rFonts w:eastAsia="楷体_GB2312" w:cs="MingLiU_HKSCS" w:hint="eastAsia"/>
          <w:color w:val="000000"/>
          <w:szCs w:val="21"/>
          <w:lang w:val="zh-CN"/>
        </w:rPr>
        <w:t>“外套管４外侧是直通延伸管５，与内管１内径相等，延伸管５与内管１之间留有适当间隙</w:t>
      </w:r>
      <w:r>
        <w:rPr>
          <w:rFonts w:eastAsia="楷体_GB2312" w:cs="MingLiU_HKSCS"/>
          <w:color w:val="000000"/>
          <w:szCs w:val="21"/>
          <w:lang w:val="zh-CN"/>
        </w:rPr>
        <w:t>（</w:t>
      </w:r>
      <w:r>
        <w:rPr>
          <w:rFonts w:eastAsia="楷体_GB2312" w:cs="MingLiU_HKSCS" w:hint="eastAsia"/>
          <w:color w:val="000000"/>
          <w:szCs w:val="21"/>
          <w:lang w:val="zh-CN"/>
        </w:rPr>
        <w:t>1</w:t>
      </w:r>
      <w:r>
        <w:rPr>
          <w:rFonts w:eastAsia="楷体_GB2312" w:cs="MingLiU_HKSCS" w:hint="eastAsia"/>
          <w:color w:val="000000"/>
          <w:szCs w:val="21"/>
          <w:lang w:val="zh-CN"/>
        </w:rPr>
        <w:t>～</w:t>
      </w:r>
      <w:r>
        <w:rPr>
          <w:rFonts w:eastAsia="楷体_GB2312" w:cs="MingLiU_HKSCS" w:hint="eastAsia"/>
          <w:color w:val="000000"/>
          <w:szCs w:val="21"/>
          <w:lang w:val="zh-CN"/>
        </w:rPr>
        <w:t>10mm</w:t>
      </w:r>
      <w:r>
        <w:rPr>
          <w:rFonts w:eastAsia="楷体_GB2312" w:cs="MingLiU_HKSCS"/>
          <w:color w:val="000000"/>
          <w:szCs w:val="21"/>
          <w:lang w:val="zh-CN"/>
        </w:rPr>
        <w:t>）</w:t>
      </w:r>
      <w:r>
        <w:rPr>
          <w:rFonts w:eastAsia="楷体_GB2312" w:cs="MingLiU_HKSCS" w:hint="eastAsia"/>
          <w:color w:val="000000"/>
          <w:szCs w:val="21"/>
          <w:lang w:val="zh-CN"/>
        </w:rPr>
        <w:t>。</w:t>
      </w:r>
      <w:r>
        <w:rPr>
          <w:rFonts w:eastAsia="楷体_GB2312" w:cs="MingLiU_HKSCS" w:hint="eastAsia"/>
          <w:color w:val="000000"/>
          <w:szCs w:val="21"/>
          <w:lang w:val="zh-CN"/>
        </w:rPr>
        <w:t xml:space="preserve"> </w:t>
      </w:r>
      <w:r>
        <w:rPr>
          <w:rFonts w:eastAsia="楷体_GB2312"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专利权人认为，涉案专利权利要求１中，外套管与延伸管之间为固定连接，不可能留有间隙，权利要求１中的“两者之间留有间隙”属明显错误，应当是内管与延伸管之间留有间隙。</w:t>
      </w:r>
    </w:p>
    <w:p w:rsidR="00800760" w:rsidRDefault="00235733">
      <w:pPr>
        <w:widowControl w:val="0"/>
        <w:topLinePunct/>
        <w:ind w:firstLine="412"/>
        <w:jc w:val="both"/>
        <w:rPr>
          <w:rFonts w:eastAsia="楷体_GB2312" w:cs="MingLiU_HKSCS"/>
          <w:color w:val="000000"/>
          <w:spacing w:val="-2"/>
          <w:szCs w:val="21"/>
          <w:lang w:val="zh-CN"/>
        </w:rPr>
      </w:pPr>
      <w:r>
        <w:rPr>
          <w:rFonts w:eastAsia="楷体_GB2312" w:cs="MingLiU_HKSCS" w:hint="eastAsia"/>
          <w:color w:val="000000"/>
          <w:spacing w:val="-2"/>
          <w:szCs w:val="21"/>
          <w:lang w:val="zh-CN"/>
        </w:rPr>
        <w:t>本案的争议点为，对于权利要求１中的技术特征“两者之间留有间隙”应当作何理解。</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pacing w:val="2"/>
          <w:szCs w:val="21"/>
          <w:lang w:val="zh-CN"/>
        </w:rPr>
      </w:pPr>
      <w:r>
        <w:rPr>
          <w:rFonts w:eastAsia="楷体_GB2312" w:cs="MingLiU_HKSCS" w:hint="eastAsia"/>
          <w:color w:val="000000"/>
          <w:szCs w:val="21"/>
          <w:lang w:val="zh-CN"/>
        </w:rPr>
        <w:t>权利要求１涉及一种具有扭转装置的涉及热网管道的旋转补偿器。该旋转补偿器通过内外套管的旋转来吸收热网管道的轴向推力和位移量，外套管的一端经由法兰与内管相连接，另一端与延伸管连接。因此，内管与外套管之间，以及外套管与延伸管之间不可能既连接，又留有空隙，权利要求１中“两者之间留有间隙”的“两者”不可能是指外套管与延伸管，只可能是内管与延伸管。这种解释与说明书具体实施方式部分公开的内容相一致。因此，本领域技术人员基于其具有的普通技术知识，不仅能够知道权利要求１的撰写存在错误，而且通过阅读说明书及附图可以直接地、毫无疑义地确定“两者之间留有间隙”的“两者”应当是指延伸管与内管，不会误认为是外套管与延伸管之间留有间隙，</w:t>
      </w:r>
      <w:r>
        <w:rPr>
          <w:rFonts w:eastAsia="楷体_GB2312" w:cs="MingLiU_HKSCS" w:hint="eastAsia"/>
          <w:color w:val="000000"/>
          <w:spacing w:val="2"/>
          <w:szCs w:val="21"/>
          <w:lang w:val="zh-CN"/>
        </w:rPr>
        <w:t>即能够清楚准确地得出唯一的正确解释：“两者之间留有间隙”是指内管和延伸管之间留有一定的间隙。</w:t>
      </w:r>
    </w:p>
    <w:p w:rsidR="00800760" w:rsidRDefault="00C22A7B">
      <w:pPr>
        <w:keepNext/>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2 \* GB3</w:instrText>
      </w:r>
      <w:r>
        <w:rPr>
          <w:rFonts w:cs="MingLiU_HKSCS"/>
          <w:color w:val="000000"/>
          <w:szCs w:val="21"/>
          <w:lang w:val="zh-CN"/>
        </w:rPr>
        <w:fldChar w:fldCharType="separate"/>
      </w:r>
      <w:r w:rsidR="00235733">
        <w:rPr>
          <w:rFonts w:cs="MingLiU_HKSCS" w:hint="eastAsia"/>
          <w:color w:val="000000"/>
          <w:szCs w:val="21"/>
          <w:lang w:val="en-US"/>
        </w:rPr>
        <w:t>②</w:t>
      </w:r>
      <w:r>
        <w:rPr>
          <w:rFonts w:cs="MingLiU_HKSCS"/>
          <w:color w:val="000000"/>
          <w:szCs w:val="21"/>
          <w:lang w:val="zh-CN"/>
        </w:rPr>
        <w:fldChar w:fldCharType="end"/>
      </w:r>
      <w:r w:rsidR="00235733">
        <w:rPr>
          <w:rFonts w:cs="MingLiU_HKSCS" w:hint="eastAsia"/>
          <w:color w:val="000000"/>
          <w:szCs w:val="21"/>
          <w:lang w:val="zh-CN"/>
        </w:rPr>
        <w:t>权利要求的技术方案与说明书的描述不一致</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所称“权利要求的技术方案与说明书的描述不一致”</w:t>
      </w:r>
      <w:r>
        <w:rPr>
          <w:rFonts w:cs="MingLiU_HKSCS"/>
          <w:color w:val="000000"/>
          <w:szCs w:val="21"/>
          <w:lang w:val="zh-CN"/>
        </w:rPr>
        <w:t>，</w:t>
      </w:r>
      <w:r>
        <w:rPr>
          <w:rFonts w:cs="MingLiU_HKSCS" w:hint="eastAsia"/>
          <w:color w:val="000000"/>
          <w:szCs w:val="21"/>
          <w:lang w:val="zh-CN"/>
        </w:rPr>
        <w:t>是指权利要求记载的文字含义清楚、确定</w:t>
      </w:r>
      <w:r>
        <w:rPr>
          <w:rFonts w:cs="MingLiU_HKSCS"/>
          <w:color w:val="000000"/>
          <w:szCs w:val="21"/>
          <w:lang w:val="zh-CN"/>
        </w:rPr>
        <w:t>，</w:t>
      </w:r>
      <w:r>
        <w:rPr>
          <w:rFonts w:cs="MingLiU_HKSCS" w:hint="eastAsia"/>
          <w:color w:val="000000"/>
          <w:szCs w:val="21"/>
          <w:lang w:val="zh-CN"/>
        </w:rPr>
        <w:t>但与说明书中相应的描述截然相反或者不一致</w:t>
      </w:r>
      <w:r>
        <w:rPr>
          <w:rFonts w:cs="MingLiU_HKSCS"/>
          <w:color w:val="000000"/>
          <w:szCs w:val="21"/>
          <w:lang w:val="zh-CN"/>
        </w:rPr>
        <w:t>，</w:t>
      </w:r>
      <w:r>
        <w:rPr>
          <w:rFonts w:cs="MingLiU_HKSCS" w:hint="eastAsia"/>
          <w:color w:val="000000"/>
          <w:szCs w:val="21"/>
          <w:lang w:val="zh-CN"/>
        </w:rPr>
        <w:t>且不属于上述</w:t>
      </w:r>
      <w:r w:rsidR="00C22A7B">
        <w:rPr>
          <w:rFonts w:cs="MingLiU_HKSCS"/>
          <w:color w:val="000000"/>
          <w:szCs w:val="21"/>
          <w:lang w:val="zh-CN"/>
        </w:rPr>
        <w:fldChar w:fldCharType="begin"/>
      </w:r>
      <w:r>
        <w:rPr>
          <w:rFonts w:cs="MingLiU_HKSCS"/>
          <w:color w:val="000000"/>
          <w:szCs w:val="21"/>
          <w:lang w:val="zh-CN"/>
        </w:rPr>
        <w:instrText>= 1 \* GB3</w:instrText>
      </w:r>
      <w:r w:rsidR="00C22A7B">
        <w:rPr>
          <w:rFonts w:cs="MingLiU_HKSCS"/>
          <w:color w:val="000000"/>
          <w:szCs w:val="21"/>
          <w:lang w:val="zh-CN"/>
        </w:rPr>
        <w:fldChar w:fldCharType="separate"/>
      </w:r>
      <w:r>
        <w:rPr>
          <w:rFonts w:cs="MingLiU_HKSCS" w:hint="eastAsia"/>
          <w:color w:val="000000"/>
          <w:szCs w:val="21"/>
          <w:lang w:val="en-US"/>
        </w:rPr>
        <w:t>①</w:t>
      </w:r>
      <w:r w:rsidR="00C22A7B">
        <w:rPr>
          <w:rFonts w:cs="MingLiU_HKSCS"/>
          <w:color w:val="000000"/>
          <w:szCs w:val="21"/>
          <w:lang w:val="zh-CN"/>
        </w:rPr>
        <w:fldChar w:fldCharType="end"/>
      </w:r>
      <w:r>
        <w:rPr>
          <w:rFonts w:cs="MingLiU_HKSCS" w:hint="eastAsia"/>
          <w:color w:val="000000"/>
          <w:szCs w:val="21"/>
          <w:lang w:val="zh-CN"/>
        </w:rPr>
        <w:t>中所述情形。其中既包括权利要求的技术方案与说明书公开的技术方案完全不同的情形，也包括权利要求因采用上位概念或概括方式而导致其保护范围大于说明书公开内容的情形。此时，应当以权利要求记载的内容确定专利权的保护范围，而不应当以说明书解释权利要求的方式实质上修改权利要求。</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-13</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专利权利要求１为</w:t>
      </w:r>
      <w:r>
        <w:rPr>
          <w:rFonts w:eastAsia="楷体_GB2312" w:cs="MingLiU_HKSCS"/>
          <w:color w:val="000000"/>
          <w:szCs w:val="21"/>
          <w:lang w:val="zh-CN"/>
        </w:rPr>
        <w:t>：</w:t>
      </w:r>
      <w:r>
        <w:rPr>
          <w:rFonts w:eastAsia="楷体_GB2312" w:cs="MingLiU_HKSCS" w:hint="eastAsia"/>
          <w:color w:val="000000"/>
          <w:szCs w:val="21"/>
          <w:lang w:val="zh-CN"/>
        </w:rPr>
        <w:t>“一种无水银碱性纽扣电池，包括正极片、负极片、负极锌膏、密封胶圈、正极外壳和隔膜，其特征在于，在负极片上电镀上一层锡，并在锌膏中加入金属铟以代替水银。”</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涉案专利说明书中多处记载了负极片上先电镀一层铜之后再电镀锡的技术方案，具体实施例中记载的负极片也是先电镀一层铜之后再电镀锡。</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本案的争议点在于：权利要求１中的负极片是否镀铜。</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中，权利要求中清楚、确定地记载了在负极片上电镀一层锡。虽然该技术方案与说明书中记载的内容不一致，但对本领域技术人员而言，其含义是清楚的，同时也能够实现发明目的。因此不能将说明书中的内容解释入权利要求，导致对权利要求实质上的修改。</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3 \* GB2</w:instrText>
      </w:r>
      <w:r>
        <w:rPr>
          <w:rFonts w:cs="MingLiU_HKSCS"/>
          <w:color w:val="000000"/>
          <w:szCs w:val="21"/>
          <w:lang w:val="zh-CN"/>
        </w:rPr>
        <w:fldChar w:fldCharType="separate"/>
      </w:r>
      <w:r w:rsidR="00235733">
        <w:rPr>
          <w:rFonts w:cs="MingLiU_HKSCS" w:hint="eastAsia"/>
          <w:color w:val="000000"/>
          <w:szCs w:val="21"/>
          <w:lang w:val="en-US"/>
        </w:rPr>
        <w:t>（</w:t>
      </w:r>
      <w:r w:rsidR="00235733">
        <w:rPr>
          <w:rFonts w:cs="MingLiU_HKSCS" w:hint="eastAsia"/>
          <w:color w:val="000000"/>
          <w:szCs w:val="21"/>
          <w:lang w:val="en-US"/>
        </w:rPr>
        <w:t>3</w:t>
      </w:r>
      <w:r w:rsidR="00235733">
        <w:rPr>
          <w:rFonts w:cs="MingLiU_HKSCS" w:hint="eastAsia"/>
          <w:color w:val="000000"/>
          <w:szCs w:val="21"/>
          <w:lang w:val="en-US"/>
        </w:rPr>
        <w:t>）</w:t>
      </w:r>
      <w:r>
        <w:rPr>
          <w:rFonts w:cs="MingLiU_HKSCS"/>
          <w:color w:val="000000"/>
          <w:szCs w:val="21"/>
          <w:lang w:val="zh-CN"/>
        </w:rPr>
        <w:fldChar w:fldCharType="end"/>
      </w:r>
      <w:r w:rsidR="00235733">
        <w:rPr>
          <w:rFonts w:cs="MingLiU_HKSCS" w:hint="eastAsia"/>
          <w:color w:val="000000"/>
          <w:szCs w:val="21"/>
          <w:lang w:val="zh-CN"/>
        </w:rPr>
        <w:t>功能性技术特征</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GB3</w:instrText>
      </w:r>
      <w:r>
        <w:rPr>
          <w:rFonts w:cs="MingLiU_HKSCS"/>
          <w:color w:val="000000"/>
          <w:szCs w:val="21"/>
          <w:lang w:val="zh-CN"/>
        </w:rPr>
        <w:fldChar w:fldCharType="separate"/>
      </w:r>
      <w:r w:rsidR="00235733">
        <w:rPr>
          <w:rFonts w:cs="MingLiU_HKSCS" w:hint="eastAsia"/>
          <w:color w:val="000000"/>
          <w:szCs w:val="21"/>
          <w:lang w:val="en-US"/>
        </w:rPr>
        <w:t>①</w:t>
      </w:r>
      <w:r>
        <w:rPr>
          <w:rFonts w:cs="MingLiU_HKSCS"/>
          <w:color w:val="000000"/>
          <w:szCs w:val="21"/>
          <w:lang w:val="zh-CN"/>
        </w:rPr>
        <w:fldChar w:fldCharType="end"/>
      </w:r>
      <w:r w:rsidR="00235733">
        <w:rPr>
          <w:rFonts w:cs="MingLiU_HKSCS" w:hint="eastAsia"/>
          <w:color w:val="000000"/>
          <w:szCs w:val="21"/>
          <w:lang w:val="zh-CN"/>
        </w:rPr>
        <w:t>功能性技术特征的含义</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功能性技术特征是指权利要求中以功能或者效果表述的技术特征</w:t>
      </w:r>
      <w:r>
        <w:rPr>
          <w:rFonts w:cs="MingLiU_HKSCS"/>
          <w:color w:val="000000"/>
          <w:szCs w:val="21"/>
          <w:lang w:val="zh-CN"/>
        </w:rPr>
        <w:t>，</w:t>
      </w:r>
      <w:r>
        <w:rPr>
          <w:rFonts w:cs="MingLiU_HKSCS" w:hint="eastAsia"/>
          <w:color w:val="000000"/>
          <w:szCs w:val="21"/>
          <w:lang w:val="zh-CN"/>
        </w:rPr>
        <w:t>其通常是通过在发明创造中所起的作用、功能或者效果而非结构或组成、工艺条件等对产品部件或部件之间的关系或者方法步骤或步骤之间的关系等进行限定的。</w:t>
      </w:r>
    </w:p>
    <w:p w:rsidR="00800760" w:rsidRDefault="00235733">
      <w:pPr>
        <w:widowControl w:val="0"/>
        <w:topLinePunct/>
        <w:ind w:firstLine="412"/>
        <w:jc w:val="both"/>
        <w:rPr>
          <w:rFonts w:cs="MingLiU_HKSCS"/>
          <w:color w:val="000000"/>
          <w:spacing w:val="-2"/>
          <w:szCs w:val="21"/>
          <w:lang w:val="zh-CN"/>
        </w:rPr>
      </w:pPr>
      <w:r>
        <w:rPr>
          <w:rFonts w:cs="MingLiU_HKSCS" w:hint="eastAsia"/>
          <w:color w:val="000000"/>
          <w:spacing w:val="-2"/>
          <w:szCs w:val="21"/>
          <w:lang w:val="zh-CN"/>
        </w:rPr>
        <w:t>如果对于本领域技术人员来说，通过阅读权利要求书、说明书和附图，能够认定以功能或者效果表述的技术特征是所属领域普遍知悉的、约定俗成的上位概念，则一般不应当认定其为功能性技术特征。</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2 \* GB3</w:instrText>
      </w:r>
      <w:r>
        <w:rPr>
          <w:rFonts w:cs="MingLiU_HKSCS"/>
          <w:color w:val="000000"/>
          <w:szCs w:val="21"/>
          <w:lang w:val="zh-CN"/>
        </w:rPr>
        <w:fldChar w:fldCharType="separate"/>
      </w:r>
      <w:r w:rsidR="00235733">
        <w:rPr>
          <w:rFonts w:cs="MingLiU_HKSCS" w:hint="eastAsia"/>
          <w:color w:val="000000"/>
          <w:szCs w:val="21"/>
          <w:lang w:val="en-US"/>
        </w:rPr>
        <w:t>②</w:t>
      </w:r>
      <w:r>
        <w:rPr>
          <w:rFonts w:cs="MingLiU_HKSCS"/>
          <w:color w:val="000000"/>
          <w:szCs w:val="21"/>
          <w:lang w:val="zh-CN"/>
        </w:rPr>
        <w:fldChar w:fldCharType="end"/>
      </w:r>
      <w:r w:rsidR="00235733">
        <w:rPr>
          <w:rFonts w:cs="MingLiU_HKSCS" w:hint="eastAsia"/>
          <w:color w:val="000000"/>
          <w:szCs w:val="21"/>
          <w:lang w:val="zh-CN"/>
        </w:rPr>
        <w:t>对功能性技术特征的解释</w:t>
      </w:r>
    </w:p>
    <w:p w:rsidR="00800760" w:rsidRDefault="00235733">
      <w:pPr>
        <w:widowControl w:val="0"/>
        <w:topLinePunct/>
        <w:jc w:val="both"/>
        <w:rPr>
          <w:rFonts w:cs="MingLiU_HKSCS"/>
          <w:color w:val="000000"/>
          <w:spacing w:val="2"/>
          <w:szCs w:val="21"/>
          <w:lang w:val="zh-CN"/>
        </w:rPr>
      </w:pPr>
      <w:r>
        <w:rPr>
          <w:rFonts w:cs="MingLiU_HKSCS" w:hint="eastAsia"/>
          <w:color w:val="000000"/>
          <w:szCs w:val="21"/>
          <w:lang w:val="zh-CN"/>
        </w:rPr>
        <w:t>在专利侵权判定中</w:t>
      </w:r>
      <w:r>
        <w:rPr>
          <w:rFonts w:cs="MingLiU_HKSCS"/>
          <w:color w:val="000000"/>
          <w:szCs w:val="21"/>
          <w:lang w:val="zh-CN"/>
        </w:rPr>
        <w:t>，</w:t>
      </w:r>
      <w:r>
        <w:rPr>
          <w:rFonts w:cs="MingLiU_HKSCS" w:hint="eastAsia"/>
          <w:color w:val="000000"/>
          <w:szCs w:val="21"/>
          <w:lang w:val="zh-CN"/>
        </w:rPr>
        <w:t>对于权利要求中以功能或者效果表述的技术特征</w:t>
      </w:r>
      <w:r>
        <w:rPr>
          <w:rFonts w:cs="MingLiU_HKSCS"/>
          <w:color w:val="000000"/>
          <w:szCs w:val="21"/>
          <w:lang w:val="zh-CN"/>
        </w:rPr>
        <w:t>，</w:t>
      </w:r>
      <w:r>
        <w:rPr>
          <w:rFonts w:cs="MingLiU_HKSCS" w:hint="eastAsia"/>
          <w:color w:val="000000"/>
          <w:szCs w:val="21"/>
          <w:lang w:val="zh-CN"/>
        </w:rPr>
        <w:t>原则上应当理解为覆盖了所有能够实现所述功能的实施方式。如果有充分证据表明权利要求中限定的功能是以说明书实施例中记载的特定方式完成的，并且本领域技术人员不能明了此功能还可以采用说明书中未提到的其他替代方式来完成，或者本领域技术人员有理由怀疑该功能性技术特征所包含的一种或几种方式不能解决发明或者实</w:t>
      </w:r>
      <w:r>
        <w:rPr>
          <w:rFonts w:cs="MingLiU_HKSCS" w:hint="eastAsia"/>
          <w:color w:val="000000"/>
          <w:spacing w:val="2"/>
          <w:szCs w:val="21"/>
          <w:lang w:val="zh-CN"/>
        </w:rPr>
        <w:t>用新型所要解决的技术问题，并达到相同的技术效果，则对于权利要求中的该功能性技术特征，应当结合说明书和附图描述的实现该功能或者效果的具体实施方式及其等同的实施方式，确定该技术特征的内容。</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所称“说明书和附图描述的实现该功能或者效果的具体实施方式”，是指说明书和附图描述的具体实施方式中实现该功能或者效果的技术特征，该特征应当是实现该功能或者效果不可缺少的技术特征，不应当将并非为实现该功能或者效果所必需的技术特征包括在内作为“说明书和附图描述的实现该功能或者效果的具体实施方式”。</w:t>
      </w:r>
    </w:p>
    <w:p w:rsidR="00800760" w:rsidRDefault="00235733">
      <w:pPr>
        <w:widowControl w:val="0"/>
        <w:topLinePunct/>
        <w:jc w:val="both"/>
        <w:rPr>
          <w:rFonts w:cs="MingLiU_HKSCS"/>
          <w:color w:val="000000"/>
          <w:szCs w:val="21"/>
          <w:lang w:val="zh-CN"/>
        </w:rPr>
      </w:pPr>
      <w:r>
        <w:rPr>
          <w:rFonts w:hint="eastAsia"/>
          <w:szCs w:val="21"/>
        </w:rPr>
        <w:t>所称“等同的实施方式”，是指相对于专利说明书和附图描述的实现该功能或者效果的具体实施方式，以基本相同的手段，实现基本相同的功能，达到基本相同的效果，并且是本领域技术人员在专利申请日</w:t>
      </w:r>
      <w:r>
        <w:rPr>
          <w:rFonts w:cs="MingLiU_HKSCS"/>
          <w:color w:val="000000"/>
          <w:szCs w:val="21"/>
          <w:lang w:val="zh-CN"/>
        </w:rPr>
        <w:t>（</w:t>
      </w:r>
      <w:r>
        <w:rPr>
          <w:rFonts w:cs="MingLiU_HKSCS" w:hint="eastAsia"/>
          <w:color w:val="000000"/>
          <w:szCs w:val="21"/>
          <w:lang w:val="zh-CN"/>
        </w:rPr>
        <w:t>有优先权的，指优先权日</w:t>
      </w:r>
      <w:r>
        <w:rPr>
          <w:rFonts w:cs="MingLiU_HKSCS"/>
          <w:color w:val="000000"/>
          <w:szCs w:val="21"/>
          <w:lang w:val="zh-CN"/>
        </w:rPr>
        <w:t>）</w:t>
      </w:r>
      <w:r>
        <w:rPr>
          <w:rFonts w:cs="MingLiU_HKSCS" w:hint="eastAsia"/>
          <w:color w:val="000000"/>
          <w:szCs w:val="21"/>
          <w:lang w:val="zh-CN"/>
        </w:rPr>
        <w:t>无需经过创造性劳动就能够联想到的技术特征。</w:t>
      </w:r>
    </w:p>
    <w:p w:rsidR="00800760" w:rsidRDefault="00235733" w:rsidP="00C22A7B">
      <w:pPr>
        <w:keepNext/>
        <w:widowControl w:val="0"/>
        <w:spacing w:beforeLines="50"/>
        <w:jc w:val="both"/>
        <w:rPr>
          <w:rFonts w:eastAsia="黑体" w:cs="MingLiU_HKSCS"/>
          <w:b/>
          <w:bCs/>
          <w:szCs w:val="21"/>
          <w:lang w:val="en-US"/>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-14</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en-US"/>
        </w:rPr>
        <w:t>基本案情：</w:t>
      </w:r>
      <w:r>
        <w:rPr>
          <w:rFonts w:eastAsia="楷体_GB2312" w:cs="MingLiU_HKSCS" w:hint="eastAsia"/>
          <w:color w:val="000000"/>
          <w:szCs w:val="21"/>
          <w:lang w:val="en-US"/>
        </w:rPr>
        <w:t>A</w:t>
      </w:r>
      <w:r>
        <w:rPr>
          <w:rFonts w:eastAsia="楷体_GB2312" w:cs="MingLiU_HKSCS" w:hint="eastAsia"/>
          <w:color w:val="000000"/>
          <w:szCs w:val="21"/>
          <w:lang w:val="en-US"/>
        </w:rPr>
        <w:t>公司为专利名称为“可安装在自行车车架上的电动助力自行车用组件”的专利权人，该专利处于有效期内。</w:t>
      </w:r>
      <w:r>
        <w:rPr>
          <w:rFonts w:eastAsia="楷体_GB2312" w:cs="MingLiU_HKSCS" w:hint="eastAsia"/>
          <w:color w:val="000000"/>
          <w:szCs w:val="21"/>
          <w:lang w:val="en-US"/>
        </w:rPr>
        <w:t>A</w:t>
      </w:r>
      <w:r>
        <w:rPr>
          <w:rFonts w:eastAsia="楷体_GB2312" w:cs="MingLiU_HKSCS" w:hint="eastAsia"/>
          <w:color w:val="000000"/>
          <w:szCs w:val="21"/>
          <w:lang w:val="en-US"/>
        </w:rPr>
        <w:t>公司从“闲鱼”平台上公证购买被控侵权产品“</w:t>
      </w:r>
      <w:r>
        <w:rPr>
          <w:rFonts w:eastAsia="楷体_GB2312" w:cs="MingLiU_HKSCS" w:hint="eastAsia"/>
          <w:color w:val="000000"/>
          <w:szCs w:val="21"/>
          <w:lang w:val="en-US"/>
        </w:rPr>
        <w:t>B</w:t>
      </w:r>
      <w:r>
        <w:rPr>
          <w:rFonts w:eastAsia="楷体_GB2312" w:cs="MingLiU_HKSCS" w:hint="eastAsia"/>
          <w:color w:val="000000"/>
          <w:szCs w:val="21"/>
          <w:lang w:val="en-US"/>
        </w:rPr>
        <w:t>电机”；公证保存了</w:t>
      </w:r>
      <w:r>
        <w:rPr>
          <w:rFonts w:eastAsia="楷体_GB2312" w:cs="MingLiU_HKSCS" w:hint="eastAsia"/>
          <w:color w:val="000000"/>
          <w:szCs w:val="21"/>
          <w:lang w:val="en-US"/>
        </w:rPr>
        <w:t>B</w:t>
      </w:r>
      <w:r>
        <w:rPr>
          <w:rFonts w:eastAsia="楷体_GB2312" w:cs="MingLiU_HKSCS" w:hint="eastAsia"/>
          <w:color w:val="000000"/>
          <w:szCs w:val="21"/>
          <w:lang w:val="en-US"/>
        </w:rPr>
        <w:t>公司官网上“电动自行车中置驱动系统”的宣传页面。</w:t>
      </w:r>
      <w:r>
        <w:rPr>
          <w:rFonts w:eastAsia="楷体_GB2312" w:cs="MingLiU_HKSCS" w:hint="eastAsia"/>
          <w:color w:val="000000"/>
          <w:szCs w:val="21"/>
          <w:lang w:val="en-US"/>
        </w:rPr>
        <w:t>A</w:t>
      </w:r>
      <w:r>
        <w:rPr>
          <w:rFonts w:eastAsia="楷体_GB2312" w:cs="MingLiU_HKSCS" w:hint="eastAsia"/>
          <w:color w:val="000000"/>
          <w:szCs w:val="21"/>
          <w:lang w:val="en-US"/>
        </w:rPr>
        <w:t>公司主张</w:t>
      </w:r>
      <w:r>
        <w:rPr>
          <w:rFonts w:eastAsia="楷体_GB2312" w:cs="MingLiU_HKSCS" w:hint="eastAsia"/>
          <w:color w:val="000000"/>
          <w:szCs w:val="21"/>
          <w:lang w:val="en-US"/>
        </w:rPr>
        <w:t>B</w:t>
      </w:r>
      <w:r>
        <w:rPr>
          <w:rFonts w:eastAsia="楷体_GB2312" w:cs="MingLiU_HKSCS" w:hint="eastAsia"/>
          <w:color w:val="000000"/>
          <w:szCs w:val="21"/>
          <w:lang w:val="en-US"/>
        </w:rPr>
        <w:t>公司制造、许诺销售、销售的“</w:t>
      </w:r>
      <w:r>
        <w:rPr>
          <w:rFonts w:eastAsia="楷体_GB2312" w:cs="MingLiU_HKSCS" w:hint="eastAsia"/>
          <w:color w:val="000000"/>
          <w:szCs w:val="21"/>
          <w:lang w:val="en-US"/>
        </w:rPr>
        <w:t>B</w:t>
      </w:r>
      <w:r>
        <w:rPr>
          <w:rFonts w:eastAsia="楷体_GB2312" w:cs="MingLiU_HKSCS" w:hint="eastAsia"/>
          <w:color w:val="000000"/>
          <w:szCs w:val="21"/>
          <w:lang w:val="en-US"/>
        </w:rPr>
        <w:t>电机”系侵害涉案专利权的产品，落入专利权保护范围。</w:t>
      </w:r>
    </w:p>
    <w:p w:rsidR="00800760" w:rsidRDefault="00235733">
      <w:pPr>
        <w:keepNext/>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cs="MingLiU_HKSCS"/>
          <w:color w:val="000000"/>
          <w:szCs w:val="21"/>
          <w:lang w:val="zh-CN"/>
        </w:rPr>
      </w:pPr>
      <w:r>
        <w:rPr>
          <w:rFonts w:eastAsia="楷体_GB2312" w:cs="MingLiU_HKSCS" w:hint="eastAsia"/>
          <w:color w:val="000000"/>
          <w:szCs w:val="21"/>
          <w:lang w:val="en-US"/>
        </w:rPr>
        <w:t>将涉案专利技术方案与被控侵权技术方案进行比对，区别技术特征在于：“连接机构”与“复合式双超越离合器”。对于“连接机构”，本领域普通技术人员仅通过阅读权利要求无法直接、明确地确定实现“连接机构”的具体实施方式，因此，法院认定“连接机构”为功能性技术特征。功能性技术特征应当结合说明书和附图描述的该功能或者效果的具体实施方式及其等同实施方式确定保护范围。被控侵权技术方案采用辅助齿轮与链轮通过复合式双超越离合器同轴连接，实现链轮、辅助齿轮分别向驱动轴单向传递扭矩的效果，与说明书中“连接机构”具体实施方式既不相同也不等同。因此，被控侵权技术方案未落入涉案专利权的保护范围。</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4 \* GB2</w:instrText>
      </w:r>
      <w:r>
        <w:rPr>
          <w:rFonts w:cs="MingLiU_HKSCS"/>
          <w:color w:val="000000"/>
          <w:szCs w:val="21"/>
          <w:lang w:val="zh-CN"/>
        </w:rPr>
        <w:fldChar w:fldCharType="separate"/>
      </w:r>
      <w:r w:rsidR="00235733">
        <w:rPr>
          <w:rFonts w:cs="MingLiU_HKSCS" w:hint="eastAsia"/>
          <w:color w:val="000000"/>
          <w:szCs w:val="21"/>
          <w:lang w:val="en-US"/>
        </w:rPr>
        <w:t>（</w:t>
      </w:r>
      <w:r w:rsidR="00235733">
        <w:rPr>
          <w:rFonts w:cs="MingLiU_HKSCS" w:hint="eastAsia"/>
          <w:color w:val="000000"/>
          <w:szCs w:val="21"/>
          <w:lang w:val="en-US"/>
        </w:rPr>
        <w:t>4</w:t>
      </w:r>
      <w:r w:rsidR="00235733">
        <w:rPr>
          <w:rFonts w:cs="MingLiU_HKSCS" w:hint="eastAsia"/>
          <w:color w:val="000000"/>
          <w:szCs w:val="21"/>
          <w:lang w:val="en-US"/>
        </w:rPr>
        <w:t>）</w:t>
      </w:r>
      <w:r>
        <w:rPr>
          <w:rFonts w:cs="MingLiU_HKSCS"/>
          <w:color w:val="000000"/>
          <w:szCs w:val="21"/>
          <w:lang w:val="zh-CN"/>
        </w:rPr>
        <w:fldChar w:fldCharType="end"/>
      </w:r>
      <w:r w:rsidR="00235733">
        <w:rPr>
          <w:rFonts w:cs="MingLiU_HKSCS" w:hint="eastAsia"/>
          <w:color w:val="000000"/>
          <w:szCs w:val="21"/>
          <w:lang w:val="zh-CN"/>
        </w:rPr>
        <w:t>方法特征限定的产品权利要求</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GB3</w:instrText>
      </w:r>
      <w:r>
        <w:rPr>
          <w:rFonts w:cs="MingLiU_HKSCS"/>
          <w:color w:val="000000"/>
          <w:szCs w:val="21"/>
          <w:lang w:val="zh-CN"/>
        </w:rPr>
        <w:fldChar w:fldCharType="separate"/>
      </w:r>
      <w:r w:rsidR="00235733">
        <w:rPr>
          <w:rFonts w:cs="MingLiU_HKSCS" w:hint="eastAsia"/>
          <w:color w:val="000000"/>
          <w:szCs w:val="21"/>
          <w:lang w:val="en-US"/>
        </w:rPr>
        <w:t>①</w:t>
      </w:r>
      <w:r>
        <w:rPr>
          <w:rFonts w:cs="MingLiU_HKSCS"/>
          <w:color w:val="000000"/>
          <w:szCs w:val="21"/>
          <w:lang w:val="zh-CN"/>
        </w:rPr>
        <w:fldChar w:fldCharType="end"/>
      </w:r>
      <w:r w:rsidR="00235733">
        <w:rPr>
          <w:rFonts w:cs="MingLiU_HKSCS" w:hint="eastAsia"/>
          <w:color w:val="000000"/>
          <w:szCs w:val="21"/>
          <w:lang w:val="zh-CN"/>
        </w:rPr>
        <w:t>方法特征限定的产品权利要求的含义</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一般来说</w:t>
      </w:r>
      <w:r>
        <w:rPr>
          <w:rFonts w:cs="MingLiU_HKSCS"/>
          <w:color w:val="000000"/>
          <w:szCs w:val="21"/>
          <w:lang w:val="zh-CN"/>
        </w:rPr>
        <w:t>，</w:t>
      </w:r>
      <w:r>
        <w:rPr>
          <w:rFonts w:cs="MingLiU_HKSCS" w:hint="eastAsia"/>
          <w:color w:val="000000"/>
          <w:szCs w:val="21"/>
          <w:lang w:val="zh-CN"/>
        </w:rPr>
        <w:t>产品权利要求应当采用该产品的结构、组成等特征来限定保护范围</w:t>
      </w:r>
      <w:r>
        <w:rPr>
          <w:rFonts w:cs="MingLiU_HKSCS"/>
          <w:color w:val="000000"/>
          <w:szCs w:val="21"/>
          <w:lang w:val="zh-CN"/>
        </w:rPr>
        <w:t>，</w:t>
      </w:r>
      <w:r>
        <w:rPr>
          <w:rFonts w:cs="MingLiU_HKSCS" w:hint="eastAsia"/>
          <w:color w:val="000000"/>
          <w:szCs w:val="21"/>
          <w:lang w:val="zh-CN"/>
        </w:rPr>
        <w:t>但在某些情况下</w:t>
      </w:r>
      <w:r>
        <w:rPr>
          <w:rFonts w:cs="MingLiU_HKSCS"/>
          <w:color w:val="000000"/>
          <w:szCs w:val="21"/>
          <w:lang w:val="zh-CN"/>
        </w:rPr>
        <w:t>，</w:t>
      </w:r>
      <w:r>
        <w:rPr>
          <w:rFonts w:cs="MingLiU_HKSCS" w:hint="eastAsia"/>
          <w:color w:val="000000"/>
          <w:szCs w:val="21"/>
          <w:lang w:val="zh-CN"/>
        </w:rPr>
        <w:t>比如当无法用结构、组成等特征清楚地限定产品时</w:t>
      </w:r>
      <w:r>
        <w:rPr>
          <w:rFonts w:cs="MingLiU_HKSCS"/>
          <w:color w:val="000000"/>
          <w:szCs w:val="21"/>
          <w:lang w:val="zh-CN"/>
        </w:rPr>
        <w:t>，</w:t>
      </w:r>
      <w:r>
        <w:rPr>
          <w:rFonts w:cs="MingLiU_HKSCS" w:hint="eastAsia"/>
          <w:color w:val="000000"/>
          <w:szCs w:val="21"/>
          <w:lang w:val="zh-CN"/>
        </w:rPr>
        <w:t>也允许用方法特征对产品进行限定</w:t>
      </w:r>
      <w:r>
        <w:rPr>
          <w:rFonts w:cs="MingLiU_HKSCS"/>
          <w:color w:val="000000"/>
          <w:szCs w:val="21"/>
          <w:lang w:val="zh-CN"/>
        </w:rPr>
        <w:t>，</w:t>
      </w:r>
      <w:r>
        <w:rPr>
          <w:rFonts w:cs="MingLiU_HKSCS" w:hint="eastAsia"/>
          <w:color w:val="000000"/>
          <w:szCs w:val="21"/>
          <w:lang w:val="zh-CN"/>
        </w:rPr>
        <w:t>这样的权利要求被称作“方法特征限定的产品权利要求”。</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方法特征限定的产品权利要求通常以两种方式出现，例如</w:t>
      </w:r>
      <w:r>
        <w:rPr>
          <w:rFonts w:cs="MingLiU_HKSCS"/>
          <w:color w:val="000000"/>
          <w:szCs w:val="21"/>
          <w:lang w:val="zh-CN"/>
        </w:rPr>
        <w:t>：</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第一种</w:t>
      </w:r>
      <w:r>
        <w:rPr>
          <w:rFonts w:cs="MingLiU_HKSCS"/>
          <w:color w:val="000000"/>
          <w:szCs w:val="21"/>
          <w:lang w:val="zh-CN"/>
        </w:rPr>
        <w:t>：</w:t>
      </w:r>
      <w:r>
        <w:rPr>
          <w:rFonts w:cs="MingLiU_HKSCS" w:hint="eastAsia"/>
          <w:color w:val="000000"/>
          <w:szCs w:val="21"/>
          <w:lang w:val="zh-CN"/>
        </w:rPr>
        <w:t>“</w:t>
      </w:r>
      <w:r>
        <w:rPr>
          <w:rFonts w:cs="MingLiU_HKSCS" w:hint="eastAsia"/>
          <w:color w:val="000000"/>
          <w:szCs w:val="21"/>
          <w:lang w:val="zh-CN"/>
        </w:rPr>
        <w:t xml:space="preserve">1. </w:t>
      </w:r>
      <w:r>
        <w:rPr>
          <w:rFonts w:cs="MingLiU_HKSCS" w:hint="eastAsia"/>
          <w:color w:val="000000"/>
          <w:szCs w:val="21"/>
          <w:lang w:val="zh-CN"/>
        </w:rPr>
        <w:t>一种产品其是用如下的方法制备的……”</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第二种</w:t>
      </w:r>
      <w:r>
        <w:rPr>
          <w:rFonts w:cs="MingLiU_HKSCS"/>
          <w:color w:val="000000"/>
          <w:szCs w:val="21"/>
          <w:lang w:val="zh-CN"/>
        </w:rPr>
        <w:t>：</w:t>
      </w:r>
      <w:r>
        <w:rPr>
          <w:rFonts w:cs="MingLiU_HKSCS" w:hint="eastAsia"/>
          <w:color w:val="000000"/>
          <w:szCs w:val="21"/>
          <w:lang w:val="zh-CN"/>
        </w:rPr>
        <w:t>“</w:t>
      </w:r>
      <w:r>
        <w:rPr>
          <w:rFonts w:cs="MingLiU_HKSCS" w:hint="eastAsia"/>
          <w:color w:val="000000"/>
          <w:szCs w:val="21"/>
          <w:lang w:val="zh-CN"/>
        </w:rPr>
        <w:t xml:space="preserve">5. </w:t>
      </w:r>
      <w:r>
        <w:rPr>
          <w:rFonts w:cs="MingLiU_HKSCS" w:hint="eastAsia"/>
          <w:color w:val="000000"/>
          <w:szCs w:val="21"/>
          <w:lang w:val="zh-CN"/>
        </w:rPr>
        <w:t>用权利要求</w:t>
      </w:r>
      <w:r>
        <w:rPr>
          <w:rFonts w:cs="MingLiU_HKSCS" w:hint="eastAsia"/>
          <w:color w:val="000000"/>
          <w:szCs w:val="21"/>
          <w:lang w:val="zh-CN"/>
        </w:rPr>
        <w:t>1</w:t>
      </w:r>
      <w:r>
        <w:rPr>
          <w:rFonts w:cs="MingLiU_HKSCS" w:hint="eastAsia"/>
          <w:color w:val="000000"/>
          <w:szCs w:val="21"/>
          <w:lang w:val="zh-CN"/>
        </w:rPr>
        <w:t>的方法制备得到的产品。”</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2 \* GB3</w:instrText>
      </w:r>
      <w:r>
        <w:rPr>
          <w:rFonts w:cs="MingLiU_HKSCS"/>
          <w:color w:val="000000"/>
          <w:szCs w:val="21"/>
          <w:lang w:val="zh-CN"/>
        </w:rPr>
        <w:fldChar w:fldCharType="separate"/>
      </w:r>
      <w:r w:rsidR="00235733">
        <w:rPr>
          <w:rFonts w:cs="MingLiU_HKSCS" w:hint="eastAsia"/>
          <w:color w:val="000000"/>
          <w:szCs w:val="21"/>
          <w:lang w:val="en-US"/>
        </w:rPr>
        <w:t>②</w:t>
      </w:r>
      <w:r>
        <w:rPr>
          <w:rFonts w:cs="MingLiU_HKSCS"/>
          <w:color w:val="000000"/>
          <w:szCs w:val="21"/>
          <w:lang w:val="zh-CN"/>
        </w:rPr>
        <w:fldChar w:fldCharType="end"/>
      </w:r>
      <w:r w:rsidR="00235733">
        <w:rPr>
          <w:rFonts w:cs="MingLiU_HKSCS" w:hint="eastAsia"/>
          <w:color w:val="000000"/>
          <w:szCs w:val="21"/>
          <w:lang w:val="zh-CN"/>
        </w:rPr>
        <w:t>方法特征限定的产品权利要求的解释</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在解释由方法特征限定的产品权利要求时，权利要求中的每一个特征，包括方法特征，都对产品的保护范围具有限定作用。</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w:t>
      </w:r>
      <w:r>
        <w:rPr>
          <w:rFonts w:eastAsia="黑体" w:cs="MingLiU_HKSCS" w:hint="eastAsia"/>
          <w:color w:val="000000"/>
          <w:szCs w:val="21"/>
          <w:lang w:val="zh-CN"/>
        </w:rPr>
        <w:t>5</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涉案专利权利要求</w:t>
      </w:r>
      <w:r>
        <w:rPr>
          <w:rFonts w:eastAsia="楷体_GB2312" w:cs="MingLiU_HKSCS"/>
          <w:color w:val="000000"/>
          <w:szCs w:val="21"/>
          <w:lang w:val="zh-CN"/>
        </w:rPr>
        <w:t>1</w:t>
      </w:r>
      <w:r>
        <w:rPr>
          <w:rFonts w:eastAsia="楷体_GB2312" w:cs="MingLiU_HKSCS" w:hint="eastAsia"/>
          <w:color w:val="000000"/>
          <w:szCs w:val="21"/>
          <w:lang w:val="zh-CN"/>
        </w:rPr>
        <w:t>为</w:t>
      </w:r>
      <w:r>
        <w:rPr>
          <w:rFonts w:eastAsia="楷体_GB2312" w:cs="MingLiU_HKSCS"/>
          <w:color w:val="000000"/>
          <w:szCs w:val="21"/>
          <w:lang w:val="zh-CN"/>
        </w:rPr>
        <w:t>：</w:t>
      </w:r>
      <w:r>
        <w:rPr>
          <w:rFonts w:eastAsia="楷体_GB2312" w:cs="MingLiU_HKSCS" w:hint="eastAsia"/>
          <w:color w:val="000000"/>
          <w:szCs w:val="21"/>
          <w:lang w:val="zh-CN"/>
        </w:rPr>
        <w:t>“一种独一味的软胶囊制剂，原料组成为</w:t>
      </w:r>
      <w:r>
        <w:rPr>
          <w:rFonts w:eastAsia="楷体_GB2312" w:cs="MingLiU_HKSCS"/>
          <w:color w:val="000000"/>
          <w:szCs w:val="21"/>
          <w:lang w:val="zh-CN"/>
        </w:rPr>
        <w:t>：</w:t>
      </w:r>
      <w:r>
        <w:rPr>
          <w:rFonts w:eastAsia="楷体_GB2312" w:cs="MingLiU_HKSCS" w:hint="eastAsia"/>
          <w:color w:val="000000"/>
          <w:szCs w:val="21"/>
          <w:lang w:val="zh-CN"/>
        </w:rPr>
        <w:t>独一味提取物</w:t>
      </w:r>
      <w:r>
        <w:rPr>
          <w:rFonts w:eastAsia="楷体_GB2312" w:cs="MingLiU_HKSCS"/>
          <w:color w:val="000000"/>
          <w:szCs w:val="21"/>
          <w:lang w:val="zh-CN"/>
        </w:rPr>
        <w:t>20</w:t>
      </w:r>
      <w:r>
        <w:rPr>
          <w:rFonts w:eastAsia="楷体_GB2312" w:cs="MingLiU_HKSCS"/>
          <w:color w:val="000000"/>
          <w:szCs w:val="21"/>
          <w:lang w:val="zh-CN"/>
        </w:rPr>
        <w:t>～</w:t>
      </w:r>
      <w:r>
        <w:rPr>
          <w:rFonts w:eastAsia="楷体_GB2312" w:cs="MingLiU_HKSCS"/>
          <w:color w:val="000000"/>
          <w:szCs w:val="21"/>
          <w:lang w:val="zh-CN"/>
        </w:rPr>
        <w:t>30</w:t>
      </w:r>
      <w:r>
        <w:rPr>
          <w:rFonts w:eastAsia="楷体_GB2312" w:cs="MingLiU_HKSCS" w:hint="eastAsia"/>
          <w:color w:val="000000"/>
          <w:szCs w:val="21"/>
          <w:lang w:val="zh-CN"/>
        </w:rPr>
        <w:t>重量份，植物油</w:t>
      </w:r>
      <w:r>
        <w:rPr>
          <w:rFonts w:eastAsia="楷体_GB2312" w:cs="MingLiU_HKSCS"/>
          <w:color w:val="000000"/>
          <w:szCs w:val="21"/>
          <w:lang w:val="zh-CN"/>
        </w:rPr>
        <w:t>25</w:t>
      </w:r>
      <w:r>
        <w:rPr>
          <w:rFonts w:eastAsia="楷体_GB2312" w:cs="MingLiU_HKSCS"/>
          <w:color w:val="000000"/>
          <w:szCs w:val="21"/>
          <w:lang w:val="zh-CN"/>
        </w:rPr>
        <w:t>～</w:t>
      </w:r>
      <w:r>
        <w:rPr>
          <w:rFonts w:eastAsia="楷体_GB2312" w:cs="MingLiU_HKSCS"/>
          <w:color w:val="000000"/>
          <w:szCs w:val="21"/>
          <w:lang w:val="zh-CN"/>
        </w:rPr>
        <w:t>36</w:t>
      </w:r>
      <w:r>
        <w:rPr>
          <w:rFonts w:eastAsia="楷体_GB2312" w:cs="MingLiU_HKSCS" w:hint="eastAsia"/>
          <w:color w:val="000000"/>
          <w:szCs w:val="21"/>
          <w:lang w:val="zh-CN"/>
        </w:rPr>
        <w:t>重量份，助悬剂</w:t>
      </w:r>
      <w:r>
        <w:rPr>
          <w:rFonts w:eastAsia="楷体_GB2312" w:cs="MingLiU_HKSCS"/>
          <w:color w:val="000000"/>
          <w:szCs w:val="21"/>
          <w:lang w:val="zh-CN"/>
        </w:rPr>
        <w:t>1</w:t>
      </w:r>
      <w:r>
        <w:rPr>
          <w:rFonts w:eastAsia="楷体_GB2312" w:cs="MingLiU_HKSCS"/>
          <w:color w:val="000000"/>
          <w:szCs w:val="21"/>
          <w:lang w:val="zh-CN"/>
        </w:rPr>
        <w:t>～</w:t>
      </w:r>
      <w:r>
        <w:rPr>
          <w:rFonts w:eastAsia="楷体_GB2312" w:cs="MingLiU_HKSCS"/>
          <w:color w:val="000000"/>
          <w:szCs w:val="21"/>
          <w:lang w:val="zh-CN"/>
        </w:rPr>
        <w:t>5</w:t>
      </w:r>
      <w:r>
        <w:rPr>
          <w:rFonts w:eastAsia="楷体_GB2312" w:cs="MingLiU_HKSCS" w:hint="eastAsia"/>
          <w:color w:val="000000"/>
          <w:szCs w:val="21"/>
          <w:lang w:val="zh-CN"/>
        </w:rPr>
        <w:t>重量份；其中的独一味提取物是由下述方法提取得到的</w:t>
      </w:r>
      <w:r>
        <w:rPr>
          <w:rFonts w:eastAsia="楷体_GB2312" w:cs="MingLiU_HKSCS"/>
          <w:color w:val="000000"/>
          <w:szCs w:val="21"/>
          <w:lang w:val="zh-CN"/>
        </w:rPr>
        <w:t>：</w:t>
      </w:r>
      <w:r>
        <w:rPr>
          <w:rFonts w:eastAsia="楷体_GB2312" w:cs="MingLiU_HKSCS" w:hint="eastAsia"/>
          <w:color w:val="000000"/>
          <w:szCs w:val="21"/>
          <w:lang w:val="zh-CN"/>
        </w:rPr>
        <w:t>取独一味药材，粉碎成最粗粉；加水煎煮</w:t>
      </w:r>
      <w:r>
        <w:rPr>
          <w:rFonts w:eastAsia="楷体_GB2312" w:cs="MingLiU_HKSCS" w:hint="eastAsia"/>
          <w:color w:val="000000"/>
          <w:szCs w:val="21"/>
          <w:lang w:val="zh-CN"/>
        </w:rPr>
        <w:t>2</w:t>
      </w:r>
      <w:r>
        <w:rPr>
          <w:rFonts w:eastAsia="楷体_GB2312" w:cs="MingLiU_HKSCS" w:hint="eastAsia"/>
          <w:color w:val="000000"/>
          <w:szCs w:val="21"/>
          <w:lang w:val="zh-CN"/>
        </w:rPr>
        <w:t>次，第一次加</w:t>
      </w:r>
      <w:r>
        <w:rPr>
          <w:rFonts w:eastAsia="楷体_GB2312" w:cs="MingLiU_HKSCS"/>
          <w:color w:val="000000"/>
          <w:szCs w:val="21"/>
          <w:lang w:val="zh-CN"/>
        </w:rPr>
        <w:t>10</w:t>
      </w:r>
      <w:r>
        <w:rPr>
          <w:rFonts w:eastAsia="楷体_GB2312" w:cs="MingLiU_HKSCS"/>
          <w:color w:val="000000"/>
          <w:szCs w:val="21"/>
          <w:lang w:val="zh-CN"/>
        </w:rPr>
        <w:t>～</w:t>
      </w:r>
      <w:r>
        <w:rPr>
          <w:rFonts w:eastAsia="楷体_GB2312" w:cs="MingLiU_HKSCS"/>
          <w:color w:val="000000"/>
          <w:szCs w:val="21"/>
          <w:lang w:val="zh-CN"/>
        </w:rPr>
        <w:t>30</w:t>
      </w:r>
      <w:r>
        <w:rPr>
          <w:rFonts w:eastAsia="楷体_GB2312" w:cs="MingLiU_HKSCS" w:hint="eastAsia"/>
          <w:color w:val="000000"/>
          <w:szCs w:val="21"/>
          <w:lang w:val="zh-CN"/>
        </w:rPr>
        <w:t>倍量的水，煎煮</w:t>
      </w:r>
      <w:r>
        <w:rPr>
          <w:rFonts w:eastAsia="楷体_GB2312" w:cs="MingLiU_HKSCS"/>
          <w:color w:val="000000"/>
          <w:szCs w:val="21"/>
          <w:lang w:val="zh-CN"/>
        </w:rPr>
        <w:t>1</w:t>
      </w:r>
      <w:r>
        <w:rPr>
          <w:rFonts w:eastAsia="楷体_GB2312" w:cs="MingLiU_HKSCS"/>
          <w:color w:val="000000"/>
          <w:szCs w:val="21"/>
          <w:lang w:val="zh-CN"/>
        </w:rPr>
        <w:t>～</w:t>
      </w:r>
      <w:r>
        <w:rPr>
          <w:rFonts w:eastAsia="楷体_GB2312" w:cs="MingLiU_HKSCS"/>
          <w:color w:val="000000"/>
          <w:szCs w:val="21"/>
          <w:lang w:val="zh-CN"/>
        </w:rPr>
        <w:t>2</w:t>
      </w:r>
      <w:r>
        <w:rPr>
          <w:rFonts w:eastAsia="楷体_GB2312" w:cs="MingLiU_HKSCS" w:hint="eastAsia"/>
          <w:color w:val="000000"/>
          <w:szCs w:val="21"/>
          <w:lang w:val="zh-CN"/>
        </w:rPr>
        <w:t>小时，第二次加</w:t>
      </w:r>
      <w:r>
        <w:rPr>
          <w:rFonts w:eastAsia="楷体_GB2312" w:cs="MingLiU_HKSCS"/>
          <w:color w:val="000000"/>
          <w:szCs w:val="21"/>
          <w:lang w:val="zh-CN"/>
        </w:rPr>
        <w:t>10</w:t>
      </w:r>
      <w:r>
        <w:rPr>
          <w:rFonts w:eastAsia="楷体_GB2312" w:cs="MingLiU_HKSCS"/>
          <w:color w:val="000000"/>
          <w:szCs w:val="21"/>
          <w:lang w:val="zh-CN"/>
        </w:rPr>
        <w:t>～</w:t>
      </w:r>
      <w:r>
        <w:rPr>
          <w:rFonts w:eastAsia="楷体_GB2312" w:cs="MingLiU_HKSCS"/>
          <w:color w:val="000000"/>
          <w:szCs w:val="21"/>
          <w:lang w:val="zh-CN"/>
        </w:rPr>
        <w:t>20</w:t>
      </w:r>
      <w:r>
        <w:rPr>
          <w:rFonts w:eastAsia="楷体_GB2312" w:cs="MingLiU_HKSCS" w:hint="eastAsia"/>
          <w:color w:val="000000"/>
          <w:szCs w:val="21"/>
          <w:lang w:val="zh-CN"/>
        </w:rPr>
        <w:t>倍量水，煎煮</w:t>
      </w:r>
      <w:r>
        <w:rPr>
          <w:rFonts w:eastAsia="楷体_GB2312" w:cs="MingLiU_HKSCS"/>
          <w:color w:val="000000"/>
          <w:szCs w:val="21"/>
          <w:lang w:val="zh-CN"/>
        </w:rPr>
        <w:t>0.5</w:t>
      </w:r>
      <w:r>
        <w:rPr>
          <w:rFonts w:eastAsia="楷体_GB2312" w:cs="MingLiU_HKSCS"/>
          <w:color w:val="000000"/>
          <w:szCs w:val="21"/>
          <w:lang w:val="zh-CN"/>
        </w:rPr>
        <w:t>～</w:t>
      </w:r>
      <w:r>
        <w:rPr>
          <w:rFonts w:eastAsia="楷体_GB2312" w:cs="MingLiU_HKSCS"/>
          <w:color w:val="000000"/>
          <w:szCs w:val="21"/>
          <w:lang w:val="zh-CN"/>
        </w:rPr>
        <w:t>1. 5</w:t>
      </w:r>
      <w:r>
        <w:rPr>
          <w:rFonts w:eastAsia="楷体_GB2312" w:cs="MingLiU_HKSCS" w:hint="eastAsia"/>
          <w:color w:val="000000"/>
          <w:szCs w:val="21"/>
          <w:lang w:val="zh-CN"/>
        </w:rPr>
        <w:t>小时</w:t>
      </w:r>
      <w:r>
        <w:rPr>
          <w:rFonts w:eastAsia="楷体_GB2312" w:cs="MingLiU_HKSCS"/>
          <w:color w:val="000000"/>
          <w:szCs w:val="21"/>
          <w:lang w:val="zh-CN"/>
        </w:rPr>
        <w:t>，</w:t>
      </w:r>
      <w:r>
        <w:rPr>
          <w:rFonts w:eastAsia="楷体_GB2312" w:cs="MingLiU_HKSCS" w:hint="eastAsia"/>
          <w:color w:val="000000"/>
          <w:szCs w:val="21"/>
          <w:lang w:val="zh-CN"/>
        </w:rPr>
        <w:t>合并药液</w:t>
      </w:r>
      <w:r>
        <w:rPr>
          <w:rFonts w:eastAsia="楷体_GB2312" w:cs="MingLiU_HKSCS"/>
          <w:color w:val="000000"/>
          <w:szCs w:val="21"/>
          <w:lang w:val="zh-CN"/>
        </w:rPr>
        <w:t>，</w:t>
      </w:r>
      <w:r>
        <w:rPr>
          <w:rFonts w:eastAsia="楷体_GB2312" w:cs="MingLiU_HKSCS" w:hint="eastAsia"/>
          <w:color w:val="000000"/>
          <w:szCs w:val="21"/>
          <w:lang w:val="zh-CN"/>
        </w:rPr>
        <w:t>滤过</w:t>
      </w:r>
      <w:r>
        <w:rPr>
          <w:rFonts w:eastAsia="楷体_GB2312" w:cs="MingLiU_HKSCS"/>
          <w:color w:val="000000"/>
          <w:szCs w:val="21"/>
          <w:lang w:val="zh-CN"/>
        </w:rPr>
        <w:t>，</w:t>
      </w:r>
      <w:r>
        <w:rPr>
          <w:rFonts w:eastAsia="楷体_GB2312" w:cs="MingLiU_HKSCS" w:hint="eastAsia"/>
          <w:color w:val="000000"/>
          <w:szCs w:val="21"/>
          <w:lang w:val="zh-CN"/>
        </w:rPr>
        <w:t>滤液浓缩成稠膏</w:t>
      </w:r>
      <w:r>
        <w:rPr>
          <w:rFonts w:eastAsia="楷体_GB2312" w:cs="MingLiU_HKSCS"/>
          <w:color w:val="000000"/>
          <w:szCs w:val="21"/>
          <w:lang w:val="zh-CN"/>
        </w:rPr>
        <w:t>;</w:t>
      </w:r>
      <w:r>
        <w:rPr>
          <w:rFonts w:eastAsia="楷体_GB2312" w:cs="MingLiU_HKSCS" w:hint="eastAsia"/>
          <w:color w:val="000000"/>
          <w:szCs w:val="21"/>
          <w:lang w:val="zh-CN"/>
        </w:rPr>
        <w:t>减压干燥</w:t>
      </w:r>
      <w:r>
        <w:rPr>
          <w:rFonts w:eastAsia="楷体_GB2312" w:cs="MingLiU_HKSCS"/>
          <w:color w:val="000000"/>
          <w:szCs w:val="21"/>
          <w:lang w:val="zh-CN"/>
        </w:rPr>
        <w:t>，</w:t>
      </w:r>
      <w:r>
        <w:rPr>
          <w:rFonts w:eastAsia="楷体_GB2312" w:cs="MingLiU_HKSCS" w:hint="eastAsia"/>
          <w:color w:val="000000"/>
          <w:szCs w:val="21"/>
          <w:lang w:val="zh-CN"/>
        </w:rPr>
        <w:t>粉碎成细粉</w:t>
      </w:r>
      <w:r>
        <w:rPr>
          <w:rFonts w:eastAsia="楷体_GB2312" w:cs="MingLiU_HKSCS"/>
          <w:color w:val="000000"/>
          <w:szCs w:val="21"/>
          <w:lang w:val="zh-CN"/>
        </w:rPr>
        <w:t>，</w:t>
      </w:r>
      <w:r>
        <w:rPr>
          <w:rFonts w:eastAsia="楷体_GB2312" w:cs="MingLiU_HKSCS" w:hint="eastAsia"/>
          <w:color w:val="000000"/>
          <w:szCs w:val="21"/>
          <w:lang w:val="zh-CN"/>
        </w:rPr>
        <w:t>过</w:t>
      </w:r>
      <w:r>
        <w:rPr>
          <w:rFonts w:eastAsia="楷体_GB2312" w:cs="MingLiU_HKSCS"/>
          <w:color w:val="000000"/>
          <w:szCs w:val="21"/>
          <w:lang w:val="zh-CN"/>
        </w:rPr>
        <w:t>200</w:t>
      </w:r>
      <w:r>
        <w:rPr>
          <w:rFonts w:eastAsia="楷体_GB2312" w:cs="MingLiU_HKSCS" w:hint="eastAsia"/>
          <w:color w:val="000000"/>
          <w:szCs w:val="21"/>
          <w:lang w:val="zh-CN"/>
        </w:rPr>
        <w:t>目筛</w:t>
      </w:r>
      <w:r>
        <w:rPr>
          <w:rFonts w:eastAsia="楷体_GB2312" w:cs="MingLiU_HKSCS"/>
          <w:color w:val="000000"/>
          <w:szCs w:val="21"/>
          <w:lang w:val="zh-CN"/>
        </w:rPr>
        <w:t>，</w:t>
      </w:r>
      <w:r>
        <w:rPr>
          <w:rFonts w:eastAsia="楷体_GB2312" w:cs="MingLiU_HKSCS" w:hint="eastAsia"/>
          <w:color w:val="000000"/>
          <w:szCs w:val="21"/>
          <w:lang w:val="zh-CN"/>
        </w:rPr>
        <w:t>备用。”</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本案的争议点在于</w:t>
      </w:r>
      <w:r>
        <w:rPr>
          <w:rFonts w:eastAsia="楷体_GB2312" w:cs="MingLiU_HKSCS"/>
          <w:color w:val="000000"/>
          <w:szCs w:val="21"/>
          <w:lang w:val="zh-CN"/>
        </w:rPr>
        <w:t>：</w:t>
      </w:r>
      <w:r>
        <w:rPr>
          <w:rFonts w:eastAsia="楷体_GB2312" w:cs="MingLiU_HKSCS" w:hint="eastAsia"/>
          <w:color w:val="000000"/>
          <w:szCs w:val="21"/>
          <w:lang w:val="zh-CN"/>
        </w:rPr>
        <w:t>权利要求中的方法特征，如加水煎煮</w:t>
      </w:r>
      <w:r>
        <w:rPr>
          <w:rFonts w:eastAsia="楷体_GB2312" w:cs="MingLiU_HKSCS"/>
          <w:color w:val="000000"/>
          <w:szCs w:val="21"/>
          <w:lang w:val="zh-CN"/>
        </w:rPr>
        <w:t>2</w:t>
      </w:r>
      <w:r>
        <w:rPr>
          <w:rFonts w:eastAsia="楷体_GB2312" w:cs="MingLiU_HKSCS" w:hint="eastAsia"/>
          <w:color w:val="000000"/>
          <w:szCs w:val="21"/>
          <w:lang w:val="zh-CN"/>
        </w:rPr>
        <w:t>次、研磨成细粉后过</w:t>
      </w:r>
      <w:r>
        <w:rPr>
          <w:rFonts w:eastAsia="楷体_GB2312" w:cs="MingLiU_HKSCS"/>
          <w:color w:val="000000"/>
          <w:szCs w:val="21"/>
          <w:lang w:val="zh-CN"/>
        </w:rPr>
        <w:t>200</w:t>
      </w:r>
      <w:r>
        <w:rPr>
          <w:rFonts w:eastAsia="楷体_GB2312" w:cs="MingLiU_HKSCS" w:hint="eastAsia"/>
          <w:color w:val="000000"/>
          <w:szCs w:val="21"/>
          <w:lang w:val="zh-CN"/>
        </w:rPr>
        <w:t>目筛是否对产品具有限定作用。</w:t>
      </w:r>
    </w:p>
    <w:p w:rsidR="00800760" w:rsidRDefault="00235733">
      <w:pPr>
        <w:keepNext/>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中，涉案专利权利要求是用方法特征限定的产品权利要求，方法特征对于专利权的保护范围也起到限定作用，因此，在解释权利要求限定的范围，进而与被控侵权产品进行对比时，不仅需要比较产品的组成与各组分的含量是否相同或等同，还需要比对方法特征是否相同或等同。对于“加水煎煮</w:t>
      </w:r>
      <w:r>
        <w:rPr>
          <w:rFonts w:eastAsia="楷体_GB2312" w:cs="MingLiU_HKSCS"/>
          <w:color w:val="000000"/>
          <w:szCs w:val="21"/>
          <w:lang w:val="zh-CN"/>
        </w:rPr>
        <w:t>2</w:t>
      </w:r>
      <w:r>
        <w:rPr>
          <w:rFonts w:eastAsia="楷体_GB2312" w:cs="MingLiU_HKSCS" w:hint="eastAsia"/>
          <w:color w:val="000000"/>
          <w:szCs w:val="21"/>
          <w:lang w:val="zh-CN"/>
        </w:rPr>
        <w:t>次”“研磨成细粉后过</w:t>
      </w:r>
      <w:r>
        <w:rPr>
          <w:rFonts w:eastAsia="楷体_GB2312" w:cs="MingLiU_HKSCS"/>
          <w:color w:val="000000"/>
          <w:szCs w:val="21"/>
          <w:lang w:val="zh-CN"/>
        </w:rPr>
        <w:t>200</w:t>
      </w:r>
      <w:r>
        <w:rPr>
          <w:rFonts w:eastAsia="楷体_GB2312" w:cs="MingLiU_HKSCS" w:hint="eastAsia"/>
          <w:color w:val="000000"/>
          <w:szCs w:val="21"/>
          <w:lang w:val="zh-CN"/>
        </w:rPr>
        <w:t>目筛”这两个方法特征，由于涉案专利说明书强调“煎煮</w:t>
      </w:r>
      <w:r>
        <w:rPr>
          <w:rFonts w:eastAsia="楷体_GB2312" w:cs="MingLiU_HKSCS"/>
          <w:color w:val="000000"/>
          <w:szCs w:val="21"/>
          <w:lang w:val="zh-CN"/>
        </w:rPr>
        <w:t>2</w:t>
      </w:r>
      <w:r>
        <w:rPr>
          <w:rFonts w:eastAsia="楷体_GB2312" w:cs="MingLiU_HKSCS" w:hint="eastAsia"/>
          <w:color w:val="000000"/>
          <w:szCs w:val="21"/>
          <w:lang w:val="zh-CN"/>
        </w:rPr>
        <w:t>次与煎煮</w:t>
      </w:r>
      <w:r>
        <w:rPr>
          <w:rFonts w:eastAsia="楷体_GB2312" w:cs="MingLiU_HKSCS"/>
          <w:color w:val="000000"/>
          <w:szCs w:val="21"/>
          <w:lang w:val="zh-CN"/>
        </w:rPr>
        <w:t>3</w:t>
      </w:r>
      <w:r>
        <w:rPr>
          <w:rFonts w:eastAsia="楷体_GB2312" w:cs="MingLiU_HKSCS" w:hint="eastAsia"/>
          <w:color w:val="000000"/>
          <w:szCs w:val="21"/>
          <w:lang w:val="zh-CN"/>
        </w:rPr>
        <w:t>次相比可以降低生产成本，所以选择煎煮</w:t>
      </w:r>
      <w:r>
        <w:rPr>
          <w:rFonts w:eastAsia="楷体_GB2312" w:cs="MingLiU_HKSCS"/>
          <w:color w:val="000000"/>
          <w:szCs w:val="21"/>
          <w:lang w:val="zh-CN"/>
        </w:rPr>
        <w:t>2</w:t>
      </w:r>
      <w:r>
        <w:rPr>
          <w:rFonts w:eastAsia="楷体_GB2312" w:cs="MingLiU_HKSCS" w:hint="eastAsia"/>
          <w:color w:val="000000"/>
          <w:szCs w:val="21"/>
          <w:lang w:val="zh-CN"/>
        </w:rPr>
        <w:t>次”，“将独一味提取物粉碎成过</w:t>
      </w:r>
      <w:r>
        <w:rPr>
          <w:rFonts w:eastAsia="楷体_GB2312" w:cs="MingLiU_HKSCS"/>
          <w:color w:val="000000"/>
          <w:szCs w:val="21"/>
          <w:lang w:val="zh-CN"/>
        </w:rPr>
        <w:t>200</w:t>
      </w:r>
      <w:r>
        <w:rPr>
          <w:rFonts w:eastAsia="楷体_GB2312" w:cs="MingLiU_HKSCS" w:hint="eastAsia"/>
          <w:color w:val="000000"/>
          <w:szCs w:val="21"/>
          <w:lang w:val="zh-CN"/>
        </w:rPr>
        <w:t>目筛的细粉制成的软胶囊内容物混悬体系最稳定”，因此，“煎煮</w:t>
      </w:r>
      <w:r>
        <w:rPr>
          <w:rFonts w:eastAsia="楷体_GB2312" w:cs="MingLiU_HKSCS"/>
          <w:color w:val="000000"/>
          <w:szCs w:val="21"/>
          <w:lang w:val="zh-CN"/>
        </w:rPr>
        <w:t>2</w:t>
      </w:r>
      <w:r>
        <w:rPr>
          <w:rFonts w:eastAsia="楷体_GB2312" w:cs="MingLiU_HKSCS" w:hint="eastAsia"/>
          <w:color w:val="000000"/>
          <w:szCs w:val="21"/>
          <w:lang w:val="zh-CN"/>
        </w:rPr>
        <w:t>次”与“煎煮</w:t>
      </w:r>
      <w:r>
        <w:rPr>
          <w:rFonts w:eastAsia="楷体_GB2312" w:cs="MingLiU_HKSCS"/>
          <w:color w:val="000000"/>
          <w:szCs w:val="21"/>
          <w:lang w:val="zh-CN"/>
        </w:rPr>
        <w:t>3</w:t>
      </w:r>
      <w:r>
        <w:rPr>
          <w:rFonts w:eastAsia="楷体_GB2312" w:cs="MingLiU_HKSCS" w:hint="eastAsia"/>
          <w:color w:val="000000"/>
          <w:szCs w:val="21"/>
          <w:lang w:val="zh-CN"/>
        </w:rPr>
        <w:t>次”相比、“粉碎成细粉，过</w:t>
      </w:r>
      <w:r>
        <w:rPr>
          <w:rFonts w:eastAsia="楷体_GB2312" w:cs="MingLiU_HKSCS"/>
          <w:color w:val="000000"/>
          <w:szCs w:val="21"/>
          <w:lang w:val="zh-CN"/>
        </w:rPr>
        <w:t>200</w:t>
      </w:r>
      <w:r>
        <w:rPr>
          <w:rFonts w:eastAsia="楷体_GB2312" w:cs="MingLiU_HKSCS" w:hint="eastAsia"/>
          <w:color w:val="000000"/>
          <w:szCs w:val="21"/>
          <w:lang w:val="zh-CN"/>
        </w:rPr>
        <w:t>目筛”与“研成细粉”相比，均不构成等同特征。</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5 \* GB2</w:instrText>
      </w:r>
      <w:r>
        <w:rPr>
          <w:rFonts w:cs="MingLiU_HKSCS"/>
          <w:color w:val="000000"/>
          <w:szCs w:val="21"/>
          <w:lang w:val="zh-CN"/>
        </w:rPr>
        <w:fldChar w:fldCharType="separate"/>
      </w:r>
      <w:r w:rsidR="00235733">
        <w:rPr>
          <w:rFonts w:cs="MingLiU_HKSCS" w:hint="eastAsia"/>
          <w:color w:val="000000"/>
          <w:szCs w:val="21"/>
          <w:lang w:val="en-US"/>
        </w:rPr>
        <w:t>（</w:t>
      </w:r>
      <w:r w:rsidR="00235733">
        <w:rPr>
          <w:rFonts w:cs="MingLiU_HKSCS" w:hint="eastAsia"/>
          <w:color w:val="000000"/>
          <w:szCs w:val="21"/>
          <w:lang w:val="en-US"/>
        </w:rPr>
        <w:t>5</w:t>
      </w:r>
      <w:r w:rsidR="00235733">
        <w:rPr>
          <w:rFonts w:cs="MingLiU_HKSCS" w:hint="eastAsia"/>
          <w:color w:val="000000"/>
          <w:szCs w:val="21"/>
          <w:lang w:val="en-US"/>
        </w:rPr>
        <w:t>）</w:t>
      </w:r>
      <w:r>
        <w:rPr>
          <w:rFonts w:cs="MingLiU_HKSCS"/>
          <w:color w:val="000000"/>
          <w:szCs w:val="21"/>
          <w:lang w:val="zh-CN"/>
        </w:rPr>
        <w:fldChar w:fldCharType="end"/>
      </w:r>
      <w:r w:rsidR="00235733">
        <w:rPr>
          <w:rFonts w:cs="MingLiU_HKSCS" w:hint="eastAsia"/>
          <w:color w:val="000000"/>
          <w:szCs w:val="21"/>
          <w:lang w:val="zh-CN"/>
        </w:rPr>
        <w:t>用途特征限定的产品权利要求</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GB3</w:instrText>
      </w:r>
      <w:r>
        <w:rPr>
          <w:rFonts w:cs="MingLiU_HKSCS"/>
          <w:color w:val="000000"/>
          <w:szCs w:val="21"/>
          <w:lang w:val="zh-CN"/>
        </w:rPr>
        <w:fldChar w:fldCharType="separate"/>
      </w:r>
      <w:r w:rsidR="00235733">
        <w:rPr>
          <w:rFonts w:cs="MingLiU_HKSCS" w:hint="eastAsia"/>
          <w:color w:val="000000"/>
          <w:szCs w:val="21"/>
          <w:lang w:val="en-US"/>
        </w:rPr>
        <w:t>①</w:t>
      </w:r>
      <w:r>
        <w:rPr>
          <w:rFonts w:cs="MingLiU_HKSCS"/>
          <w:color w:val="000000"/>
          <w:szCs w:val="21"/>
          <w:lang w:val="zh-CN"/>
        </w:rPr>
        <w:fldChar w:fldCharType="end"/>
      </w:r>
      <w:r w:rsidR="00235733">
        <w:rPr>
          <w:rFonts w:cs="MingLiU_HKSCS" w:hint="eastAsia"/>
          <w:color w:val="000000"/>
          <w:szCs w:val="21"/>
          <w:lang w:val="zh-CN"/>
        </w:rPr>
        <w:t>用途特征限定的产品权利要求的含义</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所称“用途特征限定的产品权利要求”是指，根据权利要求的主题名称可以确定该权利要求保护的是一种产品，但是对该产品进行限定的特征中却包括该产品的应用领域，比如，“一种用于……的产品”，这类权利要求统称“用途特征限定的产品权利要求”。</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用途特征限定的产品权利要求容易与产品的用途权利要求相混淆。用途特征限定的产品权利要求，其主题名称的中心词通常是“……产品”，而产品的用途权利要求则通常被撰写成“一种</w:t>
      </w:r>
      <w:r>
        <w:rPr>
          <w:rFonts w:eastAsia="楷体_GB2312" w:cs="MingLiU_HKSCS"/>
          <w:lang w:val="zh-CN"/>
        </w:rPr>
        <w:t>××</w:t>
      </w:r>
      <w:r>
        <w:rPr>
          <w:rFonts w:cs="MingLiU_HKSCS" w:hint="eastAsia"/>
          <w:color w:val="000000"/>
          <w:szCs w:val="21"/>
          <w:lang w:val="zh-CN"/>
        </w:rPr>
        <w:t>产品在……的用途”的形式。</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2 \* GB3</w:instrText>
      </w:r>
      <w:r>
        <w:rPr>
          <w:rFonts w:cs="MingLiU_HKSCS"/>
          <w:color w:val="000000"/>
          <w:szCs w:val="21"/>
          <w:lang w:val="zh-CN"/>
        </w:rPr>
        <w:fldChar w:fldCharType="separate"/>
      </w:r>
      <w:r w:rsidR="00235733">
        <w:rPr>
          <w:rFonts w:cs="MingLiU_HKSCS" w:hint="eastAsia"/>
          <w:color w:val="000000"/>
          <w:szCs w:val="21"/>
          <w:lang w:val="en-US"/>
        </w:rPr>
        <w:t>②</w:t>
      </w:r>
      <w:r>
        <w:rPr>
          <w:rFonts w:cs="MingLiU_HKSCS"/>
          <w:color w:val="000000"/>
          <w:szCs w:val="21"/>
          <w:lang w:val="zh-CN"/>
        </w:rPr>
        <w:fldChar w:fldCharType="end"/>
      </w:r>
      <w:r w:rsidR="00235733">
        <w:rPr>
          <w:rFonts w:cs="MingLiU_HKSCS" w:hint="eastAsia"/>
          <w:color w:val="000000"/>
          <w:szCs w:val="21"/>
          <w:lang w:val="zh-CN"/>
        </w:rPr>
        <w:t>用途特征限定的产品权利要求的解释</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用途特征限定的产品权利要求最终保护的是产品</w:t>
      </w:r>
      <w:r>
        <w:rPr>
          <w:rFonts w:cs="MingLiU_HKSCS"/>
          <w:color w:val="000000"/>
          <w:szCs w:val="21"/>
          <w:lang w:val="zh-CN"/>
        </w:rPr>
        <w:t>，</w:t>
      </w:r>
      <w:r>
        <w:rPr>
          <w:rFonts w:cs="MingLiU_HKSCS" w:hint="eastAsia"/>
          <w:color w:val="000000"/>
          <w:szCs w:val="21"/>
          <w:lang w:val="zh-CN"/>
        </w:rPr>
        <w:t>但是其中的用途特征也是该权利要求不可或缺的组成部分</w:t>
      </w:r>
      <w:r>
        <w:rPr>
          <w:rFonts w:cs="MingLiU_HKSCS"/>
          <w:color w:val="000000"/>
          <w:szCs w:val="21"/>
          <w:lang w:val="zh-CN"/>
        </w:rPr>
        <w:t>，</w:t>
      </w:r>
      <w:r>
        <w:rPr>
          <w:rFonts w:cs="MingLiU_HKSCS" w:hint="eastAsia"/>
          <w:color w:val="000000"/>
          <w:szCs w:val="21"/>
          <w:lang w:val="zh-CN"/>
        </w:rPr>
        <w:t>不能被忽略。</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例如，涉案专利权利要求保护一种用于反应</w:t>
      </w:r>
      <w:r>
        <w:rPr>
          <w:rFonts w:cs="MingLiU_HKSCS" w:hint="eastAsia"/>
          <w:color w:val="000000"/>
          <w:szCs w:val="21"/>
          <w:lang w:val="zh-CN"/>
        </w:rPr>
        <w:t>1</w:t>
      </w:r>
      <w:r>
        <w:rPr>
          <w:rFonts w:cs="MingLiU_HKSCS" w:hint="eastAsia"/>
          <w:color w:val="000000"/>
          <w:szCs w:val="21"/>
          <w:lang w:val="zh-CN"/>
        </w:rPr>
        <w:t>的催化剂</w:t>
      </w:r>
      <w:r>
        <w:rPr>
          <w:rFonts w:cs="MingLiU_HKSCS" w:hint="eastAsia"/>
          <w:color w:val="000000"/>
          <w:szCs w:val="21"/>
          <w:lang w:val="zh-CN"/>
        </w:rPr>
        <w:t>A</w:t>
      </w:r>
      <w:r>
        <w:rPr>
          <w:rFonts w:cs="MingLiU_HKSCS" w:hint="eastAsia"/>
          <w:color w:val="000000"/>
          <w:szCs w:val="21"/>
          <w:lang w:val="zh-CN"/>
        </w:rPr>
        <w:t>，此时，涉案专利中催化剂的用途对其保护范围具有限定作用，在侵权判定中不能被忽略。假设被控侵权产品涉及同样的催化剂，但其用途是用于反应</w:t>
      </w:r>
      <w:r>
        <w:rPr>
          <w:rFonts w:cs="MingLiU_HKSCS" w:hint="eastAsia"/>
          <w:color w:val="000000"/>
          <w:szCs w:val="21"/>
          <w:lang w:val="zh-CN"/>
        </w:rPr>
        <w:t>2</w:t>
      </w:r>
      <w:r>
        <w:rPr>
          <w:rFonts w:cs="MingLiU_HKSCS" w:hint="eastAsia"/>
          <w:color w:val="000000"/>
          <w:szCs w:val="21"/>
          <w:lang w:val="zh-CN"/>
        </w:rPr>
        <w:t>。如果反应</w:t>
      </w:r>
      <w:r>
        <w:rPr>
          <w:rFonts w:cs="MingLiU_HKSCS" w:hint="eastAsia"/>
          <w:color w:val="000000"/>
          <w:szCs w:val="21"/>
          <w:lang w:val="zh-CN"/>
        </w:rPr>
        <w:t>1</w:t>
      </w:r>
      <w:r>
        <w:rPr>
          <w:rFonts w:cs="MingLiU_HKSCS" w:hint="eastAsia"/>
          <w:color w:val="000000"/>
          <w:szCs w:val="21"/>
          <w:lang w:val="zh-CN"/>
        </w:rPr>
        <w:t>和反应</w:t>
      </w:r>
      <w:r>
        <w:rPr>
          <w:rFonts w:cs="MingLiU_HKSCS" w:hint="eastAsia"/>
          <w:color w:val="000000"/>
          <w:szCs w:val="21"/>
          <w:lang w:val="zh-CN"/>
        </w:rPr>
        <w:t>2</w:t>
      </w:r>
      <w:r>
        <w:rPr>
          <w:rFonts w:cs="MingLiU_HKSCS" w:hint="eastAsia"/>
          <w:color w:val="000000"/>
          <w:szCs w:val="21"/>
          <w:lang w:val="zh-CN"/>
        </w:rPr>
        <w:t>并非同一类反应，且两者非等同特征，则被控侵权产品不会落入涉案专利权利要求的保护范围。</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6 \* GB2</w:instrText>
      </w:r>
      <w:r>
        <w:rPr>
          <w:rFonts w:cs="MingLiU_HKSCS"/>
          <w:color w:val="000000"/>
          <w:szCs w:val="21"/>
          <w:lang w:val="zh-CN"/>
        </w:rPr>
        <w:fldChar w:fldCharType="separate"/>
      </w:r>
      <w:r w:rsidR="00235733">
        <w:rPr>
          <w:rFonts w:cs="MingLiU_HKSCS" w:hint="eastAsia"/>
          <w:color w:val="000000"/>
          <w:szCs w:val="21"/>
          <w:lang w:val="en-US"/>
        </w:rPr>
        <w:t>（</w:t>
      </w:r>
      <w:r w:rsidR="00235733">
        <w:rPr>
          <w:rFonts w:cs="MingLiU_HKSCS" w:hint="eastAsia"/>
          <w:color w:val="000000"/>
          <w:szCs w:val="21"/>
          <w:lang w:val="en-US"/>
        </w:rPr>
        <w:t>6</w:t>
      </w:r>
      <w:r w:rsidR="00235733">
        <w:rPr>
          <w:rFonts w:cs="MingLiU_HKSCS" w:hint="eastAsia"/>
          <w:color w:val="000000"/>
          <w:szCs w:val="21"/>
          <w:lang w:val="en-US"/>
        </w:rPr>
        <w:t>）</w:t>
      </w:r>
      <w:r>
        <w:rPr>
          <w:rFonts w:cs="MingLiU_HKSCS"/>
          <w:color w:val="000000"/>
          <w:szCs w:val="21"/>
          <w:lang w:val="zh-CN"/>
        </w:rPr>
        <w:fldChar w:fldCharType="end"/>
      </w:r>
      <w:r w:rsidR="00235733">
        <w:rPr>
          <w:rFonts w:cs="MingLiU_HKSCS" w:hint="eastAsia"/>
          <w:color w:val="000000"/>
          <w:szCs w:val="21"/>
          <w:lang w:val="zh-CN"/>
        </w:rPr>
        <w:t>使用环境或条件特征限定的产品权利要求</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GB3</w:instrText>
      </w:r>
      <w:r>
        <w:rPr>
          <w:rFonts w:cs="MingLiU_HKSCS"/>
          <w:color w:val="000000"/>
          <w:szCs w:val="21"/>
          <w:lang w:val="zh-CN"/>
        </w:rPr>
        <w:fldChar w:fldCharType="separate"/>
      </w:r>
      <w:r w:rsidR="00235733">
        <w:rPr>
          <w:rFonts w:cs="MingLiU_HKSCS" w:hint="eastAsia"/>
          <w:color w:val="000000"/>
          <w:szCs w:val="21"/>
          <w:lang w:val="en-US"/>
        </w:rPr>
        <w:t>①</w:t>
      </w:r>
      <w:r>
        <w:rPr>
          <w:rFonts w:cs="MingLiU_HKSCS"/>
          <w:color w:val="000000"/>
          <w:szCs w:val="21"/>
          <w:lang w:val="zh-CN"/>
        </w:rPr>
        <w:fldChar w:fldCharType="end"/>
      </w:r>
      <w:r w:rsidR="00235733">
        <w:rPr>
          <w:rFonts w:cs="MingLiU_HKSCS" w:hint="eastAsia"/>
          <w:color w:val="000000"/>
          <w:szCs w:val="21"/>
          <w:lang w:val="zh-CN"/>
        </w:rPr>
        <w:t>使用环境或条件特征限定的产品权利要求的含义</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“使用环境或条件特征”限定的产品权利要求</w:t>
      </w:r>
      <w:r>
        <w:rPr>
          <w:rFonts w:cs="MingLiU_HKSCS"/>
          <w:color w:val="000000"/>
          <w:szCs w:val="21"/>
          <w:lang w:val="zh-CN"/>
        </w:rPr>
        <w:t>，</w:t>
      </w:r>
      <w:r>
        <w:rPr>
          <w:rFonts w:cs="MingLiU_HKSCS" w:hint="eastAsia"/>
          <w:color w:val="000000"/>
          <w:szCs w:val="21"/>
          <w:lang w:val="zh-CN"/>
        </w:rPr>
        <w:t>是指在产品权利要求中存在一个或多个技术特征</w:t>
      </w:r>
      <w:r>
        <w:rPr>
          <w:rFonts w:cs="MingLiU_HKSCS"/>
          <w:color w:val="000000"/>
          <w:szCs w:val="21"/>
          <w:lang w:val="zh-CN"/>
        </w:rPr>
        <w:t>，</w:t>
      </w:r>
      <w:r>
        <w:rPr>
          <w:rFonts w:cs="MingLiU_HKSCS" w:hint="eastAsia"/>
          <w:color w:val="000000"/>
          <w:szCs w:val="21"/>
          <w:lang w:val="zh-CN"/>
        </w:rPr>
        <w:t>所述技术特征限定的并非该产品的结构或组成</w:t>
      </w:r>
      <w:r>
        <w:rPr>
          <w:rFonts w:cs="MingLiU_HKSCS"/>
          <w:color w:val="000000"/>
          <w:szCs w:val="21"/>
          <w:lang w:val="zh-CN"/>
        </w:rPr>
        <w:t>，</w:t>
      </w:r>
      <w:r>
        <w:rPr>
          <w:rFonts w:cs="MingLiU_HKSCS" w:hint="eastAsia"/>
          <w:color w:val="000000"/>
          <w:szCs w:val="21"/>
          <w:lang w:val="zh-CN"/>
        </w:rPr>
        <w:t>或者该产品部件之间的连接关系</w:t>
      </w:r>
      <w:r>
        <w:rPr>
          <w:rFonts w:cs="MingLiU_HKSCS"/>
          <w:color w:val="000000"/>
          <w:szCs w:val="21"/>
          <w:lang w:val="zh-CN"/>
        </w:rPr>
        <w:t>，</w:t>
      </w:r>
      <w:r>
        <w:rPr>
          <w:rFonts w:cs="MingLiU_HKSCS" w:hint="eastAsia"/>
          <w:color w:val="000000"/>
          <w:szCs w:val="21"/>
          <w:lang w:val="zh-CN"/>
        </w:rPr>
        <w:t>而是该产品的使用环境或使用条件。比如，权利要求保护的是</w:t>
      </w:r>
      <w:r>
        <w:rPr>
          <w:rFonts w:cs="MingLiU_HKSCS"/>
          <w:color w:val="000000"/>
          <w:szCs w:val="21"/>
          <w:lang w:val="zh-CN"/>
        </w:rPr>
        <w:t>A</w:t>
      </w:r>
      <w:r>
        <w:rPr>
          <w:rFonts w:cs="MingLiU_HKSCS" w:hint="eastAsia"/>
          <w:color w:val="000000"/>
          <w:szCs w:val="21"/>
          <w:lang w:val="zh-CN"/>
        </w:rPr>
        <w:t>产品，该</w:t>
      </w:r>
      <w:r>
        <w:rPr>
          <w:rFonts w:cs="MingLiU_HKSCS"/>
          <w:color w:val="000000"/>
          <w:szCs w:val="21"/>
          <w:lang w:val="zh-CN"/>
        </w:rPr>
        <w:t>A</w:t>
      </w:r>
      <w:r>
        <w:rPr>
          <w:rFonts w:cs="MingLiU_HKSCS" w:hint="eastAsia"/>
          <w:color w:val="000000"/>
          <w:szCs w:val="21"/>
          <w:lang w:val="zh-CN"/>
        </w:rPr>
        <w:t>产品需要安装到</w:t>
      </w:r>
      <w:r>
        <w:rPr>
          <w:rFonts w:cs="MingLiU_HKSCS"/>
          <w:color w:val="000000"/>
          <w:szCs w:val="21"/>
          <w:lang w:val="zh-CN"/>
        </w:rPr>
        <w:t>B</w:t>
      </w:r>
      <w:r>
        <w:rPr>
          <w:rFonts w:cs="MingLiU_HKSCS" w:hint="eastAsia"/>
          <w:color w:val="000000"/>
          <w:szCs w:val="21"/>
          <w:lang w:val="zh-CN"/>
        </w:rPr>
        <w:t>产品上使用，在关于</w:t>
      </w:r>
      <w:r>
        <w:rPr>
          <w:rFonts w:cs="MingLiU_HKSCS"/>
          <w:color w:val="000000"/>
          <w:szCs w:val="21"/>
          <w:lang w:val="zh-CN"/>
        </w:rPr>
        <w:t>A</w:t>
      </w:r>
      <w:r>
        <w:rPr>
          <w:rFonts w:cs="MingLiU_HKSCS" w:hint="eastAsia"/>
          <w:color w:val="000000"/>
          <w:szCs w:val="21"/>
          <w:lang w:val="zh-CN"/>
        </w:rPr>
        <w:t>产品的权利要求中，使用</w:t>
      </w:r>
      <w:r>
        <w:rPr>
          <w:rFonts w:cs="MingLiU_HKSCS"/>
          <w:color w:val="000000"/>
          <w:szCs w:val="21"/>
          <w:lang w:val="zh-CN"/>
        </w:rPr>
        <w:t>B</w:t>
      </w:r>
      <w:r>
        <w:rPr>
          <w:rFonts w:cs="MingLiU_HKSCS" w:hint="eastAsia"/>
          <w:color w:val="000000"/>
          <w:szCs w:val="21"/>
          <w:lang w:val="zh-CN"/>
        </w:rPr>
        <w:t>产品的尺寸、对应形状或者与</w:t>
      </w:r>
      <w:r>
        <w:rPr>
          <w:rFonts w:cs="MingLiU_HKSCS"/>
          <w:color w:val="000000"/>
          <w:szCs w:val="21"/>
          <w:lang w:val="zh-CN"/>
        </w:rPr>
        <w:t>A</w:t>
      </w:r>
      <w:r>
        <w:rPr>
          <w:rFonts w:cs="MingLiU_HKSCS" w:hint="eastAsia"/>
          <w:color w:val="000000"/>
          <w:szCs w:val="21"/>
          <w:lang w:val="zh-CN"/>
        </w:rPr>
        <w:t>产品的配合关系来限定</w:t>
      </w:r>
      <w:r>
        <w:rPr>
          <w:rFonts w:cs="MingLiU_HKSCS"/>
          <w:color w:val="000000"/>
          <w:szCs w:val="21"/>
          <w:lang w:val="zh-CN"/>
        </w:rPr>
        <w:t>A</w:t>
      </w:r>
      <w:r>
        <w:rPr>
          <w:rFonts w:cs="MingLiU_HKSCS" w:hint="eastAsia"/>
          <w:color w:val="000000"/>
          <w:szCs w:val="21"/>
          <w:lang w:val="zh-CN"/>
        </w:rPr>
        <w:t>产品，这样的权利要求就是“使用环境或条件特征限定的产品权利要求</w:t>
      </w:r>
      <w:r>
        <w:rPr>
          <w:rFonts w:eastAsia="楷体_GB2312" w:cs="MingLiU_HKSCS" w:hint="eastAsia"/>
          <w:color w:val="000000"/>
          <w:szCs w:val="21"/>
          <w:lang w:val="zh-CN"/>
        </w:rPr>
        <w:t>”</w:t>
      </w:r>
      <w:r>
        <w:rPr>
          <w:rFonts w:cs="MingLiU_HKSCS" w:hint="eastAsia"/>
          <w:color w:val="000000"/>
          <w:szCs w:val="21"/>
          <w:lang w:val="zh-CN"/>
        </w:rPr>
        <w:t>。</w:t>
      </w:r>
    </w:p>
    <w:p w:rsidR="00800760" w:rsidRDefault="00C22A7B">
      <w:pPr>
        <w:keepNext/>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2 \* GB3</w:instrText>
      </w:r>
      <w:r>
        <w:rPr>
          <w:rFonts w:cs="MingLiU_HKSCS"/>
          <w:color w:val="000000"/>
          <w:szCs w:val="21"/>
          <w:lang w:val="zh-CN"/>
        </w:rPr>
        <w:fldChar w:fldCharType="separate"/>
      </w:r>
      <w:r w:rsidR="00235733">
        <w:rPr>
          <w:rFonts w:cs="MingLiU_HKSCS" w:hint="eastAsia"/>
          <w:color w:val="000000"/>
          <w:szCs w:val="21"/>
          <w:lang w:val="en-US"/>
        </w:rPr>
        <w:t>②</w:t>
      </w:r>
      <w:r>
        <w:rPr>
          <w:rFonts w:cs="MingLiU_HKSCS"/>
          <w:color w:val="000000"/>
          <w:szCs w:val="21"/>
          <w:lang w:val="zh-CN"/>
        </w:rPr>
        <w:fldChar w:fldCharType="end"/>
      </w:r>
      <w:r w:rsidR="00235733">
        <w:rPr>
          <w:rFonts w:cs="MingLiU_HKSCS" w:hint="eastAsia"/>
          <w:color w:val="000000"/>
          <w:szCs w:val="21"/>
          <w:lang w:val="zh-CN"/>
        </w:rPr>
        <w:t>使用环境或条件特征限定的产品权利要求的解释</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在含有使用环境或条件特征的产品权利要求中，使用环境或条件特征作为该权利要求的一部分，应当被考虑。此时，应当将产品权利要求中的使用环境或条件特征与产品的结构、组成等特征一并考虑，但这并不意味着产品必须被实际应用于所述环境或者条件下。如果产品的其他技术特征决定了该产品可以并且必然用于所述环境或者条件下，则即使该产品未实际应用于所述环境或者条件下，也认为该产品具备了所述使用环境或者条件特征。</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w:t>
      </w:r>
      <w:r>
        <w:rPr>
          <w:rFonts w:eastAsia="黑体" w:cs="MingLiU_HKSCS" w:hint="eastAsia"/>
          <w:color w:val="000000"/>
          <w:szCs w:val="21"/>
          <w:lang w:val="zh-CN"/>
        </w:rPr>
        <w:t>6</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涉案专利的权利要求</w:t>
      </w:r>
      <w:r>
        <w:rPr>
          <w:rFonts w:eastAsia="楷体_GB2312" w:cs="MingLiU_HKSCS"/>
          <w:color w:val="000000"/>
          <w:szCs w:val="21"/>
          <w:lang w:val="zh-CN"/>
        </w:rPr>
        <w:t>1</w:t>
      </w:r>
      <w:r>
        <w:rPr>
          <w:rFonts w:eastAsia="楷体_GB2312" w:cs="MingLiU_HKSCS" w:hint="eastAsia"/>
          <w:color w:val="000000"/>
          <w:szCs w:val="21"/>
          <w:lang w:val="zh-CN"/>
        </w:rPr>
        <w:t>为</w:t>
      </w:r>
      <w:r>
        <w:rPr>
          <w:rFonts w:eastAsia="楷体_GB2312" w:cs="MingLiU_HKSCS"/>
          <w:color w:val="000000"/>
          <w:szCs w:val="21"/>
          <w:lang w:val="zh-CN"/>
        </w:rPr>
        <w:t>：</w:t>
      </w:r>
      <w:r>
        <w:rPr>
          <w:rFonts w:eastAsia="楷体_GB2312" w:cs="MingLiU_HKSCS" w:hint="eastAsia"/>
          <w:color w:val="000000"/>
          <w:szCs w:val="21"/>
          <w:lang w:val="zh-CN"/>
        </w:rPr>
        <w:t>“一种用于将后换挡器连接到自行车车架上的自行车后换挡器支架，所述后换挡器具有</w:t>
      </w:r>
      <w:r>
        <w:rPr>
          <w:rFonts w:cs="MingLiU_HKSCS" w:hint="eastAsia"/>
          <w:color w:val="000000"/>
          <w:szCs w:val="21"/>
          <w:lang w:val="zh-CN"/>
        </w:rPr>
        <w:t>……</w:t>
      </w:r>
      <w:r>
        <w:rPr>
          <w:rFonts w:eastAsia="楷体_GB2312" w:cs="MingLiU_HKSCS" w:hint="eastAsia"/>
          <w:color w:val="000000"/>
          <w:szCs w:val="21"/>
          <w:lang w:val="zh-CN"/>
        </w:rPr>
        <w:t>，所述自行车车架具有形成在自行车车架的后叉端的换挡器安装延伸部上的连接结构，所述后换挡器支架包括</w:t>
      </w:r>
      <w:r>
        <w:rPr>
          <w:rFonts w:cs="MingLiU_HKSCS" w:hint="eastAsia"/>
          <w:color w:val="000000"/>
          <w:szCs w:val="21"/>
          <w:lang w:val="zh-CN"/>
        </w:rPr>
        <w:t>……</w:t>
      </w:r>
      <w:r>
        <w:rPr>
          <w:rFonts w:eastAsia="楷体_GB2312"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本案争议的焦点是</w:t>
      </w:r>
      <w:r>
        <w:rPr>
          <w:rFonts w:eastAsia="楷体_GB2312" w:cs="MingLiU_HKSCS"/>
          <w:color w:val="000000"/>
          <w:szCs w:val="21"/>
          <w:lang w:val="zh-CN"/>
        </w:rPr>
        <w:t>：</w:t>
      </w:r>
      <w:r>
        <w:rPr>
          <w:rFonts w:eastAsia="楷体_GB2312" w:cs="MingLiU_HKSCS" w:hint="eastAsia"/>
          <w:color w:val="000000"/>
          <w:szCs w:val="21"/>
          <w:lang w:val="zh-CN"/>
        </w:rPr>
        <w:t>如何理解安装环境特征对权利要求保护范围的作用。</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本案中，权利要求</w:t>
      </w:r>
      <w:r>
        <w:rPr>
          <w:rFonts w:eastAsia="楷体_GB2312" w:cs="MingLiU_HKSCS"/>
          <w:color w:val="000000"/>
          <w:szCs w:val="21"/>
          <w:lang w:val="zh-CN"/>
        </w:rPr>
        <w:t>1</w:t>
      </w:r>
      <w:r>
        <w:rPr>
          <w:rFonts w:eastAsia="楷体_GB2312" w:cs="MingLiU_HKSCS" w:hint="eastAsia"/>
          <w:color w:val="000000"/>
          <w:szCs w:val="21"/>
          <w:lang w:val="zh-CN"/>
        </w:rPr>
        <w:t>不仅限定了支架的具体结构，还限定了后换挡器的结构、自行车车架后叉端的结构以及支架、后换挡器、自行车车架三者的连接位置关系。其中，技术特征“所述自行车车架具有形成在自行车车架的后叉端</w:t>
      </w:r>
      <w:r>
        <w:rPr>
          <w:rFonts w:eastAsia="楷体_GB2312" w:cs="MingLiU_HKSCS"/>
          <w:color w:val="000000"/>
          <w:szCs w:val="21"/>
          <w:lang w:val="zh-CN"/>
        </w:rPr>
        <w:t>（</w:t>
      </w:r>
      <w:r>
        <w:rPr>
          <w:rFonts w:eastAsia="楷体_GB2312" w:cs="MingLiU_HKSCS"/>
          <w:color w:val="000000"/>
          <w:szCs w:val="21"/>
          <w:lang w:val="zh-CN"/>
        </w:rPr>
        <w:t>51</w:t>
      </w:r>
      <w:r>
        <w:rPr>
          <w:rFonts w:eastAsia="楷体_GB2312" w:cs="MingLiU_HKSCS"/>
          <w:color w:val="000000"/>
          <w:szCs w:val="21"/>
          <w:lang w:val="zh-CN"/>
        </w:rPr>
        <w:t>）</w:t>
      </w:r>
      <w:r>
        <w:rPr>
          <w:rFonts w:eastAsia="楷体_GB2312" w:cs="MingLiU_HKSCS" w:hint="eastAsia"/>
          <w:color w:val="000000"/>
          <w:szCs w:val="21"/>
          <w:lang w:val="zh-CN"/>
        </w:rPr>
        <w:t>的换挡器安装延伸部</w:t>
      </w:r>
      <w:r>
        <w:rPr>
          <w:rFonts w:eastAsia="楷体_GB2312" w:cs="MingLiU_HKSCS"/>
          <w:color w:val="000000"/>
          <w:szCs w:val="21"/>
          <w:lang w:val="zh-CN"/>
        </w:rPr>
        <w:t>（</w:t>
      </w:r>
      <w:r>
        <w:rPr>
          <w:rFonts w:eastAsia="楷体_GB2312" w:cs="MingLiU_HKSCS"/>
          <w:color w:val="000000"/>
          <w:szCs w:val="21"/>
          <w:lang w:val="zh-CN"/>
        </w:rPr>
        <w:t>14</w:t>
      </w:r>
      <w:r>
        <w:rPr>
          <w:rFonts w:eastAsia="楷体_GB2312" w:cs="MingLiU_HKSCS"/>
          <w:color w:val="000000"/>
          <w:szCs w:val="21"/>
          <w:lang w:val="zh-CN"/>
        </w:rPr>
        <w:t>）</w:t>
      </w:r>
      <w:r>
        <w:rPr>
          <w:rFonts w:eastAsia="楷体_GB2312" w:cs="MingLiU_HKSCS" w:hint="eastAsia"/>
          <w:color w:val="000000"/>
          <w:szCs w:val="21"/>
          <w:lang w:val="zh-CN"/>
        </w:rPr>
        <w:t>上的连接结构</w:t>
      </w:r>
      <w:r>
        <w:rPr>
          <w:rFonts w:eastAsia="楷体_GB2312" w:cs="MingLiU_HKSCS"/>
          <w:color w:val="000000"/>
          <w:szCs w:val="21"/>
          <w:lang w:val="zh-CN"/>
        </w:rPr>
        <w:t>（</w:t>
      </w:r>
      <w:r>
        <w:rPr>
          <w:rFonts w:eastAsia="楷体_GB2312" w:cs="MingLiU_HKSCS"/>
          <w:color w:val="000000"/>
          <w:szCs w:val="21"/>
          <w:lang w:val="zh-CN"/>
        </w:rPr>
        <w:t>14a</w:t>
      </w:r>
      <w:r>
        <w:rPr>
          <w:rFonts w:eastAsia="楷体_GB2312" w:cs="MingLiU_HKSCS"/>
          <w:color w:val="000000"/>
          <w:szCs w:val="21"/>
          <w:lang w:val="zh-CN"/>
        </w:rPr>
        <w:t>）</w:t>
      </w:r>
      <w:r>
        <w:rPr>
          <w:rFonts w:eastAsia="楷体_GB2312" w:cs="MingLiU_HKSCS" w:hint="eastAsia"/>
          <w:color w:val="000000"/>
          <w:szCs w:val="21"/>
          <w:lang w:val="zh-CN"/>
        </w:rPr>
        <w:t>”</w:t>
      </w:r>
      <w:r>
        <w:rPr>
          <w:rFonts w:eastAsia="楷体_GB2312" w:cs="MingLiU_HKSCS"/>
          <w:color w:val="000000"/>
          <w:szCs w:val="21"/>
          <w:lang w:val="zh-CN"/>
        </w:rPr>
        <w:t>（</w:t>
      </w:r>
      <w:r>
        <w:rPr>
          <w:rFonts w:eastAsia="楷体_GB2312" w:cs="MingLiU_HKSCS" w:hint="eastAsia"/>
          <w:color w:val="000000"/>
          <w:szCs w:val="21"/>
          <w:lang w:val="zh-CN"/>
        </w:rPr>
        <w:t>以下简称“特征</w:t>
      </w:r>
      <w:r>
        <w:rPr>
          <w:rFonts w:eastAsia="楷体_GB2312" w:cs="MingLiU_HKSCS"/>
          <w:color w:val="000000"/>
          <w:szCs w:val="21"/>
          <w:lang w:val="zh-CN"/>
        </w:rPr>
        <w:t>1</w:t>
      </w:r>
      <w:r>
        <w:rPr>
          <w:rFonts w:eastAsia="楷体_GB2312" w:cs="MingLiU_HKSCS" w:hint="eastAsia"/>
          <w:color w:val="000000"/>
          <w:szCs w:val="21"/>
          <w:lang w:val="zh-CN"/>
        </w:rPr>
        <w:t>”</w:t>
      </w:r>
      <w:r>
        <w:rPr>
          <w:rFonts w:eastAsia="楷体_GB2312" w:cs="MingLiU_HKSCS"/>
          <w:color w:val="000000"/>
          <w:szCs w:val="21"/>
          <w:lang w:val="zh-CN"/>
        </w:rPr>
        <w:t>）</w:t>
      </w:r>
      <w:r>
        <w:rPr>
          <w:rFonts w:eastAsia="楷体_GB2312" w:cs="MingLiU_HKSCS" w:hint="eastAsia"/>
          <w:color w:val="000000"/>
          <w:szCs w:val="21"/>
          <w:lang w:val="zh-CN"/>
        </w:rPr>
        <w:t>以及技术特征“所述第一连接结构</w:t>
      </w:r>
      <w:r>
        <w:rPr>
          <w:rFonts w:eastAsia="楷体_GB2312" w:cs="MingLiU_HKSCS"/>
          <w:color w:val="000000"/>
          <w:szCs w:val="21"/>
          <w:lang w:val="zh-CN"/>
        </w:rPr>
        <w:t>（</w:t>
      </w:r>
      <w:r>
        <w:rPr>
          <w:rFonts w:eastAsia="楷体_GB2312" w:cs="MingLiU_HKSCS"/>
          <w:color w:val="000000"/>
          <w:szCs w:val="21"/>
          <w:lang w:val="zh-CN"/>
        </w:rPr>
        <w:t>8a</w:t>
      </w:r>
      <w:r>
        <w:rPr>
          <w:rFonts w:eastAsia="楷体_GB2312" w:cs="MingLiU_HKSCS"/>
          <w:color w:val="000000"/>
          <w:szCs w:val="21"/>
          <w:lang w:val="zh-CN"/>
        </w:rPr>
        <w:t>）</w:t>
      </w:r>
      <w:r>
        <w:rPr>
          <w:rFonts w:eastAsia="楷体_GB2312" w:cs="MingLiU_HKSCS" w:hint="eastAsia"/>
          <w:color w:val="000000"/>
          <w:szCs w:val="21"/>
          <w:lang w:val="zh-CN"/>
        </w:rPr>
        <w:t>和所述第二连接结构</w:t>
      </w:r>
      <w:r>
        <w:rPr>
          <w:rFonts w:eastAsia="楷体_GB2312" w:cs="MingLiU_HKSCS"/>
          <w:color w:val="000000"/>
          <w:szCs w:val="21"/>
          <w:lang w:val="zh-CN"/>
        </w:rPr>
        <w:t>（</w:t>
      </w:r>
      <w:r>
        <w:rPr>
          <w:rFonts w:eastAsia="楷体_GB2312" w:cs="MingLiU_HKSCS"/>
          <w:color w:val="000000"/>
          <w:szCs w:val="21"/>
          <w:lang w:val="zh-CN"/>
        </w:rPr>
        <w:t>8b</w:t>
      </w:r>
      <w:r>
        <w:rPr>
          <w:rFonts w:eastAsia="楷体_GB2312" w:cs="MingLiU_HKSCS"/>
          <w:color w:val="000000"/>
          <w:szCs w:val="21"/>
          <w:lang w:val="zh-CN"/>
        </w:rPr>
        <w:t>）</w:t>
      </w:r>
      <w:r>
        <w:rPr>
          <w:rFonts w:eastAsia="楷体_GB2312" w:cs="MingLiU_HKSCS" w:hint="eastAsia"/>
          <w:color w:val="000000"/>
          <w:szCs w:val="21"/>
          <w:lang w:val="zh-CN"/>
        </w:rPr>
        <w:t>的布置应使当所述支架体</w:t>
      </w:r>
      <w:r>
        <w:rPr>
          <w:rFonts w:eastAsia="楷体_GB2312" w:cs="MingLiU_HKSCS"/>
          <w:color w:val="000000"/>
          <w:szCs w:val="21"/>
          <w:lang w:val="zh-CN"/>
        </w:rPr>
        <w:t>（</w:t>
      </w:r>
      <w:r>
        <w:rPr>
          <w:rFonts w:eastAsia="楷体_GB2312" w:cs="MingLiU_HKSCS"/>
          <w:color w:val="000000"/>
          <w:szCs w:val="21"/>
          <w:lang w:val="zh-CN"/>
        </w:rPr>
        <w:t>8</w:t>
      </w:r>
      <w:r>
        <w:rPr>
          <w:rFonts w:eastAsia="楷体_GB2312" w:cs="MingLiU_HKSCS"/>
          <w:color w:val="000000"/>
          <w:szCs w:val="21"/>
          <w:lang w:val="zh-CN"/>
        </w:rPr>
        <w:t>）</w:t>
      </w:r>
      <w:r>
        <w:rPr>
          <w:rFonts w:eastAsia="楷体_GB2312" w:cs="MingLiU_HKSCS" w:hint="eastAsia"/>
          <w:color w:val="000000"/>
          <w:szCs w:val="21"/>
          <w:lang w:val="zh-CN"/>
        </w:rPr>
        <w:t>安装在所述后叉端</w:t>
      </w:r>
      <w:r>
        <w:rPr>
          <w:rFonts w:eastAsia="楷体_GB2312" w:cs="MingLiU_HKSCS"/>
          <w:color w:val="000000"/>
          <w:szCs w:val="21"/>
          <w:lang w:val="zh-CN"/>
        </w:rPr>
        <w:t>（</w:t>
      </w:r>
      <w:r>
        <w:rPr>
          <w:rFonts w:eastAsia="楷体_GB2312" w:cs="MingLiU_HKSCS"/>
          <w:color w:val="000000"/>
          <w:szCs w:val="21"/>
          <w:lang w:val="zh-CN"/>
        </w:rPr>
        <w:t>51</w:t>
      </w:r>
      <w:r>
        <w:rPr>
          <w:rFonts w:eastAsia="楷体_GB2312" w:cs="MingLiU_HKSCS"/>
          <w:color w:val="000000"/>
          <w:szCs w:val="21"/>
          <w:lang w:val="zh-CN"/>
        </w:rPr>
        <w:t>）</w:t>
      </w:r>
      <w:r>
        <w:rPr>
          <w:rFonts w:eastAsia="楷体_GB2312" w:cs="MingLiU_HKSCS" w:hint="eastAsia"/>
          <w:color w:val="000000"/>
          <w:szCs w:val="21"/>
          <w:lang w:val="zh-CN"/>
        </w:rPr>
        <w:t>上时，所述的第一连接结构</w:t>
      </w:r>
      <w:r>
        <w:rPr>
          <w:rFonts w:eastAsia="楷体_GB2312" w:cs="MingLiU_HKSCS"/>
          <w:color w:val="000000"/>
          <w:szCs w:val="21"/>
          <w:lang w:val="zh-CN"/>
        </w:rPr>
        <w:t>（</w:t>
      </w:r>
      <w:r>
        <w:rPr>
          <w:rFonts w:eastAsia="楷体_GB2312" w:cs="MingLiU_HKSCS"/>
          <w:color w:val="000000"/>
          <w:szCs w:val="21"/>
          <w:lang w:val="zh-CN"/>
        </w:rPr>
        <w:t>8a</w:t>
      </w:r>
      <w:r>
        <w:rPr>
          <w:rFonts w:eastAsia="楷体_GB2312" w:cs="MingLiU_HKSCS"/>
          <w:color w:val="000000"/>
          <w:szCs w:val="21"/>
          <w:lang w:val="zh-CN"/>
        </w:rPr>
        <w:t>）</w:t>
      </w:r>
      <w:r>
        <w:rPr>
          <w:rFonts w:eastAsia="楷体_GB2312" w:cs="MingLiU_HKSCS" w:hint="eastAsia"/>
          <w:color w:val="000000"/>
          <w:szCs w:val="21"/>
          <w:lang w:val="zh-CN"/>
        </w:rPr>
        <w:t>提供的连接点是在所述第二连接结构</w:t>
      </w:r>
      <w:r>
        <w:rPr>
          <w:rFonts w:eastAsia="楷体_GB2312" w:cs="MingLiU_HKSCS"/>
          <w:color w:val="000000"/>
          <w:szCs w:val="21"/>
          <w:lang w:val="zh-CN"/>
        </w:rPr>
        <w:t>（</w:t>
      </w:r>
      <w:r>
        <w:rPr>
          <w:rFonts w:eastAsia="楷体_GB2312" w:cs="MingLiU_HKSCS"/>
          <w:color w:val="000000"/>
          <w:szCs w:val="21"/>
          <w:lang w:val="zh-CN"/>
        </w:rPr>
        <w:t>8b</w:t>
      </w:r>
      <w:r>
        <w:rPr>
          <w:rFonts w:eastAsia="楷体_GB2312" w:cs="MingLiU_HKSCS"/>
          <w:color w:val="000000"/>
          <w:szCs w:val="21"/>
          <w:lang w:val="zh-CN"/>
        </w:rPr>
        <w:t>）</w:t>
      </w:r>
      <w:r>
        <w:rPr>
          <w:rFonts w:eastAsia="楷体_GB2312" w:cs="MingLiU_HKSCS" w:hint="eastAsia"/>
          <w:color w:val="000000"/>
          <w:szCs w:val="21"/>
          <w:lang w:val="zh-CN"/>
        </w:rPr>
        <w:t>提供的连接点的下方和后方”</w:t>
      </w:r>
      <w:r>
        <w:rPr>
          <w:rFonts w:eastAsia="楷体_GB2312" w:cs="MingLiU_HKSCS"/>
          <w:color w:val="000000"/>
          <w:szCs w:val="21"/>
          <w:lang w:val="zh-CN"/>
        </w:rPr>
        <w:t>（</w:t>
      </w:r>
      <w:r>
        <w:rPr>
          <w:rFonts w:eastAsia="楷体_GB2312" w:cs="MingLiU_HKSCS" w:hint="eastAsia"/>
          <w:color w:val="000000"/>
          <w:szCs w:val="21"/>
          <w:lang w:val="zh-CN"/>
        </w:rPr>
        <w:t>以下简称“特征</w:t>
      </w:r>
      <w:r>
        <w:rPr>
          <w:rFonts w:eastAsia="楷体_GB2312" w:cs="MingLiU_HKSCS"/>
          <w:color w:val="000000"/>
          <w:szCs w:val="21"/>
          <w:lang w:val="zh-CN"/>
        </w:rPr>
        <w:t>2</w:t>
      </w:r>
      <w:r>
        <w:rPr>
          <w:rFonts w:eastAsia="楷体_GB2312" w:cs="MingLiU_HKSCS" w:hint="eastAsia"/>
          <w:color w:val="000000"/>
          <w:szCs w:val="21"/>
          <w:lang w:val="zh-CN"/>
        </w:rPr>
        <w:t>”</w:t>
      </w:r>
      <w:r>
        <w:rPr>
          <w:rFonts w:eastAsia="楷体_GB2312" w:cs="MingLiU_HKSCS"/>
          <w:color w:val="000000"/>
          <w:szCs w:val="21"/>
          <w:lang w:val="zh-CN"/>
        </w:rPr>
        <w:t>）</w:t>
      </w:r>
      <w:r>
        <w:rPr>
          <w:rFonts w:eastAsia="楷体_GB2312" w:cs="MingLiU_HKSCS" w:hint="eastAsia"/>
          <w:color w:val="000000"/>
          <w:szCs w:val="21"/>
          <w:lang w:val="zh-CN"/>
        </w:rPr>
        <w:t>对权利要求同样起到限定作用，应当纳入考虑。</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但是，上述特征</w:t>
      </w:r>
      <w:r>
        <w:rPr>
          <w:rFonts w:eastAsia="楷体_GB2312" w:cs="MingLiU_HKSCS"/>
          <w:color w:val="000000"/>
          <w:szCs w:val="21"/>
          <w:lang w:val="zh-CN"/>
        </w:rPr>
        <w:t>1</w:t>
      </w:r>
      <w:r>
        <w:rPr>
          <w:rFonts w:eastAsia="楷体_GB2312" w:cs="MingLiU_HKSCS" w:hint="eastAsia"/>
          <w:color w:val="000000"/>
          <w:szCs w:val="21"/>
          <w:lang w:val="zh-CN"/>
        </w:rPr>
        <w:t>和特征</w:t>
      </w:r>
      <w:r>
        <w:rPr>
          <w:rFonts w:eastAsia="楷体_GB2312" w:cs="MingLiU_HKSCS"/>
          <w:color w:val="000000"/>
          <w:szCs w:val="21"/>
          <w:lang w:val="zh-CN"/>
        </w:rPr>
        <w:t>2</w:t>
      </w:r>
      <w:r>
        <w:rPr>
          <w:rFonts w:eastAsia="楷体_GB2312" w:cs="MingLiU_HKSCS" w:hint="eastAsia"/>
          <w:color w:val="000000"/>
          <w:szCs w:val="21"/>
          <w:lang w:val="zh-CN"/>
        </w:rPr>
        <w:t>仅仅是自行车后换挡器支架的安装环境特征，在判定被控侵权产品是否落入涉案专利权利要求</w:t>
      </w:r>
      <w:r>
        <w:rPr>
          <w:rFonts w:eastAsia="楷体_GB2312" w:cs="MingLiU_HKSCS"/>
          <w:color w:val="000000"/>
          <w:szCs w:val="21"/>
          <w:lang w:val="zh-CN"/>
        </w:rPr>
        <w:t>1</w:t>
      </w:r>
      <w:r>
        <w:rPr>
          <w:rFonts w:eastAsia="楷体_GB2312" w:cs="MingLiU_HKSCS" w:hint="eastAsia"/>
          <w:color w:val="000000"/>
          <w:szCs w:val="21"/>
          <w:lang w:val="zh-CN"/>
        </w:rPr>
        <w:t>的保护范围时，并不需要被控侵权人将自行车后换挡器支架真正安装在自行车车架的后叉端的延伸部上，只要被控侵权产品的技术特征决定了其可以而且必然安装在涉案专利权利要求</w:t>
      </w:r>
      <w:r>
        <w:rPr>
          <w:rFonts w:eastAsia="楷体_GB2312" w:cs="MingLiU_HKSCS"/>
          <w:color w:val="000000"/>
          <w:szCs w:val="21"/>
          <w:lang w:val="zh-CN"/>
        </w:rPr>
        <w:t>1</w:t>
      </w:r>
      <w:r>
        <w:rPr>
          <w:rFonts w:eastAsia="楷体_GB2312" w:cs="MingLiU_HKSCS" w:hint="eastAsia"/>
          <w:color w:val="000000"/>
          <w:szCs w:val="21"/>
          <w:lang w:val="zh-CN"/>
        </w:rPr>
        <w:t>所限定的自行车车架上，并呈现权利要求</w:t>
      </w:r>
      <w:r>
        <w:rPr>
          <w:rFonts w:eastAsia="楷体_GB2312" w:cs="MingLiU_HKSCS"/>
          <w:color w:val="000000"/>
          <w:szCs w:val="21"/>
          <w:lang w:val="zh-CN"/>
        </w:rPr>
        <w:t>1</w:t>
      </w:r>
      <w:r>
        <w:rPr>
          <w:rFonts w:eastAsia="楷体_GB2312" w:cs="MingLiU_HKSCS" w:hint="eastAsia"/>
          <w:color w:val="000000"/>
          <w:szCs w:val="21"/>
          <w:lang w:val="zh-CN"/>
        </w:rPr>
        <w:t>所限定的装配关系，即可以认为被控侵权产品落入专利权的保护范围。</w:t>
      </w:r>
    </w:p>
    <w:p w:rsidR="00800760" w:rsidRDefault="00235733" w:rsidP="00C22A7B">
      <w:pPr>
        <w:topLinePunct/>
        <w:spacing w:beforeLines="50"/>
        <w:jc w:val="both"/>
        <w:rPr>
          <w:rFonts w:eastAsia="楷体_GB2312" w:cs="MingLiU_HKSCS"/>
          <w:color w:val="000000"/>
          <w:szCs w:val="21"/>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w:t>
      </w:r>
      <w:r>
        <w:rPr>
          <w:rFonts w:eastAsia="黑体" w:cs="MingLiU_HKSCS" w:hint="eastAsia"/>
          <w:color w:val="000000"/>
          <w:szCs w:val="21"/>
          <w:lang w:val="zh-CN"/>
        </w:rPr>
        <w:t>7</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rPr>
      </w:pPr>
      <w:r>
        <w:rPr>
          <w:rFonts w:eastAsia="楷体_GB2312" w:cs="MingLiU_HKSCS" w:hint="eastAsia"/>
          <w:color w:val="000000"/>
          <w:szCs w:val="21"/>
          <w:lang w:val="zh-CN"/>
        </w:rPr>
        <w:t>涉案专利</w:t>
      </w:r>
      <w:r>
        <w:rPr>
          <w:rFonts w:eastAsia="楷体_GB2312" w:cs="MingLiU_HKSCS" w:hint="eastAsia"/>
          <w:color w:val="000000"/>
          <w:szCs w:val="21"/>
        </w:rPr>
        <w:t>权利要求</w:t>
      </w:r>
      <w:r>
        <w:rPr>
          <w:rFonts w:eastAsia="楷体_GB2312" w:cs="MingLiU_HKSCS" w:hint="eastAsia"/>
          <w:color w:val="000000"/>
          <w:szCs w:val="21"/>
        </w:rPr>
        <w:t>1</w:t>
      </w:r>
      <w:r>
        <w:rPr>
          <w:rFonts w:eastAsia="楷体_GB2312" w:cs="MingLiU_HKSCS" w:hint="eastAsia"/>
          <w:color w:val="000000"/>
          <w:szCs w:val="21"/>
        </w:rPr>
        <w:t>为“</w:t>
      </w:r>
      <w:r>
        <w:rPr>
          <w:rFonts w:eastAsia="楷体_GB2312" w:cs="MingLiU_HKSCS" w:hint="eastAsia"/>
          <w:color w:val="000000"/>
          <w:szCs w:val="21"/>
        </w:rPr>
        <w:t xml:space="preserve">1. </w:t>
      </w:r>
      <w:r>
        <w:rPr>
          <w:rFonts w:eastAsia="楷体_GB2312" w:cs="MingLiU_HKSCS" w:hint="eastAsia"/>
          <w:color w:val="000000"/>
          <w:szCs w:val="21"/>
        </w:rPr>
        <w:t>一种机器，用于施加粘合剂层</w:t>
      </w:r>
      <w:r>
        <w:rPr>
          <w:rFonts w:eastAsia="楷体_GB2312" w:cs="MingLiU_HKSCS" w:hint="eastAsia"/>
          <w:color w:val="000000"/>
          <w:szCs w:val="21"/>
        </w:rPr>
        <w:t>(12)</w:t>
      </w:r>
      <w:r>
        <w:rPr>
          <w:rFonts w:eastAsia="楷体_GB2312" w:cs="MingLiU_HKSCS" w:hint="eastAsia"/>
          <w:color w:val="000000"/>
          <w:szCs w:val="21"/>
        </w:rPr>
        <w:t>到物体</w:t>
      </w:r>
      <w:r>
        <w:rPr>
          <w:rFonts w:eastAsia="楷体_GB2312" w:cs="MingLiU_HKSCS" w:hint="eastAsia"/>
          <w:color w:val="000000"/>
          <w:szCs w:val="21"/>
        </w:rPr>
        <w:t>(22)</w:t>
      </w:r>
      <w:r>
        <w:rPr>
          <w:rFonts w:eastAsia="楷体_GB2312" w:cs="MingLiU_HKSCS" w:hint="eastAsia"/>
          <w:color w:val="000000"/>
          <w:szCs w:val="21"/>
        </w:rPr>
        <w:t>的第一表面</w:t>
      </w:r>
      <w:r>
        <w:rPr>
          <w:rFonts w:eastAsia="楷体_GB2312" w:cs="MingLiU_HKSCS" w:hint="eastAsia"/>
          <w:color w:val="000000"/>
          <w:szCs w:val="21"/>
        </w:rPr>
        <w:t>(24)</w:t>
      </w:r>
      <w:r>
        <w:rPr>
          <w:rFonts w:eastAsia="楷体_GB2312" w:cs="MingLiU_HKSCS" w:hint="eastAsia"/>
          <w:color w:val="000000"/>
          <w:szCs w:val="21"/>
        </w:rPr>
        <w:t>，所述物体</w:t>
      </w:r>
      <w:r>
        <w:rPr>
          <w:rFonts w:eastAsia="楷体_GB2312" w:cs="MingLiU_HKSCS" w:hint="eastAsia"/>
          <w:color w:val="000000"/>
          <w:szCs w:val="21"/>
        </w:rPr>
        <w:t>(22)</w:t>
      </w:r>
      <w:r>
        <w:rPr>
          <w:rFonts w:eastAsia="楷体_GB2312" w:cs="MingLiU_HKSCS" w:hint="eastAsia"/>
          <w:color w:val="000000"/>
          <w:szCs w:val="21"/>
        </w:rPr>
        <w:t>具有与第一表面</w:t>
      </w:r>
      <w:r>
        <w:rPr>
          <w:rFonts w:eastAsia="楷体_GB2312" w:cs="MingLiU_HKSCS" w:hint="eastAsia"/>
          <w:color w:val="000000"/>
          <w:szCs w:val="21"/>
        </w:rPr>
        <w:t>(24)</w:t>
      </w:r>
      <w:r>
        <w:rPr>
          <w:rFonts w:eastAsia="楷体_GB2312" w:cs="MingLiU_HKSCS" w:hint="eastAsia"/>
          <w:color w:val="000000"/>
          <w:szCs w:val="21"/>
        </w:rPr>
        <w:t>相反的第二表面</w:t>
      </w:r>
      <w:r>
        <w:rPr>
          <w:rFonts w:eastAsia="楷体_GB2312" w:cs="MingLiU_HKSCS" w:hint="eastAsia"/>
          <w:color w:val="000000"/>
          <w:szCs w:val="21"/>
        </w:rPr>
        <w:t>(25),</w:t>
      </w:r>
      <w:r>
        <w:rPr>
          <w:rFonts w:eastAsia="微软雅黑" w:hint="eastAsia"/>
          <w:color w:val="333333"/>
          <w:shd w:val="clear" w:color="auto" w:fill="FFFFFF"/>
        </w:rPr>
        <w:t xml:space="preserve"> </w:t>
      </w:r>
      <w:r>
        <w:rPr>
          <w:rFonts w:eastAsia="楷体_GB2312" w:cs="MingLiU_HKSCS" w:hint="eastAsia"/>
          <w:color w:val="000000"/>
          <w:szCs w:val="21"/>
        </w:rPr>
        <w:t>其特征在于，所述机器包括：用于提供第一带</w:t>
      </w:r>
      <w:r>
        <w:rPr>
          <w:rFonts w:eastAsia="楷体_GB2312" w:cs="MingLiU_HKSCS" w:hint="eastAsia"/>
          <w:color w:val="000000"/>
          <w:szCs w:val="21"/>
        </w:rPr>
        <w:t>(30)</w:t>
      </w:r>
      <w:r>
        <w:rPr>
          <w:rFonts w:eastAsia="楷体_GB2312" w:cs="MingLiU_HKSCS" w:hint="eastAsia"/>
          <w:color w:val="000000"/>
          <w:szCs w:val="21"/>
        </w:rPr>
        <w:t>的第一进料装置</w:t>
      </w:r>
      <w:r>
        <w:rPr>
          <w:rFonts w:eastAsia="楷体_GB2312" w:cs="MingLiU_HKSCS" w:hint="eastAsia"/>
          <w:color w:val="000000"/>
          <w:szCs w:val="21"/>
        </w:rPr>
        <w:t>(11</w:t>
      </w:r>
      <w:r>
        <w:rPr>
          <w:rFonts w:eastAsia="楷体_GB2312" w:cs="MingLiU_HKSCS" w:hint="eastAsia"/>
          <w:color w:val="000000"/>
          <w:szCs w:val="21"/>
        </w:rPr>
        <w:t>，</w:t>
      </w:r>
      <w:r>
        <w:rPr>
          <w:rFonts w:eastAsia="楷体_GB2312" w:cs="MingLiU_HKSCS" w:hint="eastAsia"/>
          <w:color w:val="000000"/>
          <w:szCs w:val="21"/>
        </w:rPr>
        <w:t>13),</w:t>
      </w:r>
      <w:r>
        <w:rPr>
          <w:rFonts w:eastAsia="楷体_GB2312" w:cs="MingLiU_HKSCS"/>
          <w:color w:val="000000"/>
          <w:szCs w:val="21"/>
        </w:rPr>
        <w:t>…</w:t>
      </w:r>
      <w:r>
        <w:rPr>
          <w:rFonts w:eastAsia="楷体_GB2312" w:cs="MingLiU_HKSCS" w:hint="eastAsia"/>
          <w:color w:val="000000"/>
          <w:szCs w:val="21"/>
        </w:rPr>
        <w:t>；用于提供第二带</w:t>
      </w:r>
      <w:r>
        <w:rPr>
          <w:rFonts w:eastAsia="楷体_GB2312" w:cs="MingLiU_HKSCS" w:hint="eastAsia"/>
          <w:color w:val="000000"/>
          <w:szCs w:val="21"/>
        </w:rPr>
        <w:t>(32)</w:t>
      </w:r>
      <w:r>
        <w:rPr>
          <w:rFonts w:eastAsia="楷体_GB2312" w:cs="MingLiU_HKSCS" w:hint="eastAsia"/>
          <w:color w:val="000000"/>
          <w:szCs w:val="21"/>
        </w:rPr>
        <w:t>的第二进料装置</w:t>
      </w:r>
      <w:r>
        <w:rPr>
          <w:rFonts w:eastAsia="楷体_GB2312" w:cs="MingLiU_HKSCS" w:hint="eastAsia"/>
          <w:color w:val="000000"/>
          <w:szCs w:val="21"/>
        </w:rPr>
        <w:t>(17</w:t>
      </w:r>
      <w:r>
        <w:rPr>
          <w:rFonts w:eastAsia="楷体_GB2312" w:cs="MingLiU_HKSCS" w:hint="eastAsia"/>
          <w:color w:val="000000"/>
          <w:szCs w:val="21"/>
        </w:rPr>
        <w:t>，</w:t>
      </w:r>
      <w:r>
        <w:rPr>
          <w:rFonts w:eastAsia="楷体_GB2312" w:cs="MingLiU_HKSCS" w:hint="eastAsia"/>
          <w:color w:val="000000"/>
          <w:szCs w:val="21"/>
        </w:rPr>
        <w:t>18)</w:t>
      </w:r>
      <w:r>
        <w:rPr>
          <w:rFonts w:eastAsia="楷体_GB2312" w:cs="MingLiU_HKSCS" w:hint="eastAsia"/>
          <w:color w:val="000000"/>
          <w:szCs w:val="21"/>
        </w:rPr>
        <w:t>，</w:t>
      </w:r>
      <w:r>
        <w:rPr>
          <w:rFonts w:eastAsia="楷体_GB2312" w:cs="MingLiU_HKSCS"/>
          <w:color w:val="000000"/>
          <w:szCs w:val="21"/>
        </w:rPr>
        <w:t>…</w:t>
      </w:r>
      <w:r>
        <w:rPr>
          <w:rFonts w:eastAsia="楷体_GB2312" w:cs="MingLiU_HKSCS" w:hint="eastAsia"/>
          <w:color w:val="000000"/>
          <w:szCs w:val="21"/>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本案争议的焦点是</w:t>
      </w:r>
      <w:r>
        <w:rPr>
          <w:rFonts w:eastAsia="楷体_GB2312" w:cs="MingLiU_HKSCS"/>
          <w:color w:val="000000"/>
          <w:szCs w:val="21"/>
          <w:lang w:val="zh-CN"/>
        </w:rPr>
        <w:t>：</w:t>
      </w:r>
      <w:r>
        <w:rPr>
          <w:rFonts w:eastAsia="楷体_GB2312" w:cs="MingLiU_HKSCS" w:hint="eastAsia"/>
          <w:color w:val="000000"/>
          <w:szCs w:val="21"/>
          <w:lang w:val="zh-CN"/>
        </w:rPr>
        <w:t>如何理解环境特征对权利要求保护范围的作用。</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本案中，</w:t>
      </w:r>
      <w:r>
        <w:rPr>
          <w:rFonts w:eastAsia="楷体_GB2312" w:cs="MingLiU_HKSCS" w:hint="eastAsia"/>
          <w:color w:val="000000"/>
          <w:szCs w:val="21"/>
        </w:rPr>
        <w:t>通过阅读说明书和附图，本领域技术人员可以理解，“第一带”“第二带”及“所述物体”均不是机器本身的组成部件，“第一带”“第二带”是机器运转过程中必备的物料，“所述物体”是机器的加工对象，系用于说明被保护主题对象的用途、适用对象、使用方式等的技术特征，属于使用环境特征。本案中，被控侵权的机器设备的机械结构、装置和运行原理与涉案专利说明书中具体实施例的记载一致，亦与涉案专利技术方案所实现的功能、解决的技术问题相同。基于被控侵权公司一并销售上述物品的事实，可以合理推断被控侵权机器的用途与涉案专利的发明用途一致。被控侵权机器可以适用于“第一带”“第二带”“所述物体”等使用环境，具有与之相应的涉案专利技术特征。被控侵权公司是否将“第一带”“第二带”安装于机器上、是否销售“所述物体”，均不影响被控侵权产品已经具备涉案专利相应技术特征的认定。</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7 \* GB2</w:instrText>
      </w:r>
      <w:r>
        <w:rPr>
          <w:rFonts w:cs="MingLiU_HKSCS"/>
          <w:color w:val="000000"/>
          <w:szCs w:val="21"/>
          <w:lang w:val="zh-CN"/>
        </w:rPr>
        <w:fldChar w:fldCharType="separate"/>
      </w:r>
      <w:r w:rsidR="00235733">
        <w:rPr>
          <w:rFonts w:cs="MingLiU_HKSCS" w:hint="eastAsia"/>
          <w:color w:val="000000"/>
          <w:szCs w:val="21"/>
          <w:lang w:val="en-US"/>
        </w:rPr>
        <w:t>（</w:t>
      </w:r>
      <w:r w:rsidR="00235733">
        <w:rPr>
          <w:rFonts w:cs="MingLiU_HKSCS" w:hint="eastAsia"/>
          <w:color w:val="000000"/>
          <w:szCs w:val="21"/>
          <w:lang w:val="en-US"/>
        </w:rPr>
        <w:t>7</w:t>
      </w:r>
      <w:r w:rsidR="00235733">
        <w:rPr>
          <w:rFonts w:cs="MingLiU_HKSCS" w:hint="eastAsia"/>
          <w:color w:val="000000"/>
          <w:szCs w:val="21"/>
          <w:lang w:val="en-US"/>
        </w:rPr>
        <w:t>）</w:t>
      </w:r>
      <w:r>
        <w:rPr>
          <w:rFonts w:cs="MingLiU_HKSCS"/>
          <w:color w:val="000000"/>
          <w:szCs w:val="21"/>
          <w:lang w:val="zh-CN"/>
        </w:rPr>
        <w:fldChar w:fldCharType="end"/>
      </w:r>
      <w:r w:rsidR="00235733">
        <w:rPr>
          <w:rFonts w:cs="MingLiU_HKSCS" w:hint="eastAsia"/>
          <w:color w:val="000000"/>
          <w:szCs w:val="21"/>
          <w:lang w:val="zh-CN"/>
        </w:rPr>
        <w:t>方法权利要求</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GB3</w:instrText>
      </w:r>
      <w:r>
        <w:rPr>
          <w:rFonts w:cs="MingLiU_HKSCS"/>
          <w:color w:val="000000"/>
          <w:szCs w:val="21"/>
          <w:lang w:val="zh-CN"/>
        </w:rPr>
        <w:fldChar w:fldCharType="separate"/>
      </w:r>
      <w:r w:rsidR="00235733">
        <w:rPr>
          <w:rFonts w:cs="MingLiU_HKSCS" w:hint="eastAsia"/>
          <w:color w:val="000000"/>
          <w:szCs w:val="21"/>
          <w:lang w:val="en-US"/>
        </w:rPr>
        <w:t>①</w:t>
      </w:r>
      <w:r>
        <w:rPr>
          <w:rFonts w:cs="MingLiU_HKSCS"/>
          <w:color w:val="000000"/>
          <w:szCs w:val="21"/>
          <w:lang w:val="zh-CN"/>
        </w:rPr>
        <w:fldChar w:fldCharType="end"/>
      </w:r>
      <w:r w:rsidR="00235733">
        <w:rPr>
          <w:rFonts w:cs="MingLiU_HKSCS" w:hint="eastAsia"/>
          <w:color w:val="000000"/>
          <w:szCs w:val="21"/>
          <w:lang w:val="zh-CN"/>
        </w:rPr>
        <w:t>方法权利要求中的步骤顺序</w:t>
      </w:r>
    </w:p>
    <w:p w:rsidR="00800760" w:rsidRDefault="00235733">
      <w:pPr>
        <w:widowControl w:val="0"/>
        <w:topLinePunct/>
        <w:jc w:val="both"/>
        <w:rPr>
          <w:rFonts w:cs="MingLiU_HKSCS"/>
          <w:color w:val="000000"/>
          <w:szCs w:val="21"/>
          <w:lang w:val="en-US"/>
        </w:rPr>
      </w:pPr>
      <w:r>
        <w:rPr>
          <w:rFonts w:hint="eastAsia"/>
          <w:szCs w:val="21"/>
        </w:rPr>
        <w:t>原料、步骤和产品是方法权利要求必不可少的组成部分。对于明确记载步骤顺序的方法权利要求，步骤本身以及步骤之间的顺序都对方法权利要求具有限定作用。对于没有明确记载步骤顺序的方法权利要求，并不必然意味着该方法权利要求不存在步骤顺序。是否需要考虑步骤顺序，应当从本领域技术人员角度出发，结合说明书及附图、专利审查文档、权利要求记载的整体技术方案以及各个步骤之间的逻辑关系，确定各个步骤之间是否应当按特定的顺序实施。本领域技术人员能够</w:t>
      </w:r>
      <w:r>
        <w:rPr>
          <w:rFonts w:cs="MingLiU_HKSCS" w:hint="eastAsia"/>
          <w:color w:val="000000"/>
          <w:szCs w:val="21"/>
          <w:lang w:val="en-US"/>
        </w:rPr>
        <w:t>直接、明确地认为该步骤应按照特定顺序实施的，管理专利工作的部门应当认定该步骤顺序对于专利权的保护范围具有限定作用。</w:t>
      </w:r>
    </w:p>
    <w:p w:rsidR="00800760" w:rsidRDefault="00235733">
      <w:pPr>
        <w:widowControl w:val="0"/>
        <w:topLinePunct/>
        <w:jc w:val="both"/>
        <w:rPr>
          <w:szCs w:val="21"/>
          <w:lang w:val="en-US"/>
        </w:rPr>
      </w:pPr>
      <w:r>
        <w:rPr>
          <w:rFonts w:hint="eastAsia"/>
          <w:szCs w:val="21"/>
          <w:lang w:val="en-US"/>
        </w:rPr>
        <w:t>方法权利要求的步骤顺序是否对专利权的保护范围具有限定作用，从而导致步骤顺序发生改变时限制等同原则的适用，关键在于该步骤是否必须以特定的顺序实施以及这种顺序改变是否会带来技术功能或者技术效果的实质性差异。</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w:t>
      </w:r>
      <w:r>
        <w:rPr>
          <w:rFonts w:eastAsia="黑体" w:cs="MingLiU_HKSCS" w:hint="eastAsia"/>
          <w:color w:val="000000"/>
          <w:szCs w:val="21"/>
          <w:lang w:val="zh-CN"/>
        </w:rPr>
        <w:t>8</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涉案专利的权利要求</w:t>
      </w:r>
      <w:r>
        <w:rPr>
          <w:rFonts w:eastAsia="楷体_GB2312" w:cs="MingLiU_HKSCS"/>
          <w:color w:val="000000"/>
          <w:szCs w:val="21"/>
          <w:lang w:val="zh-CN"/>
        </w:rPr>
        <w:t>1</w:t>
      </w:r>
      <w:r>
        <w:rPr>
          <w:rFonts w:eastAsia="楷体_GB2312" w:cs="MingLiU_HKSCS" w:hint="eastAsia"/>
          <w:color w:val="000000"/>
          <w:szCs w:val="21"/>
          <w:lang w:val="zh-CN"/>
        </w:rPr>
        <w:t>为</w:t>
      </w:r>
      <w:r>
        <w:rPr>
          <w:rFonts w:eastAsia="楷体_GB2312" w:cs="MingLiU_HKSCS"/>
          <w:color w:val="000000"/>
          <w:szCs w:val="21"/>
          <w:lang w:val="zh-CN"/>
        </w:rPr>
        <w:t>：</w:t>
      </w:r>
      <w:r>
        <w:rPr>
          <w:rFonts w:eastAsia="楷体_GB2312" w:cs="MingLiU_HKSCS" w:hint="eastAsia"/>
          <w:color w:val="000000"/>
          <w:szCs w:val="21"/>
          <w:lang w:val="zh-CN"/>
        </w:rPr>
        <w:t>“一种制造弹簧铰链的方法，该铰链由至少一个外壳、一个铰接件和一个弹簧构成，其特征是该方法包括下述步骤</w:t>
      </w:r>
      <w:r>
        <w:rPr>
          <w:rFonts w:eastAsia="楷体_GB2312" w:cs="MingLiU_HKSCS"/>
          <w:color w:val="000000"/>
          <w:szCs w:val="21"/>
          <w:lang w:val="zh-CN"/>
        </w:rPr>
        <w:t>：（</w:t>
      </w:r>
      <w:r>
        <w:rPr>
          <w:rFonts w:eastAsia="楷体_GB2312" w:cs="MingLiU_HKSCS"/>
          <w:color w:val="000000"/>
          <w:szCs w:val="21"/>
          <w:lang w:val="zh-CN"/>
        </w:rPr>
        <w:t>1</w:t>
      </w:r>
      <w:r>
        <w:rPr>
          <w:rFonts w:eastAsia="楷体_GB2312" w:cs="MingLiU_HKSCS"/>
          <w:color w:val="000000"/>
          <w:szCs w:val="21"/>
          <w:lang w:val="zh-CN"/>
        </w:rPr>
        <w:t>）</w:t>
      </w:r>
      <w:r>
        <w:rPr>
          <w:rFonts w:eastAsia="楷体_GB2312" w:cs="MingLiU_HKSCS" w:hint="eastAsia"/>
          <w:color w:val="000000"/>
          <w:szCs w:val="21"/>
          <w:lang w:val="zh-CN"/>
        </w:rPr>
        <w:t>提供一用于形成铰接件的金属带；</w:t>
      </w:r>
      <w:r>
        <w:rPr>
          <w:rFonts w:eastAsia="楷体_GB2312" w:cs="MingLiU_HKSCS"/>
          <w:color w:val="000000"/>
          <w:szCs w:val="21"/>
          <w:lang w:val="zh-CN"/>
        </w:rPr>
        <w:t>（</w:t>
      </w:r>
      <w:r>
        <w:rPr>
          <w:rFonts w:eastAsia="楷体_GB2312" w:cs="MingLiU_HKSCS"/>
          <w:color w:val="000000"/>
          <w:szCs w:val="21"/>
          <w:lang w:val="zh-CN"/>
        </w:rPr>
        <w:t>2</w:t>
      </w:r>
      <w:r>
        <w:rPr>
          <w:rFonts w:eastAsia="楷体_GB2312" w:cs="MingLiU_HKSCS"/>
          <w:color w:val="000000"/>
          <w:szCs w:val="21"/>
          <w:lang w:val="zh-CN"/>
        </w:rPr>
        <w:t>）</w:t>
      </w:r>
      <w:r>
        <w:rPr>
          <w:rFonts w:eastAsia="楷体_GB2312" w:cs="MingLiU_HKSCS" w:hint="eastAsia"/>
          <w:color w:val="000000"/>
          <w:szCs w:val="21"/>
          <w:lang w:val="zh-CN"/>
        </w:rPr>
        <w:t>切割出大致与铰接件外形一致的区域；</w:t>
      </w:r>
      <w:r>
        <w:rPr>
          <w:rFonts w:eastAsia="楷体_GB2312" w:cs="MingLiU_HKSCS"/>
          <w:color w:val="000000"/>
          <w:szCs w:val="21"/>
          <w:lang w:val="zh-CN"/>
        </w:rPr>
        <w:t>（</w:t>
      </w:r>
      <w:r>
        <w:rPr>
          <w:rFonts w:eastAsia="楷体_GB2312" w:cs="MingLiU_HKSCS"/>
          <w:color w:val="000000"/>
          <w:szCs w:val="21"/>
          <w:lang w:val="zh-CN"/>
        </w:rPr>
        <w:t>3</w:t>
      </w:r>
      <w:r>
        <w:rPr>
          <w:rFonts w:eastAsia="楷体_GB2312" w:cs="MingLiU_HKSCS"/>
          <w:color w:val="000000"/>
          <w:szCs w:val="21"/>
          <w:lang w:val="zh-CN"/>
        </w:rPr>
        <w:t>）</w:t>
      </w:r>
      <w:r>
        <w:rPr>
          <w:rFonts w:eastAsia="楷体_GB2312" w:cs="MingLiU_HKSCS" w:hint="eastAsia"/>
          <w:color w:val="000000"/>
          <w:szCs w:val="21"/>
          <w:lang w:val="zh-CN"/>
        </w:rPr>
        <w:t>通过冲压形成一圆形部分以形成铰接件的突肩；</w:t>
      </w:r>
      <w:r>
        <w:rPr>
          <w:rFonts w:eastAsia="楷体_GB2312" w:cs="MingLiU_HKSCS"/>
          <w:color w:val="000000"/>
          <w:szCs w:val="21"/>
          <w:lang w:val="zh-CN"/>
        </w:rPr>
        <w:t>（</w:t>
      </w:r>
      <w:r>
        <w:rPr>
          <w:rFonts w:eastAsia="楷体_GB2312" w:cs="MingLiU_HKSCS"/>
          <w:color w:val="000000"/>
          <w:szCs w:val="21"/>
          <w:lang w:val="zh-CN"/>
        </w:rPr>
        <w:t>4</w:t>
      </w:r>
      <w:r>
        <w:rPr>
          <w:rFonts w:eastAsia="楷体_GB2312" w:cs="MingLiU_HKSCS"/>
          <w:color w:val="000000"/>
          <w:szCs w:val="21"/>
          <w:lang w:val="zh-CN"/>
        </w:rPr>
        <w:t>）</w:t>
      </w:r>
      <w:r>
        <w:rPr>
          <w:rFonts w:eastAsia="楷体_GB2312" w:cs="MingLiU_HKSCS" w:hint="eastAsia"/>
          <w:color w:val="000000"/>
          <w:szCs w:val="21"/>
          <w:lang w:val="zh-CN"/>
        </w:rPr>
        <w:t>冲出铰接件的铰接孔。”</w:t>
      </w:r>
    </w:p>
    <w:p w:rsidR="00800760" w:rsidRDefault="00235733">
      <w:pPr>
        <w:widowControl w:val="0"/>
        <w:topLinePunct/>
        <w:ind w:firstLine="640"/>
        <w:jc w:val="center"/>
        <w:rPr>
          <w:rFonts w:eastAsia="仿宋_GB2312" w:cs="MingLiU_HKSCS"/>
          <w:color w:val="000000"/>
          <w:sz w:val="32"/>
          <w:szCs w:val="24"/>
          <w:lang w:val="zh-CN"/>
        </w:rPr>
      </w:pPr>
      <w:r>
        <w:rPr>
          <w:rFonts w:eastAsia="仿宋_GB2312" w:cs="MingLiU_HKSCS"/>
          <w:noProof/>
          <w:color w:val="000000"/>
          <w:sz w:val="32"/>
          <w:szCs w:val="24"/>
          <w:lang w:val="en-US"/>
        </w:rPr>
        <w:drawing>
          <wp:inline distT="0" distB="0" distL="0" distR="0">
            <wp:extent cx="3429000" cy="1476375"/>
            <wp:effectExtent l="19050" t="0" r="0" b="0"/>
            <wp:docPr id="6" name="图片 2"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21"/>
                    <pic:cNvPicPr>
                      <a:picLocks noChangeAspect="1" noChangeArrowheads="1"/>
                    </pic:cNvPicPr>
                  </pic:nvPicPr>
                  <pic:blipFill>
                    <a:blip r:embed="rId19" cstate="print"/>
                    <a:srcRect t="22871"/>
                    <a:stretch>
                      <a:fillRect/>
                    </a:stretch>
                  </pic:blipFill>
                  <pic:spPr>
                    <a:xfrm>
                      <a:off x="0" y="0"/>
                      <a:ext cx="3429000" cy="1476375"/>
                    </a:xfrm>
                    <a:prstGeom prst="rect">
                      <a:avLst/>
                    </a:prstGeom>
                    <a:noFill/>
                    <a:ln w="9525">
                      <a:noFill/>
                      <a:miter lim="800000"/>
                      <a:headEnd/>
                      <a:tailEnd/>
                    </a:ln>
                  </pic:spPr>
                </pic:pic>
              </a:graphicData>
            </a:graphic>
          </wp:inline>
        </w:drawing>
      </w:r>
    </w:p>
    <w:p w:rsidR="00800760" w:rsidRDefault="00235733">
      <w:pPr>
        <w:widowControl w:val="0"/>
        <w:topLinePunct/>
        <w:ind w:firstLine="360"/>
        <w:jc w:val="center"/>
        <w:rPr>
          <w:rFonts w:eastAsia="黑体" w:cs="MingLiU_HKSCS"/>
          <w:color w:val="000000"/>
          <w:sz w:val="18"/>
          <w:szCs w:val="18"/>
          <w:lang w:val="zh-CN"/>
        </w:rPr>
      </w:pPr>
      <w:r>
        <w:rPr>
          <w:rFonts w:eastAsia="黑体" w:cs="MingLiU_HKSCS" w:hint="eastAsia"/>
          <w:color w:val="000000"/>
          <w:sz w:val="18"/>
          <w:szCs w:val="18"/>
          <w:lang w:val="zh-CN"/>
        </w:rPr>
        <w:t>涉案专利附图</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本案的争议点在于</w:t>
      </w:r>
      <w:r>
        <w:rPr>
          <w:rFonts w:eastAsia="楷体_GB2312" w:cs="MingLiU_HKSCS"/>
          <w:color w:val="000000"/>
          <w:szCs w:val="21"/>
          <w:lang w:val="zh-CN"/>
        </w:rPr>
        <w:t>：</w:t>
      </w:r>
      <w:r>
        <w:rPr>
          <w:rFonts w:eastAsia="楷体_GB2312" w:cs="MingLiU_HKSCS" w:hint="eastAsia"/>
          <w:color w:val="000000"/>
          <w:szCs w:val="21"/>
          <w:lang w:val="zh-CN"/>
        </w:rPr>
        <w:t>权利要求的步骤之间是否有顺序限定，顺序是否会带来实质性的差异。</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首先，供料步骤的作用在于为其他的步骤提供加工材料，因此，供料步骤必须在其他步骤之前首先实施。</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其次，切割步骤的作用是从金属带上切割出大致与铰接件外形一致的区域。根据说明书及附图，所述区域包括“用于形成凸肩</w:t>
      </w:r>
      <w:r>
        <w:rPr>
          <w:rFonts w:eastAsia="楷体_GB2312" w:cs="MingLiU_HKSCS"/>
          <w:color w:val="000000"/>
          <w:szCs w:val="21"/>
          <w:lang w:val="zh-CN"/>
        </w:rPr>
        <w:t>9</w:t>
      </w:r>
      <w:r>
        <w:rPr>
          <w:rFonts w:eastAsia="楷体_GB2312" w:cs="MingLiU_HKSCS" w:hint="eastAsia"/>
          <w:color w:val="000000"/>
          <w:szCs w:val="21"/>
          <w:lang w:val="zh-CN"/>
        </w:rPr>
        <w:t>的基本形状”和“以后具有铰链孔范围</w:t>
      </w:r>
      <w:r>
        <w:rPr>
          <w:rFonts w:eastAsia="楷体_GB2312" w:cs="MingLiU_HKSCS"/>
          <w:color w:val="000000"/>
          <w:szCs w:val="21"/>
          <w:lang w:val="zh-CN"/>
        </w:rPr>
        <w:t>497</w:t>
      </w:r>
      <w:r>
        <w:rPr>
          <w:rFonts w:eastAsia="楷体_GB2312" w:cs="MingLiU_HKSCS" w:hint="eastAsia"/>
          <w:color w:val="000000"/>
          <w:szCs w:val="21"/>
          <w:lang w:val="zh-CN"/>
        </w:rPr>
        <w:t>的至少一部分”。由于冲压步骤是对由切割步骤制成的“用于形成凸肩</w:t>
      </w:r>
      <w:r>
        <w:rPr>
          <w:rFonts w:eastAsia="楷体_GB2312" w:cs="MingLiU_HKSCS"/>
          <w:color w:val="000000"/>
          <w:szCs w:val="21"/>
          <w:lang w:val="zh-CN"/>
        </w:rPr>
        <w:t>9</w:t>
      </w:r>
      <w:r>
        <w:rPr>
          <w:rFonts w:eastAsia="楷体_GB2312" w:cs="MingLiU_HKSCS" w:hint="eastAsia"/>
          <w:color w:val="000000"/>
          <w:szCs w:val="21"/>
          <w:lang w:val="zh-CN"/>
        </w:rPr>
        <w:t>的基本形状”进行冲压，冲孔步骤是在由切割步骤制成的“范围</w:t>
      </w:r>
      <w:r>
        <w:rPr>
          <w:rFonts w:eastAsia="楷体_GB2312" w:cs="MingLiU_HKSCS"/>
          <w:color w:val="000000"/>
          <w:szCs w:val="21"/>
          <w:lang w:val="zh-CN"/>
        </w:rPr>
        <w:t>497</w:t>
      </w:r>
      <w:r>
        <w:rPr>
          <w:rFonts w:eastAsia="楷体_GB2312" w:cs="MingLiU_HKSCS" w:hint="eastAsia"/>
          <w:color w:val="000000"/>
          <w:szCs w:val="21"/>
          <w:lang w:val="zh-CN"/>
        </w:rPr>
        <w:t>”内制作铰接孔，同时，说明书中没有记载可以在切割步骤之前实施冲孔步骤或冲压步骤的技术内容，因此，权利要求</w:t>
      </w:r>
      <w:r>
        <w:rPr>
          <w:rFonts w:eastAsia="楷体_GB2312" w:cs="MingLiU_HKSCS"/>
          <w:color w:val="000000"/>
          <w:szCs w:val="21"/>
          <w:lang w:val="zh-CN"/>
        </w:rPr>
        <w:t>1</w:t>
      </w:r>
      <w:r>
        <w:rPr>
          <w:rFonts w:eastAsia="楷体_GB2312" w:cs="MingLiU_HKSCS" w:hint="eastAsia"/>
          <w:color w:val="000000"/>
          <w:szCs w:val="21"/>
          <w:lang w:val="zh-CN"/>
        </w:rPr>
        <w:t>中的切割步骤应当在冲压步骤和冲孔步骤之前实施。从说明书记载的内容看，虽然冲压步骤与冲孔步骤的顺序可以调换，但是，在实际加工过程中，一旦确定了二者的顺序，二者的顺序就只能依次进行。</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因此，权利要求</w:t>
      </w:r>
      <w:r>
        <w:rPr>
          <w:rFonts w:eastAsia="楷体_GB2312" w:cs="MingLiU_HKSCS"/>
          <w:color w:val="000000"/>
          <w:szCs w:val="21"/>
          <w:lang w:val="zh-CN"/>
        </w:rPr>
        <w:t>1</w:t>
      </w:r>
      <w:r>
        <w:rPr>
          <w:rFonts w:eastAsia="楷体_GB2312" w:cs="MingLiU_HKSCS" w:hint="eastAsia"/>
          <w:color w:val="000000"/>
          <w:szCs w:val="21"/>
          <w:lang w:val="zh-CN"/>
        </w:rPr>
        <w:t>中的四个步骤应当按照供料步骤、切割步骤、冲压步骤或冲孔步骤的顺序依次实施，各个步骤之间具有特定的实施顺序。</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2 \* GB3</w:instrText>
      </w:r>
      <w:r>
        <w:rPr>
          <w:rFonts w:cs="MingLiU_HKSCS"/>
          <w:color w:val="000000"/>
          <w:szCs w:val="21"/>
          <w:lang w:val="zh-CN"/>
        </w:rPr>
        <w:fldChar w:fldCharType="separate"/>
      </w:r>
      <w:r w:rsidR="00235733">
        <w:rPr>
          <w:rFonts w:cs="MingLiU_HKSCS" w:hint="eastAsia"/>
          <w:color w:val="000000"/>
          <w:szCs w:val="21"/>
          <w:lang w:val="en-US"/>
        </w:rPr>
        <w:t>②</w:t>
      </w:r>
      <w:r>
        <w:rPr>
          <w:rFonts w:cs="MingLiU_HKSCS"/>
          <w:color w:val="000000"/>
          <w:szCs w:val="21"/>
          <w:lang w:val="zh-CN"/>
        </w:rPr>
        <w:fldChar w:fldCharType="end"/>
      </w:r>
      <w:r w:rsidR="00235733">
        <w:rPr>
          <w:rFonts w:cs="MingLiU_HKSCS" w:hint="eastAsia"/>
          <w:color w:val="000000"/>
          <w:szCs w:val="21"/>
          <w:lang w:val="zh-CN"/>
        </w:rPr>
        <w:t>制备方法权利要求直接获得的产品</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根据《专利法》第十一条第一款的规定，制备方法专利权的保护可以延伸到使用该方法直接获得的产品，因此，界定制备方法权利要求直接获得的产品对于确定专利权的保护范围非常重要。</w:t>
      </w:r>
    </w:p>
    <w:p w:rsidR="00800760" w:rsidRDefault="00235733">
      <w:pPr>
        <w:widowControl w:val="0"/>
        <w:topLinePunct/>
        <w:jc w:val="both"/>
        <w:rPr>
          <w:szCs w:val="21"/>
        </w:rPr>
      </w:pPr>
      <w:r>
        <w:rPr>
          <w:rFonts w:hint="eastAsia"/>
          <w:szCs w:val="21"/>
        </w:rPr>
        <w:t>关于制备方法权利要求直接获得的产品的认定，参见本指南第三章第一节第六部分之（二）“‘依照专利方法直接获得的产品’的含义”中相关内容。</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3 \* GB3</w:instrText>
      </w:r>
      <w:r>
        <w:rPr>
          <w:rFonts w:cs="MingLiU_HKSCS"/>
          <w:color w:val="000000"/>
          <w:szCs w:val="21"/>
          <w:lang w:val="zh-CN"/>
        </w:rPr>
        <w:fldChar w:fldCharType="separate"/>
      </w:r>
      <w:r w:rsidR="00235733">
        <w:rPr>
          <w:rFonts w:cs="MingLiU_HKSCS" w:hint="eastAsia"/>
          <w:color w:val="000000"/>
          <w:szCs w:val="21"/>
          <w:lang w:val="en-US"/>
        </w:rPr>
        <w:t>③</w:t>
      </w:r>
      <w:r>
        <w:rPr>
          <w:rFonts w:cs="MingLiU_HKSCS"/>
          <w:color w:val="000000"/>
          <w:szCs w:val="21"/>
          <w:lang w:val="zh-CN"/>
        </w:rPr>
        <w:fldChar w:fldCharType="end"/>
      </w:r>
      <w:r w:rsidR="00235733">
        <w:rPr>
          <w:rFonts w:cs="MingLiU_HKSCS" w:hint="eastAsia"/>
          <w:color w:val="000000"/>
          <w:szCs w:val="21"/>
          <w:lang w:val="zh-CN"/>
        </w:rPr>
        <w:t>新产品的制备方法权利要求中的“新产品”</w:t>
      </w:r>
    </w:p>
    <w:p w:rsidR="00800760" w:rsidRDefault="00235733">
      <w:pPr>
        <w:widowControl w:val="0"/>
        <w:topLinePunct/>
        <w:jc w:val="both"/>
        <w:rPr>
          <w:rFonts w:cs="MingLiU_HKSCS"/>
          <w:color w:val="000000"/>
          <w:szCs w:val="21"/>
          <w:lang w:val="zh-CN"/>
        </w:rPr>
      </w:pPr>
      <w:r>
        <w:rPr>
          <w:rFonts w:hint="eastAsia"/>
          <w:szCs w:val="21"/>
        </w:rPr>
        <w:t>根据《专利法》第六十六</w:t>
      </w:r>
      <w:r>
        <w:rPr>
          <w:rFonts w:cs="MingLiU_HKSCS" w:hint="eastAsia"/>
          <w:color w:val="000000"/>
          <w:szCs w:val="21"/>
          <w:lang w:val="zh-CN"/>
        </w:rPr>
        <w:t>条第一款的规定，专利侵权纠纷涉及新产品制备方法发明专利的，</w:t>
      </w:r>
      <w:r>
        <w:t>制造同样产品的单位或者个人</w:t>
      </w:r>
      <w:r>
        <w:rPr>
          <w:rFonts w:cs="MingLiU_HKSCS" w:hint="eastAsia"/>
          <w:color w:val="000000"/>
          <w:szCs w:val="21"/>
          <w:lang w:val="zh-CN"/>
        </w:rPr>
        <w:t>负有举证证明其产品制备方法不同于专利方法的责任。但举证责任的倒置需要满足两个前提条件</w:t>
      </w:r>
      <w:r>
        <w:rPr>
          <w:rFonts w:cs="MingLiU_HKSCS"/>
          <w:color w:val="000000"/>
          <w:szCs w:val="21"/>
          <w:lang w:val="zh-CN"/>
        </w:rPr>
        <w:t>：</w:t>
      </w:r>
      <w:r>
        <w:rPr>
          <w:rFonts w:cs="MingLiU_HKSCS" w:hint="eastAsia"/>
          <w:color w:val="000000"/>
          <w:szCs w:val="21"/>
          <w:lang w:val="zh-CN"/>
        </w:rPr>
        <w:t>第一，专利权人需要举证证明该制备方法权利要求所获得的产品是新产品；第二，专利权人需要举证证明被控侵权产品与依据专利方法获得的产品相同。</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所称“新产品”，是指产品或者制备产品的技术方案在专利申请日前不为国内外公众所知。不能将其认定为在专利申请日前在国内未曾出现过的产品，更不能将其认定为在专利申请日前没有在国内上市的产品。</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8 \* GB2</w:instrText>
      </w:r>
      <w:r>
        <w:rPr>
          <w:rFonts w:cs="MingLiU_HKSCS"/>
          <w:color w:val="000000"/>
          <w:szCs w:val="21"/>
          <w:lang w:val="zh-CN"/>
        </w:rPr>
        <w:fldChar w:fldCharType="separate"/>
      </w:r>
      <w:r w:rsidR="00235733">
        <w:rPr>
          <w:rFonts w:cs="MingLiU_HKSCS" w:hint="eastAsia"/>
          <w:color w:val="000000"/>
          <w:szCs w:val="21"/>
          <w:lang w:val="en-US"/>
        </w:rPr>
        <w:t>（</w:t>
      </w:r>
      <w:r w:rsidR="00235733">
        <w:rPr>
          <w:rFonts w:cs="MingLiU_HKSCS" w:hint="eastAsia"/>
          <w:color w:val="000000"/>
          <w:szCs w:val="21"/>
          <w:lang w:val="en-US"/>
        </w:rPr>
        <w:t>8</w:t>
      </w:r>
      <w:r w:rsidR="00235733">
        <w:rPr>
          <w:rFonts w:cs="MingLiU_HKSCS" w:hint="eastAsia"/>
          <w:color w:val="000000"/>
          <w:szCs w:val="21"/>
          <w:lang w:val="en-US"/>
        </w:rPr>
        <w:t>）</w:t>
      </w:r>
      <w:r>
        <w:rPr>
          <w:rFonts w:cs="MingLiU_HKSCS"/>
          <w:color w:val="000000"/>
          <w:szCs w:val="21"/>
          <w:lang w:val="zh-CN"/>
        </w:rPr>
        <w:fldChar w:fldCharType="end"/>
      </w:r>
      <w:r w:rsidR="00235733">
        <w:rPr>
          <w:rFonts w:cs="MingLiU_HKSCS" w:hint="eastAsia"/>
          <w:color w:val="000000"/>
          <w:szCs w:val="21"/>
          <w:lang w:val="zh-CN"/>
        </w:rPr>
        <w:t>含有用途、方法或材料特征的实用新型专利权利要求</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实用新型专利保护的是具有一定形状和构造的产品，但是，这并不意味着实用新型权利要求中只能出现形状或者构造技术特征，也不意味着当实用新型专利权利要求中出现非形状或构造技术特征，比如用途、方法或者材料特征时，这些特征对于实用新型专利权利要求所要求保护的范围不具有限定作用。</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对于含有用途、方法或材料特征的实用新型专利权利要求，应当按照权利要求中的全部技术特征确定专利权的保护范围，用途、方法或材料特征不能被忽略。</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-1</w:t>
      </w:r>
      <w:r>
        <w:rPr>
          <w:rFonts w:eastAsia="黑体" w:cs="MingLiU_HKSCS" w:hint="eastAsia"/>
          <w:color w:val="000000"/>
          <w:szCs w:val="21"/>
          <w:lang w:val="zh-CN"/>
        </w:rPr>
        <w:t>9</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涉案专利的权利要求为</w:t>
      </w:r>
      <w:r>
        <w:rPr>
          <w:rFonts w:eastAsia="楷体_GB2312" w:cs="MingLiU_HKSCS"/>
          <w:color w:val="000000"/>
          <w:szCs w:val="21"/>
          <w:lang w:val="zh-CN"/>
        </w:rPr>
        <w:t>：</w:t>
      </w:r>
      <w:r>
        <w:rPr>
          <w:rFonts w:eastAsia="楷体_GB2312" w:cs="MingLiU_HKSCS" w:hint="eastAsia"/>
          <w:color w:val="000000"/>
          <w:szCs w:val="21"/>
          <w:lang w:val="zh-CN"/>
        </w:rPr>
        <w:t>“一种药浸柳枝接骨外固定架，其特征在于用药浸草柳枝条经纬方向编织成一个固定架，在固定架的两侧至少置有一对搭扣。”</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该专利说明书中记载</w:t>
      </w:r>
      <w:r>
        <w:rPr>
          <w:rFonts w:eastAsia="楷体_GB2312" w:cs="MingLiU_HKSCS"/>
          <w:color w:val="000000"/>
          <w:szCs w:val="21"/>
          <w:lang w:val="zh-CN"/>
        </w:rPr>
        <w:t>：</w:t>
      </w:r>
      <w:r>
        <w:rPr>
          <w:rFonts w:eastAsia="楷体_GB2312" w:cs="MingLiU_HKSCS" w:hint="eastAsia"/>
          <w:color w:val="000000"/>
          <w:szCs w:val="21"/>
          <w:lang w:val="zh-CN"/>
        </w:rPr>
        <w:t>“本实用新型的目的是设计一种重量轻、透气、不会产生皮肤过敏现象、本身具有活血化瘀功能、使用方便、不会污染环境的价格低、制造方便的药浸柳枝接骨外固定架。</w:t>
      </w:r>
      <w:r>
        <w:rPr>
          <w:rFonts w:cs="MingLiU_HKSCS" w:hint="eastAsia"/>
          <w:color w:val="000000"/>
          <w:szCs w:val="21"/>
          <w:lang w:val="zh-CN"/>
        </w:rPr>
        <w:t>……</w:t>
      </w:r>
      <w:r>
        <w:rPr>
          <w:rFonts w:eastAsia="楷体_GB2312" w:cs="MingLiU_HKSCS" w:hint="eastAsia"/>
          <w:color w:val="000000"/>
          <w:szCs w:val="21"/>
          <w:lang w:val="zh-CN"/>
        </w:rPr>
        <w:t>药浸柳枝接骨外固定架的重量是石膏的五分之一，很轻巧，使用时透气，病人使用该装置接骨养伤不觉劳累，也不会使患者出现皮肤过敏的现象</w:t>
      </w:r>
      <w:r>
        <w:rPr>
          <w:rFonts w:cs="MingLiU_HKSCS" w:hint="eastAsia"/>
          <w:color w:val="000000"/>
          <w:szCs w:val="21"/>
          <w:lang w:val="zh-CN"/>
        </w:rPr>
        <w:t>……</w:t>
      </w:r>
      <w:r>
        <w:rPr>
          <w:rFonts w:eastAsia="楷体_GB2312" w:cs="MingLiU_HKSCS" w:hint="eastAsia"/>
          <w:color w:val="000000"/>
          <w:szCs w:val="21"/>
          <w:lang w:val="zh-CN"/>
        </w:rPr>
        <w:t>由于柳枝条本身结构松疏，中药易被吸收，药浸过的柳枝条接触人体后，中药渐渐挥发其药性，使人体活血化瘀起到一定的药疗作用。”</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本案的争议点在于：如何理解“用药浸草柳枝条”这一方法特征对实用新型专利权利要求保护范围的限定作用。</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实用新型专利技术方案中既可以有形状、构造或者其结合的技术特征，也可以有非形状、构造或者其结合的技术特征；只要这些技术特征所共同限定的技术方案是具有确定形状或者构造的产品，该种产品就可以成为实用新型专利所保护的技术方案。涉案实用新型专利是由经“药浸”处理的柳枝条编织成的接骨外固定架，“药浸”是非形状、构造或者其结合的技术特征，该技术特征不会引起产品的形状、构造或者其结合发生变化。但根据专利说明书的解释，涉案实用新型专利的目的并不只在于设计一种良好接骨固定效果的接骨外固定架，而且还要使该接骨外固定架具有活血化瘀的功能。涉案实用新型专利正是通过“药浸”这一技术手段，让药浸过的柳枝条接触人体，中药渐渐挥发其药性，从而实现活血化瘀的功能。因此，“药浸”应当是涉案实用新型专利的一项必不可少的技术特征，其与其他技术特征一起共同构成了专利技术方案，共同限定了专利权的保护范围。</w:t>
      </w:r>
    </w:p>
    <w:p w:rsidR="00800760" w:rsidRDefault="00235733">
      <w:pPr>
        <w:widowControl w:val="0"/>
        <w:topLinePunct/>
        <w:jc w:val="both"/>
        <w:rPr>
          <w:rFonts w:cs="MingLiU_HKSCS"/>
          <w:color w:val="000000"/>
          <w:szCs w:val="21"/>
          <w:lang w:val="zh-CN"/>
        </w:rPr>
      </w:pPr>
      <w:r>
        <w:rPr>
          <w:color w:val="000000"/>
          <w:szCs w:val="21"/>
          <w:lang w:val="zh-CN"/>
        </w:rPr>
        <w:t>（</w:t>
      </w:r>
      <w:r>
        <w:rPr>
          <w:color w:val="000000"/>
          <w:szCs w:val="21"/>
          <w:lang w:val="zh-CN"/>
        </w:rPr>
        <w:t>9</w:t>
      </w:r>
      <w:r>
        <w:rPr>
          <w:color w:val="000000"/>
          <w:szCs w:val="21"/>
          <w:lang w:val="zh-CN"/>
        </w:rPr>
        <w:t>）</w:t>
      </w:r>
      <w:r>
        <w:rPr>
          <w:rFonts w:cs="MingLiU_HKSCS" w:hint="eastAsia"/>
          <w:color w:val="000000"/>
          <w:szCs w:val="21"/>
          <w:lang w:val="zh-CN"/>
        </w:rPr>
        <w:t>组合物权利要求的封闭式与开放式</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1 \* GB3</w:instrText>
      </w:r>
      <w:r>
        <w:rPr>
          <w:rFonts w:cs="MingLiU_HKSCS"/>
          <w:color w:val="000000"/>
          <w:szCs w:val="21"/>
          <w:lang w:val="zh-CN"/>
        </w:rPr>
        <w:fldChar w:fldCharType="separate"/>
      </w:r>
      <w:r w:rsidR="00235733">
        <w:rPr>
          <w:rFonts w:cs="MingLiU_HKSCS" w:hint="eastAsia"/>
          <w:color w:val="000000"/>
          <w:szCs w:val="21"/>
          <w:lang w:val="en-US"/>
        </w:rPr>
        <w:t>①</w:t>
      </w:r>
      <w:r>
        <w:rPr>
          <w:rFonts w:cs="MingLiU_HKSCS"/>
          <w:color w:val="000000"/>
          <w:szCs w:val="21"/>
          <w:lang w:val="zh-CN"/>
        </w:rPr>
        <w:fldChar w:fldCharType="end"/>
      </w:r>
      <w:r w:rsidR="00235733">
        <w:rPr>
          <w:rFonts w:cs="MingLiU_HKSCS" w:hint="eastAsia"/>
          <w:color w:val="000000"/>
          <w:szCs w:val="21"/>
          <w:lang w:val="zh-CN"/>
        </w:rPr>
        <w:t>封闭式与开放式的定义</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在化学领域有一类特殊的权利要求</w:t>
      </w:r>
      <w:r>
        <w:rPr>
          <w:rFonts w:cs="MingLiU_HKSCS"/>
          <w:color w:val="000000"/>
          <w:szCs w:val="21"/>
          <w:lang w:val="zh-CN"/>
        </w:rPr>
        <w:t>，</w:t>
      </w:r>
      <w:r>
        <w:rPr>
          <w:rFonts w:cs="MingLiU_HKSCS" w:hint="eastAsia"/>
          <w:color w:val="000000"/>
          <w:szCs w:val="21"/>
          <w:lang w:val="zh-CN"/>
        </w:rPr>
        <w:t>即组合物权利要求，这类权利要求通常是用组成该组合物的组分和各个组分的含量来表征的。这种表征方式分为两种，一种是开放式，另一种是封闭式。</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所称“开放式”，是指组合物中除了指明的组分之外，还可以含有权利要求中未指明的组分。开放式组合物一般通过例如“含有”“包括”“包含”“基本含有”“本质上含有”“基本组成为”等措辞来表达。</w:t>
      </w:r>
    </w:p>
    <w:p w:rsidR="00800760" w:rsidRDefault="00235733">
      <w:pPr>
        <w:widowControl w:val="0"/>
        <w:topLinePunct/>
        <w:jc w:val="both"/>
        <w:rPr>
          <w:rFonts w:cs="MingLiU_HKSCS"/>
          <w:color w:val="000000"/>
          <w:szCs w:val="21"/>
          <w:lang w:val="zh-CN"/>
        </w:rPr>
      </w:pPr>
      <w:r>
        <w:rPr>
          <w:rFonts w:cs="MingLiU_HKSCS" w:hint="eastAsia"/>
          <w:color w:val="000000"/>
          <w:szCs w:val="21"/>
          <w:lang w:val="zh-CN"/>
        </w:rPr>
        <w:t>所称“封闭式”，是指组合物由权利要求所指出的组分组成，没有别的组分，虽然可以带有杂质，但这些杂质只是以通常的含量存在。封闭式组合物一般通过“由……组成”“组成为”“余量为”等术语来表示。</w:t>
      </w:r>
    </w:p>
    <w:p w:rsidR="00800760" w:rsidRDefault="00C22A7B">
      <w:pPr>
        <w:widowControl w:val="0"/>
        <w:topLinePunct/>
        <w:jc w:val="both"/>
        <w:rPr>
          <w:rFonts w:cs="MingLiU_HKSCS"/>
          <w:color w:val="000000"/>
          <w:szCs w:val="21"/>
          <w:lang w:val="zh-CN"/>
        </w:rPr>
      </w:pPr>
      <w:r>
        <w:rPr>
          <w:rFonts w:cs="MingLiU_HKSCS"/>
          <w:color w:val="000000"/>
          <w:szCs w:val="21"/>
          <w:lang w:val="zh-CN"/>
        </w:rPr>
        <w:fldChar w:fldCharType="begin"/>
      </w:r>
      <w:r w:rsidR="00235733">
        <w:rPr>
          <w:rFonts w:cs="MingLiU_HKSCS"/>
          <w:color w:val="000000"/>
          <w:szCs w:val="21"/>
          <w:lang w:val="zh-CN"/>
        </w:rPr>
        <w:instrText>= 2 \* GB3</w:instrText>
      </w:r>
      <w:r>
        <w:rPr>
          <w:rFonts w:cs="MingLiU_HKSCS"/>
          <w:color w:val="000000"/>
          <w:szCs w:val="21"/>
          <w:lang w:val="zh-CN"/>
        </w:rPr>
        <w:fldChar w:fldCharType="separate"/>
      </w:r>
      <w:r w:rsidR="00235733">
        <w:rPr>
          <w:rFonts w:cs="MingLiU_HKSCS" w:hint="eastAsia"/>
          <w:color w:val="000000"/>
          <w:szCs w:val="21"/>
          <w:lang w:val="en-US"/>
        </w:rPr>
        <w:t>②</w:t>
      </w:r>
      <w:r>
        <w:rPr>
          <w:rFonts w:cs="MingLiU_HKSCS"/>
          <w:color w:val="000000"/>
          <w:szCs w:val="21"/>
          <w:lang w:val="zh-CN"/>
        </w:rPr>
        <w:fldChar w:fldCharType="end"/>
      </w:r>
      <w:r w:rsidR="00235733">
        <w:rPr>
          <w:rFonts w:cs="MingLiU_HKSCS" w:hint="eastAsia"/>
          <w:color w:val="000000"/>
          <w:szCs w:val="21"/>
          <w:lang w:val="zh-CN"/>
        </w:rPr>
        <w:t>对于封闭式与开放式的解释</w:t>
      </w:r>
    </w:p>
    <w:p w:rsidR="00800760" w:rsidRDefault="00235733">
      <w:pPr>
        <w:widowControl w:val="0"/>
        <w:topLinePunct/>
        <w:jc w:val="both"/>
        <w:rPr>
          <w:rFonts w:cs="MingLiU_HKSCS"/>
          <w:color w:val="000000"/>
          <w:szCs w:val="21"/>
          <w:lang w:val="zh-CN"/>
        </w:rPr>
      </w:pPr>
      <w:r>
        <w:rPr>
          <w:rFonts w:hint="eastAsia"/>
          <w:szCs w:val="21"/>
        </w:rPr>
        <w:t>对于组合物的开放式和封闭式权利要求来说</w:t>
      </w:r>
      <w:r>
        <w:rPr>
          <w:rFonts w:cs="MingLiU_HKSCS"/>
          <w:color w:val="000000"/>
          <w:szCs w:val="21"/>
          <w:lang w:val="zh-CN"/>
        </w:rPr>
        <w:t>，</w:t>
      </w:r>
      <w:r>
        <w:rPr>
          <w:rFonts w:cs="MingLiU_HKSCS" w:hint="eastAsia"/>
          <w:color w:val="000000"/>
          <w:szCs w:val="21"/>
          <w:lang w:val="zh-CN"/>
        </w:rPr>
        <w:t>应当按照如上定义的含义来理解。具体而言，对于开放式组合物权利要求来说，如果被控侵权技术方案在包含权利要求全部技术特征的基础上增加新的技术特征，则应当认定被控侵权技术方案落入专利权的保护范围；对于封闭式组合物权利要求来说，如果被控侵权技术方案在包含权利要求全部技术特征的基础上增加新的技术特征，则应当认定被控侵权技术方案未落入专利权的保护范围，除非该新的技术特征属于不可避免的常规含量的杂质。</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w:t>
      </w:r>
      <w:r>
        <w:rPr>
          <w:rFonts w:eastAsia="黑体" w:cs="MingLiU_HKSCS" w:hint="eastAsia"/>
          <w:color w:val="000000"/>
          <w:szCs w:val="21"/>
          <w:lang w:val="zh-CN"/>
        </w:rPr>
        <w:t>20</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专利权利要求</w:t>
      </w:r>
      <w:r>
        <w:rPr>
          <w:rFonts w:eastAsia="楷体_GB2312" w:cs="MingLiU_HKSCS"/>
          <w:color w:val="000000"/>
          <w:szCs w:val="21"/>
          <w:lang w:val="zh-CN"/>
        </w:rPr>
        <w:t>1</w:t>
      </w:r>
      <w:r>
        <w:rPr>
          <w:rFonts w:eastAsia="楷体_GB2312" w:cs="MingLiU_HKSCS" w:hint="eastAsia"/>
          <w:color w:val="000000"/>
          <w:szCs w:val="21"/>
          <w:lang w:val="zh-CN"/>
        </w:rPr>
        <w:t>为</w:t>
      </w:r>
      <w:r>
        <w:rPr>
          <w:rFonts w:eastAsia="楷体_GB2312" w:cs="MingLiU_HKSCS"/>
          <w:color w:val="000000"/>
          <w:szCs w:val="21"/>
          <w:lang w:val="zh-CN"/>
        </w:rPr>
        <w:t>：</w:t>
      </w:r>
      <w:r>
        <w:rPr>
          <w:rFonts w:eastAsia="楷体_GB2312" w:cs="MingLiU_HKSCS" w:hint="eastAsia"/>
          <w:color w:val="000000"/>
          <w:szCs w:val="21"/>
          <w:lang w:val="zh-CN"/>
        </w:rPr>
        <w:t>“一种电解电容器负极箔用铝－铜合金箔，它是含有铜、锰的合金箔，合金中以铜为主，以锰为辅，其合金成分</w:t>
      </w:r>
      <w:r>
        <w:rPr>
          <w:rFonts w:eastAsia="楷体_GB2312" w:cs="MingLiU_HKSCS"/>
          <w:color w:val="000000"/>
          <w:szCs w:val="21"/>
          <w:lang w:val="zh-CN"/>
        </w:rPr>
        <w:t>（</w:t>
      </w:r>
      <w:r>
        <w:rPr>
          <w:rFonts w:eastAsia="楷体_GB2312" w:cs="MingLiU_HKSCS" w:hint="eastAsia"/>
          <w:color w:val="000000"/>
          <w:szCs w:val="21"/>
          <w:lang w:val="zh-CN"/>
        </w:rPr>
        <w:t>重量百分比</w:t>
      </w:r>
      <w:r>
        <w:rPr>
          <w:rFonts w:eastAsia="楷体_GB2312" w:cs="MingLiU_HKSCS"/>
          <w:color w:val="000000"/>
          <w:szCs w:val="21"/>
          <w:lang w:val="zh-CN"/>
        </w:rPr>
        <w:t>）</w:t>
      </w:r>
      <w:r>
        <w:rPr>
          <w:rFonts w:eastAsia="楷体_GB2312" w:cs="MingLiU_HKSCS" w:hint="eastAsia"/>
          <w:color w:val="000000"/>
          <w:szCs w:val="21"/>
          <w:lang w:val="zh-CN"/>
        </w:rPr>
        <w:t>如下</w:t>
      </w:r>
      <w:r>
        <w:rPr>
          <w:rFonts w:eastAsia="楷体_GB2312" w:cs="MingLiU_HKSCS"/>
          <w:color w:val="000000"/>
          <w:szCs w:val="21"/>
          <w:lang w:val="zh-CN"/>
        </w:rPr>
        <w:t>：</w:t>
      </w:r>
      <w:r>
        <w:rPr>
          <w:rFonts w:eastAsia="楷体_GB2312" w:cs="MingLiU_HKSCS" w:hint="eastAsia"/>
          <w:color w:val="000000"/>
          <w:szCs w:val="21"/>
          <w:lang w:val="zh-CN"/>
        </w:rPr>
        <w:t>铜</w:t>
      </w:r>
      <w:r>
        <w:rPr>
          <w:rFonts w:eastAsia="楷体_GB2312" w:cs="MingLiU_HKSCS"/>
          <w:color w:val="000000"/>
          <w:szCs w:val="21"/>
          <w:lang w:val="zh-CN"/>
        </w:rPr>
        <w:t>0.2</w:t>
      </w:r>
      <w:r>
        <w:rPr>
          <w:rFonts w:eastAsia="楷体_GB2312" w:cs="MingLiU_HKSCS"/>
          <w:color w:val="000000"/>
          <w:szCs w:val="21"/>
          <w:lang w:val="zh-CN"/>
        </w:rPr>
        <w:t>～</w:t>
      </w:r>
      <w:r>
        <w:rPr>
          <w:rFonts w:eastAsia="楷体_GB2312" w:cs="MingLiU_HKSCS"/>
          <w:color w:val="000000"/>
          <w:szCs w:val="21"/>
          <w:lang w:val="zh-CN"/>
        </w:rPr>
        <w:t>0.3</w:t>
      </w:r>
      <w:r>
        <w:rPr>
          <w:rFonts w:eastAsia="楷体_GB2312" w:cs="MingLiU_HKSCS" w:hint="eastAsia"/>
          <w:color w:val="000000"/>
          <w:szCs w:val="21"/>
          <w:lang w:val="zh-CN"/>
        </w:rPr>
        <w:t>、锰</w:t>
      </w:r>
      <w:r>
        <w:rPr>
          <w:rFonts w:eastAsia="楷体_GB2312" w:cs="MingLiU_HKSCS"/>
          <w:color w:val="000000"/>
          <w:szCs w:val="21"/>
          <w:lang w:val="zh-CN"/>
        </w:rPr>
        <w:t>0.1</w:t>
      </w:r>
      <w:r>
        <w:rPr>
          <w:rFonts w:eastAsia="楷体_GB2312" w:cs="MingLiU_HKSCS"/>
          <w:color w:val="000000"/>
          <w:szCs w:val="21"/>
          <w:lang w:val="zh-CN"/>
        </w:rPr>
        <w:t>～</w:t>
      </w:r>
      <w:r>
        <w:rPr>
          <w:rFonts w:eastAsia="楷体_GB2312" w:cs="MingLiU_HKSCS"/>
          <w:color w:val="000000"/>
          <w:szCs w:val="21"/>
          <w:lang w:val="zh-CN"/>
        </w:rPr>
        <w:t>0.3</w:t>
      </w:r>
      <w:r>
        <w:rPr>
          <w:rFonts w:eastAsia="楷体_GB2312" w:cs="MingLiU_HKSCS" w:hint="eastAsia"/>
          <w:color w:val="000000"/>
          <w:szCs w:val="21"/>
          <w:lang w:val="zh-CN"/>
        </w:rPr>
        <w:t>、铁≤</w:t>
      </w:r>
      <w:r>
        <w:rPr>
          <w:rFonts w:eastAsia="楷体_GB2312" w:cs="MingLiU_HKSCS"/>
          <w:color w:val="000000"/>
          <w:szCs w:val="21"/>
          <w:lang w:val="zh-CN"/>
        </w:rPr>
        <w:t>0.3</w:t>
      </w:r>
      <w:r>
        <w:rPr>
          <w:rFonts w:eastAsia="楷体_GB2312" w:cs="MingLiU_HKSCS" w:hint="eastAsia"/>
          <w:color w:val="000000"/>
          <w:szCs w:val="21"/>
          <w:lang w:val="zh-CN"/>
        </w:rPr>
        <w:t>、硅</w:t>
      </w:r>
      <w:r>
        <w:rPr>
          <w:rFonts w:eastAsia="楷体_GB2312" w:cs="MingLiU_HKSCS"/>
          <w:color w:val="000000"/>
          <w:szCs w:val="21"/>
          <w:lang w:val="zh-CN"/>
        </w:rPr>
        <w:t>&lt;0.15</w:t>
      </w:r>
      <w:r>
        <w:rPr>
          <w:rFonts w:eastAsia="楷体_GB2312" w:cs="MingLiU_HKSCS" w:hint="eastAsia"/>
          <w:color w:val="000000"/>
          <w:szCs w:val="21"/>
          <w:lang w:val="zh-CN"/>
        </w:rPr>
        <w:t>，余量为铝以及不可避免的杂质。”</w:t>
      </w:r>
    </w:p>
    <w:p w:rsidR="00800760" w:rsidRDefault="00235733">
      <w:pPr>
        <w:keepNext/>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涉案专利发明为组合物发明，其权利要求为封闭式权利要求，所保护的组合物应是由铜</w:t>
      </w:r>
      <w:r>
        <w:rPr>
          <w:rFonts w:eastAsia="楷体_GB2312" w:cs="MingLiU_HKSCS"/>
          <w:color w:val="000000"/>
          <w:szCs w:val="21"/>
          <w:lang w:val="zh-CN"/>
        </w:rPr>
        <w:t>0.2</w:t>
      </w:r>
      <w:r>
        <w:rPr>
          <w:rFonts w:eastAsia="楷体_GB2312" w:cs="MingLiU_HKSCS"/>
          <w:color w:val="000000"/>
          <w:szCs w:val="21"/>
          <w:lang w:val="zh-CN"/>
        </w:rPr>
        <w:t>～</w:t>
      </w:r>
      <w:r>
        <w:rPr>
          <w:rFonts w:eastAsia="楷体_GB2312" w:cs="MingLiU_HKSCS"/>
          <w:color w:val="000000"/>
          <w:szCs w:val="21"/>
          <w:lang w:val="zh-CN"/>
        </w:rPr>
        <w:t>0.3</w:t>
      </w:r>
      <w:r>
        <w:rPr>
          <w:rFonts w:eastAsia="楷体_GB2312" w:cs="MingLiU_HKSCS" w:hint="eastAsia"/>
          <w:color w:val="000000"/>
          <w:szCs w:val="21"/>
          <w:lang w:val="zh-CN"/>
        </w:rPr>
        <w:t>、锰</w:t>
      </w:r>
      <w:r>
        <w:rPr>
          <w:rFonts w:eastAsia="楷体_GB2312" w:cs="MingLiU_HKSCS"/>
          <w:color w:val="000000"/>
          <w:szCs w:val="21"/>
          <w:lang w:val="zh-CN"/>
        </w:rPr>
        <w:t>0.1</w:t>
      </w:r>
      <w:r>
        <w:rPr>
          <w:rFonts w:eastAsia="楷体_GB2312" w:cs="MingLiU_HKSCS"/>
          <w:color w:val="000000"/>
          <w:szCs w:val="21"/>
          <w:lang w:val="zh-CN"/>
        </w:rPr>
        <w:t>～</w:t>
      </w:r>
      <w:r>
        <w:rPr>
          <w:rFonts w:eastAsia="楷体_GB2312" w:cs="MingLiU_HKSCS"/>
          <w:color w:val="000000"/>
          <w:szCs w:val="21"/>
          <w:lang w:val="zh-CN"/>
        </w:rPr>
        <w:t>0.3</w:t>
      </w:r>
      <w:r>
        <w:rPr>
          <w:rFonts w:eastAsia="楷体_GB2312" w:cs="MingLiU_HKSCS" w:hint="eastAsia"/>
          <w:color w:val="000000"/>
          <w:szCs w:val="21"/>
          <w:lang w:val="zh-CN"/>
        </w:rPr>
        <w:t>、铁≤</w:t>
      </w:r>
      <w:r>
        <w:rPr>
          <w:rFonts w:eastAsia="楷体_GB2312" w:cs="MingLiU_HKSCS"/>
          <w:color w:val="000000"/>
          <w:szCs w:val="21"/>
          <w:lang w:val="zh-CN"/>
        </w:rPr>
        <w:t>0.3</w:t>
      </w:r>
      <w:r>
        <w:rPr>
          <w:rFonts w:eastAsia="楷体_GB2312" w:cs="MingLiU_HKSCS" w:hint="eastAsia"/>
          <w:color w:val="000000"/>
          <w:szCs w:val="21"/>
          <w:lang w:val="zh-CN"/>
        </w:rPr>
        <w:t>、硅</w:t>
      </w:r>
      <w:r>
        <w:rPr>
          <w:rFonts w:eastAsia="楷体_GB2312" w:cs="MingLiU_HKSCS"/>
          <w:color w:val="000000"/>
          <w:szCs w:val="21"/>
          <w:lang w:val="zh-CN"/>
        </w:rPr>
        <w:t>&lt;0.15</w:t>
      </w:r>
      <w:r>
        <w:rPr>
          <w:rFonts w:eastAsia="楷体_GB2312" w:cs="MingLiU_HKSCS" w:hint="eastAsia"/>
          <w:color w:val="000000"/>
          <w:szCs w:val="21"/>
          <w:lang w:val="zh-CN"/>
        </w:rPr>
        <w:t>，余量为铝以及不可避免的杂质</w:t>
      </w:r>
      <w:r>
        <w:rPr>
          <w:rFonts w:eastAsia="楷体_GB2312" w:cs="MingLiU_HKSCS"/>
          <w:color w:val="000000"/>
          <w:szCs w:val="21"/>
          <w:lang w:val="zh-CN"/>
        </w:rPr>
        <w:t>（</w:t>
      </w:r>
      <w:r>
        <w:rPr>
          <w:rFonts w:eastAsia="楷体_GB2312" w:cs="MingLiU_HKSCS" w:hint="eastAsia"/>
          <w:color w:val="000000"/>
          <w:szCs w:val="21"/>
          <w:lang w:val="zh-CN"/>
        </w:rPr>
        <w:t>百分比</w:t>
      </w:r>
      <w:r>
        <w:rPr>
          <w:rFonts w:eastAsia="楷体_GB2312" w:cs="MingLiU_HKSCS"/>
          <w:color w:val="000000"/>
          <w:szCs w:val="21"/>
          <w:lang w:val="zh-CN"/>
        </w:rPr>
        <w:t>）</w:t>
      </w:r>
      <w:r>
        <w:rPr>
          <w:rFonts w:eastAsia="楷体_GB2312" w:cs="MingLiU_HKSCS" w:hint="eastAsia"/>
          <w:color w:val="000000"/>
          <w:szCs w:val="21"/>
          <w:lang w:val="zh-CN"/>
        </w:rPr>
        <w:t>组成的组合物。该组合物不应包含其他组分，且其中的不可避免的杂质应是通常的含量。</w:t>
      </w:r>
    </w:p>
    <w:p w:rsidR="00800760" w:rsidRDefault="00235733">
      <w:pPr>
        <w:widowControl w:val="0"/>
        <w:topLinePunct/>
        <w:jc w:val="both"/>
        <w:rPr>
          <w:rFonts w:eastAsia="楷体_GB2312" w:cs="MingLiU_HKSCS"/>
          <w:color w:val="000000"/>
          <w:spacing w:val="2"/>
          <w:szCs w:val="21"/>
          <w:lang w:val="zh-CN"/>
        </w:rPr>
      </w:pPr>
      <w:r>
        <w:rPr>
          <w:rFonts w:eastAsia="楷体_GB2312" w:cs="MingLiU_HKSCS" w:hint="eastAsia"/>
          <w:color w:val="000000"/>
          <w:szCs w:val="21"/>
          <w:lang w:val="zh-CN"/>
        </w:rPr>
        <w:t>如果被控侵权产品具有涉案专利权利要求</w:t>
      </w:r>
      <w:r>
        <w:rPr>
          <w:rFonts w:eastAsia="楷体_GB2312" w:cs="MingLiU_HKSCS"/>
          <w:color w:val="000000"/>
          <w:szCs w:val="21"/>
          <w:lang w:val="zh-CN"/>
        </w:rPr>
        <w:t>1</w:t>
      </w:r>
      <w:r>
        <w:rPr>
          <w:rFonts w:eastAsia="楷体_GB2312" w:cs="MingLiU_HKSCS" w:hint="eastAsia"/>
          <w:color w:val="000000"/>
          <w:szCs w:val="21"/>
          <w:lang w:val="zh-CN"/>
        </w:rPr>
        <w:t>所有的组分，且含量在权利要求</w:t>
      </w:r>
      <w:r>
        <w:rPr>
          <w:rFonts w:eastAsia="楷体_GB2312" w:cs="MingLiU_HKSCS"/>
          <w:color w:val="000000"/>
          <w:szCs w:val="21"/>
          <w:lang w:val="zh-CN"/>
        </w:rPr>
        <w:t>1</w:t>
      </w:r>
      <w:r>
        <w:rPr>
          <w:rFonts w:eastAsia="楷体_GB2312" w:cs="MingLiU_HKSCS" w:hint="eastAsia"/>
          <w:color w:val="000000"/>
          <w:szCs w:val="21"/>
          <w:lang w:val="zh-CN"/>
        </w:rPr>
        <w:t>的范围之内，但在此基础上添加含量为</w:t>
      </w:r>
      <w:r>
        <w:rPr>
          <w:rFonts w:eastAsia="楷体_GB2312" w:cs="MingLiU_HKSCS"/>
          <w:color w:val="000000"/>
          <w:szCs w:val="21"/>
          <w:lang w:val="zh-CN"/>
        </w:rPr>
        <w:t>0.013%</w:t>
      </w:r>
      <w:r>
        <w:rPr>
          <w:rFonts w:eastAsia="楷体_GB2312" w:cs="MingLiU_HKSCS" w:hint="eastAsia"/>
          <w:color w:val="000000"/>
          <w:szCs w:val="21"/>
          <w:lang w:val="zh-CN"/>
        </w:rPr>
        <w:t>的钛，此时，由于添加的钛的含量高于其作为杂质在铝锭中通常的含量，故钛在被控侵权产品中为一组分而不能视为不可避免的杂质。相对于涉案专利权利要求而言，由于被控侵权</w:t>
      </w:r>
      <w:r>
        <w:rPr>
          <w:rFonts w:eastAsia="楷体_GB2312" w:cs="MingLiU_HKSCS" w:hint="eastAsia"/>
          <w:color w:val="000000"/>
          <w:spacing w:val="2"/>
          <w:szCs w:val="21"/>
          <w:lang w:val="zh-CN"/>
        </w:rPr>
        <w:t>产品多了</w:t>
      </w:r>
      <w:r>
        <w:rPr>
          <w:rFonts w:eastAsia="楷体_GB2312" w:cs="MingLiU_HKSCS"/>
          <w:color w:val="000000"/>
          <w:spacing w:val="2"/>
          <w:szCs w:val="21"/>
          <w:lang w:val="zh-CN"/>
        </w:rPr>
        <w:t>0.013%</w:t>
      </w:r>
      <w:r>
        <w:rPr>
          <w:rFonts w:eastAsia="楷体_GB2312" w:cs="MingLiU_HKSCS" w:hint="eastAsia"/>
          <w:color w:val="000000"/>
          <w:spacing w:val="2"/>
          <w:szCs w:val="21"/>
          <w:lang w:val="zh-CN"/>
        </w:rPr>
        <w:t>的钛组分，即使其他组分与涉案专利权利要求完全相同，相应组分的含量落入权利要求中相应组分含量限定的数值范围内，被控侵权产品亦因构成不同的组合物而没有落入涉案专利的保护范围。</w:t>
      </w:r>
    </w:p>
    <w:p w:rsidR="00800760" w:rsidRDefault="00235733" w:rsidP="00C22A7B">
      <w:pPr>
        <w:keepNext/>
        <w:widowControl w:val="0"/>
        <w:topLinePunct/>
        <w:spacing w:beforeLines="50"/>
        <w:jc w:val="both"/>
        <w:rPr>
          <w:rFonts w:eastAsia="黑体" w:cs="MingLiU_HKSCS"/>
          <w:color w:val="000000"/>
          <w:szCs w:val="21"/>
          <w:lang w:val="zh-CN"/>
        </w:rPr>
      </w:pPr>
      <w:r>
        <w:rPr>
          <w:rFonts w:eastAsia="黑体" w:cs="MingLiU_HKSCS" w:hint="eastAsia"/>
          <w:color w:val="000000"/>
          <w:szCs w:val="21"/>
          <w:lang w:val="zh-CN"/>
        </w:rPr>
        <w:t>【案例</w:t>
      </w:r>
      <w:r>
        <w:rPr>
          <w:rFonts w:eastAsia="黑体" w:cs="MingLiU_HKSCS" w:hint="eastAsia"/>
          <w:color w:val="000000"/>
          <w:szCs w:val="21"/>
          <w:lang w:val="en-US"/>
        </w:rPr>
        <w:t>3</w:t>
      </w:r>
      <w:r>
        <w:rPr>
          <w:rFonts w:eastAsia="黑体" w:cs="MingLiU_HKSCS"/>
          <w:color w:val="000000"/>
          <w:szCs w:val="21"/>
          <w:lang w:val="zh-CN"/>
        </w:rPr>
        <w:t>-</w:t>
      </w:r>
      <w:r>
        <w:rPr>
          <w:rFonts w:eastAsia="黑体" w:cs="MingLiU_HKSCS" w:hint="eastAsia"/>
          <w:color w:val="000000"/>
          <w:szCs w:val="21"/>
          <w:lang w:val="en-US"/>
        </w:rPr>
        <w:t>4</w:t>
      </w:r>
      <w:r>
        <w:rPr>
          <w:rFonts w:eastAsia="黑体" w:cs="MingLiU_HKSCS"/>
          <w:color w:val="000000"/>
          <w:szCs w:val="21"/>
          <w:lang w:val="zh-CN"/>
        </w:rPr>
        <w:t>-</w:t>
      </w:r>
      <w:r>
        <w:rPr>
          <w:rFonts w:eastAsia="黑体" w:cs="MingLiU_HKSCS" w:hint="eastAsia"/>
          <w:color w:val="000000"/>
          <w:szCs w:val="21"/>
          <w:lang w:val="zh-CN"/>
        </w:rPr>
        <w:t>21</w:t>
      </w:r>
      <w:r>
        <w:rPr>
          <w:rFonts w:eastAsia="黑体" w:cs="MingLiU_HKSCS" w:hint="eastAsia"/>
          <w:color w:val="000000"/>
          <w:szCs w:val="21"/>
          <w:lang w:val="zh-CN"/>
        </w:rPr>
        <w:t>】</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涉案专利权利要求</w:t>
      </w:r>
      <w:r>
        <w:rPr>
          <w:rFonts w:eastAsia="楷体_GB2312" w:cs="MingLiU_HKSCS"/>
          <w:color w:val="000000"/>
          <w:szCs w:val="21"/>
          <w:lang w:val="zh-CN"/>
        </w:rPr>
        <w:t>1</w:t>
      </w:r>
      <w:r>
        <w:rPr>
          <w:rFonts w:eastAsia="楷体_GB2312" w:cs="MingLiU_HKSCS" w:hint="eastAsia"/>
          <w:color w:val="000000"/>
          <w:szCs w:val="21"/>
          <w:lang w:val="zh-CN"/>
        </w:rPr>
        <w:t>为</w:t>
      </w:r>
      <w:r>
        <w:rPr>
          <w:rFonts w:eastAsia="楷体_GB2312" w:cs="MingLiU_HKSCS"/>
          <w:color w:val="000000"/>
          <w:szCs w:val="21"/>
          <w:lang w:val="zh-CN"/>
        </w:rPr>
        <w:t>：</w:t>
      </w:r>
      <w:r>
        <w:rPr>
          <w:rFonts w:eastAsia="楷体_GB2312" w:cs="MingLiU_HKSCS" w:hint="eastAsia"/>
          <w:color w:val="000000"/>
          <w:szCs w:val="21"/>
          <w:lang w:val="zh-CN"/>
        </w:rPr>
        <w:t>“一种仿宣水写练字纸，含纸浆纤维，其特征在于它是由下述重量份的原料按造纸生产工艺制成的水写纸</w:t>
      </w:r>
      <w:r>
        <w:rPr>
          <w:rFonts w:eastAsia="楷体_GB2312" w:cs="MingLiU_HKSCS"/>
          <w:color w:val="000000"/>
          <w:szCs w:val="21"/>
          <w:lang w:val="zh-CN"/>
        </w:rPr>
        <w:t>：</w:t>
      </w:r>
      <w:r>
        <w:rPr>
          <w:rFonts w:eastAsia="楷体_GB2312" w:cs="MingLiU_HKSCS" w:hint="eastAsia"/>
          <w:color w:val="000000"/>
          <w:szCs w:val="21"/>
          <w:lang w:val="zh-CN"/>
        </w:rPr>
        <w:t>竹纤维本色绝干浆</w:t>
      </w:r>
      <w:r>
        <w:rPr>
          <w:rFonts w:eastAsia="楷体_GB2312" w:cs="MingLiU_HKSCS"/>
          <w:color w:val="000000"/>
          <w:szCs w:val="21"/>
          <w:lang w:val="zh-CN"/>
        </w:rPr>
        <w:t>1000</w:t>
      </w:r>
      <w:r>
        <w:rPr>
          <w:rFonts w:eastAsia="楷体_GB2312" w:cs="MingLiU_HKSCS" w:hint="eastAsia"/>
          <w:color w:val="000000"/>
          <w:szCs w:val="21"/>
          <w:lang w:val="zh-CN"/>
        </w:rPr>
        <w:t>份，色素</w:t>
      </w:r>
      <w:r>
        <w:rPr>
          <w:rFonts w:eastAsia="楷体_GB2312" w:cs="MingLiU_HKSCS"/>
          <w:color w:val="000000"/>
          <w:szCs w:val="21"/>
          <w:lang w:val="zh-CN"/>
        </w:rPr>
        <w:t>60</w:t>
      </w:r>
      <w:r>
        <w:rPr>
          <w:rFonts w:eastAsia="楷体_GB2312" w:cs="MingLiU_HKSCS" w:hint="eastAsia"/>
          <w:color w:val="000000"/>
          <w:szCs w:val="21"/>
          <w:lang w:val="zh-CN"/>
        </w:rPr>
        <w:t>份，纯碱</w:t>
      </w:r>
      <w:r>
        <w:rPr>
          <w:rFonts w:eastAsia="楷体_GB2312" w:cs="MingLiU_HKSCS"/>
          <w:color w:val="000000"/>
          <w:szCs w:val="21"/>
          <w:lang w:val="zh-CN"/>
        </w:rPr>
        <w:t>10</w:t>
      </w:r>
      <w:r>
        <w:rPr>
          <w:rFonts w:eastAsia="楷体_GB2312" w:cs="MingLiU_HKSCS" w:hint="eastAsia"/>
          <w:color w:val="000000"/>
          <w:szCs w:val="21"/>
          <w:lang w:val="zh-CN"/>
        </w:rPr>
        <w:t>份。”</w:t>
      </w:r>
    </w:p>
    <w:p w:rsidR="00800760" w:rsidRDefault="00235733">
      <w:pPr>
        <w:widowControl w:val="0"/>
        <w:topLinePunct/>
        <w:jc w:val="both"/>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widowControl w:val="0"/>
        <w:topLinePunct/>
        <w:jc w:val="both"/>
        <w:rPr>
          <w:rFonts w:eastAsia="楷体_GB2312" w:cs="MingLiU_HKSCS"/>
          <w:color w:val="000000"/>
          <w:szCs w:val="21"/>
          <w:lang w:val="zh-CN"/>
        </w:rPr>
      </w:pPr>
      <w:r>
        <w:rPr>
          <w:rFonts w:eastAsia="楷体_GB2312" w:cs="MingLiU_HKSCS" w:hint="eastAsia"/>
          <w:color w:val="000000"/>
          <w:szCs w:val="21"/>
          <w:lang w:val="zh-CN"/>
        </w:rPr>
        <w:t>涉案专利权利要求</w:t>
      </w:r>
      <w:r>
        <w:rPr>
          <w:rFonts w:eastAsia="楷体_GB2312" w:cs="MingLiU_HKSCS"/>
          <w:color w:val="000000"/>
          <w:szCs w:val="21"/>
          <w:lang w:val="zh-CN"/>
        </w:rPr>
        <w:t>1</w:t>
      </w:r>
      <w:r>
        <w:rPr>
          <w:rFonts w:eastAsia="楷体_GB2312" w:cs="MingLiU_HKSCS" w:hint="eastAsia"/>
          <w:color w:val="000000"/>
          <w:szCs w:val="21"/>
          <w:lang w:val="zh-CN"/>
        </w:rPr>
        <w:t>关于原料的组成为封闭式，该权利要求的保护范围为</w:t>
      </w:r>
      <w:r>
        <w:rPr>
          <w:rFonts w:eastAsia="楷体_GB2312" w:cs="MingLiU_HKSCS"/>
          <w:color w:val="000000"/>
          <w:szCs w:val="21"/>
          <w:lang w:val="zh-CN"/>
        </w:rPr>
        <w:t>：</w:t>
      </w:r>
      <w:r w:rsidR="00C22A7B">
        <w:rPr>
          <w:rFonts w:eastAsia="楷体_GB2312" w:cs="MingLiU_HKSCS"/>
          <w:color w:val="000000"/>
          <w:szCs w:val="21"/>
          <w:lang w:val="zh-CN"/>
        </w:rPr>
        <w:fldChar w:fldCharType="begin"/>
      </w:r>
      <w:r>
        <w:rPr>
          <w:rFonts w:eastAsia="楷体_GB2312" w:cs="MingLiU_HKSCS"/>
          <w:color w:val="000000"/>
          <w:szCs w:val="21"/>
          <w:lang w:val="zh-CN"/>
        </w:rPr>
        <w:instrText>= 1 \* GB2</w:instrText>
      </w:r>
      <w:r w:rsidR="00C22A7B">
        <w:rPr>
          <w:rFonts w:eastAsia="楷体_GB2312" w:cs="MingLiU_HKSCS"/>
          <w:color w:val="000000"/>
          <w:szCs w:val="21"/>
          <w:lang w:val="zh-CN"/>
        </w:rPr>
        <w:fldChar w:fldCharType="separate"/>
      </w:r>
      <w:r>
        <w:rPr>
          <w:rFonts w:eastAsia="楷体_GB2312" w:cs="MingLiU_HKSCS" w:hint="eastAsia"/>
          <w:color w:val="000000"/>
          <w:szCs w:val="21"/>
          <w:lang w:val="zh-CN"/>
        </w:rPr>
        <w:t>（</w:t>
      </w:r>
      <w:r>
        <w:rPr>
          <w:rFonts w:eastAsia="楷体_GB2312" w:cs="MingLiU_HKSCS" w:hint="eastAsia"/>
          <w:color w:val="000000"/>
          <w:szCs w:val="21"/>
          <w:lang w:val="zh-CN"/>
        </w:rPr>
        <w:t>1</w:t>
      </w:r>
      <w:r>
        <w:rPr>
          <w:rFonts w:eastAsia="楷体_GB2312" w:cs="MingLiU_HKSCS" w:hint="eastAsia"/>
          <w:color w:val="000000"/>
          <w:szCs w:val="21"/>
          <w:lang w:val="zh-CN"/>
        </w:rPr>
        <w:t>）</w:t>
      </w:r>
      <w:r w:rsidR="00C22A7B">
        <w:rPr>
          <w:rFonts w:eastAsia="楷体_GB2312" w:cs="MingLiU_HKSCS"/>
          <w:color w:val="000000"/>
          <w:szCs w:val="21"/>
          <w:lang w:val="zh-CN"/>
        </w:rPr>
        <w:fldChar w:fldCharType="end"/>
      </w:r>
      <w:r>
        <w:rPr>
          <w:rFonts w:eastAsia="楷体_GB2312" w:cs="MingLiU_HKSCS" w:hint="eastAsia"/>
          <w:color w:val="000000"/>
          <w:szCs w:val="21"/>
          <w:lang w:val="zh-CN"/>
        </w:rPr>
        <w:t>保护的阶段是造纸阶段，而不是制浆阶段；</w:t>
      </w:r>
      <w:r w:rsidR="00C22A7B">
        <w:rPr>
          <w:rFonts w:eastAsia="楷体_GB2312" w:cs="MingLiU_HKSCS"/>
          <w:color w:val="000000"/>
          <w:szCs w:val="21"/>
          <w:lang w:val="zh-CN"/>
        </w:rPr>
        <w:fldChar w:fldCharType="begin"/>
      </w:r>
      <w:r>
        <w:rPr>
          <w:rFonts w:eastAsia="楷体_GB2312" w:cs="MingLiU_HKSCS"/>
          <w:color w:val="000000"/>
          <w:szCs w:val="21"/>
          <w:lang w:val="zh-CN"/>
        </w:rPr>
        <w:instrText>= 2 \* GB2</w:instrText>
      </w:r>
      <w:r w:rsidR="00C22A7B">
        <w:rPr>
          <w:rFonts w:eastAsia="楷体_GB2312" w:cs="MingLiU_HKSCS"/>
          <w:color w:val="000000"/>
          <w:szCs w:val="21"/>
          <w:lang w:val="zh-CN"/>
        </w:rPr>
        <w:fldChar w:fldCharType="separate"/>
      </w:r>
      <w:r>
        <w:rPr>
          <w:rFonts w:eastAsia="楷体_GB2312" w:cs="MingLiU_HKSCS" w:hint="eastAsia"/>
          <w:color w:val="000000"/>
          <w:szCs w:val="21"/>
          <w:lang w:val="zh-CN"/>
        </w:rPr>
        <w:t>（</w:t>
      </w:r>
      <w:r>
        <w:rPr>
          <w:rFonts w:eastAsia="楷体_GB2312" w:cs="MingLiU_HKSCS" w:hint="eastAsia"/>
          <w:color w:val="000000"/>
          <w:szCs w:val="21"/>
          <w:lang w:val="zh-CN"/>
        </w:rPr>
        <w:t>2</w:t>
      </w:r>
      <w:r>
        <w:rPr>
          <w:rFonts w:eastAsia="楷体_GB2312" w:cs="MingLiU_HKSCS" w:hint="eastAsia"/>
          <w:color w:val="000000"/>
          <w:szCs w:val="21"/>
          <w:lang w:val="zh-CN"/>
        </w:rPr>
        <w:t>）</w:t>
      </w:r>
      <w:r w:rsidR="00C22A7B">
        <w:rPr>
          <w:rFonts w:eastAsia="楷体_GB2312" w:cs="MingLiU_HKSCS"/>
          <w:color w:val="000000"/>
          <w:szCs w:val="21"/>
          <w:lang w:val="zh-CN"/>
        </w:rPr>
        <w:fldChar w:fldCharType="end"/>
      </w:r>
      <w:r>
        <w:rPr>
          <w:rFonts w:eastAsia="楷体_GB2312" w:cs="MingLiU_HKSCS" w:hint="eastAsia"/>
          <w:color w:val="000000"/>
          <w:szCs w:val="21"/>
          <w:lang w:val="zh-CN"/>
        </w:rPr>
        <w:t>竹纤维绝干浆、色素、纯碱三种原料及重量份的比例必须同时具备。即只有在生产水写纸的阶段，同时使用了上述三种原料，且三种原料的重量份比例必须是</w:t>
      </w:r>
      <w:r>
        <w:rPr>
          <w:rFonts w:eastAsia="楷体_GB2312" w:cs="MingLiU_HKSCS"/>
          <w:color w:val="000000"/>
          <w:szCs w:val="21"/>
          <w:lang w:val="zh-CN"/>
        </w:rPr>
        <w:t>1000</w:t>
      </w:r>
      <w:r>
        <w:rPr>
          <w:rFonts w:eastAsia="楷体_GB2312" w:cs="MingLiU_HKSCS" w:hint="eastAsia"/>
          <w:color w:val="000000"/>
          <w:szCs w:val="21"/>
          <w:lang w:val="zh-CN"/>
        </w:rPr>
        <w:t>∶</w:t>
      </w:r>
      <w:r>
        <w:rPr>
          <w:rFonts w:eastAsia="楷体_GB2312" w:cs="MingLiU_HKSCS"/>
          <w:color w:val="000000"/>
          <w:szCs w:val="21"/>
          <w:lang w:val="zh-CN"/>
        </w:rPr>
        <w:t>60</w:t>
      </w:r>
      <w:r>
        <w:rPr>
          <w:rFonts w:eastAsia="楷体_GB2312" w:cs="MingLiU_HKSCS" w:hint="eastAsia"/>
          <w:color w:val="000000"/>
          <w:szCs w:val="21"/>
          <w:lang w:val="zh-CN"/>
        </w:rPr>
        <w:t>∶</w:t>
      </w:r>
      <w:r>
        <w:rPr>
          <w:rFonts w:eastAsia="楷体_GB2312" w:cs="MingLiU_HKSCS"/>
          <w:color w:val="000000"/>
          <w:szCs w:val="21"/>
          <w:lang w:val="zh-CN"/>
        </w:rPr>
        <w:t>10</w:t>
      </w:r>
      <w:r>
        <w:rPr>
          <w:rFonts w:eastAsia="楷体_GB2312" w:cs="MingLiU_HKSCS" w:hint="eastAsia"/>
          <w:color w:val="000000"/>
          <w:szCs w:val="21"/>
          <w:lang w:val="zh-CN"/>
        </w:rPr>
        <w:t>时才构成侵权。</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（三）中药专利权保护范围的确定</w:t>
      </w:r>
    </w:p>
    <w:p w:rsidR="00800760" w:rsidRDefault="00235733">
      <w:pPr>
        <w:topLinePunct/>
        <w:rPr>
          <w:color w:val="000000" w:themeColor="text1"/>
        </w:rPr>
      </w:pPr>
      <w:r>
        <w:rPr>
          <w:rFonts w:cs="MingLiU_HKSCS" w:hint="eastAsia"/>
          <w:color w:val="000000" w:themeColor="text1"/>
          <w:szCs w:val="21"/>
          <w:lang w:val="zh-CN"/>
        </w:rPr>
        <w:t>中医药学是具有独特理论和技术方法的体系。中药领域专利侵权判定涉及一些特殊问题，例如，</w:t>
      </w:r>
      <w:r>
        <w:rPr>
          <w:color w:val="000000" w:themeColor="text1"/>
        </w:rPr>
        <w:t>中药所防治的疾病可以用中医的病或证表述</w:t>
      </w:r>
      <w:r>
        <w:rPr>
          <w:rFonts w:hint="eastAsia"/>
          <w:color w:val="000000" w:themeColor="text1"/>
        </w:rPr>
        <w:t>，</w:t>
      </w:r>
      <w:r>
        <w:rPr>
          <w:color w:val="000000" w:themeColor="text1"/>
        </w:rPr>
        <w:t>也可以用西医的病表述，二者不完全对应；</w:t>
      </w:r>
      <w:r>
        <w:rPr>
          <w:rFonts w:hint="eastAsia"/>
          <w:color w:val="000000" w:themeColor="text1"/>
        </w:rPr>
        <w:t>中药组合物中涉及同类功效药材的替换或用量微调的情况普遍，等同原则的适用存在较大争议等</w:t>
      </w:r>
      <w:r>
        <w:rPr>
          <w:color w:val="000000" w:themeColor="text1"/>
        </w:rPr>
        <w:t>。根据专利法及其实施细则的规定，对</w:t>
      </w:r>
      <w:r>
        <w:rPr>
          <w:rFonts w:hint="eastAsia"/>
          <w:color w:val="000000" w:themeColor="text1"/>
        </w:rPr>
        <w:t>中药领域专利侵权判定的</w:t>
      </w:r>
      <w:r>
        <w:rPr>
          <w:color w:val="000000" w:themeColor="text1"/>
        </w:rPr>
        <w:t>特殊情形作出具体规定。</w:t>
      </w:r>
    </w:p>
    <w:p w:rsidR="00800760" w:rsidRDefault="00235733">
      <w:pPr>
        <w:pStyle w:val="12"/>
        <w:topLinePunct/>
        <w:spacing w:line="336" w:lineRule="auto"/>
        <w:ind w:firstLine="420"/>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在确定中药专利权保护范围时，应尊重中医药传统医学理论的独特性和传承性，深刻理解中药临床疗效评价的规律，准确把握中药多组分多途径起效的复杂机制，合理确定中医药专利权保护范围的边界。</w:t>
      </w:r>
    </w:p>
    <w:p w:rsidR="00800760" w:rsidRDefault="00235733" w:rsidP="00C22A7B">
      <w:pPr>
        <w:keepNext/>
        <w:numPr>
          <w:ilvl w:val="0"/>
          <w:numId w:val="1"/>
        </w:numPr>
        <w:topLinePunct/>
        <w:adjustRightInd w:val="0"/>
        <w:snapToGrid w:val="0"/>
        <w:spacing w:beforeLines="100"/>
        <w:ind w:firstLine="444"/>
        <w:outlineLvl w:val="3"/>
        <w:rPr>
          <w:rFonts w:eastAsia="黑体"/>
          <w:color w:val="000000" w:themeColor="text1"/>
          <w:spacing w:val="6"/>
          <w:szCs w:val="21"/>
        </w:rPr>
      </w:pPr>
      <w:r>
        <w:rPr>
          <w:rFonts w:eastAsia="黑体" w:hint="eastAsia"/>
          <w:color w:val="000000" w:themeColor="text1"/>
          <w:spacing w:val="6"/>
          <w:szCs w:val="21"/>
        </w:rPr>
        <w:t>中药发明专利保护客体</w:t>
      </w:r>
    </w:p>
    <w:p w:rsidR="00800760" w:rsidRDefault="00235733">
      <w:pPr>
        <w:topLinePunct/>
        <w:rPr>
          <w:color w:val="000000" w:themeColor="text1"/>
          <w:szCs w:val="21"/>
        </w:rPr>
      </w:pPr>
      <w:r>
        <w:rPr>
          <w:rFonts w:hint="eastAsia"/>
          <w:color w:val="000000" w:themeColor="text1"/>
          <w:szCs w:val="21"/>
        </w:rPr>
        <w:t>属于中药发明专利保护客体的产品权利要求类型包括：（</w:t>
      </w:r>
      <w:r>
        <w:rPr>
          <w:rFonts w:hint="eastAsia"/>
          <w:color w:val="000000" w:themeColor="text1"/>
          <w:szCs w:val="21"/>
        </w:rPr>
        <w:t>1</w:t>
      </w:r>
      <w:r>
        <w:rPr>
          <w:rFonts w:hint="eastAsia"/>
          <w:color w:val="000000" w:themeColor="text1"/>
          <w:szCs w:val="21"/>
        </w:rPr>
        <w:t>）经过产地加工得到的中药材；（</w:t>
      </w:r>
      <w:r>
        <w:rPr>
          <w:rFonts w:hint="eastAsia"/>
          <w:color w:val="000000" w:themeColor="text1"/>
          <w:szCs w:val="21"/>
        </w:rPr>
        <w:t>2</w:t>
      </w:r>
      <w:r>
        <w:rPr>
          <w:rFonts w:hint="eastAsia"/>
          <w:color w:val="000000" w:themeColor="text1"/>
          <w:szCs w:val="21"/>
        </w:rPr>
        <w:t>）经过炮制加工得到的中药饮片；（</w:t>
      </w:r>
      <w:r>
        <w:rPr>
          <w:rFonts w:hint="eastAsia"/>
          <w:color w:val="000000" w:themeColor="text1"/>
          <w:szCs w:val="21"/>
        </w:rPr>
        <w:t>3</w:t>
      </w:r>
      <w:r>
        <w:rPr>
          <w:rFonts w:hint="eastAsia"/>
          <w:color w:val="000000" w:themeColor="text1"/>
          <w:szCs w:val="21"/>
        </w:rPr>
        <w:t>）中药组合物，也称中药组方或者中药复方；（</w:t>
      </w:r>
      <w:r>
        <w:rPr>
          <w:rFonts w:hint="eastAsia"/>
          <w:color w:val="000000" w:themeColor="text1"/>
          <w:szCs w:val="21"/>
        </w:rPr>
        <w:t>4</w:t>
      </w:r>
      <w:r>
        <w:rPr>
          <w:rFonts w:hint="eastAsia"/>
          <w:color w:val="000000" w:themeColor="text1"/>
          <w:szCs w:val="21"/>
        </w:rPr>
        <w:t>）中药提取物；（</w:t>
      </w:r>
      <w:r>
        <w:rPr>
          <w:rFonts w:hint="eastAsia"/>
          <w:color w:val="000000" w:themeColor="text1"/>
          <w:szCs w:val="21"/>
        </w:rPr>
        <w:t>5</w:t>
      </w:r>
      <w:r>
        <w:rPr>
          <w:rFonts w:hint="eastAsia"/>
          <w:color w:val="000000" w:themeColor="text1"/>
          <w:szCs w:val="21"/>
        </w:rPr>
        <w:t>）中药制剂。</w:t>
      </w:r>
    </w:p>
    <w:p w:rsidR="00800760" w:rsidRDefault="00235733">
      <w:pPr>
        <w:topLinePunct/>
        <w:rPr>
          <w:color w:val="000000" w:themeColor="text1"/>
          <w:szCs w:val="21"/>
        </w:rPr>
      </w:pPr>
      <w:r>
        <w:rPr>
          <w:rFonts w:hint="eastAsia"/>
          <w:color w:val="000000" w:themeColor="text1"/>
          <w:szCs w:val="21"/>
        </w:rPr>
        <w:t>属于中药发明专利保护客体的方法权利要求类型包括：（</w:t>
      </w:r>
      <w:r>
        <w:rPr>
          <w:rFonts w:hint="eastAsia"/>
          <w:color w:val="000000" w:themeColor="text1"/>
          <w:szCs w:val="21"/>
        </w:rPr>
        <w:t>1</w:t>
      </w:r>
      <w:r>
        <w:rPr>
          <w:rFonts w:hint="eastAsia"/>
          <w:color w:val="000000" w:themeColor="text1"/>
          <w:szCs w:val="21"/>
        </w:rPr>
        <w:t>）中药材的栽培或者产地加工方法；（</w:t>
      </w:r>
      <w:r>
        <w:rPr>
          <w:rFonts w:hint="eastAsia"/>
          <w:color w:val="000000" w:themeColor="text1"/>
          <w:szCs w:val="21"/>
        </w:rPr>
        <w:t>2</w:t>
      </w:r>
      <w:r>
        <w:rPr>
          <w:rFonts w:hint="eastAsia"/>
          <w:color w:val="000000" w:themeColor="text1"/>
          <w:szCs w:val="21"/>
        </w:rPr>
        <w:t>）中药饮片的炮制方法；（</w:t>
      </w:r>
      <w:r>
        <w:rPr>
          <w:rFonts w:hint="eastAsia"/>
          <w:color w:val="000000" w:themeColor="text1"/>
          <w:szCs w:val="21"/>
        </w:rPr>
        <w:t>3</w:t>
      </w:r>
      <w:r>
        <w:rPr>
          <w:rFonts w:hint="eastAsia"/>
          <w:color w:val="000000" w:themeColor="text1"/>
          <w:szCs w:val="21"/>
        </w:rPr>
        <w:t>）中药组合物、中药提取物、中药制剂等产品的制备方法或者检测方法；（</w:t>
      </w:r>
      <w:r>
        <w:rPr>
          <w:rFonts w:hint="eastAsia"/>
          <w:color w:val="000000" w:themeColor="text1"/>
          <w:szCs w:val="21"/>
        </w:rPr>
        <w:t>4</w:t>
      </w:r>
      <w:r>
        <w:rPr>
          <w:rFonts w:hint="eastAsia"/>
          <w:color w:val="000000" w:themeColor="text1"/>
          <w:szCs w:val="21"/>
        </w:rPr>
        <w:t>）中药产品的制药用途。</w:t>
      </w:r>
    </w:p>
    <w:p w:rsidR="00800760" w:rsidRDefault="00235733" w:rsidP="00C22A7B">
      <w:pPr>
        <w:keepNext/>
        <w:numPr>
          <w:ilvl w:val="0"/>
          <w:numId w:val="1"/>
        </w:numPr>
        <w:topLinePunct/>
        <w:adjustRightInd w:val="0"/>
        <w:snapToGrid w:val="0"/>
        <w:spacing w:beforeLines="100"/>
        <w:ind w:firstLine="444"/>
        <w:outlineLvl w:val="3"/>
        <w:rPr>
          <w:rFonts w:eastAsia="黑体"/>
          <w:color w:val="000000" w:themeColor="text1"/>
          <w:spacing w:val="6"/>
          <w:szCs w:val="21"/>
        </w:rPr>
      </w:pPr>
      <w:r>
        <w:rPr>
          <w:rFonts w:eastAsia="黑体" w:hint="eastAsia"/>
          <w:color w:val="000000" w:themeColor="text1"/>
          <w:spacing w:val="6"/>
          <w:szCs w:val="21"/>
        </w:rPr>
        <w:t>权利要求的解释</w:t>
      </w:r>
    </w:p>
    <w:p w:rsidR="00800760" w:rsidRDefault="00235733" w:rsidP="00C22A7B">
      <w:pPr>
        <w:keepNext/>
        <w:topLinePunct/>
        <w:spacing w:beforeLines="50"/>
        <w:outlineLvl w:val="4"/>
        <w:rPr>
          <w:rFonts w:eastAsia="黑体"/>
          <w:color w:val="000000" w:themeColor="text1"/>
        </w:rPr>
      </w:pPr>
      <w:r>
        <w:rPr>
          <w:rFonts w:eastAsia="黑体" w:hint="eastAsia"/>
          <w:color w:val="000000" w:themeColor="text1"/>
        </w:rPr>
        <w:t>（</w:t>
      </w:r>
      <w:r>
        <w:rPr>
          <w:rFonts w:eastAsia="黑体" w:hint="eastAsia"/>
          <w:color w:val="000000" w:themeColor="text1"/>
          <w:lang w:val="en-US"/>
        </w:rPr>
        <w:t>1</w:t>
      </w:r>
      <w:r>
        <w:rPr>
          <w:rFonts w:eastAsia="黑体" w:hint="eastAsia"/>
          <w:color w:val="000000" w:themeColor="text1"/>
        </w:rPr>
        <w:t>）中药材名称</w:t>
      </w:r>
    </w:p>
    <w:p w:rsidR="00800760" w:rsidRDefault="00235733">
      <w:pPr>
        <w:topLinePunct/>
        <w:rPr>
          <w:color w:val="000000" w:themeColor="text1"/>
        </w:rPr>
      </w:pPr>
      <w:r>
        <w:rPr>
          <w:rFonts w:cs="MingLiU_HKSCS" w:hint="eastAsia"/>
          <w:color w:val="000000" w:themeColor="text1"/>
          <w:szCs w:val="21"/>
          <w:lang w:val="zh-CN"/>
        </w:rPr>
        <w:t>中药材的名称存在正名、异名、别名和俗称等形式。对于涉及中药材的发明，说明书中一般应当记载中药材正名。如果说明书中的中药材名称在现有技术中没有明确记载，</w:t>
      </w:r>
      <w:r>
        <w:rPr>
          <w:color w:val="000000" w:themeColor="text1"/>
        </w:rPr>
        <w:t>则应当</w:t>
      </w:r>
      <w:r>
        <w:rPr>
          <w:rFonts w:hint="eastAsia"/>
          <w:color w:val="000000" w:themeColor="text1"/>
        </w:rPr>
        <w:t>站位本领域技术人员，结合</w:t>
      </w:r>
      <w:r>
        <w:rPr>
          <w:color w:val="000000" w:themeColor="text1"/>
        </w:rPr>
        <w:t>说明书中记载</w:t>
      </w:r>
      <w:r>
        <w:rPr>
          <w:rFonts w:hint="eastAsia"/>
          <w:color w:val="000000" w:themeColor="text1"/>
        </w:rPr>
        <w:t>的</w:t>
      </w:r>
      <w:r>
        <w:rPr>
          <w:color w:val="000000" w:themeColor="text1"/>
        </w:rPr>
        <w:t>植物基原、拉丁名、药用部位、性味归经、功效等</w:t>
      </w:r>
      <w:r>
        <w:rPr>
          <w:rFonts w:hint="eastAsia"/>
          <w:color w:val="000000" w:themeColor="text1"/>
        </w:rPr>
        <w:t>信息确认该中药材。</w:t>
      </w:r>
    </w:p>
    <w:p w:rsidR="00800760" w:rsidRDefault="00C22A7B" w:rsidP="00C22A7B">
      <w:pPr>
        <w:keepNext/>
        <w:topLinePunct/>
        <w:spacing w:beforeLines="50"/>
        <w:outlineLvl w:val="4"/>
        <w:rPr>
          <w:rFonts w:eastAsia="黑体"/>
          <w:color w:val="000000" w:themeColor="text1"/>
        </w:rPr>
      </w:pPr>
      <w:r>
        <w:rPr>
          <w:rFonts w:eastAsia="黑体"/>
          <w:color w:val="000000" w:themeColor="text1"/>
        </w:rPr>
        <w:fldChar w:fldCharType="begin"/>
      </w:r>
      <w:r w:rsidR="00235733">
        <w:rPr>
          <w:rFonts w:eastAsia="黑体"/>
          <w:color w:val="000000" w:themeColor="text1"/>
        </w:rPr>
        <w:instrText>= 4 \* GB1</w:instrText>
      </w:r>
      <w:r>
        <w:rPr>
          <w:rFonts w:eastAsia="黑体"/>
          <w:color w:val="000000" w:themeColor="text1"/>
        </w:rPr>
        <w:fldChar w:fldCharType="separate"/>
      </w:r>
      <w:r w:rsidR="00235733">
        <w:rPr>
          <w:rFonts w:eastAsia="黑体" w:hint="eastAsia"/>
          <w:color w:val="000000" w:themeColor="text1"/>
        </w:rPr>
        <w:t>（</w:t>
      </w:r>
      <w:r w:rsidR="00235733">
        <w:rPr>
          <w:rFonts w:eastAsia="黑体" w:hint="eastAsia"/>
          <w:color w:val="000000" w:themeColor="text1"/>
          <w:lang w:val="en-US"/>
        </w:rPr>
        <w:t>2</w:t>
      </w:r>
      <w:r w:rsidR="00235733">
        <w:rPr>
          <w:rFonts w:eastAsia="黑体" w:hint="eastAsia"/>
          <w:color w:val="000000" w:themeColor="text1"/>
        </w:rPr>
        <w:t>）</w:t>
      </w:r>
      <w:r>
        <w:rPr>
          <w:rFonts w:eastAsia="黑体"/>
          <w:color w:val="000000" w:themeColor="text1"/>
        </w:rPr>
        <w:fldChar w:fldCharType="end"/>
      </w:r>
      <w:r w:rsidR="00235733">
        <w:rPr>
          <w:rFonts w:eastAsia="黑体" w:hint="eastAsia"/>
          <w:color w:val="000000" w:themeColor="text1"/>
        </w:rPr>
        <w:t>中药组合物</w:t>
      </w:r>
    </w:p>
    <w:p w:rsidR="00800760" w:rsidRDefault="00235733">
      <w:pPr>
        <w:topLinePunct/>
        <w:rPr>
          <w:color w:val="000000" w:themeColor="text1"/>
          <w:szCs w:val="21"/>
        </w:rPr>
      </w:pPr>
      <w:r>
        <w:rPr>
          <w:rFonts w:hint="eastAsia"/>
          <w:color w:val="000000" w:themeColor="text1"/>
          <w:szCs w:val="21"/>
        </w:rPr>
        <w:t>对于中药组合物发明，权利要求中通常包括中药组合物的原料组成和各原料的用量配比关系。中药原料的用量可以采用重量份、重量比例、重量百分比等进行表述。</w:t>
      </w:r>
    </w:p>
    <w:p w:rsidR="00800760" w:rsidRDefault="00235733">
      <w:pPr>
        <w:topLinePunct/>
        <w:rPr>
          <w:color w:val="000000" w:themeColor="text1"/>
          <w:szCs w:val="21"/>
        </w:rPr>
      </w:pPr>
      <w:r>
        <w:rPr>
          <w:rFonts w:hint="eastAsia"/>
          <w:color w:val="000000" w:themeColor="text1"/>
          <w:szCs w:val="21"/>
        </w:rPr>
        <w:t xml:space="preserve"> </w:t>
      </w:r>
      <w:r>
        <w:rPr>
          <w:rFonts w:hint="eastAsia"/>
          <w:color w:val="000000" w:themeColor="text1"/>
          <w:szCs w:val="21"/>
        </w:rPr>
        <w:t>“由</w:t>
      </w:r>
      <w:r>
        <w:rPr>
          <w:color w:val="000000" w:themeColor="text1"/>
          <w:szCs w:val="21"/>
        </w:rPr>
        <w:t>……</w:t>
      </w:r>
      <w:r>
        <w:rPr>
          <w:rFonts w:hint="eastAsia"/>
          <w:color w:val="000000" w:themeColor="text1"/>
          <w:szCs w:val="21"/>
        </w:rPr>
        <w:t>制成”是中药组合物发明以制备方法限定产品权利要求的常见表达方式，表示该中药组合物由所指出的组分作为中药原料制备而成。</w:t>
      </w:r>
    </w:p>
    <w:p w:rsidR="00800760" w:rsidRDefault="00235733" w:rsidP="00C22A7B">
      <w:pPr>
        <w:keepNext/>
        <w:topLinePunct/>
        <w:spacing w:beforeLines="50"/>
        <w:outlineLvl w:val="4"/>
        <w:rPr>
          <w:rFonts w:eastAsia="黑体"/>
          <w:color w:val="000000" w:themeColor="text1"/>
        </w:rPr>
      </w:pPr>
      <w:r>
        <w:rPr>
          <w:rFonts w:eastAsia="黑体" w:hint="eastAsia"/>
          <w:color w:val="000000" w:themeColor="text1"/>
        </w:rPr>
        <w:t>（</w:t>
      </w:r>
      <w:r>
        <w:rPr>
          <w:rFonts w:eastAsia="黑体" w:hint="eastAsia"/>
          <w:color w:val="000000" w:themeColor="text1"/>
          <w:lang w:val="en-US"/>
        </w:rPr>
        <w:t>3</w:t>
      </w:r>
      <w:r>
        <w:rPr>
          <w:rFonts w:eastAsia="黑体" w:hint="eastAsia"/>
          <w:color w:val="000000" w:themeColor="text1"/>
        </w:rPr>
        <w:t>）中药产品的制药用途</w:t>
      </w:r>
    </w:p>
    <w:p w:rsidR="00800760" w:rsidRDefault="00235733">
      <w:pPr>
        <w:topLinePunct/>
        <w:rPr>
          <w:color w:val="000000" w:themeColor="text1"/>
          <w:szCs w:val="21"/>
          <w:lang w:val="en-US"/>
        </w:rPr>
      </w:pPr>
      <w:r>
        <w:rPr>
          <w:rFonts w:hint="eastAsia"/>
          <w:color w:val="000000" w:themeColor="text1"/>
          <w:szCs w:val="21"/>
        </w:rPr>
        <w:t>辩证论治是中医治疗疾病的基本原则。通常，同一疾病在不同的发展阶段，可以出现不同的证候分型即证型，而同一证型可以发生在不同的疾病中。应当注意中医的病与证，以及其与西医的病或药物作用机理之间的关系，考量其是否相同。</w:t>
      </w:r>
    </w:p>
    <w:p w:rsidR="00800760" w:rsidRDefault="00800760">
      <w:pPr>
        <w:widowControl w:val="0"/>
        <w:topLinePunct/>
        <w:jc w:val="both"/>
        <w:rPr>
          <w:rFonts w:eastAsia="楷体_GB2312" w:cs="MingLiU_HKSCS"/>
          <w:color w:val="000000"/>
          <w:szCs w:val="21"/>
          <w:lang w:val="zh-CN"/>
        </w:rPr>
      </w:pPr>
    </w:p>
    <w:p w:rsidR="00800760" w:rsidRDefault="00235733">
      <w:pPr>
        <w:pStyle w:val="3"/>
        <w:topLinePunct/>
        <w:spacing w:before="240"/>
        <w:ind w:firstLine="444"/>
        <w:rPr>
          <w:rFonts w:ascii="Times New Roman" w:hAnsi="Times New Roman"/>
          <w:color w:val="000000"/>
        </w:rPr>
      </w:pPr>
      <w:bookmarkStart w:id="1853" w:name="_Toc8757"/>
      <w:bookmarkStart w:id="1854" w:name="_Toc25"/>
      <w:bookmarkStart w:id="1855" w:name="_Toc13927"/>
      <w:bookmarkStart w:id="1856" w:name="_Toc16215"/>
      <w:bookmarkStart w:id="1857" w:name="_Toc18306"/>
      <w:bookmarkStart w:id="1858" w:name="_Toc21334"/>
      <w:bookmarkStart w:id="1859" w:name="_Toc235"/>
      <w:bookmarkStart w:id="1860" w:name="_Toc15473"/>
      <w:bookmarkStart w:id="1861" w:name="_Toc11789"/>
      <w:bookmarkStart w:id="1862" w:name="_Toc24719"/>
      <w:bookmarkStart w:id="1863" w:name="_Toc24211"/>
      <w:bookmarkStart w:id="1864" w:name="_Toc23535"/>
      <w:bookmarkStart w:id="1865" w:name="_Toc25769"/>
      <w:bookmarkStart w:id="1866" w:name="_Toc13224"/>
      <w:bookmarkStart w:id="1867" w:name="_Toc28833"/>
      <w:bookmarkStart w:id="1868" w:name="_Toc8256"/>
      <w:bookmarkStart w:id="1869" w:name="_Toc10085"/>
      <w:bookmarkStart w:id="1870" w:name="_Toc1750"/>
      <w:bookmarkStart w:id="1871" w:name="_Toc12343"/>
      <w:bookmarkStart w:id="1872" w:name="_Toc13490"/>
      <w:bookmarkStart w:id="1873" w:name="_Toc9624"/>
      <w:bookmarkStart w:id="1874" w:name="_Toc15350"/>
      <w:bookmarkStart w:id="1875" w:name="_Toc10613"/>
      <w:bookmarkStart w:id="1876" w:name="_Toc29938"/>
      <w:bookmarkStart w:id="1877" w:name="_Toc30784"/>
      <w:bookmarkStart w:id="1878" w:name="_Toc5485"/>
      <w:bookmarkStart w:id="1879" w:name="_Toc8961"/>
      <w:bookmarkStart w:id="1880" w:name="_Toc18756"/>
      <w:bookmarkStart w:id="1881" w:name="_Toc24523"/>
      <w:bookmarkStart w:id="1882" w:name="_Toc10387"/>
      <w:bookmarkStart w:id="1883" w:name="_Toc7628"/>
      <w:bookmarkStart w:id="1884" w:name="_Toc24017"/>
      <w:bookmarkStart w:id="1885" w:name="_Toc29679"/>
      <w:bookmarkStart w:id="1886" w:name="_Toc32672"/>
      <w:bookmarkStart w:id="1887" w:name="_Toc24325"/>
      <w:bookmarkStart w:id="1888" w:name="_Toc217908628"/>
      <w:bookmarkStart w:id="1889" w:name="_Toc20641"/>
      <w:bookmarkStart w:id="1890" w:name="_Toc22737"/>
      <w:bookmarkStart w:id="1891" w:name="_Toc23374"/>
      <w:bookmarkStart w:id="1892" w:name="_Toc18081"/>
      <w:bookmarkStart w:id="1893" w:name="_Toc24391"/>
      <w:bookmarkStart w:id="1894" w:name="_Toc3028"/>
      <w:bookmarkStart w:id="1895" w:name="_Toc23477"/>
      <w:bookmarkStart w:id="1896" w:name="_Toc229114373"/>
      <w:bookmarkStart w:id="1897" w:name="_Toc229225469"/>
      <w:r>
        <w:rPr>
          <w:rFonts w:ascii="Times New Roman" w:hAnsi="Times New Roman" w:hint="eastAsia"/>
          <w:color w:val="000000"/>
        </w:rPr>
        <w:t>二、发明、实用新型专利侵权判定</w:t>
      </w:r>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r w:rsidR="00235733">
        <w:rPr>
          <w:rFonts w:ascii="Times New Roman" w:hAnsi="Times New Roman" w:hint="eastAsia"/>
          <w:color w:val="000000"/>
        </w:rPr>
        <w:t>（一）</w:t>
      </w:r>
      <w:r>
        <w:rPr>
          <w:rFonts w:ascii="Times New Roman" w:hAnsi="Times New Roman"/>
          <w:color w:val="000000"/>
        </w:rPr>
        <w:fldChar w:fldCharType="end"/>
      </w:r>
      <w:r w:rsidR="00235733">
        <w:rPr>
          <w:rFonts w:ascii="Times New Roman" w:hAnsi="Times New Roman" w:hint="eastAsia"/>
          <w:color w:val="000000"/>
        </w:rPr>
        <w:t>专利侵权判定的比较客体</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侵权判定的比较客体应该是权利人所主张的涉案专利相关权利要求和被控侵权技术方案。在判断被控侵权技术方案是否侵犯涉案专利权时，应将被控侵权技术方案与权利人主张的相关专利权利要求所记载的技术方案进行一一比较，不得将被控侵权技术方案与涉案专利产品直接进行比较。当被控侵权技术方案也有专利权时，也不得直接将双方专利产品进行比较或者将双方的专利权利要求进行比较。</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r w:rsidR="00235733">
        <w:rPr>
          <w:rFonts w:ascii="Times New Roman" w:hAnsi="Times New Roman" w:hint="eastAsia"/>
          <w:color w:val="000000"/>
          <w:lang w:val="en-US"/>
        </w:rPr>
        <w:t>（二）</w:t>
      </w:r>
      <w:r>
        <w:rPr>
          <w:rFonts w:ascii="Times New Roman" w:hAnsi="Times New Roman"/>
          <w:color w:val="000000"/>
        </w:rPr>
        <w:fldChar w:fldCharType="end"/>
      </w:r>
      <w:r w:rsidR="00235733">
        <w:rPr>
          <w:rFonts w:ascii="Times New Roman" w:hAnsi="Times New Roman" w:hint="eastAsia"/>
          <w:color w:val="000000"/>
        </w:rPr>
        <w:t>专利侵权判定的方式与原则</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判定被控侵权技术方案是否落入专利权的保护范围时，首先要对专利权利要求和被控侵权技术方案进行特征划分，将相应的技术特征进行特征对比，然后再判断被控侵权技术方案是否构成相同侵权。在二者存在区别的情况下，必要时还需判断是否构成等同侵权。</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r w:rsidR="00235733">
        <w:rPr>
          <w:rFonts w:hint="eastAsia"/>
          <w:color w:val="000000"/>
        </w:rPr>
        <w:t xml:space="preserve">1. </w:t>
      </w:r>
      <w:r>
        <w:rPr>
          <w:color w:val="000000"/>
        </w:rPr>
        <w:fldChar w:fldCharType="end"/>
      </w:r>
      <w:r w:rsidR="00235733">
        <w:rPr>
          <w:rFonts w:hint="eastAsia"/>
          <w:color w:val="000000"/>
        </w:rPr>
        <w:t>技术特征划分</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在专利侵权判定中，应当采用“技术特征逐一比对”的方式。</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把逐个技术特征作为比较对象，就必须对专利权利要求和被控侵权技术方案所具有的技术特征作出划分，即将专利权利要求或被控侵权技术方案分解为能够相对独立地执行一定功能、产生相对独立的技术效果的最小技术单元。</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在划分技术特征时，需要考虑两个重要因素</w:t>
      </w:r>
      <w:r>
        <w:rPr>
          <w:rFonts w:ascii="Times New Roman" w:eastAsia="宋体" w:hAnsi="Times New Roman"/>
          <w:sz w:val="21"/>
          <w:szCs w:val="21"/>
        </w:rPr>
        <w:t>：</w:t>
      </w:r>
      <w:r>
        <w:rPr>
          <w:rFonts w:ascii="Times New Roman" w:eastAsia="宋体" w:hAnsi="Times New Roman" w:hint="eastAsia"/>
          <w:sz w:val="21"/>
          <w:szCs w:val="21"/>
        </w:rPr>
        <w:t>技术特征的独立性与价值性。独立性是指某一技术特征不需要再与其他技术特征组合就能够体现其自身的功能；价值性是指某一技术特征不仅具有独立的功能，而且事实上已经在整体技术方案中发挥了作用或者产生了技术影响。</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对技术特征的划分应当首先以专利权利要求为基础，在准确划分专利权利要求的技术特征的基础上，再对被控侵权技术方案的对应技术特征进行分析。</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为了便于比较专利权利要求与被控侵权技术方案的异同，可以采用列表的方式将专利权利要求的技术特征逐项列出，然后分别与被控侵权技术方案的相应部分进行对比。无论以何种方式划分技术特征，均不应当将专利权利要求中记载的某个技术特征或其限定忽略不计。</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-2</w:t>
      </w:r>
      <w:r>
        <w:rPr>
          <w:rFonts w:ascii="Times New Roman" w:hAnsi="Times New Roman" w:hint="eastAsia"/>
          <w:color w:val="000000"/>
          <w:lang w:val="en-US"/>
        </w:rPr>
        <w:t>2</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hint="eastAsia"/>
          <w:sz w:val="21"/>
          <w:szCs w:val="21"/>
        </w:rPr>
        <w:t>一种产品Ｘ包括</w:t>
      </w:r>
      <w:r>
        <w:rPr>
          <w:rFonts w:ascii="Times New Roman" w:eastAsia="楷体_GB2312" w:hAnsi="Times New Roman"/>
          <w:sz w:val="21"/>
          <w:szCs w:val="21"/>
        </w:rPr>
        <w:t>A</w:t>
      </w:r>
      <w:r>
        <w:rPr>
          <w:rFonts w:ascii="Times New Roman" w:eastAsia="楷体_GB2312" w:hAnsi="Times New Roman" w:hint="eastAsia"/>
          <w:sz w:val="21"/>
          <w:szCs w:val="21"/>
        </w:rPr>
        <w:t>、</w:t>
      </w:r>
      <w:r>
        <w:rPr>
          <w:rFonts w:ascii="Times New Roman" w:eastAsia="楷体_GB2312" w:hAnsi="Times New Roman"/>
          <w:sz w:val="21"/>
          <w:szCs w:val="21"/>
        </w:rPr>
        <w:t>B</w:t>
      </w:r>
      <w:r>
        <w:rPr>
          <w:rFonts w:ascii="Times New Roman" w:eastAsia="楷体_GB2312" w:hAnsi="Times New Roman" w:hint="eastAsia"/>
          <w:sz w:val="21"/>
          <w:szCs w:val="21"/>
        </w:rPr>
        <w:t>、</w:t>
      </w:r>
      <w:r>
        <w:rPr>
          <w:rFonts w:ascii="Times New Roman" w:eastAsia="楷体_GB2312" w:hAnsi="Times New Roman"/>
          <w:sz w:val="21"/>
          <w:szCs w:val="21"/>
        </w:rPr>
        <w:t>C</w:t>
      </w:r>
      <w:r>
        <w:rPr>
          <w:rFonts w:ascii="Times New Roman" w:eastAsia="楷体_GB2312" w:hAnsi="Times New Roman" w:hint="eastAsia"/>
          <w:sz w:val="21"/>
          <w:szCs w:val="21"/>
        </w:rPr>
        <w:t>，其特征在于，该产品还包括</w:t>
      </w:r>
      <w:r>
        <w:rPr>
          <w:rFonts w:ascii="Times New Roman" w:eastAsia="楷体_GB2312" w:hAnsi="Times New Roman"/>
          <w:sz w:val="21"/>
          <w:szCs w:val="21"/>
        </w:rPr>
        <w:t>D</w:t>
      </w:r>
      <w:r>
        <w:rPr>
          <w:rFonts w:ascii="Times New Roman" w:eastAsia="楷体_GB2312" w:hAnsi="Times New Roman" w:hint="eastAsia"/>
          <w:sz w:val="21"/>
          <w:szCs w:val="21"/>
        </w:rPr>
        <w:t>部件。</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w:t>
      </w:r>
      <w:r>
        <w:rPr>
          <w:rFonts w:ascii="Times New Roman" w:eastAsia="楷体_GB2312" w:hAnsi="Times New Roman" w:hint="eastAsia"/>
          <w:sz w:val="21"/>
          <w:szCs w:val="21"/>
        </w:rPr>
        <w:t>X</w:t>
      </w:r>
      <w:r>
        <w:rPr>
          <w:rFonts w:ascii="Times New Roman" w:eastAsia="楷体_GB2312" w:hAnsi="Times New Roman"/>
          <w:sz w:val="21"/>
          <w:szCs w:val="21"/>
        </w:rPr>
        <w:t>’</w:t>
      </w:r>
      <w:r>
        <w:rPr>
          <w:rFonts w:ascii="Times New Roman" w:eastAsia="楷体_GB2312" w:hAnsi="Times New Roman" w:hint="eastAsia"/>
          <w:sz w:val="21"/>
          <w:szCs w:val="21"/>
        </w:rPr>
        <w:t>，包括技术特征</w:t>
      </w:r>
      <w:r>
        <w:rPr>
          <w:rFonts w:ascii="Times New Roman" w:eastAsia="楷体_GB2312" w:hAnsi="Times New Roman"/>
          <w:sz w:val="21"/>
          <w:szCs w:val="21"/>
        </w:rPr>
        <w:t>：</w:t>
      </w:r>
      <w:r>
        <w:rPr>
          <w:rFonts w:ascii="Times New Roman" w:eastAsia="楷体_GB2312" w:hAnsi="Times New Roman"/>
          <w:sz w:val="21"/>
          <w:szCs w:val="21"/>
        </w:rPr>
        <w:t>A</w:t>
      </w:r>
      <w:r>
        <w:rPr>
          <w:rFonts w:ascii="Times New Roman" w:eastAsia="楷体_GB2312" w:hAnsi="Times New Roman" w:hint="eastAsia"/>
          <w:sz w:val="21"/>
          <w:szCs w:val="21"/>
        </w:rPr>
        <w:t>、</w:t>
      </w:r>
      <w:r>
        <w:rPr>
          <w:rFonts w:ascii="Times New Roman" w:eastAsia="楷体_GB2312" w:hAnsi="Times New Roman"/>
          <w:sz w:val="21"/>
          <w:szCs w:val="21"/>
        </w:rPr>
        <w:t>B</w:t>
      </w:r>
      <w:r>
        <w:rPr>
          <w:rFonts w:ascii="Times New Roman" w:eastAsia="楷体_GB2312" w:hAnsi="Times New Roman" w:hint="eastAsia"/>
          <w:sz w:val="21"/>
          <w:szCs w:val="21"/>
        </w:rPr>
        <w:t>、</w:t>
      </w:r>
      <w:r>
        <w:rPr>
          <w:rFonts w:ascii="Times New Roman" w:eastAsia="楷体_GB2312" w:hAnsi="Times New Roman"/>
          <w:sz w:val="21"/>
          <w:szCs w:val="21"/>
        </w:rPr>
        <w:t>C’</w:t>
      </w:r>
      <w:r>
        <w:rPr>
          <w:rFonts w:ascii="Times New Roman" w:eastAsia="楷体_GB2312" w:hAnsi="Times New Roman" w:hint="eastAsia"/>
          <w:sz w:val="21"/>
          <w:szCs w:val="21"/>
        </w:rPr>
        <w:t>、</w:t>
      </w:r>
      <w:r>
        <w:rPr>
          <w:rFonts w:ascii="Times New Roman" w:eastAsia="楷体_GB2312" w:hAnsi="Times New Roman"/>
          <w:sz w:val="21"/>
          <w:szCs w:val="21"/>
        </w:rPr>
        <w:t>D’</w:t>
      </w:r>
      <w:r>
        <w:rPr>
          <w:rFonts w:ascii="Times New Roman" w:eastAsia="楷体_GB2312" w:hAnsi="Times New Roman" w:hint="eastAsia"/>
          <w:sz w:val="21"/>
          <w:szCs w:val="21"/>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判定被控侵权产品是否构成侵权时，对技术特征可进行如下表所示的分析</w:t>
      </w:r>
      <w:r>
        <w:rPr>
          <w:rFonts w:ascii="Times New Roman" w:eastAsia="楷体_GB2312" w:hAnsi="Times New Roman"/>
          <w:sz w:val="21"/>
          <w:szCs w:val="21"/>
        </w:rPr>
        <w:t>：</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1508"/>
        <w:gridCol w:w="1871"/>
        <w:gridCol w:w="6489"/>
      </w:tblGrid>
      <w:tr w:rsidR="00800760">
        <w:trPr>
          <w:trHeight w:val="20"/>
        </w:trPr>
        <w:tc>
          <w:tcPr>
            <w:tcW w:w="764" w:type="pct"/>
            <w:tcMar>
              <w:left w:w="57" w:type="dxa"/>
              <w:right w:w="57" w:type="dxa"/>
            </w:tcMar>
            <w:vAlign w:val="center"/>
          </w:tcPr>
          <w:p w:rsidR="00800760" w:rsidRDefault="00235733">
            <w:pPr>
              <w:pStyle w:val="22"/>
              <w:keepNext/>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hint="eastAsia"/>
                <w:sz w:val="18"/>
                <w:szCs w:val="18"/>
              </w:rPr>
              <w:t>权利要求</w:t>
            </w:r>
            <w:r>
              <w:rPr>
                <w:rFonts w:ascii="Times New Roman" w:eastAsia="宋体" w:hAnsi="Times New Roman"/>
                <w:sz w:val="18"/>
                <w:szCs w:val="18"/>
              </w:rPr>
              <w:t>1</w:t>
            </w:r>
          </w:p>
        </w:tc>
        <w:tc>
          <w:tcPr>
            <w:tcW w:w="948" w:type="pct"/>
            <w:tcMar>
              <w:left w:w="57" w:type="dxa"/>
              <w:right w:w="57" w:type="dxa"/>
            </w:tcMar>
            <w:vAlign w:val="center"/>
          </w:tcPr>
          <w:p w:rsidR="00800760" w:rsidRDefault="00235733">
            <w:pPr>
              <w:pStyle w:val="22"/>
              <w:keepNext/>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hint="eastAsia"/>
                <w:sz w:val="18"/>
                <w:szCs w:val="18"/>
              </w:rPr>
              <w:t>被控侵权产品</w:t>
            </w:r>
          </w:p>
        </w:tc>
        <w:tc>
          <w:tcPr>
            <w:tcW w:w="3288" w:type="pct"/>
            <w:tcMar>
              <w:left w:w="57" w:type="dxa"/>
              <w:right w:w="57" w:type="dxa"/>
            </w:tcMar>
            <w:vAlign w:val="center"/>
          </w:tcPr>
          <w:p w:rsidR="00800760" w:rsidRDefault="00235733">
            <w:pPr>
              <w:pStyle w:val="22"/>
              <w:keepNext/>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hint="eastAsia"/>
                <w:sz w:val="18"/>
                <w:szCs w:val="18"/>
              </w:rPr>
              <w:t>对比结论</w:t>
            </w:r>
          </w:p>
        </w:tc>
      </w:tr>
      <w:tr w:rsidR="00800760">
        <w:trPr>
          <w:trHeight w:val="20"/>
        </w:trPr>
        <w:tc>
          <w:tcPr>
            <w:tcW w:w="764" w:type="pct"/>
            <w:tcMar>
              <w:left w:w="57" w:type="dxa"/>
              <w:right w:w="57" w:type="dxa"/>
            </w:tcMar>
            <w:vAlign w:val="center"/>
          </w:tcPr>
          <w:p w:rsidR="00800760" w:rsidRDefault="00235733">
            <w:pPr>
              <w:pStyle w:val="22"/>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sz w:val="18"/>
                <w:szCs w:val="18"/>
              </w:rPr>
              <w:t>A</w:t>
            </w:r>
          </w:p>
        </w:tc>
        <w:tc>
          <w:tcPr>
            <w:tcW w:w="948" w:type="pct"/>
            <w:tcMar>
              <w:left w:w="57" w:type="dxa"/>
              <w:right w:w="57" w:type="dxa"/>
            </w:tcMar>
            <w:vAlign w:val="center"/>
          </w:tcPr>
          <w:p w:rsidR="00800760" w:rsidRDefault="00235733">
            <w:pPr>
              <w:pStyle w:val="22"/>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sz w:val="18"/>
                <w:szCs w:val="18"/>
              </w:rPr>
              <w:t>A</w:t>
            </w:r>
          </w:p>
        </w:tc>
        <w:tc>
          <w:tcPr>
            <w:tcW w:w="3288" w:type="pct"/>
            <w:tcMar>
              <w:left w:w="57" w:type="dxa"/>
              <w:right w:w="57" w:type="dxa"/>
            </w:tcMar>
            <w:vAlign w:val="center"/>
          </w:tcPr>
          <w:p w:rsidR="00800760" w:rsidRDefault="00235733">
            <w:pPr>
              <w:pStyle w:val="22"/>
              <w:topLinePunct/>
              <w:spacing w:line="336" w:lineRule="auto"/>
              <w:ind w:firstLineChars="0" w:firstLine="0"/>
              <w:jc w:val="left"/>
              <w:rPr>
                <w:rFonts w:ascii="Times New Roman" w:eastAsia="宋体" w:hAnsi="Times New Roman"/>
                <w:sz w:val="18"/>
                <w:szCs w:val="18"/>
              </w:rPr>
            </w:pPr>
            <w:r>
              <w:rPr>
                <w:rFonts w:ascii="Times New Roman" w:eastAsia="宋体" w:hAnsi="Times New Roman" w:hint="eastAsia"/>
                <w:sz w:val="18"/>
                <w:szCs w:val="18"/>
              </w:rPr>
              <w:t>相同</w:t>
            </w:r>
          </w:p>
        </w:tc>
      </w:tr>
      <w:tr w:rsidR="00800760">
        <w:trPr>
          <w:trHeight w:val="20"/>
        </w:trPr>
        <w:tc>
          <w:tcPr>
            <w:tcW w:w="764" w:type="pct"/>
            <w:tcMar>
              <w:left w:w="57" w:type="dxa"/>
              <w:right w:w="57" w:type="dxa"/>
            </w:tcMar>
            <w:vAlign w:val="center"/>
          </w:tcPr>
          <w:p w:rsidR="00800760" w:rsidRDefault="00235733">
            <w:pPr>
              <w:pStyle w:val="22"/>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sz w:val="18"/>
                <w:szCs w:val="18"/>
              </w:rPr>
              <w:t>B</w:t>
            </w:r>
          </w:p>
        </w:tc>
        <w:tc>
          <w:tcPr>
            <w:tcW w:w="948" w:type="pct"/>
            <w:tcMar>
              <w:left w:w="57" w:type="dxa"/>
              <w:right w:w="57" w:type="dxa"/>
            </w:tcMar>
            <w:vAlign w:val="center"/>
          </w:tcPr>
          <w:p w:rsidR="00800760" w:rsidRDefault="00235733">
            <w:pPr>
              <w:pStyle w:val="22"/>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sz w:val="18"/>
                <w:szCs w:val="18"/>
              </w:rPr>
              <w:t>B</w:t>
            </w:r>
          </w:p>
        </w:tc>
        <w:tc>
          <w:tcPr>
            <w:tcW w:w="3288" w:type="pct"/>
            <w:tcMar>
              <w:left w:w="57" w:type="dxa"/>
              <w:right w:w="57" w:type="dxa"/>
            </w:tcMar>
            <w:vAlign w:val="center"/>
          </w:tcPr>
          <w:p w:rsidR="00800760" w:rsidRDefault="00235733">
            <w:pPr>
              <w:pStyle w:val="22"/>
              <w:topLinePunct/>
              <w:spacing w:line="336" w:lineRule="auto"/>
              <w:ind w:firstLineChars="0" w:firstLine="0"/>
              <w:jc w:val="left"/>
              <w:rPr>
                <w:rFonts w:ascii="Times New Roman" w:eastAsia="宋体" w:hAnsi="Times New Roman"/>
                <w:sz w:val="18"/>
                <w:szCs w:val="18"/>
              </w:rPr>
            </w:pPr>
            <w:r>
              <w:rPr>
                <w:rFonts w:ascii="Times New Roman" w:eastAsia="宋体" w:hAnsi="Times New Roman" w:hint="eastAsia"/>
                <w:sz w:val="18"/>
                <w:szCs w:val="18"/>
              </w:rPr>
              <w:t>相同</w:t>
            </w:r>
          </w:p>
        </w:tc>
      </w:tr>
      <w:tr w:rsidR="00800760">
        <w:trPr>
          <w:trHeight w:val="20"/>
        </w:trPr>
        <w:tc>
          <w:tcPr>
            <w:tcW w:w="764" w:type="pct"/>
            <w:tcMar>
              <w:left w:w="57" w:type="dxa"/>
              <w:right w:w="57" w:type="dxa"/>
            </w:tcMar>
            <w:vAlign w:val="center"/>
          </w:tcPr>
          <w:p w:rsidR="00800760" w:rsidRDefault="00235733">
            <w:pPr>
              <w:pStyle w:val="22"/>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sz w:val="18"/>
                <w:szCs w:val="18"/>
              </w:rPr>
              <w:t>C</w:t>
            </w:r>
          </w:p>
        </w:tc>
        <w:tc>
          <w:tcPr>
            <w:tcW w:w="948" w:type="pct"/>
            <w:tcMar>
              <w:left w:w="57" w:type="dxa"/>
              <w:right w:w="57" w:type="dxa"/>
            </w:tcMar>
            <w:vAlign w:val="center"/>
          </w:tcPr>
          <w:p w:rsidR="00800760" w:rsidRDefault="00235733">
            <w:pPr>
              <w:pStyle w:val="22"/>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sz w:val="18"/>
                <w:szCs w:val="18"/>
              </w:rPr>
              <w:t>C’</w:t>
            </w:r>
          </w:p>
        </w:tc>
        <w:tc>
          <w:tcPr>
            <w:tcW w:w="3288" w:type="pct"/>
            <w:tcMar>
              <w:left w:w="57" w:type="dxa"/>
              <w:right w:w="57" w:type="dxa"/>
            </w:tcMar>
            <w:vAlign w:val="center"/>
          </w:tcPr>
          <w:p w:rsidR="00800760" w:rsidRDefault="00235733">
            <w:pPr>
              <w:pStyle w:val="22"/>
              <w:topLinePunct/>
              <w:spacing w:line="336" w:lineRule="auto"/>
              <w:ind w:firstLineChars="0" w:firstLine="0"/>
              <w:jc w:val="left"/>
              <w:rPr>
                <w:rFonts w:ascii="Times New Roman" w:eastAsia="宋体" w:hAnsi="Times New Roman"/>
                <w:sz w:val="18"/>
                <w:szCs w:val="18"/>
              </w:rPr>
            </w:pPr>
            <w:r>
              <w:rPr>
                <w:rFonts w:ascii="Times New Roman" w:eastAsia="宋体" w:hAnsi="Times New Roman"/>
                <w:sz w:val="18"/>
                <w:szCs w:val="18"/>
              </w:rPr>
              <w:t>C’</w:t>
            </w:r>
            <w:r>
              <w:rPr>
                <w:rFonts w:ascii="Times New Roman" w:eastAsia="宋体" w:hAnsi="Times New Roman" w:hint="eastAsia"/>
                <w:sz w:val="18"/>
                <w:szCs w:val="18"/>
              </w:rPr>
              <w:t>与</w:t>
            </w:r>
            <w:r>
              <w:rPr>
                <w:rFonts w:ascii="Times New Roman" w:eastAsia="宋体" w:hAnsi="Times New Roman"/>
                <w:sz w:val="18"/>
                <w:szCs w:val="18"/>
              </w:rPr>
              <w:t>C</w:t>
            </w:r>
            <w:r>
              <w:rPr>
                <w:rFonts w:ascii="Times New Roman" w:eastAsia="宋体" w:hAnsi="Times New Roman" w:hint="eastAsia"/>
                <w:sz w:val="18"/>
                <w:szCs w:val="18"/>
              </w:rPr>
              <w:t>是否相同，在不相同的情况下，判断是否构成等同</w:t>
            </w:r>
          </w:p>
        </w:tc>
      </w:tr>
      <w:tr w:rsidR="00800760">
        <w:trPr>
          <w:trHeight w:val="20"/>
        </w:trPr>
        <w:tc>
          <w:tcPr>
            <w:tcW w:w="764" w:type="pct"/>
            <w:tcMar>
              <w:left w:w="57" w:type="dxa"/>
              <w:right w:w="57" w:type="dxa"/>
            </w:tcMar>
            <w:vAlign w:val="center"/>
          </w:tcPr>
          <w:p w:rsidR="00800760" w:rsidRDefault="00235733">
            <w:pPr>
              <w:pStyle w:val="22"/>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sz w:val="18"/>
                <w:szCs w:val="18"/>
              </w:rPr>
              <w:t>D</w:t>
            </w:r>
          </w:p>
        </w:tc>
        <w:tc>
          <w:tcPr>
            <w:tcW w:w="948" w:type="pct"/>
            <w:tcMar>
              <w:left w:w="57" w:type="dxa"/>
              <w:right w:w="57" w:type="dxa"/>
            </w:tcMar>
            <w:vAlign w:val="center"/>
          </w:tcPr>
          <w:p w:rsidR="00800760" w:rsidRDefault="00235733">
            <w:pPr>
              <w:pStyle w:val="22"/>
              <w:topLinePunct/>
              <w:spacing w:line="336" w:lineRule="auto"/>
              <w:ind w:firstLineChars="0" w:firstLine="0"/>
              <w:jc w:val="center"/>
              <w:rPr>
                <w:rFonts w:ascii="Times New Roman" w:eastAsia="宋体" w:hAnsi="Times New Roman"/>
                <w:sz w:val="18"/>
                <w:szCs w:val="18"/>
              </w:rPr>
            </w:pPr>
            <w:r>
              <w:rPr>
                <w:rFonts w:ascii="Times New Roman" w:eastAsia="宋体" w:hAnsi="Times New Roman"/>
                <w:sz w:val="18"/>
                <w:szCs w:val="18"/>
              </w:rPr>
              <w:t>D’</w:t>
            </w:r>
          </w:p>
        </w:tc>
        <w:tc>
          <w:tcPr>
            <w:tcW w:w="3288" w:type="pct"/>
            <w:tcMar>
              <w:left w:w="57" w:type="dxa"/>
              <w:right w:w="57" w:type="dxa"/>
            </w:tcMar>
            <w:vAlign w:val="center"/>
          </w:tcPr>
          <w:p w:rsidR="00800760" w:rsidRDefault="00235733">
            <w:pPr>
              <w:pStyle w:val="22"/>
              <w:topLinePunct/>
              <w:spacing w:line="336" w:lineRule="auto"/>
              <w:ind w:firstLineChars="0" w:firstLine="0"/>
              <w:jc w:val="left"/>
              <w:rPr>
                <w:rFonts w:ascii="Times New Roman" w:eastAsia="宋体" w:hAnsi="Times New Roman"/>
                <w:sz w:val="18"/>
                <w:szCs w:val="18"/>
              </w:rPr>
            </w:pPr>
            <w:r>
              <w:rPr>
                <w:rFonts w:ascii="Times New Roman" w:eastAsia="宋体" w:hAnsi="Times New Roman"/>
                <w:sz w:val="18"/>
                <w:szCs w:val="18"/>
              </w:rPr>
              <w:t>D’</w:t>
            </w:r>
            <w:r>
              <w:rPr>
                <w:rFonts w:ascii="Times New Roman" w:eastAsia="宋体" w:hAnsi="Times New Roman" w:hint="eastAsia"/>
                <w:sz w:val="18"/>
                <w:szCs w:val="18"/>
              </w:rPr>
              <w:t>与</w:t>
            </w:r>
            <w:r>
              <w:rPr>
                <w:rFonts w:ascii="Times New Roman" w:eastAsia="宋体" w:hAnsi="Times New Roman"/>
                <w:sz w:val="18"/>
                <w:szCs w:val="18"/>
              </w:rPr>
              <w:t>D</w:t>
            </w:r>
            <w:r>
              <w:rPr>
                <w:rFonts w:ascii="Times New Roman" w:eastAsia="宋体" w:hAnsi="Times New Roman" w:hint="eastAsia"/>
                <w:sz w:val="18"/>
                <w:szCs w:val="18"/>
              </w:rPr>
              <w:t>是否相同，在不相同的情况下，判断是否构成等同</w:t>
            </w:r>
          </w:p>
        </w:tc>
      </w:tr>
    </w:tbl>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r w:rsidR="00235733">
        <w:rPr>
          <w:rFonts w:hint="eastAsia"/>
          <w:color w:val="000000"/>
        </w:rPr>
        <w:t xml:space="preserve">2. </w:t>
      </w:r>
      <w:r>
        <w:rPr>
          <w:color w:val="000000"/>
        </w:rPr>
        <w:fldChar w:fldCharType="end"/>
      </w:r>
      <w:r w:rsidR="00235733">
        <w:rPr>
          <w:rFonts w:hint="eastAsia"/>
          <w:color w:val="000000"/>
        </w:rPr>
        <w:t>全面覆盖原则</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全面覆盖原则是判断一项技术方案是否侵犯发明或者实用新型专利权的基本原则</w:t>
      </w:r>
      <w:r>
        <w:rPr>
          <w:rFonts w:ascii="Times New Roman" w:eastAsia="宋体" w:hAnsi="Times New Roman"/>
          <w:sz w:val="21"/>
          <w:szCs w:val="21"/>
        </w:rPr>
        <w:t>，</w:t>
      </w:r>
      <w:r>
        <w:rPr>
          <w:rFonts w:ascii="Times New Roman" w:eastAsia="宋体" w:hAnsi="Times New Roman" w:hint="eastAsia"/>
          <w:sz w:val="21"/>
          <w:szCs w:val="21"/>
        </w:rPr>
        <w:t>具体含义是在判定被控侵权技术方案是否落入专利权的保护范围时，应当审查权利人主张的专利权利要求所记载的全部技术特征。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被控侵权技术方案包含与专利权利要求记载的全部技术特征相同或者等同的技术特征的，应当认定其落入专利权的保护范围；如果被控侵权技术方案的技术特征与权利要求记载的全部技术特征相比，缺少权利要求记载的一个以上的技术特征，或者有一个以上技术特征不相同也不等同的，应当认定其没有落入专利权的保护范围。</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全面覆盖原则强调在专利侵权判定时要全面地考虑专利权利要求中的每一个技术特征。只有被控侵权技术方案包含了与专利权利要求记载的全部技术特征相同或者等同的技术特征时，才认定侵权成立；反之，如果被控侵权技术方案中缺少权利要求中的一个以上技术特征，或者一个以上技术特征不相同，也不等同，则应当认定侵权不成立。</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-2</w:t>
      </w:r>
      <w:r>
        <w:rPr>
          <w:rFonts w:ascii="Times New Roman" w:hAnsi="Times New Roman" w:hint="eastAsia"/>
          <w:color w:val="000000"/>
          <w:lang w:val="en-US"/>
        </w:rPr>
        <w:t>3</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某案，其授权公告的权利要求</w:t>
      </w:r>
      <w:r>
        <w:rPr>
          <w:rFonts w:ascii="Times New Roman" w:eastAsia="楷体_GB2312" w:hAnsi="Times New Roman"/>
          <w:sz w:val="21"/>
          <w:szCs w:val="21"/>
        </w:rPr>
        <w:t>1</w:t>
      </w:r>
      <w:r>
        <w:rPr>
          <w:rFonts w:ascii="Times New Roman" w:eastAsia="楷体_GB2312" w:hAnsi="Times New Roman" w:hint="eastAsia"/>
          <w:sz w:val="21"/>
          <w:szCs w:val="21"/>
        </w:rPr>
        <w:t>为</w:t>
      </w:r>
      <w:r>
        <w:rPr>
          <w:rFonts w:ascii="Times New Roman" w:eastAsia="楷体_GB2312" w:hAnsi="Times New Roman"/>
          <w:sz w:val="21"/>
          <w:szCs w:val="21"/>
        </w:rPr>
        <w:t>：</w:t>
      </w:r>
      <w:r>
        <w:rPr>
          <w:rFonts w:ascii="Times New Roman" w:eastAsia="楷体_GB2312" w:hAnsi="Times New Roman" w:hint="eastAsia"/>
          <w:sz w:val="21"/>
          <w:szCs w:val="21"/>
        </w:rPr>
        <w:t>“一种混凝土薄壁筒体构件，由筒管和封闭筒管两端管口筒底组成，其特征在于，所述的筒底以至少二层的玻璃纤维布叠合而成，各层玻璃纤维布之间由一层磷铝酸盐水泥无机胶凝材料或铁铝酸盐水泥无机胶凝材料相粘接，所述的筒管以至少二层的玻璃纤维布叠合而成，各层玻璃纤维布之间由一层磷铝酸盐水泥无机胶凝材料或铁铝酸盐水泥无机胶凝材料相粘接。”</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被控侵权产品除了在筒管两端管口没有筒底外，其余特征与涉案专利相同。</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专利权人认为，筒底为非必要技术特征，应当适用多余指定原则将该特征从权利要求中排除，由此判定被控侵权产品覆盖了专利权利要求的所有特征，从而构成侵权。</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凡是专利权人写入权利要求的技术特征，在专利侵权判定中，都不应当被忽略。被控侵权产品缺少专利权利要求</w:t>
      </w:r>
      <w:r>
        <w:rPr>
          <w:rFonts w:ascii="Times New Roman" w:eastAsia="楷体_GB2312" w:hAnsi="Times New Roman"/>
          <w:sz w:val="21"/>
          <w:szCs w:val="21"/>
        </w:rPr>
        <w:t>1</w:t>
      </w:r>
      <w:r>
        <w:rPr>
          <w:rFonts w:ascii="Times New Roman" w:eastAsia="楷体_GB2312" w:hAnsi="Times New Roman" w:hint="eastAsia"/>
          <w:sz w:val="21"/>
          <w:szCs w:val="21"/>
        </w:rPr>
        <w:t>中的筒底，未覆盖权利要求</w:t>
      </w:r>
      <w:r>
        <w:rPr>
          <w:rFonts w:ascii="Times New Roman" w:eastAsia="楷体_GB2312" w:hAnsi="Times New Roman"/>
          <w:sz w:val="21"/>
          <w:szCs w:val="21"/>
        </w:rPr>
        <w:t>1</w:t>
      </w:r>
      <w:r>
        <w:rPr>
          <w:rFonts w:ascii="Times New Roman" w:eastAsia="楷体_GB2312" w:hAnsi="Times New Roman" w:hint="eastAsia"/>
          <w:sz w:val="21"/>
          <w:szCs w:val="21"/>
        </w:rPr>
        <w:t>的全部技术特征，不构成侵权。</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专利权人所主张的“多余指定原则”，是在我国专利制度发展过程中曾经出现过的一种观点，是指在某些专利权利要求中，除了包含与发明目的直接相关的技术特征外，还包括一些与发明目的关系不大的技术特征</w:t>
      </w:r>
      <w:r>
        <w:rPr>
          <w:rFonts w:ascii="Times New Roman" w:eastAsia="楷体_GB2312" w:hAnsi="Times New Roman"/>
          <w:sz w:val="21"/>
          <w:szCs w:val="21"/>
        </w:rPr>
        <w:t>（</w:t>
      </w:r>
      <w:r>
        <w:rPr>
          <w:rFonts w:ascii="Times New Roman" w:eastAsia="楷体_GB2312" w:hAnsi="Times New Roman" w:hint="eastAsia"/>
          <w:sz w:val="21"/>
          <w:szCs w:val="21"/>
        </w:rPr>
        <w:t>下称“多余特征”</w:t>
      </w:r>
      <w:r>
        <w:rPr>
          <w:rFonts w:ascii="Times New Roman" w:eastAsia="楷体_GB2312" w:hAnsi="Times New Roman"/>
          <w:sz w:val="21"/>
          <w:szCs w:val="21"/>
        </w:rPr>
        <w:t>）</w:t>
      </w:r>
      <w:r>
        <w:rPr>
          <w:rFonts w:ascii="Times New Roman" w:eastAsia="楷体_GB2312" w:hAnsi="Times New Roman" w:hint="eastAsia"/>
          <w:sz w:val="21"/>
          <w:szCs w:val="21"/>
        </w:rPr>
        <w:t>，在专利侵权判定中，将记载在专利权利要求中的“多余特征”略去，仅以其中与发明目的直接相关的技术特征来确定专利权的保护范围，判定被控侵权技术方案是否落入保护范围。由于多余指定原则与全面覆盖原则相矛盾，本质上削弱了权利要求的公示效力，增加了专利权保护范围的不确定性，是对公众权利的不适当损害，因此已经被摒弃。在专利侵权判定中，凡是专利权人写入专利权利要求的技术特征都不应当被忽略，均应纳入技术特征比对之列。</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依据全面覆盖原则判定被控侵权技术方案是否构成侵权，重点考虑技术特征是否相同或者等同，被控侵权技术方案是否因缺少或改变专利的某一技术特征而导致技术功能或效果变劣，不应被列入考虑范围之列。</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hint="eastAsia"/>
          <w:color w:val="000000"/>
        </w:rPr>
        <w:t>-</w:t>
      </w:r>
      <w:r>
        <w:rPr>
          <w:rFonts w:ascii="Times New Roman" w:hAnsi="Times New Roman" w:hint="eastAsia"/>
          <w:color w:val="000000"/>
          <w:lang w:val="en-US"/>
        </w:rPr>
        <w:t>4</w:t>
      </w:r>
      <w:r>
        <w:rPr>
          <w:rFonts w:ascii="Times New Roman" w:hAnsi="Times New Roman" w:hint="eastAsia"/>
          <w:color w:val="000000"/>
        </w:rPr>
        <w:t>-2</w:t>
      </w:r>
      <w:r>
        <w:rPr>
          <w:rFonts w:ascii="Times New Roman" w:hAnsi="Times New Roman" w:hint="eastAsia"/>
          <w:color w:val="000000"/>
          <w:lang w:val="en-US"/>
        </w:rPr>
        <w:t>4</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某案，涉案专利授权公告的权利要求</w:t>
      </w:r>
      <w:r>
        <w:rPr>
          <w:rFonts w:ascii="Times New Roman" w:eastAsia="楷体_GB2312" w:hAnsi="Times New Roman"/>
          <w:sz w:val="21"/>
          <w:szCs w:val="21"/>
        </w:rPr>
        <w:t>1</w:t>
      </w:r>
      <w:r>
        <w:rPr>
          <w:rFonts w:ascii="Times New Roman" w:eastAsia="楷体_GB2312" w:hAnsi="Times New Roman" w:hint="eastAsia"/>
          <w:sz w:val="21"/>
          <w:szCs w:val="21"/>
        </w:rPr>
        <w:t>为</w:t>
      </w:r>
      <w:r>
        <w:rPr>
          <w:rFonts w:ascii="Times New Roman" w:eastAsia="楷体_GB2312" w:hAnsi="Times New Roman"/>
          <w:sz w:val="21"/>
          <w:szCs w:val="21"/>
        </w:rPr>
        <w:t>：</w:t>
      </w:r>
      <w:r>
        <w:rPr>
          <w:rFonts w:ascii="Times New Roman" w:eastAsia="楷体_GB2312" w:hAnsi="Times New Roman" w:hint="eastAsia"/>
          <w:sz w:val="21"/>
          <w:szCs w:val="21"/>
        </w:rPr>
        <w:t>“一种高层建筑无水箱直连供暖的排气断流装置，其特征在于该装置的圆柱形上壳体和倒置的圆台下壳体相接，上壳体上边有方便可拆的呼吸室兼盖板；内设有环绕螺纹导向板的杯状水封罐，水封罐内悬置有下呼吸管，下呼吸管上部与呼吸室兼盖板的呼吸室连通，呼吸室兼盖板的呼吸室上部接有上呼吸管，上呼吸管上部接活动的万向弯头，杯状水封罐的上部内衬有圆桶调节阀；上壳体上部的左进水管和右进水管分别与上壳体的上部呈切线相接，其出水管与下壳体下部同心相连。”</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说明书中提到，通过涉案专利这种较为复杂的呼吸装置，可以在系统运行不平稳时，通过呼吸装置进行有规律的吸气和呼气，以保持系统内正常的大气压。另外，涉案专利中的环绕螺纹导向板，其主要作用为使进入断流器的水流强化成膜流状态，实现气水分离。</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被控侵权产品与涉案专利有两点不同</w:t>
      </w:r>
      <w:r>
        <w:rPr>
          <w:rFonts w:ascii="Times New Roman" w:eastAsia="楷体_GB2312" w:hAnsi="Times New Roman"/>
          <w:sz w:val="21"/>
          <w:szCs w:val="21"/>
        </w:rPr>
        <w:t>：</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1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1</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被控侵权产品的呼吸装置为逆止排气阀，只能呼气不能吸气；</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2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2</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被控侵权产品没有环绕螺纹导向板。</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认为，虽然被控侵权产品相比专利权利要求存在以上两个不同点，但其属于被请求人故意减少或者改变专利权利要求中记载的部分技术特征，使得被控侵权产品的技术效果明显变劣，变劣发明也构成侵权。</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本案的争议点在于：上述两点区别是否导致被控侵权产品不落入涉案专利权的保护范围之内。</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首先，涉案专利设有较为复杂的呼吸装置，其目的是在系统运行不平稳时，通过呼吸装置有规律地吸气和呼气，保持系统内正常的大气压。被控侵权产品内设有逆止排气阀，只能呼气，不能吸气，在系统运行不平稳，尤其是缓冲器内压力小于大气压时，外部空气无法进入，在缓冲器内会形成真空，不但不能形成膜流运动，系统也将无法运行。与涉案专利相比，将呼吸装置改为逆止排气阀是变劣的技术特征。</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其次，涉案专利设有环绕螺纹导向板，其主要作用为使进入断流器的水流强化成膜流状态，实现气水分离。被控侵权产品也是利用膜流运动原理，但由于没有环绕螺纹导向板，不能强化膜流运动的形成，减压、减速的效果降低，性能和效果均不如涉案专利技术优越。因此被控侵权产品省略环绕螺纹导向板，也属变劣的技术特征。</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根据全面覆盖原则，在判断被控侵权技术方案是否落入专利权保护范围时，应当将被控侵权技术方案的技术特征与专利权利要求记载的全部技术特征进行一一对比。至于被控侵权技术方案是否因缺少专利的某一技术特征而导致技术功能或效果变劣，不应被列入考虑范围之列。本案中，被控侵权产品缺少涉案专利中的环绕螺纹导向板特征，同时逆止排气阀与涉案专利中的呼吸装置既不相同也不等同，因此，被控侵权产品未落入涉案专利的保护范围。</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所持变劣发明也构成侵权的观点虽然有一定的合理性，但本质上削弱了权利要求的公示作用，不应得到支持。因此，如果被控侵权技术方案与专利权利要求相比，因缺少某些技术特征而带来一定的功能缺失或者技术效果变劣，则应当认定被控侵权技术方案已经与专利权利要求有了明显区别，不会对专利权人的合法权益造成实质性损害，不应认定这种变劣发明侵犯了专利权。</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r w:rsidR="00235733">
        <w:rPr>
          <w:rFonts w:hint="eastAsia"/>
          <w:color w:val="000000"/>
        </w:rPr>
        <w:t xml:space="preserve">3. </w:t>
      </w:r>
      <w:r>
        <w:rPr>
          <w:color w:val="000000"/>
        </w:rPr>
        <w:fldChar w:fldCharType="end"/>
      </w:r>
      <w:r w:rsidR="00235733">
        <w:rPr>
          <w:rFonts w:hint="eastAsia"/>
          <w:color w:val="000000"/>
        </w:rPr>
        <w:t>相同侵权</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依据全面覆盖原则判定被控侵权技术方案是否侵犯涉案专利权时</w:t>
      </w:r>
      <w:r>
        <w:rPr>
          <w:rFonts w:ascii="Times New Roman" w:eastAsia="宋体" w:hAnsi="Times New Roman"/>
          <w:sz w:val="21"/>
          <w:szCs w:val="21"/>
        </w:rPr>
        <w:t>，</w:t>
      </w:r>
      <w:r>
        <w:rPr>
          <w:rFonts w:ascii="Times New Roman" w:eastAsia="宋体" w:hAnsi="Times New Roman" w:hint="eastAsia"/>
          <w:sz w:val="21"/>
          <w:szCs w:val="21"/>
        </w:rPr>
        <w:t>可分为相同侵权和等同侵权两种情况。一般而言，应当先判断被控侵权技术方案是否构成相同侵权；如不构成相同侵权，再判断是否构成等同侵权。</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相同侵权的定义</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相同侵权，是指被控侵权技术方案含有专利权利要求的全部技术特征，落入专利权利要求限定的范围之内。</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相同侵权的判定</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相同侵权中的“相同”，包括被控侵权技术方案的技术特征与专利权利要求的技术特征在表述上完全相同，或者表述上虽不同，但实质表达的含义相同，或者被控侵权技术方案的技术特征属于专利权利要求相应技术特征的下位概念等。</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技术特征完全相同</w:t>
      </w:r>
    </w:p>
    <w:p w:rsidR="00800760" w:rsidRDefault="00235733">
      <w:pPr>
        <w:pStyle w:val="22"/>
        <w:keepNext/>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专利侵权判定中，如果仅从权利要求的字面上分析比较，就可以认定被控侵权技术方案的技术特征与专利权利要求的技术特征相同，或者二者虽然在文字表述上存在一定区别，但经过逐项比对，所述区别仅仅是文字表述的不同，其技术内容完全一致（用公式表示，即专利权利要求的技术特征为</w:t>
      </w:r>
      <w:r>
        <w:rPr>
          <w:rFonts w:ascii="Times New Roman" w:eastAsia="宋体" w:hAnsi="Times New Roman"/>
          <w:sz w:val="21"/>
          <w:szCs w:val="21"/>
        </w:rPr>
        <w:t>A+B+C+D</w:t>
      </w:r>
      <w:r>
        <w:rPr>
          <w:rFonts w:ascii="Times New Roman" w:eastAsia="宋体" w:hAnsi="Times New Roman" w:hint="eastAsia"/>
          <w:sz w:val="21"/>
          <w:szCs w:val="21"/>
        </w:rPr>
        <w:t>，被控侵权技术方案的技术特征也为</w:t>
      </w:r>
      <w:r>
        <w:rPr>
          <w:rFonts w:ascii="Times New Roman" w:eastAsia="宋体" w:hAnsi="Times New Roman"/>
          <w:sz w:val="21"/>
          <w:szCs w:val="21"/>
        </w:rPr>
        <w:t>A+B+C+D</w:t>
      </w:r>
      <w:r>
        <w:rPr>
          <w:rFonts w:ascii="Times New Roman" w:eastAsia="宋体" w:hAnsi="Times New Roman" w:hint="eastAsia"/>
          <w:sz w:val="21"/>
          <w:szCs w:val="21"/>
        </w:rPr>
        <w:t>），此时，被控侵权技术方案对于专利权利要求构成相同侵权。</w:t>
      </w:r>
    </w:p>
    <w:p w:rsidR="00800760" w:rsidRDefault="00C22A7B">
      <w:pPr>
        <w:pStyle w:val="2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被控侵权技术方案的技术特征为下位概念</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专利权利要求与被控侵权技术方案相比，有一个或多个技术特征存在区别，所述区别为专利权利要求的技术特征为上位概念，而被控侵权技术方案的相应技术特征为下位概念（用公式表示，即专利权利要求的技术特征为</w:t>
      </w:r>
      <w:r>
        <w:rPr>
          <w:rFonts w:ascii="Times New Roman" w:eastAsia="宋体" w:hAnsi="Times New Roman"/>
          <w:sz w:val="21"/>
          <w:szCs w:val="21"/>
        </w:rPr>
        <w:t>A+B+C+D</w:t>
      </w:r>
      <w:r>
        <w:rPr>
          <w:rFonts w:ascii="Times New Roman" w:eastAsia="宋体" w:hAnsi="Times New Roman" w:hint="eastAsia"/>
          <w:sz w:val="21"/>
          <w:szCs w:val="21"/>
        </w:rPr>
        <w:t>，被控侵权技术方案的技术特征为</w:t>
      </w:r>
      <w:r>
        <w:rPr>
          <w:rFonts w:ascii="Times New Roman" w:eastAsia="宋体" w:hAnsi="Times New Roman" w:hint="eastAsia"/>
          <w:sz w:val="21"/>
          <w:szCs w:val="21"/>
        </w:rPr>
        <w:t>a</w:t>
      </w:r>
      <w:r>
        <w:rPr>
          <w:rFonts w:ascii="Times New Roman" w:eastAsia="宋体" w:hAnsi="Times New Roman"/>
          <w:sz w:val="21"/>
          <w:szCs w:val="21"/>
        </w:rPr>
        <w:t>+</w:t>
      </w:r>
      <w:r>
        <w:rPr>
          <w:rFonts w:ascii="Times New Roman" w:eastAsia="宋体" w:hAnsi="Times New Roman" w:hint="eastAsia"/>
          <w:sz w:val="21"/>
          <w:szCs w:val="21"/>
        </w:rPr>
        <w:t>b</w:t>
      </w:r>
      <w:r>
        <w:rPr>
          <w:rFonts w:ascii="Times New Roman" w:eastAsia="宋体" w:hAnsi="Times New Roman"/>
          <w:sz w:val="21"/>
          <w:szCs w:val="21"/>
        </w:rPr>
        <w:t>+c+d</w:t>
      </w:r>
      <w:r>
        <w:rPr>
          <w:rFonts w:ascii="Times New Roman" w:eastAsia="宋体" w:hAnsi="Times New Roman" w:hint="eastAsia"/>
          <w:sz w:val="21"/>
          <w:szCs w:val="21"/>
        </w:rPr>
        <w:t>，其中</w:t>
      </w:r>
      <w:r>
        <w:rPr>
          <w:rFonts w:ascii="Times New Roman" w:eastAsia="宋体" w:hAnsi="Times New Roman"/>
          <w:sz w:val="21"/>
          <w:szCs w:val="21"/>
        </w:rPr>
        <w:t>A</w:t>
      </w:r>
      <w:r>
        <w:rPr>
          <w:rFonts w:ascii="Times New Roman" w:eastAsia="宋体" w:hAnsi="Times New Roman" w:hint="eastAsia"/>
          <w:sz w:val="21"/>
          <w:szCs w:val="21"/>
        </w:rPr>
        <w:t>、</w:t>
      </w:r>
      <w:r>
        <w:rPr>
          <w:rFonts w:ascii="Times New Roman" w:eastAsia="宋体" w:hAnsi="Times New Roman"/>
          <w:sz w:val="21"/>
          <w:szCs w:val="21"/>
        </w:rPr>
        <w:t>B</w:t>
      </w:r>
      <w:r>
        <w:rPr>
          <w:rFonts w:ascii="Times New Roman" w:eastAsia="宋体" w:hAnsi="Times New Roman" w:hint="eastAsia"/>
          <w:sz w:val="21"/>
          <w:szCs w:val="21"/>
        </w:rPr>
        <w:t>、</w:t>
      </w:r>
      <w:r>
        <w:rPr>
          <w:rFonts w:ascii="Times New Roman" w:eastAsia="宋体" w:hAnsi="Times New Roman"/>
          <w:sz w:val="21"/>
          <w:szCs w:val="21"/>
        </w:rPr>
        <w:t>C</w:t>
      </w:r>
      <w:r>
        <w:rPr>
          <w:rFonts w:ascii="Times New Roman" w:eastAsia="宋体" w:hAnsi="Times New Roman" w:hint="eastAsia"/>
          <w:sz w:val="21"/>
          <w:szCs w:val="21"/>
        </w:rPr>
        <w:t>、</w:t>
      </w:r>
      <w:r>
        <w:rPr>
          <w:rFonts w:ascii="Times New Roman" w:eastAsia="宋体" w:hAnsi="Times New Roman"/>
          <w:sz w:val="21"/>
          <w:szCs w:val="21"/>
        </w:rPr>
        <w:t>D</w:t>
      </w:r>
      <w:r>
        <w:rPr>
          <w:rFonts w:ascii="Times New Roman" w:eastAsia="宋体" w:hAnsi="Times New Roman" w:hint="eastAsia"/>
          <w:sz w:val="21"/>
          <w:szCs w:val="21"/>
        </w:rPr>
        <w:t>表示具有较大范围的上位概念，而</w:t>
      </w:r>
      <w:r>
        <w:rPr>
          <w:rFonts w:ascii="Times New Roman" w:eastAsia="宋体" w:hAnsi="Times New Roman"/>
          <w:sz w:val="21"/>
          <w:szCs w:val="21"/>
        </w:rPr>
        <w:t>a</w:t>
      </w:r>
      <w:r>
        <w:rPr>
          <w:rFonts w:ascii="Times New Roman" w:eastAsia="宋体" w:hAnsi="Times New Roman" w:hint="eastAsia"/>
          <w:sz w:val="21"/>
          <w:szCs w:val="21"/>
        </w:rPr>
        <w:t>、</w:t>
      </w:r>
      <w:r>
        <w:rPr>
          <w:rFonts w:ascii="Times New Roman" w:eastAsia="宋体" w:hAnsi="Times New Roman"/>
          <w:sz w:val="21"/>
          <w:szCs w:val="21"/>
        </w:rPr>
        <w:t>b</w:t>
      </w:r>
      <w:r>
        <w:rPr>
          <w:rFonts w:ascii="Times New Roman" w:eastAsia="宋体" w:hAnsi="Times New Roman" w:hint="eastAsia"/>
          <w:sz w:val="21"/>
          <w:szCs w:val="21"/>
        </w:rPr>
        <w:t>、</w:t>
      </w:r>
      <w:r>
        <w:rPr>
          <w:rFonts w:ascii="Times New Roman" w:eastAsia="宋体" w:hAnsi="Times New Roman"/>
          <w:sz w:val="21"/>
          <w:szCs w:val="21"/>
        </w:rPr>
        <w:t>c</w:t>
      </w:r>
      <w:r>
        <w:rPr>
          <w:rFonts w:ascii="Times New Roman" w:eastAsia="宋体" w:hAnsi="Times New Roman" w:hint="eastAsia"/>
          <w:sz w:val="21"/>
          <w:szCs w:val="21"/>
        </w:rPr>
        <w:t>、</w:t>
      </w:r>
      <w:r>
        <w:rPr>
          <w:rFonts w:ascii="Times New Roman" w:eastAsia="宋体" w:hAnsi="Times New Roman"/>
          <w:sz w:val="21"/>
          <w:szCs w:val="21"/>
        </w:rPr>
        <w:t>d</w:t>
      </w:r>
      <w:r>
        <w:rPr>
          <w:rFonts w:ascii="Times New Roman" w:eastAsia="宋体" w:hAnsi="Times New Roman" w:hint="eastAsia"/>
          <w:sz w:val="21"/>
          <w:szCs w:val="21"/>
        </w:rPr>
        <w:t>相应地表示具有较小范围的下位概念），此时，被控侵权技术方案落入专利权利要求的范围，构成相同侵权。</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-2</w:t>
      </w:r>
      <w:r>
        <w:rPr>
          <w:rFonts w:ascii="Times New Roman" w:hAnsi="Times New Roman" w:hint="eastAsia"/>
          <w:color w:val="000000"/>
          <w:lang w:val="en-US"/>
        </w:rPr>
        <w:t>5</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hint="eastAsia"/>
          <w:sz w:val="21"/>
          <w:szCs w:val="21"/>
        </w:rPr>
        <w:t>一种计算机装置，包括中央处理器、显示器、输入设备。</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w:t>
      </w:r>
      <w:r>
        <w:rPr>
          <w:rFonts w:ascii="Times New Roman" w:eastAsia="楷体_GB2312" w:hAnsi="Times New Roman"/>
          <w:sz w:val="21"/>
          <w:szCs w:val="21"/>
        </w:rPr>
        <w:t>A</w:t>
      </w:r>
      <w:r>
        <w:rPr>
          <w:rFonts w:ascii="Times New Roman" w:eastAsia="楷体_GB2312" w:hAnsi="Times New Roman"/>
          <w:sz w:val="21"/>
          <w:szCs w:val="21"/>
        </w:rPr>
        <w:t>：</w:t>
      </w:r>
      <w:r>
        <w:rPr>
          <w:rFonts w:ascii="Times New Roman" w:eastAsia="楷体_GB2312" w:hAnsi="Times New Roman" w:hint="eastAsia"/>
          <w:sz w:val="21"/>
          <w:szCs w:val="21"/>
        </w:rPr>
        <w:t>一种计算机装置，包括中央处理器、显示器、键盘。</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w:t>
      </w:r>
      <w:r>
        <w:rPr>
          <w:rFonts w:ascii="Times New Roman" w:eastAsia="楷体_GB2312" w:hAnsi="Times New Roman"/>
          <w:sz w:val="21"/>
          <w:szCs w:val="21"/>
        </w:rPr>
        <w:t>A</w:t>
      </w:r>
      <w:r>
        <w:rPr>
          <w:rFonts w:ascii="Times New Roman" w:eastAsia="楷体_GB2312" w:hAnsi="Times New Roman" w:hint="eastAsia"/>
          <w:sz w:val="21"/>
          <w:szCs w:val="21"/>
        </w:rPr>
        <w:t>与专利权利要求</w:t>
      </w:r>
      <w:r>
        <w:rPr>
          <w:rFonts w:ascii="Times New Roman" w:eastAsia="楷体_GB2312" w:hAnsi="Times New Roman"/>
          <w:sz w:val="21"/>
          <w:szCs w:val="21"/>
        </w:rPr>
        <w:t>1</w:t>
      </w:r>
      <w:r>
        <w:rPr>
          <w:rFonts w:ascii="Times New Roman" w:eastAsia="楷体_GB2312" w:hAnsi="Times New Roman" w:hint="eastAsia"/>
          <w:sz w:val="21"/>
          <w:szCs w:val="21"/>
        </w:rPr>
        <w:t>中的计算机装置主题相同，技术特征基本相同，唯一的区别在于权利要求</w:t>
      </w:r>
      <w:r>
        <w:rPr>
          <w:rFonts w:ascii="Times New Roman" w:eastAsia="楷体_GB2312" w:hAnsi="Times New Roman"/>
          <w:sz w:val="21"/>
          <w:szCs w:val="21"/>
        </w:rPr>
        <w:t>1</w:t>
      </w:r>
      <w:r>
        <w:rPr>
          <w:rFonts w:ascii="Times New Roman" w:eastAsia="楷体_GB2312" w:hAnsi="Times New Roman" w:hint="eastAsia"/>
          <w:sz w:val="21"/>
          <w:szCs w:val="21"/>
        </w:rPr>
        <w:t>中包含了“输入设备”，而被控侵权产品Ａ中相应的技术特征为“键盘”。众所周知，“键盘”是一种具体的“输入设备”，属于“输入设备”的下位概念，因此被控侵权产品Ａ落入了专利权利要求</w:t>
      </w:r>
      <w:r>
        <w:rPr>
          <w:rFonts w:ascii="Times New Roman" w:eastAsia="楷体_GB2312" w:hAnsi="Times New Roman"/>
          <w:sz w:val="21"/>
          <w:szCs w:val="21"/>
        </w:rPr>
        <w:t>1</w:t>
      </w:r>
      <w:r>
        <w:rPr>
          <w:rFonts w:ascii="Times New Roman" w:eastAsia="楷体_GB2312" w:hAnsi="Times New Roman" w:hint="eastAsia"/>
          <w:sz w:val="21"/>
          <w:szCs w:val="21"/>
        </w:rPr>
        <w:t>的保护范围。</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被控侵权技术方案增加了其他技术特征</w:t>
      </w:r>
    </w:p>
    <w:p w:rsidR="00800760" w:rsidRDefault="00235733">
      <w:pPr>
        <w:pStyle w:val="af6"/>
        <w:topLinePunct/>
        <w:spacing w:before="120"/>
        <w:ind w:firstLine="420"/>
        <w:rPr>
          <w:rFonts w:ascii="Times New Roman" w:eastAsia="宋体" w:hAnsi="Times New Roman"/>
        </w:rPr>
      </w:pPr>
      <w:r>
        <w:rPr>
          <w:rFonts w:ascii="Times New Roman" w:eastAsia="宋体" w:hAnsi="Times New Roman" w:hint="eastAsia"/>
        </w:rPr>
        <w:t>如果被控侵权技术方案除包含涉案专利的开放式权利要求中的全部技术特征外</w:t>
      </w:r>
      <w:r>
        <w:rPr>
          <w:rFonts w:ascii="Times New Roman" w:eastAsia="宋体" w:hAnsi="Times New Roman"/>
        </w:rPr>
        <w:t>，</w:t>
      </w:r>
      <w:r>
        <w:rPr>
          <w:rFonts w:ascii="Times New Roman" w:eastAsia="宋体" w:hAnsi="Times New Roman" w:hint="eastAsia"/>
        </w:rPr>
        <w:t>还增加了新的技术特征（用公式表示，即专利权利要求的技术特征包含</w:t>
      </w:r>
      <w:r>
        <w:rPr>
          <w:rFonts w:ascii="Times New Roman" w:eastAsia="宋体" w:hAnsi="Times New Roman"/>
        </w:rPr>
        <w:t>A+B+C</w:t>
      </w:r>
      <w:r>
        <w:rPr>
          <w:rFonts w:ascii="Times New Roman" w:eastAsia="宋体" w:hAnsi="Times New Roman" w:hint="eastAsia"/>
        </w:rPr>
        <w:t>，而被控侵权技术方案的技术特征为</w:t>
      </w:r>
      <w:r>
        <w:rPr>
          <w:rFonts w:ascii="Times New Roman" w:eastAsia="宋体" w:hAnsi="Times New Roman"/>
        </w:rPr>
        <w:t>A+B+C+D+E</w:t>
      </w:r>
      <w:r>
        <w:rPr>
          <w:rFonts w:ascii="Times New Roman" w:eastAsia="宋体" w:hAnsi="Times New Roman" w:hint="eastAsia"/>
        </w:rPr>
        <w:t>），此时，由于专利权利要求的全部技术特征在被控侵权技术方案中都有体现，因此构成相同侵权。</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-2</w:t>
      </w:r>
      <w:r>
        <w:rPr>
          <w:rFonts w:ascii="Times New Roman" w:hAnsi="Times New Roman" w:hint="eastAsia"/>
          <w:color w:val="000000"/>
          <w:lang w:val="en-US"/>
        </w:rPr>
        <w:t>6</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hint="eastAsia"/>
          <w:sz w:val="21"/>
          <w:szCs w:val="21"/>
        </w:rPr>
        <w:t>一种计算机装置包括中央处理器、显示器、键盘。</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w:t>
      </w:r>
      <w:r>
        <w:rPr>
          <w:rFonts w:ascii="Times New Roman" w:eastAsia="楷体_GB2312" w:hAnsi="Times New Roman"/>
          <w:sz w:val="21"/>
          <w:szCs w:val="21"/>
        </w:rPr>
        <w:t>B</w:t>
      </w:r>
      <w:r>
        <w:rPr>
          <w:rFonts w:ascii="Times New Roman" w:eastAsia="楷体_GB2312" w:hAnsi="Times New Roman"/>
          <w:sz w:val="21"/>
          <w:szCs w:val="21"/>
        </w:rPr>
        <w:t>：</w:t>
      </w:r>
      <w:r>
        <w:rPr>
          <w:rFonts w:ascii="Times New Roman" w:eastAsia="楷体_GB2312" w:hAnsi="Times New Roman" w:hint="eastAsia"/>
          <w:sz w:val="21"/>
          <w:szCs w:val="21"/>
        </w:rPr>
        <w:t>一种计算机装置包括中央处理器、显示器、键盘、鼠标、打印机、扫描仪。</w:t>
      </w:r>
    </w:p>
    <w:p w:rsidR="00800760" w:rsidRDefault="00235733">
      <w:pPr>
        <w:pStyle w:val="2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pacing w:val="-4"/>
          <w:sz w:val="21"/>
          <w:szCs w:val="21"/>
        </w:rPr>
      </w:pPr>
      <w:r>
        <w:rPr>
          <w:rFonts w:ascii="Times New Roman" w:eastAsia="楷体_GB2312" w:hAnsi="Times New Roman" w:hint="eastAsia"/>
          <w:sz w:val="21"/>
          <w:szCs w:val="21"/>
        </w:rPr>
        <w:t>尽管被控侵权产品</w:t>
      </w:r>
      <w:r>
        <w:rPr>
          <w:rFonts w:ascii="Times New Roman" w:eastAsia="楷体_GB2312" w:hAnsi="Times New Roman"/>
          <w:sz w:val="21"/>
          <w:szCs w:val="21"/>
        </w:rPr>
        <w:t>B</w:t>
      </w:r>
      <w:r>
        <w:rPr>
          <w:rFonts w:ascii="Times New Roman" w:eastAsia="楷体_GB2312" w:hAnsi="Times New Roman" w:hint="eastAsia"/>
          <w:sz w:val="21"/>
          <w:szCs w:val="21"/>
        </w:rPr>
        <w:t>具有“鼠标、打印机、扫描仪”这些专利权利要求没有的技术特征，但由于被控侵权产品与专利权利要求技术主题相同，同样具有“中央处理器、显示器、键盘”，已经覆盖了</w:t>
      </w:r>
      <w:r>
        <w:rPr>
          <w:rFonts w:ascii="Times New Roman" w:eastAsia="楷体_GB2312" w:hAnsi="Times New Roman" w:hint="eastAsia"/>
          <w:spacing w:val="-4"/>
          <w:sz w:val="21"/>
          <w:szCs w:val="21"/>
        </w:rPr>
        <w:t>专利权利要求的全部技术特征，因此，被控侵权产品</w:t>
      </w:r>
      <w:r>
        <w:rPr>
          <w:rFonts w:ascii="Times New Roman" w:eastAsia="楷体_GB2312" w:hAnsi="Times New Roman"/>
          <w:spacing w:val="-4"/>
          <w:sz w:val="21"/>
          <w:szCs w:val="21"/>
        </w:rPr>
        <w:t>B</w:t>
      </w:r>
      <w:r>
        <w:rPr>
          <w:rFonts w:ascii="Times New Roman" w:eastAsia="楷体_GB2312" w:hAnsi="Times New Roman" w:hint="eastAsia"/>
          <w:spacing w:val="-4"/>
          <w:sz w:val="21"/>
          <w:szCs w:val="21"/>
        </w:rPr>
        <w:t>落入了专利权利要求的保护范围，构成相同侵权。</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实践中以下两种情形需要特别注意</w:t>
      </w:r>
      <w:r>
        <w:rPr>
          <w:rFonts w:ascii="Times New Roman" w:eastAsia="宋体" w:hAnsi="Times New Roman"/>
          <w:sz w:val="21"/>
          <w:szCs w:val="21"/>
        </w:rPr>
        <w:t>：</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①在专利权利要求的基础上增加了其他技术特征的被控侵权技术方案可能因具备新颖性和创造性而被授予专利权，但前者为基本专利，后者为从属专利。尽管从属专利可以获得专利权，但未经基本专利的专利权人许可，实施从属专利的行为也将构成对基本专利的侵犯。</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②在组合物领域</w:t>
      </w:r>
      <w:r>
        <w:rPr>
          <w:rFonts w:ascii="Times New Roman" w:eastAsia="宋体" w:hAnsi="Times New Roman"/>
          <w:sz w:val="21"/>
          <w:szCs w:val="21"/>
        </w:rPr>
        <w:t>（</w:t>
      </w:r>
      <w:r>
        <w:rPr>
          <w:rFonts w:ascii="Times New Roman" w:eastAsia="宋体" w:hAnsi="Times New Roman" w:hint="eastAsia"/>
          <w:sz w:val="21"/>
          <w:szCs w:val="21"/>
        </w:rPr>
        <w:t>例如化学组合物或者合金组合物</w:t>
      </w:r>
      <w:r>
        <w:rPr>
          <w:rFonts w:ascii="Times New Roman" w:eastAsia="宋体" w:hAnsi="Times New Roman"/>
          <w:sz w:val="21"/>
          <w:szCs w:val="21"/>
        </w:rPr>
        <w:t>）</w:t>
      </w:r>
      <w:r>
        <w:rPr>
          <w:rFonts w:ascii="Times New Roman" w:eastAsia="宋体" w:hAnsi="Times New Roman" w:hint="eastAsia"/>
          <w:sz w:val="21"/>
          <w:szCs w:val="21"/>
        </w:rPr>
        <w:t>，当专利权利要求保护的是一种“封闭式”组合物产品时，如果被控侵权技术方案与专利权利要求相比，多出一种或一种以上的组分，则应当认定被控侵权技术方案未落入专利权利要求的保护范围，除非多出的技术特征属于不可避免的常规数量的杂质。</w:t>
      </w:r>
    </w:p>
    <w:p w:rsidR="00800760" w:rsidRDefault="00C22A7B">
      <w:pPr>
        <w:pStyle w:val="5"/>
        <w:spacing w:before="120"/>
        <w:rPr>
          <w:color w:val="000000"/>
        </w:rPr>
      </w:pPr>
      <w:r>
        <w:rPr>
          <w:color w:val="000000"/>
        </w:rPr>
        <w:fldChar w:fldCharType="begin"/>
      </w:r>
      <w:r w:rsidR="00235733">
        <w:rPr>
          <w:color w:val="000000"/>
        </w:rPr>
        <w:instrText>= 4 \* GB1</w:instrText>
      </w:r>
      <w:r>
        <w:rPr>
          <w:color w:val="000000"/>
        </w:rPr>
        <w:fldChar w:fldCharType="separate"/>
      </w:r>
      <w:r w:rsidR="00235733">
        <w:rPr>
          <w:rFonts w:hint="eastAsia"/>
          <w:color w:val="000000"/>
        </w:rPr>
        <w:t xml:space="preserve">4. </w:t>
      </w:r>
      <w:r>
        <w:rPr>
          <w:color w:val="000000"/>
        </w:rPr>
        <w:fldChar w:fldCharType="end"/>
      </w:r>
      <w:r w:rsidR="00235733">
        <w:rPr>
          <w:rFonts w:hint="eastAsia"/>
          <w:color w:val="000000"/>
        </w:rPr>
        <w:t>等同侵权</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等同原则是专利侵权判定中的一项重要原则。它将专利权的保护范围延伸到与专利权利要求中相应技术特征等同的部分，目的在于弥补专利权利要求的语言局限性，避免被控侵权人对专利权利要求中的某些技术特征作非实质性的替代，而以不构成侵权为由逃避法律责任。</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等同侵权的含义</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等同侵权是指被控侵权技术方案的某一个或某些技术特征与专利权利要求中记载的相应技术特征不相同</w:t>
      </w:r>
      <w:r>
        <w:rPr>
          <w:rFonts w:ascii="Times New Roman" w:eastAsia="宋体" w:hAnsi="Times New Roman"/>
          <w:sz w:val="21"/>
          <w:szCs w:val="21"/>
        </w:rPr>
        <w:t>，</w:t>
      </w:r>
      <w:r>
        <w:rPr>
          <w:rFonts w:ascii="Times New Roman" w:eastAsia="宋体" w:hAnsi="Times New Roman" w:hint="eastAsia"/>
          <w:sz w:val="21"/>
          <w:szCs w:val="21"/>
        </w:rPr>
        <w:t>但被控侵权技术方案的该技术特征与专利权利要求记载的相应技术特征相比，是以基本相同的手段</w:t>
      </w:r>
      <w:r>
        <w:rPr>
          <w:rFonts w:ascii="Times New Roman" w:eastAsia="宋体" w:hAnsi="Times New Roman"/>
          <w:sz w:val="21"/>
          <w:szCs w:val="21"/>
        </w:rPr>
        <w:t>，</w:t>
      </w:r>
      <w:r>
        <w:rPr>
          <w:rFonts w:ascii="Times New Roman" w:eastAsia="宋体" w:hAnsi="Times New Roman" w:hint="eastAsia"/>
          <w:sz w:val="21"/>
          <w:szCs w:val="21"/>
        </w:rPr>
        <w:t>实现基本相同的功能</w:t>
      </w:r>
      <w:r>
        <w:rPr>
          <w:rFonts w:ascii="Times New Roman" w:eastAsia="宋体" w:hAnsi="Times New Roman"/>
          <w:sz w:val="21"/>
          <w:szCs w:val="21"/>
        </w:rPr>
        <w:t>，</w:t>
      </w:r>
      <w:r>
        <w:rPr>
          <w:rFonts w:ascii="Times New Roman" w:eastAsia="宋体" w:hAnsi="Times New Roman" w:hint="eastAsia"/>
          <w:sz w:val="21"/>
          <w:szCs w:val="21"/>
        </w:rPr>
        <w:t>并达到基本相同的效果</w:t>
      </w:r>
      <w:r>
        <w:rPr>
          <w:rFonts w:ascii="Times New Roman" w:eastAsia="宋体" w:hAnsi="Times New Roman"/>
          <w:sz w:val="21"/>
          <w:szCs w:val="21"/>
        </w:rPr>
        <w:t>，</w:t>
      </w:r>
      <w:r>
        <w:rPr>
          <w:rFonts w:ascii="Times New Roman" w:eastAsia="宋体" w:hAnsi="Times New Roman" w:hint="eastAsia"/>
          <w:sz w:val="21"/>
          <w:szCs w:val="21"/>
        </w:rPr>
        <w:t>且对于本领域的技术人员来说，属于在侵权行为发生时通过阅读该专利的说明书、附图和权利要求书，无需经过创造性劳动就能够联想到的技术特征。此时</w:t>
      </w:r>
      <w:r>
        <w:rPr>
          <w:rFonts w:ascii="Times New Roman" w:eastAsia="宋体" w:hAnsi="Times New Roman"/>
          <w:sz w:val="21"/>
          <w:szCs w:val="21"/>
        </w:rPr>
        <w:t>，</w:t>
      </w:r>
      <w:r>
        <w:rPr>
          <w:rFonts w:ascii="Times New Roman" w:eastAsia="宋体" w:hAnsi="Times New Roman" w:hint="eastAsia"/>
          <w:sz w:val="21"/>
          <w:szCs w:val="21"/>
        </w:rPr>
        <w:t>仍然认定被控侵权技术方案落入了专利权利要求的保护范围</w:t>
      </w:r>
      <w:r>
        <w:rPr>
          <w:rFonts w:ascii="Times New Roman" w:eastAsia="宋体" w:hAnsi="Times New Roman"/>
          <w:sz w:val="21"/>
          <w:szCs w:val="21"/>
        </w:rPr>
        <w:t>，</w:t>
      </w:r>
      <w:r>
        <w:rPr>
          <w:rFonts w:ascii="Times New Roman" w:eastAsia="宋体" w:hAnsi="Times New Roman" w:hint="eastAsia"/>
          <w:sz w:val="21"/>
          <w:szCs w:val="21"/>
        </w:rPr>
        <w:t>构成侵权。用公式表示</w:t>
      </w:r>
      <w:r>
        <w:rPr>
          <w:rFonts w:ascii="Times New Roman" w:eastAsia="宋体" w:hAnsi="Times New Roman"/>
          <w:sz w:val="21"/>
          <w:szCs w:val="21"/>
        </w:rPr>
        <w:t>，</w:t>
      </w:r>
      <w:r>
        <w:rPr>
          <w:rFonts w:ascii="Times New Roman" w:eastAsia="宋体" w:hAnsi="Times New Roman" w:hint="eastAsia"/>
          <w:sz w:val="21"/>
          <w:szCs w:val="21"/>
        </w:rPr>
        <w:t>即专利权利要求的技术特征为</w:t>
      </w:r>
      <w:r>
        <w:rPr>
          <w:rFonts w:ascii="Times New Roman" w:eastAsia="宋体" w:hAnsi="Times New Roman"/>
          <w:sz w:val="21"/>
          <w:szCs w:val="21"/>
        </w:rPr>
        <w:t>：</w:t>
      </w:r>
      <w:r>
        <w:rPr>
          <w:rFonts w:ascii="Times New Roman" w:eastAsia="宋体" w:hAnsi="Times New Roman"/>
          <w:sz w:val="21"/>
          <w:szCs w:val="21"/>
        </w:rPr>
        <w:t>a</w:t>
      </w:r>
      <w:r>
        <w:rPr>
          <w:rFonts w:ascii="Times New Roman" w:eastAsia="宋体" w:hAnsi="Times New Roman" w:hint="eastAsia"/>
          <w:sz w:val="21"/>
          <w:szCs w:val="21"/>
        </w:rPr>
        <w:t>、</w:t>
      </w:r>
      <w:r>
        <w:rPr>
          <w:rFonts w:ascii="Times New Roman" w:eastAsia="宋体" w:hAnsi="Times New Roman"/>
          <w:sz w:val="21"/>
          <w:szCs w:val="21"/>
        </w:rPr>
        <w:t>b</w:t>
      </w:r>
      <w:r>
        <w:rPr>
          <w:rFonts w:ascii="Times New Roman" w:eastAsia="宋体" w:hAnsi="Times New Roman" w:hint="eastAsia"/>
          <w:sz w:val="21"/>
          <w:szCs w:val="21"/>
        </w:rPr>
        <w:t>、</w:t>
      </w:r>
      <w:r>
        <w:rPr>
          <w:rFonts w:ascii="Times New Roman" w:eastAsia="宋体" w:hAnsi="Times New Roman"/>
          <w:sz w:val="21"/>
          <w:szCs w:val="21"/>
        </w:rPr>
        <w:t>c</w:t>
      </w:r>
      <w:r>
        <w:rPr>
          <w:rFonts w:ascii="Times New Roman" w:eastAsia="宋体" w:hAnsi="Times New Roman"/>
          <w:sz w:val="21"/>
          <w:szCs w:val="21"/>
        </w:rPr>
        <w:t>，</w:t>
      </w:r>
      <w:r>
        <w:rPr>
          <w:rFonts w:ascii="Times New Roman" w:eastAsia="宋体" w:hAnsi="Times New Roman" w:hint="eastAsia"/>
          <w:sz w:val="21"/>
          <w:szCs w:val="21"/>
        </w:rPr>
        <w:t>被控侵权技术方案的技术特征为</w:t>
      </w:r>
      <w:r>
        <w:rPr>
          <w:rFonts w:ascii="Times New Roman" w:eastAsia="宋体" w:hAnsi="Times New Roman"/>
          <w:sz w:val="21"/>
          <w:szCs w:val="21"/>
        </w:rPr>
        <w:t>：</w:t>
      </w:r>
      <w:r>
        <w:rPr>
          <w:rFonts w:ascii="Times New Roman" w:eastAsia="宋体" w:hAnsi="Times New Roman"/>
          <w:sz w:val="21"/>
          <w:szCs w:val="21"/>
        </w:rPr>
        <w:t>a</w:t>
      </w:r>
      <w:r>
        <w:rPr>
          <w:rFonts w:ascii="Times New Roman" w:eastAsia="宋体" w:hAnsi="Times New Roman" w:hint="eastAsia"/>
          <w:sz w:val="21"/>
          <w:szCs w:val="21"/>
        </w:rPr>
        <w:t>、</w:t>
      </w:r>
      <w:r>
        <w:rPr>
          <w:rFonts w:ascii="Times New Roman" w:eastAsia="宋体" w:hAnsi="Times New Roman"/>
          <w:sz w:val="21"/>
          <w:szCs w:val="21"/>
        </w:rPr>
        <w:t>b</w:t>
      </w:r>
      <w:r>
        <w:rPr>
          <w:rFonts w:ascii="Times New Roman" w:eastAsia="宋体" w:hAnsi="Times New Roman" w:hint="eastAsia"/>
          <w:sz w:val="21"/>
          <w:szCs w:val="21"/>
        </w:rPr>
        <w:t>、</w:t>
      </w:r>
      <w:r>
        <w:rPr>
          <w:rFonts w:ascii="Times New Roman" w:eastAsia="宋体" w:hAnsi="Times New Roman"/>
          <w:sz w:val="21"/>
          <w:szCs w:val="21"/>
        </w:rPr>
        <w:t>c’</w:t>
      </w:r>
      <w:r>
        <w:rPr>
          <w:rFonts w:ascii="Times New Roman" w:eastAsia="宋体" w:hAnsi="Times New Roman" w:hint="eastAsia"/>
          <w:sz w:val="21"/>
          <w:szCs w:val="21"/>
        </w:rPr>
        <w:t>。如果特征</w:t>
      </w:r>
      <w:r>
        <w:rPr>
          <w:rFonts w:ascii="Times New Roman" w:eastAsia="宋体" w:hAnsi="Times New Roman"/>
          <w:sz w:val="21"/>
          <w:szCs w:val="21"/>
        </w:rPr>
        <w:t>c’</w:t>
      </w:r>
      <w:r>
        <w:rPr>
          <w:rFonts w:ascii="Times New Roman" w:eastAsia="宋体" w:hAnsi="Times New Roman" w:hint="eastAsia"/>
          <w:sz w:val="21"/>
          <w:szCs w:val="21"/>
        </w:rPr>
        <w:t>与特征</w:t>
      </w:r>
      <w:r>
        <w:rPr>
          <w:rFonts w:ascii="Times New Roman" w:eastAsia="宋体" w:hAnsi="Times New Roman"/>
          <w:sz w:val="21"/>
          <w:szCs w:val="21"/>
        </w:rPr>
        <w:t>c</w:t>
      </w:r>
      <w:r>
        <w:rPr>
          <w:rFonts w:ascii="Times New Roman" w:eastAsia="宋体" w:hAnsi="Times New Roman" w:hint="eastAsia"/>
          <w:sz w:val="21"/>
          <w:szCs w:val="21"/>
        </w:rPr>
        <w:t>相比</w:t>
      </w:r>
      <w:r>
        <w:rPr>
          <w:rFonts w:ascii="Times New Roman" w:eastAsia="宋体" w:hAnsi="Times New Roman"/>
          <w:sz w:val="21"/>
          <w:szCs w:val="21"/>
        </w:rPr>
        <w:t>，</w:t>
      </w:r>
      <w:r>
        <w:rPr>
          <w:rFonts w:ascii="Times New Roman" w:eastAsia="宋体" w:hAnsi="Times New Roman" w:hint="eastAsia"/>
          <w:sz w:val="21"/>
          <w:szCs w:val="21"/>
        </w:rPr>
        <w:t>特征</w:t>
      </w:r>
      <w:r>
        <w:rPr>
          <w:rFonts w:ascii="Times New Roman" w:eastAsia="宋体" w:hAnsi="Times New Roman"/>
          <w:sz w:val="21"/>
          <w:szCs w:val="21"/>
        </w:rPr>
        <w:t>c’</w:t>
      </w:r>
      <w:r>
        <w:rPr>
          <w:rFonts w:ascii="Times New Roman" w:eastAsia="宋体" w:hAnsi="Times New Roman" w:hint="eastAsia"/>
          <w:sz w:val="21"/>
          <w:szCs w:val="21"/>
        </w:rPr>
        <w:t>以基本相同的手段</w:t>
      </w:r>
      <w:r>
        <w:rPr>
          <w:rFonts w:ascii="Times New Roman" w:eastAsia="宋体" w:hAnsi="Times New Roman"/>
          <w:sz w:val="21"/>
          <w:szCs w:val="21"/>
        </w:rPr>
        <w:t>，</w:t>
      </w:r>
      <w:r>
        <w:rPr>
          <w:rFonts w:ascii="Times New Roman" w:eastAsia="宋体" w:hAnsi="Times New Roman" w:hint="eastAsia"/>
          <w:sz w:val="21"/>
          <w:szCs w:val="21"/>
        </w:rPr>
        <w:t>实现了基本相同的功能</w:t>
      </w:r>
      <w:r>
        <w:rPr>
          <w:rFonts w:ascii="Times New Roman" w:eastAsia="宋体" w:hAnsi="Times New Roman"/>
          <w:sz w:val="21"/>
          <w:szCs w:val="21"/>
        </w:rPr>
        <w:t>，</w:t>
      </w:r>
      <w:r>
        <w:rPr>
          <w:rFonts w:ascii="Times New Roman" w:eastAsia="宋体" w:hAnsi="Times New Roman" w:hint="eastAsia"/>
          <w:sz w:val="21"/>
          <w:szCs w:val="21"/>
        </w:rPr>
        <w:t>达到了基本相同的效果</w:t>
      </w:r>
      <w:r>
        <w:rPr>
          <w:rFonts w:ascii="Times New Roman" w:eastAsia="宋体" w:hAnsi="Times New Roman"/>
          <w:sz w:val="21"/>
          <w:szCs w:val="21"/>
        </w:rPr>
        <w:t>，</w:t>
      </w:r>
      <w:r>
        <w:rPr>
          <w:rFonts w:ascii="Times New Roman" w:eastAsia="宋体" w:hAnsi="Times New Roman" w:hint="eastAsia"/>
          <w:sz w:val="21"/>
          <w:szCs w:val="21"/>
        </w:rPr>
        <w:t>并且属于本领域技术人员在特征</w:t>
      </w:r>
      <w:r>
        <w:rPr>
          <w:rFonts w:ascii="Times New Roman" w:eastAsia="宋体" w:hAnsi="Times New Roman"/>
          <w:sz w:val="21"/>
          <w:szCs w:val="21"/>
        </w:rPr>
        <w:t>c</w:t>
      </w:r>
      <w:r>
        <w:rPr>
          <w:rFonts w:ascii="Times New Roman" w:eastAsia="宋体" w:hAnsi="Times New Roman" w:hint="eastAsia"/>
          <w:sz w:val="21"/>
          <w:szCs w:val="21"/>
        </w:rPr>
        <w:t>的基础上</w:t>
      </w:r>
      <w:r>
        <w:rPr>
          <w:rFonts w:ascii="Times New Roman" w:eastAsia="宋体" w:hAnsi="Times New Roman"/>
          <w:sz w:val="21"/>
          <w:szCs w:val="21"/>
        </w:rPr>
        <w:t>，</w:t>
      </w:r>
      <w:r>
        <w:rPr>
          <w:rFonts w:ascii="Times New Roman" w:eastAsia="宋体" w:hAnsi="Times New Roman" w:hint="eastAsia"/>
          <w:sz w:val="21"/>
          <w:szCs w:val="21"/>
        </w:rPr>
        <w:t>无需创造性劳动就能够联想到的技术特征</w:t>
      </w:r>
      <w:r>
        <w:rPr>
          <w:rFonts w:ascii="Times New Roman" w:eastAsia="宋体" w:hAnsi="Times New Roman"/>
          <w:sz w:val="21"/>
          <w:szCs w:val="21"/>
        </w:rPr>
        <w:t>，</w:t>
      </w:r>
      <w:r>
        <w:rPr>
          <w:rFonts w:ascii="Times New Roman" w:eastAsia="宋体" w:hAnsi="Times New Roman" w:hint="eastAsia"/>
          <w:sz w:val="21"/>
          <w:szCs w:val="21"/>
        </w:rPr>
        <w:t>则被控侵权技术方案构成对专利权利要求的等同侵权。</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等同侵权的判定</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判定等同的时间点</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判断技术特征是否构成等同的时间点为被控侵权行为发生日</w:t>
      </w:r>
      <w:r>
        <w:rPr>
          <w:rFonts w:ascii="Times New Roman" w:eastAsia="宋体" w:hAnsi="Times New Roman"/>
          <w:sz w:val="21"/>
          <w:szCs w:val="21"/>
        </w:rPr>
        <w:t>，</w:t>
      </w:r>
      <w:r>
        <w:rPr>
          <w:rFonts w:ascii="Times New Roman" w:eastAsia="宋体" w:hAnsi="Times New Roman" w:hint="eastAsia"/>
          <w:sz w:val="21"/>
          <w:szCs w:val="21"/>
        </w:rPr>
        <w:t>目的是防止在专利保护期间</w:t>
      </w:r>
      <w:r>
        <w:rPr>
          <w:rFonts w:ascii="Times New Roman" w:eastAsia="宋体" w:hAnsi="Times New Roman"/>
          <w:sz w:val="21"/>
          <w:szCs w:val="21"/>
        </w:rPr>
        <w:t>，</w:t>
      </w:r>
      <w:r>
        <w:rPr>
          <w:rFonts w:ascii="Times New Roman" w:eastAsia="宋体" w:hAnsi="Times New Roman" w:hint="eastAsia"/>
          <w:sz w:val="21"/>
          <w:szCs w:val="21"/>
        </w:rPr>
        <w:t>被控侵权人在不改变专利技术实质的情况下</w:t>
      </w:r>
      <w:r>
        <w:rPr>
          <w:rFonts w:ascii="Times New Roman" w:eastAsia="宋体" w:hAnsi="Times New Roman"/>
          <w:sz w:val="21"/>
          <w:szCs w:val="21"/>
        </w:rPr>
        <w:t>，</w:t>
      </w:r>
      <w:r>
        <w:rPr>
          <w:rFonts w:ascii="Times New Roman" w:eastAsia="宋体" w:hAnsi="Times New Roman" w:hint="eastAsia"/>
          <w:sz w:val="21"/>
          <w:szCs w:val="21"/>
        </w:rPr>
        <w:t>以很容易联想到的新出现的技术来代替专利权利要求中的某些技术特征</w:t>
      </w:r>
      <w:r>
        <w:rPr>
          <w:rFonts w:ascii="Times New Roman" w:eastAsia="宋体" w:hAnsi="Times New Roman"/>
          <w:sz w:val="21"/>
          <w:szCs w:val="21"/>
        </w:rPr>
        <w:t>，</w:t>
      </w:r>
      <w:r>
        <w:rPr>
          <w:rFonts w:ascii="Times New Roman" w:eastAsia="宋体" w:hAnsi="Times New Roman" w:hint="eastAsia"/>
          <w:sz w:val="21"/>
          <w:szCs w:val="21"/>
        </w:rPr>
        <w:t>从而轻易逃避侵权责任。</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判定等同的比较对象</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判定被控侵权技术方案是否构成等同侵权时，应当将相应的技术特征进行比较，避免将被控侵权技术方案与专利权利要求进行整体比较。在判断技术特征是否等同时，重要的是看被控侵权技术方案中是否存在与专利权利要求中的某一技术特征等同的技术特征，并不要求专利权利要求的技术特征与被控侵权技术方案的技术特征一一对应。即使被控侵权技术方案用一个技术特征实现了专利权利要求中多个技术特征的功能，或者被控侵权技术方案中的多个技术特征实现了专利权利要求中的一个技术特征的功能，只要在被控侵权技术方案中能找到与专利权利要求相对应的技术特征，就不影响等同技术特征的认定。</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等同特征的判断标准</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当被控侵权技术方案的某技术特征与专利权利要求记载的相应技术特征相比</w:t>
      </w:r>
      <w:r>
        <w:rPr>
          <w:rFonts w:ascii="Times New Roman" w:eastAsia="宋体" w:hAnsi="Times New Roman"/>
          <w:sz w:val="21"/>
          <w:szCs w:val="21"/>
        </w:rPr>
        <w:t>，</w:t>
      </w:r>
      <w:r>
        <w:rPr>
          <w:rFonts w:ascii="Times New Roman" w:eastAsia="宋体" w:hAnsi="Times New Roman" w:hint="eastAsia"/>
          <w:sz w:val="21"/>
          <w:szCs w:val="21"/>
        </w:rPr>
        <w:t>是以基本相同的手段</w:t>
      </w:r>
      <w:r>
        <w:rPr>
          <w:rFonts w:ascii="Times New Roman" w:eastAsia="宋体" w:hAnsi="Times New Roman"/>
          <w:sz w:val="21"/>
          <w:szCs w:val="21"/>
        </w:rPr>
        <w:t>，</w:t>
      </w:r>
      <w:r>
        <w:rPr>
          <w:rFonts w:ascii="Times New Roman" w:eastAsia="宋体" w:hAnsi="Times New Roman" w:hint="eastAsia"/>
          <w:sz w:val="21"/>
          <w:szCs w:val="21"/>
        </w:rPr>
        <w:t>实现基本相同的功能</w:t>
      </w:r>
      <w:r>
        <w:rPr>
          <w:rFonts w:ascii="Times New Roman" w:eastAsia="宋体" w:hAnsi="Times New Roman"/>
          <w:sz w:val="21"/>
          <w:szCs w:val="21"/>
        </w:rPr>
        <w:t>，</w:t>
      </w:r>
      <w:r>
        <w:rPr>
          <w:rFonts w:ascii="Times New Roman" w:eastAsia="宋体" w:hAnsi="Times New Roman" w:hint="eastAsia"/>
          <w:sz w:val="21"/>
          <w:szCs w:val="21"/>
        </w:rPr>
        <w:t>并达到基本相同的效果</w:t>
      </w:r>
      <w:r>
        <w:rPr>
          <w:rFonts w:ascii="Times New Roman" w:eastAsia="宋体" w:hAnsi="Times New Roman"/>
          <w:sz w:val="21"/>
          <w:szCs w:val="21"/>
        </w:rPr>
        <w:t>，</w:t>
      </w:r>
      <w:r>
        <w:rPr>
          <w:rFonts w:ascii="Times New Roman" w:eastAsia="宋体" w:hAnsi="Times New Roman" w:hint="eastAsia"/>
          <w:sz w:val="21"/>
          <w:szCs w:val="21"/>
        </w:rPr>
        <w:t>且对于本领域技术人员来说</w:t>
      </w:r>
      <w:r>
        <w:rPr>
          <w:rFonts w:ascii="Times New Roman" w:eastAsia="宋体" w:hAnsi="Times New Roman"/>
          <w:sz w:val="21"/>
          <w:szCs w:val="21"/>
        </w:rPr>
        <w:t>，</w:t>
      </w:r>
      <w:r>
        <w:rPr>
          <w:rFonts w:ascii="Times New Roman" w:eastAsia="宋体" w:hAnsi="Times New Roman" w:hint="eastAsia"/>
          <w:sz w:val="21"/>
          <w:szCs w:val="21"/>
        </w:rPr>
        <w:t>属于在侵权行为发生时通过阅读该专利的说明书、附图和权利要求书</w:t>
      </w:r>
      <w:r>
        <w:rPr>
          <w:rFonts w:ascii="Times New Roman" w:eastAsia="宋体" w:hAnsi="Times New Roman"/>
          <w:sz w:val="21"/>
          <w:szCs w:val="21"/>
        </w:rPr>
        <w:t>，</w:t>
      </w:r>
      <w:r>
        <w:rPr>
          <w:rFonts w:ascii="Times New Roman" w:eastAsia="宋体" w:hAnsi="Times New Roman" w:hint="eastAsia"/>
          <w:sz w:val="21"/>
          <w:szCs w:val="21"/>
        </w:rPr>
        <w:t>无需经过创造性劳动就能够联想到的技术特征</w:t>
      </w:r>
      <w:r>
        <w:rPr>
          <w:rFonts w:ascii="Times New Roman" w:eastAsia="宋体" w:hAnsi="Times New Roman"/>
          <w:sz w:val="21"/>
          <w:szCs w:val="21"/>
        </w:rPr>
        <w:t>，</w:t>
      </w:r>
      <w:r>
        <w:rPr>
          <w:rFonts w:ascii="Times New Roman" w:eastAsia="宋体" w:hAnsi="Times New Roman" w:hint="eastAsia"/>
          <w:sz w:val="21"/>
          <w:szCs w:val="21"/>
        </w:rPr>
        <w:t>则认为这两个技术特征是等同特征。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手段”，是指为实现某一功能及达到某种技术效果所采取的方式。解决一个特定的技术问题，可能存在多种不同的技术手段，因此，不能仅仅从结果进行反推分析。即对于专利权利要求和被控侵权技术方案的相应技术特征，即使二者的功能和效果基本相同，但如果采取的手段明显不同，则仍然不能认为是等同特征。判断技术手段是否基本相同，应当站在被控侵权行为发生时本领域技术人员的角度，结合其具备的普通技术知识和能力，判断被控侵权技术方案中的相应技术特征是否是本领域常见的替代技术特征，本领域技术人员是否容易想到以及其对被控侵权技术方案是否有实质影响。例如，一项专利权利要求中，某一技术特征是采用“皮带传动”，被控侵权技术方案替换为“链条传动”就属于基本相同的手段。</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功能”和“效果”分别是指相应的技术手段在整个技术方案中所发挥的作用和取得的技术效果。对于功能和效果，应当结合专利说明书和附图记载的内容以及被控侵权技术方案的技术原理，判断相应技术手段在被控侵权技术方案与专利权利要求中所发挥的作用是什么，究竟实现哪种具体的功能，达到何种具体的效果。同样，“手段”基本相同并不意味着“功能”和“效果”也一定基本相同，因为在某些情况下，某一技术手段表面上看在所属领域中是常见的，但是当与整个技术方案中的其他技术手段结合起来后却可能发挥完全不同的作用，并产生完全不同的技术效果。当然，通常情况下，“手段”“功能”和“效果”是密切关联的，在等同侵权判定中，这三个因素往往相互影响，相互印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除了“手段”“功能”和“效果”之外，判断是否构成等同侵权，还需要进一步判断所述技术特征是否为本领域技术人员不经过创造性劳动就能够联想到的，重点在于本领域技术人员对技术特征进行替换的可能性以及难易程度。</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等同侵权判定中，“手段”“功能”和“效果”以及“本领域技术人员不经过创造性劳动能够联想到”这四个要素均要考虑，缺一不可。一般情况下，首先考查被控侵权技术方案区别于专利权利要求的技术特征是否属于基本相同的手段，其次考查二者是否具有基本相同的功能并产生基本相同的效果，最后判断对于这种技术特征的替换，本领域技术人员是否不经过创造性劳动就能够联想到。如果对于四个要素的回答均是肯定的，则二者构成等同特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等同特征的形式</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a</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已知的常用技术要素的简单替换</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如果被控侵权技术方案用本领域技术人员容易想到的已知的常用技术要素替代专利权利要求中的相应技术特征，同时，替换后其功能和效果也基本相同，则应认定二者为等同特征。</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-2</w:t>
      </w:r>
      <w:r>
        <w:rPr>
          <w:rFonts w:ascii="Times New Roman" w:hAnsi="Times New Roman" w:hint="eastAsia"/>
          <w:color w:val="000000"/>
          <w:lang w:val="en-US"/>
        </w:rPr>
        <w:t>7</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hint="eastAsia"/>
          <w:sz w:val="21"/>
          <w:szCs w:val="21"/>
        </w:rPr>
        <w:t>“一种轻型干粉灭火棒，由筒身、喷套、阀体、钢瓶、顶针、后盖塞组成，其特征在于筒身内有一带孔的活塞。”</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w:t>
      </w:r>
      <w:r>
        <w:rPr>
          <w:rFonts w:ascii="Times New Roman" w:eastAsia="楷体_GB2312" w:hAnsi="Times New Roman"/>
          <w:sz w:val="21"/>
          <w:szCs w:val="21"/>
        </w:rPr>
        <w:t>：</w:t>
      </w:r>
      <w:r>
        <w:rPr>
          <w:rFonts w:ascii="Times New Roman" w:eastAsia="楷体_GB2312" w:hAnsi="Times New Roman" w:hint="eastAsia"/>
          <w:sz w:val="21"/>
          <w:szCs w:val="21"/>
        </w:rPr>
        <w:t>包括筒体、喷套、阀体、钢瓶、顶针、后盖塞、活塞，其特点是筒身内的活塞上有一缝隙。</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本案的争议点在于：被控侵权产品中“筒身内的活塞上有一缝隙”与专利权利要求中“带孔的活塞”是否为等同特征。</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被控侵权产品与涉案专利权利要求</w:t>
      </w:r>
      <w:r>
        <w:rPr>
          <w:rFonts w:ascii="Times New Roman" w:eastAsia="楷体_GB2312" w:hAnsi="Times New Roman"/>
          <w:sz w:val="21"/>
          <w:szCs w:val="21"/>
        </w:rPr>
        <w:t>1</w:t>
      </w:r>
      <w:r>
        <w:rPr>
          <w:rFonts w:ascii="Times New Roman" w:eastAsia="楷体_GB2312" w:hAnsi="Times New Roman" w:hint="eastAsia"/>
          <w:sz w:val="21"/>
          <w:szCs w:val="21"/>
        </w:rPr>
        <w:t>所保护产品的结构的不同之处在于：专利权利要求</w:t>
      </w:r>
      <w:r>
        <w:rPr>
          <w:rFonts w:ascii="Times New Roman" w:eastAsia="楷体_GB2312" w:hAnsi="Times New Roman"/>
          <w:sz w:val="21"/>
          <w:szCs w:val="21"/>
        </w:rPr>
        <w:t>1</w:t>
      </w:r>
      <w:r>
        <w:rPr>
          <w:rFonts w:ascii="Times New Roman" w:eastAsia="楷体_GB2312" w:hAnsi="Times New Roman" w:hint="eastAsia"/>
          <w:sz w:val="21"/>
          <w:szCs w:val="21"/>
        </w:rPr>
        <w:t>所保护的产品筒身内有一带孔的活塞，被控侵权产品的筒身内活塞上有一缝隙。在工作状态时，专利权利要求的技术方案是高压气体通过活塞中间的圆孔喷出冲击干粉，被控侵权产品则是高压气体通过活塞上的缝隙喷出冲击干粉。但是，无论活塞中间设置圆孔还是缝隙，其功能和产生的效果都是使高压气体冲开依附在活塞上的柔性膜，使干粉从喷嘴喷出。因此两种产品在原理、功能上都相同，同时被控侵权产品与专利权利要求相比，在简化结构、降低生产成本等方面也没有实质性突破，二者的区别实质上属于本领域技术人员已知的常用技术要素的简单替换。因此，被控侵权产品“筒身内的活塞上有一缝隙”的特征与专利权利要求在活塞上带有孔的技术特征，属于以基本相同的手段，实现基本相同的功能，达到基本相同的效果，且对于本领域技术人员来说，无需经过创造性劳动就能够联想到的特征，二者构成等同特征。</w:t>
      </w:r>
    </w:p>
    <w:p w:rsidR="00800760" w:rsidRDefault="00C22A7B">
      <w:pPr>
        <w:pStyle w:val="2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b</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产品部件位置的简单移动</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相对于专利权利要求而言，被控侵权技术方案中某一部件的位置是本领域中该部件的常规设置位置，且这种位置的改变没有带来功能和效果上的明显差异，同时对本领域技术人员而言，进行这种部件位置的移动不需要付出创造性的劳动，则被控侵权技术方案中经改变的位置技术特征与专利权利要求中相应的部件位置技术特征构成等同特征。</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-2</w:t>
      </w:r>
      <w:r>
        <w:rPr>
          <w:rFonts w:ascii="Times New Roman" w:hAnsi="Times New Roman" w:hint="eastAsia"/>
          <w:color w:val="000000"/>
          <w:lang w:val="en-US"/>
        </w:rPr>
        <w:t>8</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hint="eastAsia"/>
          <w:sz w:val="21"/>
          <w:szCs w:val="21"/>
        </w:rPr>
        <w:t>1</w:t>
      </w:r>
      <w:r>
        <w:rPr>
          <w:rFonts w:ascii="Times New Roman" w:eastAsia="楷体_GB2312" w:hAnsi="Times New Roman" w:hint="eastAsia"/>
          <w:sz w:val="21"/>
          <w:szCs w:val="21"/>
        </w:rPr>
        <w:t>：“一种防火隔热卷帘耐火纤维复合帘面，其中，所述的帘面由多层耐火纤维制品复合缝制而成，其特征在于：所述的帘面包括中间植有增强用耐高温的不锈钢丝或不锈钢丝绳的耐火纤维毯夹芯，由耐火纤维纱线织成的用于两面固定该夹芯的耐火纤维布，以及位于其中的金属铝箔层。”</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被控侵权产品：一种防火卷帘，帘面系由多层耐火纤维制品复合缝制而成，其中包括耐火纤维毯、耐火纤维布、金属铝箔层和钢丝绳，不锈钢钢丝绳放在耐火纤维毯的一侧。</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权利要求</w:t>
      </w:r>
      <w:r>
        <w:rPr>
          <w:rFonts w:ascii="Times New Roman" w:eastAsia="楷体_GB2312" w:hAnsi="Times New Roman" w:hint="eastAsia"/>
          <w:sz w:val="21"/>
          <w:szCs w:val="21"/>
        </w:rPr>
        <w:t>1</w:t>
      </w:r>
      <w:r>
        <w:rPr>
          <w:rFonts w:ascii="Times New Roman" w:eastAsia="楷体_GB2312" w:hAnsi="Times New Roman" w:hint="eastAsia"/>
          <w:sz w:val="21"/>
          <w:szCs w:val="21"/>
        </w:rPr>
        <w:t>与被控侵权产品的特征对比如下表所示：</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341"/>
        <w:gridCol w:w="4145"/>
        <w:gridCol w:w="1382"/>
      </w:tblGrid>
      <w:tr w:rsidR="00800760">
        <w:trPr>
          <w:trHeight w:val="20"/>
        </w:trPr>
        <w:tc>
          <w:tcPr>
            <w:tcW w:w="2200" w:type="pct"/>
            <w:tcMar>
              <w:left w:w="57" w:type="dxa"/>
              <w:right w:w="57" w:type="dxa"/>
            </w:tcMar>
            <w:vAlign w:val="bottom"/>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权利要求</w:t>
            </w:r>
            <w:r>
              <w:rPr>
                <w:rFonts w:ascii="Times New Roman" w:eastAsia="宋体" w:hAnsi="Times New Roman"/>
                <w:sz w:val="18"/>
                <w:szCs w:val="18"/>
              </w:rPr>
              <w:t>1</w:t>
            </w:r>
          </w:p>
        </w:tc>
        <w:tc>
          <w:tcPr>
            <w:tcW w:w="2100" w:type="pct"/>
            <w:tcMar>
              <w:left w:w="57" w:type="dxa"/>
              <w:right w:w="57" w:type="dxa"/>
            </w:tcMar>
            <w:vAlign w:val="bottom"/>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被控侵权产品</w:t>
            </w:r>
          </w:p>
        </w:tc>
        <w:tc>
          <w:tcPr>
            <w:tcW w:w="700" w:type="pct"/>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对比</w:t>
            </w:r>
          </w:p>
        </w:tc>
      </w:tr>
      <w:tr w:rsidR="00800760">
        <w:trPr>
          <w:trHeight w:val="20"/>
        </w:trPr>
        <w:tc>
          <w:tcPr>
            <w:tcW w:w="22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防火隔热卷帘耐火纤维复合帘面</w:t>
            </w:r>
          </w:p>
        </w:tc>
        <w:tc>
          <w:tcPr>
            <w:tcW w:w="21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防火隔热卷帘多层耐火纤维复合帘面</w:t>
            </w:r>
          </w:p>
        </w:tc>
        <w:tc>
          <w:tcPr>
            <w:tcW w:w="700" w:type="pct"/>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相同</w:t>
            </w:r>
          </w:p>
        </w:tc>
      </w:tr>
      <w:tr w:rsidR="00800760">
        <w:trPr>
          <w:trHeight w:val="20"/>
        </w:trPr>
        <w:tc>
          <w:tcPr>
            <w:tcW w:w="22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所述的帘面由多层耐火纤维制品复合缝制而成</w:t>
            </w:r>
          </w:p>
        </w:tc>
        <w:tc>
          <w:tcPr>
            <w:tcW w:w="21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帘面系由多层耐火纤维制品复合缝制而成</w:t>
            </w:r>
          </w:p>
        </w:tc>
        <w:tc>
          <w:tcPr>
            <w:tcW w:w="700" w:type="pct"/>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相同</w:t>
            </w:r>
          </w:p>
        </w:tc>
      </w:tr>
      <w:tr w:rsidR="00800760">
        <w:trPr>
          <w:trHeight w:val="20"/>
        </w:trPr>
        <w:tc>
          <w:tcPr>
            <w:tcW w:w="22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耐火纤维毯夹心中间植有增强用耐高温的不锈钢丝或不锈钢丝绳</w:t>
            </w:r>
          </w:p>
        </w:tc>
        <w:tc>
          <w:tcPr>
            <w:tcW w:w="21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耐火纤维毯夹心不锈钢钢丝绳位于耐火纤维毯的一侧</w:t>
            </w:r>
          </w:p>
        </w:tc>
        <w:tc>
          <w:tcPr>
            <w:tcW w:w="700" w:type="pct"/>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有区别</w:t>
            </w:r>
          </w:p>
        </w:tc>
      </w:tr>
      <w:tr w:rsidR="00800760">
        <w:trPr>
          <w:trHeight w:val="20"/>
        </w:trPr>
        <w:tc>
          <w:tcPr>
            <w:tcW w:w="22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耐火纤维纱线织成的用于两面固定该夹芯的耐火纤维布</w:t>
            </w:r>
          </w:p>
        </w:tc>
        <w:tc>
          <w:tcPr>
            <w:tcW w:w="21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由耐火纤维纱线织成的用于两面固定该夹芯的耐火纤维布</w:t>
            </w:r>
          </w:p>
        </w:tc>
        <w:tc>
          <w:tcPr>
            <w:tcW w:w="700" w:type="pct"/>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相同</w:t>
            </w:r>
          </w:p>
        </w:tc>
      </w:tr>
      <w:tr w:rsidR="00800760">
        <w:trPr>
          <w:trHeight w:val="20"/>
        </w:trPr>
        <w:tc>
          <w:tcPr>
            <w:tcW w:w="22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位于耐火纤维布中的金属铝箔层</w:t>
            </w:r>
          </w:p>
        </w:tc>
        <w:tc>
          <w:tcPr>
            <w:tcW w:w="2100" w:type="pct"/>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位于耐火纤维布中的金属铝箔层</w:t>
            </w:r>
          </w:p>
        </w:tc>
        <w:tc>
          <w:tcPr>
            <w:tcW w:w="700" w:type="pct"/>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相同</w:t>
            </w:r>
          </w:p>
        </w:tc>
      </w:tr>
    </w:tbl>
    <w:p w:rsidR="00800760" w:rsidRDefault="00235733" w:rsidP="00C22A7B">
      <w:pPr>
        <w:pStyle w:val="22"/>
        <w:topLinePunct/>
        <w:spacing w:beforeLines="50"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本案的争议点在于：上述区别特征是否构成等同特征。</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被控侵权防火卷帘产品的帘面包括专利权利要求</w:t>
      </w:r>
      <w:r>
        <w:rPr>
          <w:rFonts w:ascii="Times New Roman" w:eastAsia="楷体_GB2312" w:hAnsi="Times New Roman"/>
          <w:sz w:val="21"/>
          <w:szCs w:val="21"/>
        </w:rPr>
        <w:t>1</w:t>
      </w:r>
      <w:r>
        <w:rPr>
          <w:rFonts w:ascii="Times New Roman" w:eastAsia="楷体_GB2312" w:hAnsi="Times New Roman" w:hint="eastAsia"/>
          <w:sz w:val="21"/>
          <w:szCs w:val="21"/>
        </w:rPr>
        <w:t>中的大部分技术特征，区别在于：被控侵权产品将不锈钢钢丝绳放在耐火纤维毯的一侧，而专利权利要求将钢丝绳放在纤维毯的夹心中间。但帘面中加入钢丝绳系起增强作用，其位置的改变不影响该技术效果的实现。因此，被控侵权产品的上述特征属于以基本相同的手段，实现基本相同的功能，达到基本相同的效果，并且是本领域技术人员无需经过创造性劳动就能够联想到的特征，与涉案专利所记载的技术特征为等同特征，构成等同侵权。</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c</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技术特征的分解或者合并</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技术特征的分解，是指被控侵权技术方案用两个或多个技术特征代替专利权利要求记载的某一个技术特征。技术特征的合并，是指被控侵权技术方案用一个技术特征代替专利权利要求中记载的两个或多个技术特征。如果这种分解或合并没有改变技术特征在技术方案中所实现的功能和效果，且属于本领域技术人员不经过创造性劳动即可想到的简单变形，则其与专利权利要求中相应的技术特征为等同特征。</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-2</w:t>
      </w:r>
      <w:r>
        <w:rPr>
          <w:rFonts w:ascii="Times New Roman" w:hAnsi="Times New Roman" w:hint="eastAsia"/>
          <w:color w:val="000000"/>
          <w:lang w:val="en-US"/>
        </w:rPr>
        <w:t>9</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hint="eastAsia"/>
          <w:sz w:val="21"/>
          <w:szCs w:val="21"/>
        </w:rPr>
        <w:t>1</w:t>
      </w:r>
      <w:r>
        <w:rPr>
          <w:rFonts w:ascii="Times New Roman" w:eastAsia="楷体_GB2312" w:hAnsi="Times New Roman" w:hint="eastAsia"/>
          <w:sz w:val="21"/>
          <w:szCs w:val="21"/>
        </w:rPr>
        <w:t>：“一种除臭吸汗鞋垫，其特征是：它是由两层防滑层于相对的内面各附设一单向渗透层，其间再叠置黏结吸汗层和除臭层，吸汗层与除臭层相邻。”</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根据说明书的记载，涉案专利的发明目的是针对现有技术中的鞋垫在除臭时容易产生潮湿、导致除臭效果减弱等不足进行的改进设计，其吸汗层采用吸水树脂制成，除臭层采用活性炭铺设而成。</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被控侵权产品鞋垫的结构为：表面是防滑层，防滑层下为干爽表面（单向渗透层），干爽表面下为吸汗除臭层，吸汗除臭层的材质为吸水树脂和活性炭。</w:t>
      </w:r>
    </w:p>
    <w:p w:rsidR="00800760" w:rsidRDefault="00235733">
      <w:pPr>
        <w:pStyle w:val="22"/>
        <w:topLinePunct/>
        <w:spacing w:line="336" w:lineRule="auto"/>
        <w:ind w:firstLine="420"/>
        <w:rPr>
          <w:rFonts w:ascii="Times New Roman" w:eastAsia="楷体_GB2312" w:hAnsi="Times New Roman"/>
          <w:spacing w:val="2"/>
          <w:sz w:val="21"/>
          <w:szCs w:val="21"/>
        </w:rPr>
      </w:pPr>
      <w:r>
        <w:rPr>
          <w:rFonts w:ascii="Times New Roman" w:eastAsia="楷体_GB2312" w:hAnsi="Times New Roman" w:hint="eastAsia"/>
          <w:sz w:val="21"/>
          <w:szCs w:val="21"/>
        </w:rPr>
        <w:t>被控侵权产品与专利权利要求</w:t>
      </w:r>
      <w:r>
        <w:rPr>
          <w:rFonts w:ascii="Times New Roman" w:eastAsia="楷体_GB2312" w:hAnsi="Times New Roman" w:hint="eastAsia"/>
          <w:sz w:val="21"/>
          <w:szCs w:val="21"/>
        </w:rPr>
        <w:t>1</w:t>
      </w:r>
      <w:r>
        <w:rPr>
          <w:rFonts w:ascii="Times New Roman" w:eastAsia="楷体_GB2312" w:hAnsi="Times New Roman" w:hint="eastAsia"/>
          <w:sz w:val="21"/>
          <w:szCs w:val="21"/>
        </w:rPr>
        <w:t>相比，二者的区别在于：被控侵权产品将吸汗层和除臭层合并为一层，将活性炭与吸水树脂混合设置，然后利用干爽网面和防滑层将其封闭；而专利权利要求中吸汗层与</w:t>
      </w:r>
      <w:r>
        <w:rPr>
          <w:rFonts w:ascii="Times New Roman" w:eastAsia="楷体_GB2312" w:hAnsi="Times New Roman" w:hint="eastAsia"/>
          <w:spacing w:val="2"/>
          <w:sz w:val="21"/>
          <w:szCs w:val="21"/>
        </w:rPr>
        <w:t>除臭层分别设置，活性炭层与吸水树脂层分别设置，两层紧密相邻，然后利用干爽网面和防滑层将其封闭。</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本案的争议点在于：被控侵权产品中的“吸汗除臭层”与专利权利要求中的“吸汗层和除臭层”是否为等同特征。</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判断被控侵权产品以吸汗除臭层代替专利权利要求中记载的吸汗层和除臭层是否侵犯专利权，需要分析合并后的吸汗除臭层与吸汗层和除臭层分别设置二者所发挥的功能和取得的效果是否基本一致，以及这种技术特征的合并对本领域技术人员来说是否容易联想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首先，将活性炭与吸水树脂混合设置的除臭吸汗层在功能上与分别设置除臭层和吸汗层完全相同，都是为了吸收汗液以及除去气味。</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其次，二者的原理都是物理吸收和吸附作用，因此当被控侵权产品和专利权利要求中采用的活性炭和吸水树脂的量一致时，不论分别设置还是混合设置，其吸水和除臭效果也都基本相同。</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同时，吸水树脂与活性炭之间并不发生化学反应，两者的制备工艺也相差无几，本领域技术人员不付出创造性劳动就容易联想到这种技术特征的合并。</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虽然被控侵权产品用一个技术特征代替了权利要求中记载的两个技术特征，但这种合并没有改变技术特征在技术方案中所起的作用和所实现的功能与效果，且本领域技术人员不付出创造性劳动即可想到技术特征的这种简单变形，因此被控侵权产品的除臭吸汗层与专利权利要求中相应的除臭层和吸汗层为等同特征。</w:t>
      </w:r>
    </w:p>
    <w:p w:rsidR="00800760" w:rsidRDefault="00C22A7B">
      <w:pPr>
        <w:pStyle w:val="2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d</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方法步骤顺序的简单变化</w:t>
      </w:r>
    </w:p>
    <w:p w:rsidR="00800760" w:rsidRDefault="00235733">
      <w:pPr>
        <w:pStyle w:val="af6"/>
        <w:topLinePunct/>
        <w:spacing w:before="120"/>
        <w:ind w:firstLine="420"/>
        <w:rPr>
          <w:rFonts w:ascii="Times New Roman" w:eastAsia="宋体" w:hAnsi="Times New Roman"/>
          <w:spacing w:val="2"/>
        </w:rPr>
      </w:pPr>
      <w:r>
        <w:rPr>
          <w:rFonts w:ascii="Times New Roman" w:eastAsia="宋体" w:hAnsi="Times New Roman" w:hint="eastAsia"/>
        </w:rPr>
        <w:t>如果被控侵权技术方案仅对方法权利要求或者以方法特征限定的产品权利要求中步骤的组合顺序进行简单变换，而改变顺序后的步骤与原步骤仍然发挥基本相同的功能，并取得基本相同的技术效果，同时，步骤的变化对方法整体上也不产生实质的影响，本领域技术人员不付出创造性劳动就容易想到，则应</w:t>
      </w:r>
      <w:r>
        <w:rPr>
          <w:rFonts w:ascii="Times New Roman" w:eastAsia="宋体" w:hAnsi="Times New Roman" w:hint="eastAsia"/>
          <w:spacing w:val="2"/>
        </w:rPr>
        <w:t>认定二者为等同特征。反之，如果对方法步骤的改变导致其在专利权利要求中与被控侵权技术方案中所发挥的作用、实现的功能、取得的技术效果均有明显的改变，则不应认定二者为等同特征。</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w:t>
      </w:r>
      <w:r>
        <w:rPr>
          <w:rFonts w:ascii="Times New Roman" w:hAnsi="Times New Roman" w:hint="eastAsia"/>
          <w:color w:val="000000"/>
          <w:lang w:val="en-US"/>
        </w:rPr>
        <w:t>30</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hint="eastAsia"/>
          <w:sz w:val="21"/>
          <w:szCs w:val="21"/>
        </w:rPr>
        <w:t>“一种制造弹簧铰链的方法，依次包括四个步骤：①提供一用于形成铰接件的金属带；②切割出大致与铰接件外形一致的区域；③通过冲压形成一圆形部分以形成铰接件的突肩；④冲出铰接件的铰接孔。”</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说明书记载</w:t>
      </w:r>
      <w:r>
        <w:rPr>
          <w:rFonts w:ascii="Times New Roman" w:eastAsia="楷体_GB2312" w:hAnsi="Times New Roman"/>
          <w:sz w:val="21"/>
          <w:szCs w:val="21"/>
        </w:rPr>
        <w:t>：</w:t>
      </w:r>
      <w:r>
        <w:rPr>
          <w:rFonts w:ascii="Times New Roman" w:eastAsia="楷体_GB2312" w:hAnsi="Times New Roman" w:hint="eastAsia"/>
          <w:sz w:val="21"/>
          <w:szCs w:val="21"/>
        </w:rPr>
        <w:t>现有的弹簧铰链一般由一个铰接件、一个锁紧件和一个弹簧件组成，由于这些零件的尺寸很小，组装相当复杂。又由于这些零件通常都是散装料供给，因此首先需要麻烦的找正，才能把各件组装在正确的位置上。本发明的任务在于提供一种弹簧铰链的经济制作方法，并改进零件的搬运，因而产生良好的经济效益。在本发明中，用金属带加工的铰接件在铰接件仍与金属带连接时进行弹簧和锁紧件安装，这样在部件组装之前一方面取消了铰接件的中间加垫，另一方面又取消了铰接件的找正。组成的部件不从金属带上切断，因而搬运到弹簧铰链外壳中使用特别方便。</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权利要求</w:t>
      </w:r>
      <w:r>
        <w:rPr>
          <w:rFonts w:ascii="Times New Roman" w:eastAsia="楷体_GB2312" w:hAnsi="Times New Roman"/>
          <w:sz w:val="21"/>
          <w:szCs w:val="21"/>
        </w:rPr>
        <w:t>3</w:t>
      </w:r>
      <w:r>
        <w:rPr>
          <w:rFonts w:ascii="Times New Roman" w:eastAsia="楷体_GB2312" w:hAnsi="Times New Roman" w:hint="eastAsia"/>
          <w:sz w:val="21"/>
          <w:szCs w:val="21"/>
        </w:rPr>
        <w:t>记载</w:t>
      </w:r>
      <w:r>
        <w:rPr>
          <w:rFonts w:ascii="Times New Roman" w:eastAsia="楷体_GB2312" w:hAnsi="Times New Roman"/>
          <w:sz w:val="21"/>
          <w:szCs w:val="21"/>
        </w:rPr>
        <w:t>：</w:t>
      </w:r>
      <w:r>
        <w:rPr>
          <w:rFonts w:ascii="Times New Roman" w:eastAsia="楷体_GB2312" w:hAnsi="Times New Roman" w:hint="eastAsia"/>
          <w:sz w:val="21"/>
          <w:szCs w:val="21"/>
        </w:rPr>
        <w:t>根据权利要求</w:t>
      </w:r>
      <w:r>
        <w:rPr>
          <w:rFonts w:ascii="Times New Roman" w:eastAsia="楷体_GB2312" w:hAnsi="Times New Roman"/>
          <w:sz w:val="21"/>
          <w:szCs w:val="21"/>
        </w:rPr>
        <w:t>1</w:t>
      </w:r>
      <w:r>
        <w:rPr>
          <w:rFonts w:ascii="Times New Roman" w:eastAsia="楷体_GB2312" w:hAnsi="Times New Roman" w:hint="eastAsia"/>
          <w:sz w:val="21"/>
          <w:szCs w:val="21"/>
        </w:rPr>
        <w:t>所述的铰接件，还包括在铰接件仍与金属带连接时把弹簧件装在铰接件上形成一个装配单元的步骤。</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被控侵权产品的加工过程依次为</w:t>
      </w:r>
      <w:r>
        <w:rPr>
          <w:rFonts w:ascii="Times New Roman" w:eastAsia="楷体_GB2312" w:hAnsi="Times New Roman"/>
          <w:sz w:val="21"/>
          <w:szCs w:val="21"/>
        </w:rPr>
        <w:t>：</w:t>
      </w:r>
      <w:r>
        <w:rPr>
          <w:rFonts w:ascii="Times New Roman" w:eastAsia="楷体_GB2312" w:hAnsi="Times New Roman" w:hint="eastAsia"/>
          <w:sz w:val="21"/>
          <w:szCs w:val="21"/>
        </w:rPr>
        <w:t>①将金属带材送入冲压机冲下铰接件；②用钳子夹住铰接件前部，用锻压机将铰接件后部砸圆；③用钳子夹住铰接件前部，将铰接件插入打孔机内打孔；④用铅丝从铰接件前部圆孔中穿过，将若干个铰接件穿在一起后用抛光轮抛光。</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本案的争议点在于：被控侵权产品加工顺序的变化与涉案专利中相应的步骤是否构成等同特征。</w:t>
      </w:r>
    </w:p>
    <w:p w:rsidR="00800760" w:rsidRDefault="00235733">
      <w:pPr>
        <w:pStyle w:val="2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结合说明书和权利要求</w:t>
      </w:r>
      <w:r>
        <w:rPr>
          <w:rFonts w:ascii="Times New Roman" w:eastAsia="楷体_GB2312" w:hAnsi="Times New Roman"/>
          <w:sz w:val="21"/>
          <w:szCs w:val="21"/>
        </w:rPr>
        <w:t>3</w:t>
      </w:r>
      <w:r>
        <w:rPr>
          <w:rFonts w:ascii="Times New Roman" w:eastAsia="楷体_GB2312" w:hAnsi="Times New Roman" w:hint="eastAsia"/>
          <w:sz w:val="21"/>
          <w:szCs w:val="21"/>
        </w:rPr>
        <w:t>的内容可以看出，涉案专利中，切割出大致与铰接件外形一致的区域，包括“用于形成凸肩的基本形状”和“具有铰接孔范围的至少一部分”，金属带与铰接件的分离是在冲孔并安装了弹簧和锁紧件之后。而被控侵权技术方案中，金属带与铰接件在形成凸肩</w:t>
      </w:r>
      <w:r>
        <w:rPr>
          <w:rFonts w:ascii="Times New Roman" w:eastAsia="楷体_GB2312" w:hAnsi="Times New Roman"/>
          <w:sz w:val="21"/>
          <w:szCs w:val="21"/>
        </w:rPr>
        <w:t>（</w:t>
      </w:r>
      <w:r>
        <w:rPr>
          <w:rFonts w:ascii="Times New Roman" w:eastAsia="楷体_GB2312" w:hAnsi="Times New Roman" w:hint="eastAsia"/>
          <w:sz w:val="21"/>
          <w:szCs w:val="21"/>
        </w:rPr>
        <w:t>第二步</w:t>
      </w:r>
      <w:r>
        <w:rPr>
          <w:rFonts w:ascii="Times New Roman" w:eastAsia="楷体_GB2312" w:hAnsi="Times New Roman"/>
          <w:sz w:val="21"/>
          <w:szCs w:val="21"/>
        </w:rPr>
        <w:t>）</w:t>
      </w:r>
      <w:r>
        <w:rPr>
          <w:rFonts w:ascii="Times New Roman" w:eastAsia="楷体_GB2312" w:hAnsi="Times New Roman" w:hint="eastAsia"/>
          <w:sz w:val="21"/>
          <w:szCs w:val="21"/>
        </w:rPr>
        <w:t>、冲孔</w:t>
      </w:r>
      <w:r>
        <w:rPr>
          <w:rFonts w:ascii="Times New Roman" w:eastAsia="楷体_GB2312" w:hAnsi="Times New Roman"/>
          <w:sz w:val="21"/>
          <w:szCs w:val="21"/>
        </w:rPr>
        <w:t>（</w:t>
      </w:r>
      <w:r>
        <w:rPr>
          <w:rFonts w:ascii="Times New Roman" w:eastAsia="楷体_GB2312" w:hAnsi="Times New Roman" w:hint="eastAsia"/>
          <w:sz w:val="21"/>
          <w:szCs w:val="21"/>
        </w:rPr>
        <w:t>第三步</w:t>
      </w:r>
      <w:r>
        <w:rPr>
          <w:rFonts w:ascii="Times New Roman" w:eastAsia="楷体_GB2312" w:hAnsi="Times New Roman"/>
          <w:sz w:val="21"/>
          <w:szCs w:val="21"/>
        </w:rPr>
        <w:t>）</w:t>
      </w:r>
      <w:r>
        <w:rPr>
          <w:rFonts w:ascii="Times New Roman" w:eastAsia="楷体_GB2312" w:hAnsi="Times New Roman" w:hint="eastAsia"/>
          <w:sz w:val="21"/>
          <w:szCs w:val="21"/>
        </w:rPr>
        <w:t>之前就已经分离。</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按照专利说明书的相关表述，如果发生步骤变化，将无法实现专利的技术效果和技术目的，即如果先将铰接件从金属带材上切割下来，那么在随后的安装过程中，需要进行找正才能将各部件组装到正确的位置上，这正是被控侵权技术方案必须经历的过程。因此，被控侵权方法将步骤顺序交换之后，取得的技术效果与涉案专利方法明显不同，步骤顺序的变化不构成等同特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以上列举的几种等同特征的形式并非穷举，要做到对等同原则的准确适用，必须在具体案件中具体分析，牢牢把握本领域技术人员这一主体所具有的能力和水平。通过以下</w:t>
      </w:r>
      <w:r>
        <w:rPr>
          <w:rFonts w:ascii="Times New Roman" w:eastAsia="宋体" w:hAnsi="Times New Roman"/>
          <w:sz w:val="21"/>
          <w:szCs w:val="21"/>
        </w:rPr>
        <w:t>3</w:t>
      </w:r>
      <w:r>
        <w:rPr>
          <w:rFonts w:ascii="Times New Roman" w:eastAsia="宋体" w:hAnsi="Times New Roman" w:hint="eastAsia"/>
          <w:sz w:val="21"/>
          <w:szCs w:val="21"/>
        </w:rPr>
        <w:t>个案例来说明等同侵权的判定方法。</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w:t>
      </w:r>
      <w:r>
        <w:rPr>
          <w:rFonts w:ascii="Times New Roman" w:hAnsi="Times New Roman" w:hint="eastAsia"/>
          <w:color w:val="000000"/>
          <w:lang w:val="en-US"/>
        </w:rPr>
        <w:t>31</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hint="eastAsia"/>
          <w:sz w:val="21"/>
          <w:szCs w:val="21"/>
        </w:rPr>
        <w:t>“一种用于粉条加工的揉面机，包括机架，以及在机架上部设置有带有进、出料口的料斗；其特征在于，该料斗内水平设置了由驱动电机驱动的输送搅龙，在位于所述出料口上方的机架上并排设置有两个相通的‘</w:t>
      </w:r>
      <w:r>
        <w:rPr>
          <w:rFonts w:ascii="Times New Roman" w:eastAsia="楷体_GB2312" w:hAnsi="Times New Roman"/>
          <w:sz w:val="21"/>
          <w:szCs w:val="21"/>
        </w:rPr>
        <w:t>U</w:t>
      </w:r>
      <w:r>
        <w:rPr>
          <w:rFonts w:ascii="Times New Roman" w:eastAsia="楷体_GB2312" w:hAnsi="Times New Roman" w:hint="eastAsia"/>
          <w:sz w:val="21"/>
          <w:szCs w:val="21"/>
        </w:rPr>
        <w:t>’形揉面斗，其中一个‘</w:t>
      </w:r>
      <w:r>
        <w:rPr>
          <w:rFonts w:ascii="Times New Roman" w:eastAsia="楷体_GB2312" w:hAnsi="Times New Roman"/>
          <w:sz w:val="21"/>
          <w:szCs w:val="21"/>
        </w:rPr>
        <w:t>U</w:t>
      </w:r>
      <w:r>
        <w:rPr>
          <w:rFonts w:ascii="Times New Roman" w:eastAsia="楷体_GB2312" w:hAnsi="Times New Roman" w:hint="eastAsia"/>
          <w:sz w:val="21"/>
          <w:szCs w:val="21"/>
        </w:rPr>
        <w:t>’形揉面斗的底部与所述出料口相连通；在位于每个‘</w:t>
      </w:r>
      <w:r>
        <w:rPr>
          <w:rFonts w:ascii="Times New Roman" w:eastAsia="楷体_GB2312" w:hAnsi="Times New Roman"/>
          <w:sz w:val="21"/>
          <w:szCs w:val="21"/>
        </w:rPr>
        <w:t>U</w:t>
      </w:r>
      <w:r>
        <w:rPr>
          <w:rFonts w:ascii="Times New Roman" w:eastAsia="楷体_GB2312" w:hAnsi="Times New Roman" w:hint="eastAsia"/>
          <w:sz w:val="21"/>
          <w:szCs w:val="21"/>
        </w:rPr>
        <w:t>’形揉面斗上方的机架上分别设置有一揉面锤，所述两揉面锤的支撑架通过曲柄连杆机构与驱动电机的动力轴相连接。”</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被控侵权产品的技术特征可以分解如下</w:t>
      </w:r>
      <w:r>
        <w:rPr>
          <w:rFonts w:ascii="Times New Roman" w:eastAsia="楷体_GB2312" w:hAnsi="Times New Roman"/>
          <w:sz w:val="21"/>
          <w:szCs w:val="21"/>
        </w:rPr>
        <w:t>：</w:t>
      </w:r>
      <w:r>
        <w:rPr>
          <w:rFonts w:ascii="Times New Roman" w:eastAsia="宋体" w:hAnsi="Times New Roman" w:cs="宋体" w:hint="eastAsia"/>
          <w:sz w:val="21"/>
          <w:szCs w:val="21"/>
        </w:rPr>
        <w:t>①</w:t>
      </w:r>
      <w:r>
        <w:rPr>
          <w:rFonts w:ascii="Times New Roman" w:eastAsia="楷体_GB2312" w:hAnsi="Times New Roman" w:hint="eastAsia"/>
          <w:sz w:val="21"/>
          <w:szCs w:val="21"/>
        </w:rPr>
        <w:t>机架；</w:t>
      </w:r>
      <w:r>
        <w:rPr>
          <w:rFonts w:ascii="Times New Roman" w:eastAsia="宋体" w:hAnsi="Times New Roman" w:cs="宋体" w:hint="eastAsia"/>
          <w:sz w:val="21"/>
          <w:szCs w:val="21"/>
        </w:rPr>
        <w:t>②</w:t>
      </w:r>
      <w:r>
        <w:rPr>
          <w:rFonts w:ascii="Times New Roman" w:eastAsia="楷体_GB2312" w:hAnsi="Times New Roman" w:hint="eastAsia"/>
          <w:sz w:val="21"/>
          <w:szCs w:val="21"/>
        </w:rPr>
        <w:t>机架上部设置有带有进、出料口的料斗；</w:t>
      </w:r>
      <w:r>
        <w:rPr>
          <w:rFonts w:ascii="Times New Roman" w:eastAsia="宋体" w:hAnsi="Times New Roman" w:cs="宋体" w:hint="eastAsia"/>
          <w:sz w:val="21"/>
          <w:szCs w:val="21"/>
        </w:rPr>
        <w:t>③</w:t>
      </w:r>
      <w:r>
        <w:rPr>
          <w:rFonts w:ascii="Times New Roman" w:eastAsia="楷体_GB2312" w:hAnsi="Times New Roman" w:hint="eastAsia"/>
          <w:sz w:val="21"/>
          <w:szCs w:val="21"/>
        </w:rPr>
        <w:t>该料斗内水平设置了由驱动电机驱动的输送搅龙；</w:t>
      </w:r>
      <w:r>
        <w:rPr>
          <w:rFonts w:ascii="Times New Roman" w:eastAsia="宋体" w:hAnsi="Times New Roman" w:cs="宋体" w:hint="eastAsia"/>
          <w:sz w:val="21"/>
          <w:szCs w:val="21"/>
        </w:rPr>
        <w:t>④</w:t>
      </w:r>
      <w:r>
        <w:rPr>
          <w:rFonts w:ascii="Times New Roman" w:eastAsia="楷体_GB2312" w:hAnsi="Times New Roman" w:hint="eastAsia"/>
          <w:sz w:val="21"/>
          <w:szCs w:val="21"/>
        </w:rPr>
        <w:t>所述出料口上方的机架上并排设置有两个相通的“</w:t>
      </w:r>
      <w:r>
        <w:rPr>
          <w:rFonts w:ascii="Times New Roman" w:eastAsia="楷体_GB2312" w:hAnsi="Times New Roman"/>
          <w:sz w:val="21"/>
          <w:szCs w:val="21"/>
        </w:rPr>
        <w:t>U</w:t>
      </w:r>
      <w:r>
        <w:rPr>
          <w:rFonts w:ascii="Times New Roman" w:eastAsia="楷体_GB2312" w:hAnsi="Times New Roman" w:hint="eastAsia"/>
          <w:sz w:val="21"/>
          <w:szCs w:val="21"/>
        </w:rPr>
        <w:t>”形揉面斗，其中一个“</w:t>
      </w:r>
      <w:r>
        <w:rPr>
          <w:rFonts w:ascii="Times New Roman" w:eastAsia="楷体_GB2312" w:hAnsi="Times New Roman"/>
          <w:sz w:val="21"/>
          <w:szCs w:val="21"/>
        </w:rPr>
        <w:t>U</w:t>
      </w:r>
      <w:r>
        <w:rPr>
          <w:rFonts w:ascii="Times New Roman" w:eastAsia="楷体_GB2312" w:hAnsi="Times New Roman" w:hint="eastAsia"/>
          <w:sz w:val="21"/>
          <w:szCs w:val="21"/>
        </w:rPr>
        <w:t>”形揉面斗的上部与所述出料口相连通；</w:t>
      </w:r>
      <w:r>
        <w:rPr>
          <w:rFonts w:ascii="Times New Roman" w:eastAsia="宋体" w:hAnsi="Times New Roman" w:cs="宋体" w:hint="eastAsia"/>
          <w:sz w:val="21"/>
          <w:szCs w:val="21"/>
        </w:rPr>
        <w:t>⑤</w:t>
      </w:r>
      <w:r>
        <w:rPr>
          <w:rFonts w:ascii="Times New Roman" w:eastAsia="楷体_GB2312" w:hAnsi="Times New Roman" w:hint="eastAsia"/>
          <w:sz w:val="21"/>
          <w:szCs w:val="21"/>
        </w:rPr>
        <w:t>位于每个“</w:t>
      </w:r>
      <w:r>
        <w:rPr>
          <w:rFonts w:ascii="Times New Roman" w:eastAsia="楷体_GB2312" w:hAnsi="Times New Roman"/>
          <w:sz w:val="21"/>
          <w:szCs w:val="21"/>
        </w:rPr>
        <w:t>U</w:t>
      </w:r>
      <w:r>
        <w:rPr>
          <w:rFonts w:ascii="Times New Roman" w:eastAsia="楷体_GB2312" w:hAnsi="Times New Roman" w:hint="eastAsia"/>
          <w:sz w:val="21"/>
          <w:szCs w:val="21"/>
        </w:rPr>
        <w:t>”形揉面斗上方分别设置有一揉面锤，每一揉面锤具有一支撑架，每一揉面锤的支撑架之间由杠杆连接，其中一个揉面锤的支撑架通过曲柄连杆机构与驱动电机上减速器的动力轴相连接，该揉面锤支撑架通过杠杆运动使两个揉面锤反向上下往复运动。</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将权利要求</w:t>
      </w:r>
      <w:r>
        <w:rPr>
          <w:rFonts w:ascii="Times New Roman" w:eastAsia="楷体_GB2312" w:hAnsi="Times New Roman" w:hint="eastAsia"/>
          <w:sz w:val="21"/>
          <w:szCs w:val="21"/>
        </w:rPr>
        <w:t>1</w:t>
      </w:r>
      <w:r>
        <w:rPr>
          <w:rFonts w:ascii="Times New Roman" w:eastAsia="楷体_GB2312" w:hAnsi="Times New Roman" w:hint="eastAsia"/>
          <w:sz w:val="21"/>
          <w:szCs w:val="21"/>
        </w:rPr>
        <w:t>与被控侵权产品进行技术特征对比如下表所示：</w:t>
      </w:r>
    </w:p>
    <w:tbl>
      <w:tblPr>
        <w:tblW w:w="5000" w:type="pct"/>
        <w:tblCellMar>
          <w:left w:w="0" w:type="dxa"/>
          <w:right w:w="0" w:type="dxa"/>
        </w:tblCellMar>
        <w:tblLook w:val="04A0"/>
      </w:tblPr>
      <w:tblGrid>
        <w:gridCol w:w="1405"/>
        <w:gridCol w:w="3673"/>
        <w:gridCol w:w="3673"/>
        <w:gridCol w:w="1117"/>
      </w:tblGrid>
      <w:tr w:rsidR="00800760">
        <w:trPr>
          <w:trHeight w:val="20"/>
          <w:tblHeader/>
        </w:trPr>
        <w:tc>
          <w:tcPr>
            <w:tcW w:w="712" w:type="pct"/>
            <w:tcBorders>
              <w:top w:val="single" w:sz="8" w:space="0" w:color="auto"/>
              <w:left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b/>
                <w:sz w:val="18"/>
                <w:szCs w:val="18"/>
              </w:rPr>
            </w:pPr>
            <w:r>
              <w:rPr>
                <w:rFonts w:ascii="Times New Roman" w:eastAsia="宋体" w:hAnsi="Times New Roman" w:hint="eastAsia"/>
                <w:b/>
                <w:sz w:val="18"/>
                <w:szCs w:val="18"/>
              </w:rPr>
              <w:t>技术特征序号</w:t>
            </w:r>
          </w:p>
        </w:tc>
        <w:tc>
          <w:tcPr>
            <w:tcW w:w="1861" w:type="pct"/>
            <w:tcBorders>
              <w:top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权利要求</w:t>
            </w:r>
            <w:r>
              <w:rPr>
                <w:rFonts w:ascii="Times New Roman" w:eastAsia="宋体" w:hAnsi="Times New Roman"/>
                <w:sz w:val="18"/>
                <w:szCs w:val="18"/>
              </w:rPr>
              <w:t>1</w:t>
            </w:r>
          </w:p>
        </w:tc>
        <w:tc>
          <w:tcPr>
            <w:tcW w:w="1861" w:type="pct"/>
            <w:tcBorders>
              <w:top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被控侵权产品</w:t>
            </w:r>
          </w:p>
        </w:tc>
        <w:tc>
          <w:tcPr>
            <w:tcW w:w="566" w:type="pct"/>
            <w:tcBorders>
              <w:top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对比</w:t>
            </w:r>
          </w:p>
        </w:tc>
      </w:tr>
      <w:tr w:rsidR="00800760">
        <w:trPr>
          <w:trHeight w:val="20"/>
        </w:trPr>
        <w:tc>
          <w:tcPr>
            <w:tcW w:w="712" w:type="pct"/>
            <w:tcBorders>
              <w:top w:val="single" w:sz="8" w:space="0" w:color="auto"/>
              <w:left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cs="宋体"/>
                <w:sz w:val="18"/>
                <w:szCs w:val="18"/>
              </w:rPr>
            </w:pPr>
            <w:r>
              <w:rPr>
                <w:rFonts w:ascii="Times New Roman" w:eastAsia="宋体" w:hAnsi="Times New Roman" w:cs="宋体" w:hint="eastAsia"/>
                <w:sz w:val="18"/>
                <w:szCs w:val="18"/>
              </w:rPr>
              <w:t>①</w:t>
            </w:r>
          </w:p>
        </w:tc>
        <w:tc>
          <w:tcPr>
            <w:tcW w:w="1861" w:type="pct"/>
            <w:tcBorders>
              <w:top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机架</w:t>
            </w:r>
          </w:p>
        </w:tc>
        <w:tc>
          <w:tcPr>
            <w:tcW w:w="1861" w:type="pct"/>
            <w:tcBorders>
              <w:top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机架</w:t>
            </w:r>
          </w:p>
        </w:tc>
        <w:tc>
          <w:tcPr>
            <w:tcW w:w="566" w:type="pct"/>
            <w:tcBorders>
              <w:top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相同</w:t>
            </w:r>
          </w:p>
        </w:tc>
      </w:tr>
      <w:tr w:rsidR="00800760">
        <w:trPr>
          <w:trHeight w:val="20"/>
        </w:trPr>
        <w:tc>
          <w:tcPr>
            <w:tcW w:w="712" w:type="pct"/>
            <w:tcBorders>
              <w:left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cs="宋体"/>
                <w:sz w:val="18"/>
                <w:szCs w:val="18"/>
              </w:rPr>
            </w:pPr>
            <w:r>
              <w:rPr>
                <w:rFonts w:ascii="Times New Roman" w:eastAsia="宋体" w:hAnsi="Times New Roman" w:cs="宋体" w:hint="eastAsia"/>
                <w:sz w:val="18"/>
                <w:szCs w:val="18"/>
              </w:rPr>
              <w:t>②</w:t>
            </w:r>
          </w:p>
        </w:tc>
        <w:tc>
          <w:tcPr>
            <w:tcW w:w="1861" w:type="pct"/>
            <w:tcBorders>
              <w:bottom w:val="single" w:sz="8" w:space="0" w:color="auto"/>
              <w:right w:val="single" w:sz="8" w:space="0" w:color="auto"/>
            </w:tcBorders>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机架上部设有带进、出料口的料斗</w:t>
            </w:r>
          </w:p>
        </w:tc>
        <w:tc>
          <w:tcPr>
            <w:tcW w:w="1861" w:type="pct"/>
            <w:tcBorders>
              <w:bottom w:val="single" w:sz="8" w:space="0" w:color="auto"/>
              <w:right w:val="single" w:sz="8" w:space="0" w:color="auto"/>
            </w:tcBorders>
            <w:tcMar>
              <w:left w:w="57" w:type="dxa"/>
              <w:right w:w="57" w:type="dxa"/>
            </w:tcMar>
            <w:vAlign w:val="bottom"/>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机架上部设有带有进、出料口的料斗</w:t>
            </w:r>
          </w:p>
        </w:tc>
        <w:tc>
          <w:tcPr>
            <w:tcW w:w="566" w:type="pct"/>
            <w:tcBorders>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相同</w:t>
            </w:r>
          </w:p>
        </w:tc>
      </w:tr>
      <w:tr w:rsidR="00800760">
        <w:trPr>
          <w:trHeight w:val="20"/>
        </w:trPr>
        <w:tc>
          <w:tcPr>
            <w:tcW w:w="712" w:type="pct"/>
            <w:tcBorders>
              <w:left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cs="宋体"/>
                <w:sz w:val="18"/>
                <w:szCs w:val="18"/>
              </w:rPr>
            </w:pPr>
            <w:r>
              <w:rPr>
                <w:rFonts w:ascii="Times New Roman" w:eastAsia="宋体" w:hAnsi="Times New Roman" w:cs="宋体" w:hint="eastAsia"/>
                <w:sz w:val="18"/>
                <w:szCs w:val="18"/>
              </w:rPr>
              <w:t>③</w:t>
            </w:r>
          </w:p>
        </w:tc>
        <w:tc>
          <w:tcPr>
            <w:tcW w:w="1861" w:type="pct"/>
            <w:tcBorders>
              <w:bottom w:val="nil"/>
              <w:right w:val="single" w:sz="8" w:space="0" w:color="auto"/>
            </w:tcBorders>
            <w:tcMar>
              <w:left w:w="57" w:type="dxa"/>
              <w:right w:w="57" w:type="dxa"/>
            </w:tcMar>
            <w:vAlign w:val="bottom"/>
          </w:tcPr>
          <w:p w:rsidR="00800760" w:rsidRDefault="00235733">
            <w:pPr>
              <w:pStyle w:val="22"/>
              <w:topLinePunct/>
              <w:spacing w:line="288"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该料斗内水平设置了由驱动电机驱动的输送搅龙</w:t>
            </w:r>
          </w:p>
        </w:tc>
        <w:tc>
          <w:tcPr>
            <w:tcW w:w="1861" w:type="pct"/>
            <w:tcBorders>
              <w:bottom w:val="nil"/>
              <w:right w:val="single" w:sz="8" w:space="0" w:color="auto"/>
            </w:tcBorders>
            <w:tcMar>
              <w:left w:w="57" w:type="dxa"/>
              <w:right w:w="57" w:type="dxa"/>
            </w:tcMar>
            <w:vAlign w:val="center"/>
          </w:tcPr>
          <w:p w:rsidR="00800760" w:rsidRDefault="00235733">
            <w:pPr>
              <w:pStyle w:val="22"/>
              <w:topLinePunct/>
              <w:spacing w:line="288"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该料斗内水平设置了由驱动电机驱动的输送搅龙</w:t>
            </w:r>
          </w:p>
        </w:tc>
        <w:tc>
          <w:tcPr>
            <w:tcW w:w="566" w:type="pct"/>
            <w:tcBorders>
              <w:bottom w:val="nil"/>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相同</w:t>
            </w:r>
          </w:p>
        </w:tc>
      </w:tr>
      <w:tr w:rsidR="00800760">
        <w:trPr>
          <w:trHeight w:val="20"/>
        </w:trPr>
        <w:tc>
          <w:tcPr>
            <w:tcW w:w="712" w:type="pct"/>
            <w:tcBorders>
              <w:top w:val="single" w:sz="8" w:space="0" w:color="auto"/>
              <w:left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cs="宋体"/>
                <w:sz w:val="18"/>
                <w:szCs w:val="18"/>
              </w:rPr>
            </w:pPr>
            <w:r>
              <w:rPr>
                <w:rFonts w:ascii="Times New Roman" w:eastAsia="宋体" w:hAnsi="Times New Roman" w:cs="宋体" w:hint="eastAsia"/>
                <w:sz w:val="18"/>
                <w:szCs w:val="18"/>
              </w:rPr>
              <w:t>④</w:t>
            </w:r>
          </w:p>
        </w:tc>
        <w:tc>
          <w:tcPr>
            <w:tcW w:w="1861" w:type="pct"/>
            <w:tcBorders>
              <w:top w:val="single" w:sz="8" w:space="0" w:color="auto"/>
              <w:left w:val="single" w:sz="8" w:space="0" w:color="auto"/>
              <w:bottom w:val="single" w:sz="8" w:space="0" w:color="auto"/>
              <w:right w:val="single" w:sz="8" w:space="0" w:color="auto"/>
            </w:tcBorders>
            <w:tcMar>
              <w:left w:w="57" w:type="dxa"/>
              <w:right w:w="57" w:type="dxa"/>
            </w:tcMar>
            <w:vAlign w:val="bottom"/>
          </w:tcPr>
          <w:p w:rsidR="00800760" w:rsidRDefault="00235733">
            <w:pPr>
              <w:pStyle w:val="22"/>
              <w:topLinePunct/>
              <w:spacing w:line="288"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在位于所述出料口上方的机架上并排设置有两个相通的“</w:t>
            </w:r>
            <w:r>
              <w:rPr>
                <w:rFonts w:ascii="Times New Roman" w:eastAsia="宋体" w:hAnsi="Times New Roman"/>
                <w:sz w:val="18"/>
                <w:szCs w:val="18"/>
              </w:rPr>
              <w:t>U</w:t>
            </w:r>
            <w:r>
              <w:rPr>
                <w:rFonts w:ascii="Times New Roman" w:eastAsia="宋体" w:hAnsi="Times New Roman" w:hint="eastAsia"/>
                <w:sz w:val="18"/>
                <w:szCs w:val="18"/>
              </w:rPr>
              <w:t>”形揉面斗</w:t>
            </w:r>
            <w:r>
              <w:rPr>
                <w:rFonts w:ascii="Times New Roman" w:eastAsia="宋体" w:hAnsi="Times New Roman"/>
                <w:sz w:val="18"/>
                <w:szCs w:val="18"/>
              </w:rPr>
              <w:t>，</w:t>
            </w:r>
            <w:r>
              <w:rPr>
                <w:rFonts w:ascii="Times New Roman" w:eastAsia="宋体" w:hAnsi="Times New Roman" w:hint="eastAsia"/>
                <w:sz w:val="18"/>
                <w:szCs w:val="18"/>
              </w:rPr>
              <w:t>其中一个“</w:t>
            </w:r>
            <w:r>
              <w:rPr>
                <w:rFonts w:ascii="Times New Roman" w:eastAsia="宋体" w:hAnsi="Times New Roman"/>
                <w:sz w:val="18"/>
                <w:szCs w:val="18"/>
              </w:rPr>
              <w:t>U</w:t>
            </w:r>
            <w:r>
              <w:rPr>
                <w:rFonts w:ascii="Times New Roman" w:eastAsia="宋体" w:hAnsi="Times New Roman" w:hint="eastAsia"/>
                <w:sz w:val="18"/>
                <w:szCs w:val="18"/>
              </w:rPr>
              <w:t>”形揉面斗的底部与所述出料口相连通</w:t>
            </w:r>
          </w:p>
        </w:tc>
        <w:tc>
          <w:tcPr>
            <w:tcW w:w="1861" w:type="pct"/>
            <w:tcBorders>
              <w:top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288"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所述出料口一侧下方的机架上并排设置有两个相通的“</w:t>
            </w:r>
            <w:r>
              <w:rPr>
                <w:rFonts w:ascii="Times New Roman" w:eastAsia="宋体" w:hAnsi="Times New Roman"/>
                <w:sz w:val="18"/>
                <w:szCs w:val="18"/>
              </w:rPr>
              <w:t>U</w:t>
            </w:r>
            <w:r>
              <w:rPr>
                <w:rFonts w:ascii="Times New Roman" w:eastAsia="宋体" w:hAnsi="Times New Roman" w:hint="eastAsia"/>
                <w:sz w:val="18"/>
                <w:szCs w:val="18"/>
              </w:rPr>
              <w:t>”形揉面斗，其中一个“</w:t>
            </w:r>
            <w:r>
              <w:rPr>
                <w:rFonts w:ascii="Times New Roman" w:eastAsia="宋体" w:hAnsi="Times New Roman"/>
                <w:sz w:val="18"/>
                <w:szCs w:val="18"/>
              </w:rPr>
              <w:t>U</w:t>
            </w:r>
            <w:r>
              <w:rPr>
                <w:rFonts w:ascii="Times New Roman" w:eastAsia="宋体" w:hAnsi="Times New Roman" w:hint="eastAsia"/>
                <w:sz w:val="18"/>
                <w:szCs w:val="18"/>
              </w:rPr>
              <w:t>”形揉面斗的上部与所述出料口相连通</w:t>
            </w:r>
          </w:p>
        </w:tc>
        <w:tc>
          <w:tcPr>
            <w:tcW w:w="566" w:type="pct"/>
            <w:tcBorders>
              <w:top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有区别</w:t>
            </w:r>
          </w:p>
        </w:tc>
      </w:tr>
      <w:tr w:rsidR="00800760">
        <w:trPr>
          <w:trHeight w:val="20"/>
        </w:trPr>
        <w:tc>
          <w:tcPr>
            <w:tcW w:w="712" w:type="pct"/>
            <w:tcBorders>
              <w:top w:val="single" w:sz="8" w:space="0" w:color="auto"/>
              <w:left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cs="宋体"/>
                <w:sz w:val="18"/>
                <w:szCs w:val="18"/>
              </w:rPr>
            </w:pPr>
            <w:r>
              <w:rPr>
                <w:rFonts w:ascii="Times New Roman" w:eastAsia="宋体" w:hAnsi="Times New Roman" w:cs="宋体" w:hint="eastAsia"/>
                <w:sz w:val="18"/>
                <w:szCs w:val="18"/>
              </w:rPr>
              <w:t>⑤</w:t>
            </w:r>
          </w:p>
        </w:tc>
        <w:tc>
          <w:tcPr>
            <w:tcW w:w="1861" w:type="pct"/>
            <w:tcBorders>
              <w:top w:val="single" w:sz="8" w:space="0" w:color="auto"/>
              <w:left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288"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在位于每个“</w:t>
            </w:r>
            <w:r>
              <w:rPr>
                <w:rFonts w:ascii="Times New Roman" w:eastAsia="宋体" w:hAnsi="Times New Roman"/>
                <w:sz w:val="18"/>
                <w:szCs w:val="18"/>
              </w:rPr>
              <w:t>U</w:t>
            </w:r>
            <w:r>
              <w:rPr>
                <w:rFonts w:ascii="Times New Roman" w:eastAsia="宋体" w:hAnsi="Times New Roman" w:hint="eastAsia"/>
                <w:sz w:val="18"/>
                <w:szCs w:val="18"/>
              </w:rPr>
              <w:t>”形揉面斗上方的机架上分别设置有一揉面锤，所述两揉面锤的支撑架通过曲柄连杆机构与驱动电机的动力轴相连接</w:t>
            </w:r>
          </w:p>
        </w:tc>
        <w:tc>
          <w:tcPr>
            <w:tcW w:w="1861" w:type="pct"/>
            <w:tcBorders>
              <w:top w:val="single" w:sz="8" w:space="0" w:color="auto"/>
              <w:bottom w:val="single" w:sz="8" w:space="0" w:color="auto"/>
              <w:right w:val="single" w:sz="8" w:space="0" w:color="auto"/>
            </w:tcBorders>
            <w:tcMar>
              <w:left w:w="57" w:type="dxa"/>
              <w:right w:w="57" w:type="dxa"/>
            </w:tcMar>
            <w:vAlign w:val="bottom"/>
          </w:tcPr>
          <w:p w:rsidR="00800760" w:rsidRDefault="00235733">
            <w:pPr>
              <w:pStyle w:val="22"/>
              <w:topLinePunct/>
              <w:spacing w:line="288"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位于每个“</w:t>
            </w:r>
            <w:r>
              <w:rPr>
                <w:rFonts w:ascii="Times New Roman" w:eastAsia="宋体" w:hAnsi="Times New Roman"/>
                <w:sz w:val="18"/>
                <w:szCs w:val="18"/>
              </w:rPr>
              <w:t>U</w:t>
            </w:r>
            <w:r>
              <w:rPr>
                <w:rFonts w:ascii="Times New Roman" w:eastAsia="宋体" w:hAnsi="Times New Roman" w:hint="eastAsia"/>
                <w:sz w:val="18"/>
                <w:szCs w:val="18"/>
              </w:rPr>
              <w:t>”形揉面斗上方分别设置有一揉面锤，每一揉面锤具有一支撑架，每一揉面锤的支撑架之间由杠杆连接，其中一个揉面锤的支撑架通过曲柄连杆机构与驱动电机上减速器的动力轴相连接，该揉面锤支撑架通过杠杆运动使两个揉面锤反向上下往复运动</w:t>
            </w:r>
          </w:p>
        </w:tc>
        <w:tc>
          <w:tcPr>
            <w:tcW w:w="566" w:type="pct"/>
            <w:tcBorders>
              <w:top w:val="single" w:sz="8" w:space="0" w:color="auto"/>
              <w:bottom w:val="single" w:sz="8" w:space="0" w:color="auto"/>
              <w:right w:val="single" w:sz="8" w:space="0" w:color="auto"/>
            </w:tcBorders>
            <w:tcMar>
              <w:left w:w="57" w:type="dxa"/>
              <w:right w:w="57" w:type="dxa"/>
            </w:tcMar>
            <w:vAlign w:val="center"/>
          </w:tcPr>
          <w:p w:rsidR="00800760" w:rsidRDefault="00235733">
            <w:pPr>
              <w:pStyle w:val="22"/>
              <w:topLinePunct/>
              <w:spacing w:line="336" w:lineRule="auto"/>
              <w:ind w:leftChars="100" w:left="210" w:rightChars="100" w:right="210" w:firstLineChars="0" w:firstLine="0"/>
              <w:jc w:val="center"/>
              <w:rPr>
                <w:rFonts w:ascii="Times New Roman" w:eastAsia="宋体" w:hAnsi="Times New Roman"/>
                <w:sz w:val="18"/>
                <w:szCs w:val="18"/>
              </w:rPr>
            </w:pPr>
            <w:r>
              <w:rPr>
                <w:rFonts w:ascii="Times New Roman" w:eastAsia="宋体" w:hAnsi="Times New Roman" w:hint="eastAsia"/>
                <w:sz w:val="18"/>
                <w:szCs w:val="18"/>
              </w:rPr>
              <w:t>有区别</w:t>
            </w:r>
          </w:p>
        </w:tc>
      </w:tr>
    </w:tbl>
    <w:p w:rsidR="00800760" w:rsidRDefault="00235733" w:rsidP="00C22A7B">
      <w:pPr>
        <w:pStyle w:val="22"/>
        <w:topLinePunct/>
        <w:spacing w:beforeLines="50"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本案的争议点在于：被控侵权产品的技术特征④和技术特征⑤是否分别与权利要求中的相应技术特征构成等同特征。</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于技术特征④，被控侵权产品只是在专利的基础上，将料斗相对于揉面斗上移，从而利用了面团自身的重力。但由于面团本身不易流动，如果不利用输送搅龙挤压，仅靠面团自身重力难以实现将料斗中的面团输送到揉面斗的目的。反过来讲，如果仅靠面团自身重力即可以实现料斗中的面团自流到揉面斗中的目的，就无需采用输送搅龙这一技术手段。因此，被控侵权产品实质上仍是利用输送搅龙挤压将面团通过出料口输送到揉面斗，与专利权利要求一样，两者都需要利用输送搅龙这一部件实现将面团由料斗挤压输送到揉面斗这一功能。可见，与专利权利要求的该项技术特征相比，被控侵权产品系采取基本相同的手段，实现基本相同的功能，达到基本相同的效果。而且物体由于自身的重力能够自上而下滑落是一种普通生活常识，因此，将料斗相对于揉面斗上移对于本领域技术人员来讲，无需经过创造性劳动即可联想到。被控侵权产品的该项技术特征构成相应专利技术特征的等同特征。</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于技术特征⑤，根据专利说明书和附图的记载，两个揉面锤共用的一个支撑架通过曲柄连杆机构与驱动电机的动力轴相连接，动力驱动装置通过曲柄连杆机构带动两个揉面锤同向上下往复运动。因此，专利技术特征⑤可以理解为：在位于每个“</w:t>
      </w:r>
      <w:r>
        <w:rPr>
          <w:rFonts w:ascii="Times New Roman" w:eastAsia="楷体_GB2312" w:hAnsi="Times New Roman" w:hint="eastAsia"/>
          <w:sz w:val="21"/>
          <w:szCs w:val="21"/>
        </w:rPr>
        <w:t>U</w:t>
      </w:r>
      <w:r>
        <w:rPr>
          <w:rFonts w:ascii="Times New Roman" w:eastAsia="楷体_GB2312" w:hAnsi="Times New Roman" w:hint="eastAsia"/>
          <w:sz w:val="21"/>
          <w:szCs w:val="21"/>
        </w:rPr>
        <w:t>”形揉面斗上方的机架上分别设置有一揉面锤，所述两揉面锤共用的一个支撑架通过曲柄连杆机构与驱动电机的动力轴相连接，动力驱动装置通过曲柄连杆机构带动两个揉面锤同向上下往复运动。将第⑤项对应技术特征进行对比，专利权利要求的两揉面锤共用一个支撑架，并通过曲柄连杆机构和动力驱动装置带动两个揉面锤同向上下往复运动；被控侵权产品则是两揉面锤各有一支撑架，两个揉面锤的支撑架之间由杠杆连接，其中一个揉面锤的支撑架通过曲柄连杆机构和动力驱动装置使两个揉面锤反向上下往复运动。虽然两者均具有通过支撑架支撑揉面锤，动力驱动装置通过曲柄连杆机构带动揉面锤的支撑架上下运动的基本功能，但从揉面锤的工作原理和运动方式来看，二者并非基本相同的手段；同时，由于被控侵权产品的动力驱动装置驱动的是一个揉面锤的支撑架，而专利的驱动装置驱动的是两个揉面锤的支撑架，被控侵权产品的这种设计更节省动力，可使用相对较小功率的驱动电机，而且，被控侵权产品利用杠杆原理使两个揉面锤反向上下往复运动也避免了专利的两个揉面锤共用一个支撑架时同向向上运动时所做的无用功。由此可见，二者在技术效果上也有明显不同。此外，被控侵权产品的这种变换手段，对于本领域技术人员而言，也并非不经过创造性劳动就能够联想到。因此，二者该项对应技术特征不构成等同特征。</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w:t>
      </w:r>
      <w:r>
        <w:rPr>
          <w:rFonts w:ascii="Times New Roman" w:hAnsi="Times New Roman" w:hint="eastAsia"/>
          <w:color w:val="000000"/>
        </w:rPr>
        <w:t>3</w:t>
      </w:r>
      <w:r>
        <w:rPr>
          <w:rFonts w:ascii="Times New Roman" w:hAnsi="Times New Roman" w:hint="eastAsia"/>
          <w:color w:val="000000"/>
          <w:lang w:val="en-US"/>
        </w:rPr>
        <w:t>2</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w:t>
      </w:r>
      <w:r>
        <w:rPr>
          <w:rFonts w:ascii="Times New Roman" w:eastAsia="楷体_GB2312" w:hAnsi="Times New Roman" w:hint="eastAsia"/>
          <w:sz w:val="21"/>
          <w:szCs w:val="21"/>
        </w:rPr>
        <w:t>“一种三氯异氰尿酸消毒制剂，其特征在于由</w:t>
      </w:r>
      <w:r>
        <w:rPr>
          <w:rFonts w:ascii="Times New Roman" w:eastAsia="楷体_GB2312" w:hAnsi="Times New Roman"/>
          <w:sz w:val="21"/>
          <w:szCs w:val="21"/>
        </w:rPr>
        <w:t>30%</w:t>
      </w:r>
      <w:r>
        <w:rPr>
          <w:rFonts w:ascii="Times New Roman" w:eastAsia="楷体_GB2312" w:hAnsi="Times New Roman"/>
          <w:sz w:val="21"/>
          <w:szCs w:val="21"/>
        </w:rPr>
        <w:t>～</w:t>
      </w:r>
      <w:r>
        <w:rPr>
          <w:rFonts w:ascii="Times New Roman" w:eastAsia="楷体_GB2312" w:hAnsi="Times New Roman"/>
          <w:sz w:val="21"/>
          <w:szCs w:val="21"/>
        </w:rPr>
        <w:t>68%</w:t>
      </w:r>
      <w:r>
        <w:rPr>
          <w:rFonts w:ascii="Times New Roman" w:eastAsia="楷体_GB2312" w:hAnsi="Times New Roman" w:hint="eastAsia"/>
          <w:sz w:val="21"/>
          <w:szCs w:val="21"/>
        </w:rPr>
        <w:t>重量百分比的三氯异氰尿酸与相应</w:t>
      </w:r>
      <w:r>
        <w:rPr>
          <w:rFonts w:ascii="Times New Roman" w:eastAsia="楷体_GB2312" w:hAnsi="Times New Roman"/>
          <w:sz w:val="21"/>
          <w:szCs w:val="21"/>
        </w:rPr>
        <w:t>32%</w:t>
      </w:r>
      <w:r>
        <w:rPr>
          <w:rFonts w:ascii="Times New Roman" w:eastAsia="楷体_GB2312" w:hAnsi="Times New Roman"/>
          <w:sz w:val="21"/>
          <w:szCs w:val="21"/>
        </w:rPr>
        <w:t>～</w:t>
      </w:r>
      <w:r>
        <w:rPr>
          <w:rFonts w:ascii="Times New Roman" w:eastAsia="楷体_GB2312" w:hAnsi="Times New Roman"/>
          <w:sz w:val="21"/>
          <w:szCs w:val="21"/>
        </w:rPr>
        <w:t xml:space="preserve">70% </w:t>
      </w:r>
      <w:r>
        <w:rPr>
          <w:rFonts w:ascii="Times New Roman" w:eastAsia="楷体_GB2312" w:hAnsi="Times New Roman" w:hint="eastAsia"/>
          <w:sz w:val="21"/>
          <w:szCs w:val="21"/>
        </w:rPr>
        <w:t>重量百分比的氯化钠均匀混合而成。”</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w:t>
      </w:r>
      <w:r>
        <w:rPr>
          <w:rFonts w:ascii="Times New Roman" w:eastAsia="楷体_GB2312" w:hAnsi="Times New Roman"/>
          <w:sz w:val="21"/>
          <w:szCs w:val="21"/>
        </w:rPr>
        <w:t>：</w:t>
      </w:r>
      <w:r>
        <w:rPr>
          <w:rFonts w:ascii="Times New Roman" w:eastAsia="楷体_GB2312" w:hAnsi="Times New Roman" w:hint="eastAsia"/>
          <w:sz w:val="21"/>
          <w:szCs w:val="21"/>
        </w:rPr>
        <w:t>“鱼用强氯精”，其中三氯异氰尿酸含量为</w:t>
      </w:r>
      <w:r>
        <w:rPr>
          <w:rFonts w:ascii="Times New Roman" w:eastAsia="楷体_GB2312" w:hAnsi="Times New Roman"/>
          <w:sz w:val="21"/>
          <w:szCs w:val="21"/>
        </w:rPr>
        <w:t>40%</w:t>
      </w:r>
      <w:r>
        <w:rPr>
          <w:rFonts w:ascii="Times New Roman" w:eastAsia="楷体_GB2312" w:hAnsi="Times New Roman" w:hint="eastAsia"/>
          <w:sz w:val="21"/>
          <w:szCs w:val="21"/>
        </w:rPr>
        <w:t>，助剂成分为</w:t>
      </w:r>
      <w:r>
        <w:rPr>
          <w:rFonts w:ascii="Times New Roman" w:eastAsia="楷体_GB2312" w:hAnsi="Times New Roman"/>
          <w:sz w:val="21"/>
          <w:szCs w:val="21"/>
        </w:rPr>
        <w:t>60%</w:t>
      </w:r>
      <w:r>
        <w:rPr>
          <w:rFonts w:ascii="Times New Roman" w:eastAsia="楷体_GB2312" w:hAnsi="Times New Roman" w:hint="eastAsia"/>
          <w:sz w:val="21"/>
          <w:szCs w:val="21"/>
        </w:rPr>
        <w:t>钠盐。经鉴定，该产品有效氯总量</w:t>
      </w:r>
      <w:r>
        <w:rPr>
          <w:rFonts w:ascii="Times New Roman" w:eastAsia="楷体_GB2312" w:hAnsi="Times New Roman"/>
          <w:sz w:val="21"/>
          <w:szCs w:val="21"/>
        </w:rPr>
        <w:t>（</w:t>
      </w:r>
      <w:r>
        <w:rPr>
          <w:rFonts w:ascii="Times New Roman" w:eastAsia="楷体_GB2312" w:hAnsi="Times New Roman" w:hint="eastAsia"/>
          <w:sz w:val="21"/>
          <w:szCs w:val="21"/>
        </w:rPr>
        <w:t>以</w:t>
      </w:r>
      <w:r>
        <w:rPr>
          <w:rFonts w:ascii="Times New Roman" w:eastAsia="楷体_GB2312" w:hAnsi="Times New Roman"/>
          <w:sz w:val="21"/>
          <w:szCs w:val="21"/>
        </w:rPr>
        <w:t>Cl</w:t>
      </w:r>
      <w:r>
        <w:rPr>
          <w:rFonts w:ascii="Times New Roman" w:eastAsia="楷体_GB2312" w:hAnsi="Times New Roman" w:hint="eastAsia"/>
          <w:sz w:val="21"/>
          <w:szCs w:val="21"/>
        </w:rPr>
        <w:t>计</w:t>
      </w:r>
      <w:r>
        <w:rPr>
          <w:rFonts w:ascii="Times New Roman" w:eastAsia="楷体_GB2312" w:hAnsi="Times New Roman"/>
          <w:sz w:val="21"/>
          <w:szCs w:val="21"/>
        </w:rPr>
        <w:t>）</w:t>
      </w:r>
      <w:r>
        <w:rPr>
          <w:rFonts w:ascii="Times New Roman" w:eastAsia="楷体_GB2312" w:hAnsi="Times New Roman" w:hint="eastAsia"/>
          <w:sz w:val="21"/>
          <w:szCs w:val="21"/>
        </w:rPr>
        <w:t>为</w:t>
      </w:r>
      <w:r>
        <w:rPr>
          <w:rFonts w:ascii="Times New Roman" w:eastAsia="楷体_GB2312" w:hAnsi="Times New Roman"/>
          <w:sz w:val="21"/>
          <w:szCs w:val="21"/>
        </w:rPr>
        <w:t>52. 9%</w:t>
      </w:r>
      <w:r>
        <w:rPr>
          <w:rFonts w:ascii="Times New Roman" w:eastAsia="楷体_GB2312" w:hAnsi="Times New Roman"/>
          <w:sz w:val="21"/>
          <w:szCs w:val="21"/>
        </w:rPr>
        <w:t>，</w:t>
      </w:r>
      <w:r>
        <w:rPr>
          <w:rFonts w:ascii="Times New Roman" w:eastAsia="楷体_GB2312" w:hAnsi="Times New Roman" w:hint="eastAsia"/>
          <w:sz w:val="21"/>
          <w:szCs w:val="21"/>
        </w:rPr>
        <w:t>硫酸钠含量为</w:t>
      </w:r>
      <w:r>
        <w:rPr>
          <w:rFonts w:ascii="Times New Roman" w:eastAsia="楷体_GB2312" w:hAnsi="Times New Roman"/>
          <w:sz w:val="21"/>
          <w:szCs w:val="21"/>
        </w:rPr>
        <w:t>36. 8%</w:t>
      </w:r>
      <w:r>
        <w:rPr>
          <w:rFonts w:ascii="Times New Roman" w:eastAsia="楷体_GB2312" w:hAnsi="Times New Roman" w:hint="eastAsia"/>
          <w:sz w:val="21"/>
          <w:szCs w:val="21"/>
        </w:rPr>
        <w:t>。</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将权利要求</w:t>
      </w:r>
      <w:r>
        <w:rPr>
          <w:rFonts w:ascii="Times New Roman" w:eastAsia="楷体_GB2312" w:hAnsi="Times New Roman"/>
          <w:sz w:val="21"/>
          <w:szCs w:val="21"/>
        </w:rPr>
        <w:t>1</w:t>
      </w:r>
      <w:r>
        <w:rPr>
          <w:rFonts w:ascii="Times New Roman" w:eastAsia="楷体_GB2312" w:hAnsi="Times New Roman" w:hint="eastAsia"/>
          <w:sz w:val="21"/>
          <w:szCs w:val="21"/>
        </w:rPr>
        <w:t>与被控侵权产品进行技术特征对比如下表所示</w:t>
      </w:r>
      <w:r>
        <w:rPr>
          <w:rFonts w:ascii="Times New Roman" w:eastAsia="楷体_GB2312" w:hAnsi="Times New Roman"/>
          <w:sz w:val="21"/>
          <w:szCs w:val="21"/>
        </w:rPr>
        <w:t>：</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993"/>
        <w:gridCol w:w="4875"/>
      </w:tblGrid>
      <w:tr w:rsidR="00800760">
        <w:trPr>
          <w:trHeight w:val="20"/>
        </w:trPr>
        <w:tc>
          <w:tcPr>
            <w:tcW w:w="2530" w:type="pct"/>
            <w:tcMar>
              <w:left w:w="57" w:type="dxa"/>
              <w:right w:w="57" w:type="dxa"/>
            </w:tcMar>
            <w:vAlign w:val="bottom"/>
          </w:tcPr>
          <w:p w:rsidR="00800760" w:rsidRDefault="00235733">
            <w:pPr>
              <w:pStyle w:val="22"/>
              <w:topLinePunct/>
              <w:spacing w:line="336" w:lineRule="auto"/>
              <w:ind w:leftChars="50" w:left="105" w:rightChars="50" w:right="105" w:firstLineChars="0" w:firstLine="0"/>
              <w:jc w:val="center"/>
              <w:rPr>
                <w:rFonts w:ascii="Times New Roman" w:eastAsia="宋体" w:hAnsi="Times New Roman"/>
                <w:sz w:val="18"/>
                <w:szCs w:val="18"/>
              </w:rPr>
            </w:pPr>
            <w:r>
              <w:rPr>
                <w:rFonts w:ascii="Times New Roman" w:eastAsia="宋体" w:hAnsi="Times New Roman" w:hint="eastAsia"/>
                <w:sz w:val="18"/>
                <w:szCs w:val="18"/>
              </w:rPr>
              <w:t>权利要求</w:t>
            </w:r>
            <w:r>
              <w:rPr>
                <w:rFonts w:ascii="Times New Roman" w:eastAsia="宋体" w:hAnsi="Times New Roman"/>
                <w:sz w:val="18"/>
                <w:szCs w:val="18"/>
              </w:rPr>
              <w:t>1</w:t>
            </w:r>
          </w:p>
        </w:tc>
        <w:tc>
          <w:tcPr>
            <w:tcW w:w="2470" w:type="pct"/>
            <w:tcMar>
              <w:left w:w="57" w:type="dxa"/>
              <w:right w:w="57" w:type="dxa"/>
            </w:tcMar>
            <w:vAlign w:val="bottom"/>
          </w:tcPr>
          <w:p w:rsidR="00800760" w:rsidRDefault="00235733">
            <w:pPr>
              <w:pStyle w:val="22"/>
              <w:topLinePunct/>
              <w:spacing w:line="336" w:lineRule="auto"/>
              <w:ind w:leftChars="50" w:left="105" w:rightChars="50" w:right="105" w:firstLineChars="0" w:firstLine="0"/>
              <w:jc w:val="center"/>
              <w:rPr>
                <w:rFonts w:ascii="Times New Roman" w:eastAsia="宋体" w:hAnsi="Times New Roman"/>
                <w:sz w:val="18"/>
                <w:szCs w:val="18"/>
              </w:rPr>
            </w:pPr>
            <w:r>
              <w:rPr>
                <w:rFonts w:ascii="Times New Roman" w:eastAsia="宋体" w:hAnsi="Times New Roman" w:hint="eastAsia"/>
                <w:sz w:val="18"/>
                <w:szCs w:val="18"/>
              </w:rPr>
              <w:t>被控侵权产品</w:t>
            </w:r>
          </w:p>
        </w:tc>
      </w:tr>
      <w:tr w:rsidR="00800760">
        <w:trPr>
          <w:trHeight w:val="20"/>
        </w:trPr>
        <w:tc>
          <w:tcPr>
            <w:tcW w:w="2530" w:type="pct"/>
            <w:tcMar>
              <w:left w:w="57" w:type="dxa"/>
              <w:right w:w="57" w:type="dxa"/>
            </w:tcMar>
            <w:vAlign w:val="center"/>
          </w:tcPr>
          <w:p w:rsidR="00800760" w:rsidRDefault="00235733">
            <w:pPr>
              <w:pStyle w:val="22"/>
              <w:topLinePunct/>
              <w:spacing w:line="288"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有效成分为三氯异氰尿酸，有效氯含量范围为</w:t>
            </w:r>
            <w:r>
              <w:rPr>
                <w:rFonts w:ascii="Times New Roman" w:eastAsia="宋体" w:hAnsi="Times New Roman"/>
                <w:sz w:val="18"/>
                <w:szCs w:val="18"/>
              </w:rPr>
              <w:t>25%</w:t>
            </w:r>
            <w:r>
              <w:rPr>
                <w:rFonts w:ascii="Times New Roman" w:eastAsia="宋体" w:hAnsi="Times New Roman"/>
                <w:sz w:val="18"/>
                <w:szCs w:val="18"/>
              </w:rPr>
              <w:t>～</w:t>
            </w:r>
            <w:r>
              <w:rPr>
                <w:rFonts w:ascii="Times New Roman" w:eastAsia="宋体" w:hAnsi="Times New Roman"/>
                <w:sz w:val="18"/>
                <w:szCs w:val="18"/>
              </w:rPr>
              <w:t>62%</w:t>
            </w:r>
          </w:p>
        </w:tc>
        <w:tc>
          <w:tcPr>
            <w:tcW w:w="2470" w:type="pct"/>
            <w:tcMar>
              <w:left w:w="57" w:type="dxa"/>
              <w:right w:w="57" w:type="dxa"/>
            </w:tcMar>
            <w:vAlign w:val="center"/>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有效成分三氯异氰尿酸，有效氯含量为</w:t>
            </w:r>
            <w:r>
              <w:rPr>
                <w:rFonts w:ascii="Times New Roman" w:eastAsia="宋体" w:hAnsi="Times New Roman"/>
                <w:sz w:val="18"/>
                <w:szCs w:val="18"/>
              </w:rPr>
              <w:t>52. 9%</w:t>
            </w:r>
          </w:p>
        </w:tc>
      </w:tr>
      <w:tr w:rsidR="00800760">
        <w:trPr>
          <w:trHeight w:val="20"/>
        </w:trPr>
        <w:tc>
          <w:tcPr>
            <w:tcW w:w="2530" w:type="pct"/>
            <w:tcMar>
              <w:left w:w="57" w:type="dxa"/>
              <w:right w:w="57" w:type="dxa"/>
            </w:tcMar>
            <w:vAlign w:val="center"/>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助剂为氯化钠</w:t>
            </w:r>
            <w:r>
              <w:rPr>
                <w:rFonts w:ascii="Times New Roman" w:eastAsia="宋体" w:hAnsi="Times New Roman"/>
                <w:sz w:val="18"/>
                <w:szCs w:val="18"/>
              </w:rPr>
              <w:t>，</w:t>
            </w:r>
            <w:r>
              <w:rPr>
                <w:rFonts w:ascii="Times New Roman" w:eastAsia="宋体" w:hAnsi="Times New Roman" w:hint="eastAsia"/>
                <w:sz w:val="18"/>
                <w:szCs w:val="18"/>
              </w:rPr>
              <w:t>重量百分比为</w:t>
            </w:r>
            <w:r>
              <w:rPr>
                <w:rFonts w:ascii="Times New Roman" w:eastAsia="宋体" w:hAnsi="Times New Roman"/>
                <w:sz w:val="18"/>
                <w:szCs w:val="18"/>
              </w:rPr>
              <w:t>32%</w:t>
            </w:r>
            <w:r>
              <w:rPr>
                <w:rFonts w:ascii="Times New Roman" w:eastAsia="宋体" w:hAnsi="Times New Roman"/>
                <w:sz w:val="18"/>
                <w:szCs w:val="18"/>
              </w:rPr>
              <w:t>～</w:t>
            </w:r>
            <w:r>
              <w:rPr>
                <w:rFonts w:ascii="Times New Roman" w:eastAsia="宋体" w:hAnsi="Times New Roman"/>
                <w:sz w:val="18"/>
                <w:szCs w:val="18"/>
              </w:rPr>
              <w:t>70%</w:t>
            </w:r>
          </w:p>
        </w:tc>
        <w:tc>
          <w:tcPr>
            <w:tcW w:w="2470" w:type="pct"/>
            <w:tcMar>
              <w:left w:w="57" w:type="dxa"/>
              <w:right w:w="57" w:type="dxa"/>
            </w:tcMar>
            <w:vAlign w:val="center"/>
          </w:tcPr>
          <w:p w:rsidR="00800760" w:rsidRDefault="00235733">
            <w:pPr>
              <w:pStyle w:val="22"/>
              <w:topLinePunct/>
              <w:spacing w:line="336" w:lineRule="auto"/>
              <w:ind w:leftChars="50" w:left="105" w:rightChars="50" w:right="105" w:firstLineChars="0" w:firstLine="0"/>
              <w:rPr>
                <w:rFonts w:ascii="Times New Roman" w:eastAsia="宋体" w:hAnsi="Times New Roman"/>
                <w:sz w:val="18"/>
                <w:szCs w:val="18"/>
              </w:rPr>
            </w:pPr>
            <w:r>
              <w:rPr>
                <w:rFonts w:ascii="Times New Roman" w:eastAsia="宋体" w:hAnsi="Times New Roman" w:hint="eastAsia"/>
                <w:sz w:val="18"/>
                <w:szCs w:val="18"/>
              </w:rPr>
              <w:t>助剂为硫酸钠，重量百分比为</w:t>
            </w:r>
            <w:r>
              <w:rPr>
                <w:rFonts w:ascii="Times New Roman" w:eastAsia="宋体" w:hAnsi="Times New Roman"/>
                <w:sz w:val="18"/>
                <w:szCs w:val="18"/>
              </w:rPr>
              <w:t>36. 8%</w:t>
            </w:r>
          </w:p>
        </w:tc>
      </w:tr>
    </w:tbl>
    <w:p w:rsidR="00800760" w:rsidRDefault="00235733" w:rsidP="00C22A7B">
      <w:pPr>
        <w:pStyle w:val="22"/>
        <w:topLinePunct/>
        <w:spacing w:beforeLines="50"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被控侵权产品的有效成分三氯异氰尿酸与专利权利要求相同</w:t>
      </w:r>
      <w:r>
        <w:rPr>
          <w:rFonts w:ascii="Times New Roman" w:eastAsia="楷体_GB2312" w:hAnsi="Times New Roman"/>
          <w:sz w:val="21"/>
          <w:szCs w:val="21"/>
        </w:rPr>
        <w:t>，</w:t>
      </w:r>
      <w:r>
        <w:rPr>
          <w:rFonts w:ascii="Times New Roman" w:eastAsia="楷体_GB2312" w:hAnsi="Times New Roman" w:hint="eastAsia"/>
          <w:sz w:val="21"/>
          <w:szCs w:val="21"/>
        </w:rPr>
        <w:t>其有效氯含量为</w:t>
      </w:r>
      <w:r>
        <w:rPr>
          <w:rFonts w:ascii="Times New Roman" w:eastAsia="楷体_GB2312" w:hAnsi="Times New Roman"/>
          <w:sz w:val="21"/>
          <w:szCs w:val="21"/>
        </w:rPr>
        <w:t>52. 9%</w:t>
      </w:r>
      <w:r>
        <w:rPr>
          <w:rFonts w:ascii="Times New Roman" w:eastAsia="楷体_GB2312" w:hAnsi="Times New Roman"/>
          <w:sz w:val="21"/>
          <w:szCs w:val="21"/>
        </w:rPr>
        <w:t>，</w:t>
      </w:r>
      <w:r>
        <w:rPr>
          <w:rFonts w:ascii="Times New Roman" w:eastAsia="楷体_GB2312" w:hAnsi="Times New Roman" w:hint="eastAsia"/>
          <w:sz w:val="21"/>
          <w:szCs w:val="21"/>
        </w:rPr>
        <w:t>落在专利的三氯异氰尿酸用量范围内</w:t>
      </w:r>
      <w:r>
        <w:rPr>
          <w:rFonts w:ascii="Times New Roman" w:eastAsia="楷体_GB2312" w:hAnsi="Times New Roman"/>
          <w:sz w:val="21"/>
          <w:szCs w:val="21"/>
        </w:rPr>
        <w:t>，</w:t>
      </w:r>
      <w:r>
        <w:rPr>
          <w:rFonts w:ascii="Times New Roman" w:eastAsia="楷体_GB2312" w:hAnsi="Times New Roman" w:hint="eastAsia"/>
          <w:sz w:val="21"/>
          <w:szCs w:val="21"/>
        </w:rPr>
        <w:t>因此有效成分属于相同的技术特征。</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专利权利要求中，助剂为氯化钠，重量百分比为</w:t>
      </w:r>
      <w:r>
        <w:rPr>
          <w:rFonts w:ascii="Times New Roman" w:eastAsia="楷体_GB2312" w:hAnsi="Times New Roman"/>
          <w:sz w:val="21"/>
          <w:szCs w:val="21"/>
        </w:rPr>
        <w:t>32%</w:t>
      </w:r>
      <w:r>
        <w:rPr>
          <w:rFonts w:ascii="Times New Roman" w:eastAsia="楷体_GB2312" w:hAnsi="Times New Roman"/>
          <w:sz w:val="21"/>
          <w:szCs w:val="21"/>
        </w:rPr>
        <w:t>～</w:t>
      </w:r>
      <w:r>
        <w:rPr>
          <w:rFonts w:ascii="Times New Roman" w:eastAsia="楷体_GB2312" w:hAnsi="Times New Roman"/>
          <w:sz w:val="21"/>
          <w:szCs w:val="21"/>
        </w:rPr>
        <w:t>70%</w:t>
      </w:r>
      <w:r>
        <w:rPr>
          <w:rFonts w:ascii="Times New Roman" w:eastAsia="楷体_GB2312" w:hAnsi="Times New Roman" w:hint="eastAsia"/>
          <w:sz w:val="21"/>
          <w:szCs w:val="21"/>
        </w:rPr>
        <w:t>。被控侵权产品使用的助剂为硫酸钠，重量百分比为</w:t>
      </w:r>
      <w:r>
        <w:rPr>
          <w:rFonts w:ascii="Times New Roman" w:eastAsia="楷体_GB2312" w:hAnsi="Times New Roman"/>
          <w:sz w:val="21"/>
          <w:szCs w:val="21"/>
        </w:rPr>
        <w:t>36. 8%</w:t>
      </w:r>
      <w:r>
        <w:rPr>
          <w:rFonts w:ascii="Times New Roman" w:eastAsia="楷体_GB2312" w:hAnsi="Times New Roman" w:hint="eastAsia"/>
          <w:sz w:val="21"/>
          <w:szCs w:val="21"/>
        </w:rPr>
        <w:t>。两者这一技术特征不相同，但二者是否构成等同特征，需要从以下几个方面进行分析。</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首先，分析氯化钠和硫酸钠的理化性质。理化性质的分析旨在判断其对专利权利要求和被控侵权产品而言，是否属于基本相同的技术手段。基于氯化钠和硫酸钠均为中性的、溶解性能良好的无机盐，而且都是钠盐，因此属于基本相同的技术手段。</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其次，分析硫酸钠与氯化钠在被控侵权产品和专利权利要求中的作用。助剂在专利中的作用是将有效氯含量在</w:t>
      </w:r>
      <w:r>
        <w:rPr>
          <w:rFonts w:ascii="Times New Roman" w:eastAsia="楷体_GB2312" w:hAnsi="Times New Roman"/>
          <w:sz w:val="21"/>
          <w:szCs w:val="21"/>
        </w:rPr>
        <w:t>85%</w:t>
      </w:r>
      <w:r>
        <w:rPr>
          <w:rFonts w:ascii="Times New Roman" w:eastAsia="楷体_GB2312" w:hAnsi="Times New Roman"/>
          <w:sz w:val="21"/>
          <w:szCs w:val="21"/>
        </w:rPr>
        <w:t>～</w:t>
      </w:r>
      <w:r>
        <w:rPr>
          <w:rFonts w:ascii="Times New Roman" w:eastAsia="楷体_GB2312" w:hAnsi="Times New Roman"/>
          <w:sz w:val="21"/>
          <w:szCs w:val="21"/>
        </w:rPr>
        <w:t>90%</w:t>
      </w:r>
      <w:r>
        <w:rPr>
          <w:rFonts w:ascii="Times New Roman" w:eastAsia="楷体_GB2312" w:hAnsi="Times New Roman" w:hint="eastAsia"/>
          <w:sz w:val="21"/>
          <w:szCs w:val="21"/>
        </w:rPr>
        <w:t>的原料三氯异氰尿酸稀释，降低消毒制剂的有效氯含量，使有效氯含量在</w:t>
      </w:r>
      <w:r>
        <w:rPr>
          <w:rFonts w:ascii="Times New Roman" w:eastAsia="楷体_GB2312" w:hAnsi="Times New Roman"/>
          <w:sz w:val="21"/>
          <w:szCs w:val="21"/>
        </w:rPr>
        <w:t>25%</w:t>
      </w:r>
      <w:r>
        <w:rPr>
          <w:rFonts w:ascii="Times New Roman" w:eastAsia="楷体_GB2312" w:hAnsi="Times New Roman"/>
          <w:sz w:val="21"/>
          <w:szCs w:val="21"/>
        </w:rPr>
        <w:t>～</w:t>
      </w:r>
      <w:r>
        <w:rPr>
          <w:rFonts w:ascii="Times New Roman" w:eastAsia="楷体_GB2312" w:hAnsi="Times New Roman"/>
          <w:sz w:val="21"/>
          <w:szCs w:val="21"/>
        </w:rPr>
        <w:t>62%</w:t>
      </w:r>
      <w:r>
        <w:rPr>
          <w:rFonts w:ascii="Times New Roman" w:eastAsia="楷体_GB2312" w:hAnsi="Times New Roman" w:hint="eastAsia"/>
          <w:sz w:val="21"/>
          <w:szCs w:val="21"/>
        </w:rPr>
        <w:t>，同时也促进三氯异氰尿酸的溶解。硫酸钠在被控侵权技术方案中也起相同的作用。</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再次，分析硫酸钠和氯化钠取得的技术效果。两者对原料三氯异氰尿酸的作用是一致的，都是为了降低消毒制剂中有效氯的百分含量和提高三氯异氰尿酸的溶解度。同时被控侵权产品中硫酸钠的百分含量也在专利权利要求助剂的百分含量范围之内，因此虽然两者使用的助剂不是同一种钠盐，但是达到的技术效果是一致的。</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最后，采用硫酸钠代替氯化钠，是本领域技术人员无需经过创造性劳动就能够得出的，助剂硫酸钠对于专利权利要求中的助剂氯化钠来说是一种等同替换。</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-3</w:t>
      </w:r>
      <w:r>
        <w:rPr>
          <w:rFonts w:ascii="Times New Roman" w:hAnsi="Times New Roman" w:hint="eastAsia"/>
          <w:color w:val="000000"/>
          <w:lang w:val="en-US"/>
        </w:rPr>
        <w:t>3</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hint="eastAsia"/>
          <w:sz w:val="21"/>
          <w:szCs w:val="21"/>
        </w:rPr>
        <w:t>“一种玻璃钢夹砂顶管，它由管头、管身以及管尾组成，管头和管尾管径一致管，尾连接部设有密封用套环，管头、管尾通过套环连接，其特征在于</w:t>
      </w:r>
      <w:r>
        <w:rPr>
          <w:rFonts w:ascii="Times New Roman" w:eastAsia="楷体_GB2312" w:hAnsi="Times New Roman"/>
          <w:sz w:val="21"/>
          <w:szCs w:val="21"/>
        </w:rPr>
        <w:t>：</w:t>
      </w:r>
      <w:r>
        <w:rPr>
          <w:rFonts w:ascii="Times New Roman" w:eastAsia="楷体_GB2312" w:hAnsi="Times New Roman" w:hint="eastAsia"/>
          <w:sz w:val="21"/>
          <w:szCs w:val="21"/>
        </w:rPr>
        <w:t>所述的管头、管身以及管尾采用树脂基体，管身设有两维以上方向绕制的纤维层以及石英夹砂层，管头和管尾设有为两维以上方向绕制的纤维层，所述的套环紧密设置在管头或管尾外壁的凹台内。”</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w:t>
      </w:r>
      <w:r>
        <w:rPr>
          <w:rFonts w:ascii="Times New Roman" w:eastAsia="楷体_GB2312" w:hAnsi="Times New Roman"/>
          <w:sz w:val="21"/>
          <w:szCs w:val="21"/>
        </w:rPr>
        <w:t>：</w:t>
      </w:r>
      <w:r>
        <w:rPr>
          <w:rFonts w:ascii="Times New Roman" w:eastAsia="楷体_GB2312" w:hAnsi="Times New Roman" w:hint="eastAsia"/>
          <w:sz w:val="21"/>
          <w:szCs w:val="21"/>
        </w:rPr>
        <w:t>与专利权利要求</w:t>
      </w:r>
      <w:r>
        <w:rPr>
          <w:rFonts w:ascii="Times New Roman" w:eastAsia="楷体_GB2312" w:hAnsi="Times New Roman"/>
          <w:sz w:val="21"/>
          <w:szCs w:val="21"/>
        </w:rPr>
        <w:t>1</w:t>
      </w:r>
      <w:r>
        <w:rPr>
          <w:rFonts w:ascii="Times New Roman" w:eastAsia="楷体_GB2312" w:hAnsi="Times New Roman" w:hint="eastAsia"/>
          <w:sz w:val="21"/>
          <w:szCs w:val="21"/>
        </w:rPr>
        <w:t>存在一个区别，即专利权利要求中的技术特征为“管头和管尾管径一致”，被控侵权产品的相应技术特征为“插口的管外径小于承口的管外径，有锥度”。</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本案的争议点在于：被控侵权产品与专利权利要求的上述技术特征是否构成等同特征。</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中插口、承口的管内径虽然一致，但是二者的管外径并不一致，具体表现为承口管外径上设有用于安装钢套环的水平凹台，并且承口管外径与钢套环紧密配合；而插口管外径呈不规则台阶状。尽管专利申请日前公开的《顶管施工技术》中已经公开了注浆减阻的工作原理以及注浆孔、台阶状管外径等技术特征，本领域技术人员在顶管施工中为了实现注浆减阻的目的，能够在《顶管施工技术》所给出的技术启示下，在不付出创造性劳动的情况下，显而易见地想到被控侵权产品中的注浆孔以及插口管外径呈不规则台阶状等技术特征。但是，被控侵权产品中的插口管外径呈不规则台阶状，一方面导致插口管外径与钢套环之间并不能紧密配合，无法实现增强管道连接密封性的功能和效果；另一方面能够在管外径与钢套环之间形成供减阻砂浆通过的环形空间，使得从注浆孔中注入的减阻砂浆可以经由该环形空间均匀分布在管道周围，形成润滑套，实现减少管道外壁与土壤间的摩擦阻力、提高管道顶进效率的有益功能和效果。因此，被控侵权产品中技术特征“插口管外径呈不规则台阶状”所实现的功能和效果，与权利要求</w:t>
      </w:r>
      <w:r>
        <w:rPr>
          <w:rFonts w:ascii="Times New Roman" w:eastAsia="楷体_GB2312" w:hAnsi="Times New Roman"/>
          <w:sz w:val="21"/>
          <w:szCs w:val="21"/>
        </w:rPr>
        <w:t>1</w:t>
      </w:r>
      <w:r>
        <w:rPr>
          <w:rFonts w:ascii="Times New Roman" w:eastAsia="楷体_GB2312" w:hAnsi="Times New Roman" w:hint="eastAsia"/>
          <w:sz w:val="21"/>
          <w:szCs w:val="21"/>
        </w:rPr>
        <w:t>中“管头和管尾管径一致”所实现的功能和效果具有实质性的差异，二者不属于等同特征。</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由本案可见，在判断技术特征是否等同时，不仅要考虑被控侵权技术方案的技术特征是否属于本领域技术人员无需经过创造性劳动就能够联想到的技术特征，还要考虑被控侵权技术方案的技术特征与专利权利要求的技术特征相比，是否属于基本相同的技术手段，实现基本相同的功能，达到基本相同的效果。只有以上两个方面的条件同时具备，才能够认定二者属于等同特征。</w:t>
      </w:r>
    </w:p>
    <w:p w:rsidR="00800760" w:rsidRDefault="00C22A7B">
      <w:pPr>
        <w:pStyle w:val="5"/>
        <w:spacing w:before="120"/>
        <w:rPr>
          <w:color w:val="000000"/>
        </w:rPr>
      </w:pPr>
      <w:r>
        <w:rPr>
          <w:color w:val="000000"/>
        </w:rPr>
        <w:fldChar w:fldCharType="begin"/>
      </w:r>
      <w:r w:rsidR="00235733">
        <w:rPr>
          <w:color w:val="000000"/>
        </w:rPr>
        <w:instrText>= 5 \* GB1</w:instrText>
      </w:r>
      <w:r>
        <w:rPr>
          <w:color w:val="000000"/>
        </w:rPr>
        <w:fldChar w:fldCharType="separate"/>
      </w:r>
      <w:r w:rsidR="00235733">
        <w:rPr>
          <w:rFonts w:hint="eastAsia"/>
          <w:color w:val="000000"/>
        </w:rPr>
        <w:t xml:space="preserve">5. </w:t>
      </w:r>
      <w:r>
        <w:rPr>
          <w:color w:val="000000"/>
        </w:rPr>
        <w:fldChar w:fldCharType="end"/>
      </w:r>
      <w:r w:rsidR="00235733">
        <w:rPr>
          <w:rFonts w:hint="eastAsia"/>
          <w:color w:val="000000"/>
        </w:rPr>
        <w:t>等同原则的限制</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等同原则对于平衡专利权人和社会公众之间的利益具有重要意义</w:t>
      </w:r>
      <w:r>
        <w:rPr>
          <w:rFonts w:ascii="Times New Roman" w:eastAsia="宋体" w:hAnsi="Times New Roman"/>
          <w:sz w:val="21"/>
          <w:szCs w:val="21"/>
        </w:rPr>
        <w:t>，</w:t>
      </w:r>
      <w:r>
        <w:rPr>
          <w:rFonts w:ascii="Times New Roman" w:eastAsia="宋体" w:hAnsi="Times New Roman" w:hint="eastAsia"/>
          <w:sz w:val="21"/>
          <w:szCs w:val="21"/>
        </w:rPr>
        <w:t>然而</w:t>
      </w:r>
      <w:r>
        <w:rPr>
          <w:rFonts w:ascii="Times New Roman" w:eastAsia="宋体" w:hAnsi="Times New Roman"/>
          <w:sz w:val="21"/>
          <w:szCs w:val="21"/>
        </w:rPr>
        <w:t>，</w:t>
      </w:r>
      <w:r>
        <w:rPr>
          <w:rFonts w:ascii="Times New Roman" w:eastAsia="宋体" w:hAnsi="Times New Roman" w:hint="eastAsia"/>
          <w:sz w:val="21"/>
          <w:szCs w:val="21"/>
        </w:rPr>
        <w:t>等同原则实质上将专利权的保护范围扩大到了权利要求字面限定的范围之外</w:t>
      </w:r>
      <w:r>
        <w:rPr>
          <w:rFonts w:ascii="Times New Roman" w:eastAsia="宋体" w:hAnsi="Times New Roman"/>
          <w:sz w:val="21"/>
          <w:szCs w:val="21"/>
        </w:rPr>
        <w:t>，</w:t>
      </w:r>
      <w:r>
        <w:rPr>
          <w:rFonts w:ascii="Times New Roman" w:eastAsia="宋体" w:hAnsi="Times New Roman" w:hint="eastAsia"/>
          <w:sz w:val="21"/>
          <w:szCs w:val="21"/>
        </w:rPr>
        <w:t>使专利权人的利益得到了更充分的保护。在充分保护专利权的同时，适用等同原则会在一定程度上减弱权利要求的公示作用。为了维持专利权人和社会公众利益的平衡，体现等同原则的价值，还必须对等同原则的适用加以适当的限制。</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禁止反悔原则</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禁止反悔原则，是民法中诚实信用原则在专利侵权民事诉讼以及专利侵权行政执法程序中的体现。一般来说，专利说明书、权利要求书以及专利申请人或专利权人向专利局提交的意见陈述，充分反映了专利申请人或专利权人对于其发明创造中技术特征和技术方案的理解。在专利申请审批程序、专利权无效宣告程序以及判断被控侵权技术方案是否侵犯专利权时，权利人对权利要求中技术特征的解释应当前后一致，不能允许权利人在专利授权或确权程序中，为了获得授权或者维持专利权有效对权利要求进行较窄的解释，而在专利侵权纠纷处理中，为了说明他人侵犯专利权而对权利要求进行较宽的解释。如果允许专利权人在侵权纠纷处理中通过主张等同侵权而将先前放弃的技术方案再纳入到专利权保护范围内，将会由于专利权人的反悔而损害社会公众的利益。</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禁止反悔原则的含义</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禁止反悔原则，是指权利人将专利申请人或专利权人在专利授权或确权程序中，通过修改权利要求书、说明书或者意见陈述而放弃的技术方案，在侵犯专利权纠纷行政裁决案件中反悔，重新纳入专利权的保护范围的，管理专利工作的部门不应予以支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禁止反悔原则的适用</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专利申请人或专利权人为了满足《专利法》及其实施细则关于授予专利权的实质性条件而对申请文件或专利文件进行修改或者意见陈述时，如果该修改或意见陈述限制了权利要求的保护范围，并且修改或意见陈述的目的是获得授权或维持专利权继续有效，将可能导致禁止反悔原则的适用。</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首先，修改或意见陈述必须明确且有证据能够证明。在适用禁止反悔原则时，专利申请人或专利权人对有关技术特征所作的修改以及限制承诺或放弃必须是明示的，而且已经被记录在专利审查文档中。其次，管理专利工作的部门可主动适用禁止反悔原则。禁止反悔原则是对等同原则的限制，目的是维持专利权人与社会公众之间的利益平衡。管理专利工作的部门在认定是否构成等同侵权时，即使被请求人没有主张适用禁止反悔原则，也可以根据业已查明的事实，通过适用禁止反悔原则对权利人主张的专利权范围予以必要的限制，以合理地确定专利权的保护范围。最后，修改和意见陈述都可以适用禁止反悔原则。我国专利授权的实质性条件主要包括</w:t>
      </w:r>
      <w:r>
        <w:rPr>
          <w:rFonts w:ascii="Times New Roman" w:eastAsia="宋体" w:hAnsi="Times New Roman"/>
          <w:sz w:val="21"/>
          <w:szCs w:val="21"/>
        </w:rPr>
        <w:t>：</w:t>
      </w:r>
      <w:r>
        <w:rPr>
          <w:rFonts w:ascii="Times New Roman" w:eastAsia="宋体" w:hAnsi="Times New Roman" w:hint="eastAsia"/>
          <w:sz w:val="21"/>
          <w:szCs w:val="21"/>
        </w:rPr>
        <w:t>要求保护的发明创造应当具备新颖性、创造性和实用性；要求保护的发明应当属于能够授予专利权的主题范围；专利说明书应当对要求保护的发明创造作出清楚、完整的说明，使本领域技术人员能够实施该发明创造；权利要求书应当以说明书为依据，清楚、简明地限定权利要求保护的发明创造。在专利授权、确权程序中，专利申请人或专利权人为了满足专利授权的条件而进行的修改或意见陈述均可能导致禁止反悔原则的适用。</w:t>
      </w:r>
    </w:p>
    <w:p w:rsidR="00800760" w:rsidRDefault="00C22A7B">
      <w:pPr>
        <w:pStyle w:val="2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a</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修改导致的禁止反悔原则的适用</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适用禁止反悔原则最常见的情形是专利申请人或专利权人在专利授权或确权程序中对权利要求进行的修改。对于因修改而导致权利要求保护范围缩小的情形，不论修改的具体原因和动机如何，均可能导致禁止反悔原则的适用。</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例如，无论修改是为了克服新颖性、创造性的缺陷，还是为了克服权利要求得不到说明书支持、权利要求不清楚等缺陷；无论修改是专利申请人自行提交的主动修改，还是为了克服审查员指出的缺陷而作出的被动修改：只要对权利要求的范围作出限缩，并且被审查员所接纳，均可以适用禁止反悔原则。</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w:t>
      </w:r>
      <w:r>
        <w:rPr>
          <w:rFonts w:ascii="Times New Roman" w:hAnsi="Times New Roman" w:hint="eastAsia"/>
          <w:color w:val="000000"/>
        </w:rPr>
        <w:t>3</w:t>
      </w:r>
      <w:r>
        <w:rPr>
          <w:rFonts w:ascii="Times New Roman" w:hAnsi="Times New Roman" w:hint="eastAsia"/>
          <w:color w:val="000000"/>
          <w:lang w:val="en-US"/>
        </w:rPr>
        <w:t>4</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hint="eastAsia"/>
          <w:sz w:val="21"/>
          <w:szCs w:val="21"/>
        </w:rPr>
        <w:t>“一种防治钙质缺损的药物，其特征在于</w:t>
      </w:r>
      <w:r>
        <w:rPr>
          <w:rFonts w:ascii="Times New Roman" w:eastAsia="楷体_GB2312" w:hAnsi="Times New Roman"/>
          <w:sz w:val="21"/>
          <w:szCs w:val="21"/>
        </w:rPr>
        <w:t>：</w:t>
      </w:r>
      <w:r>
        <w:rPr>
          <w:rFonts w:ascii="Times New Roman" w:eastAsia="楷体_GB2312" w:hAnsi="Times New Roman" w:hint="eastAsia"/>
          <w:sz w:val="21"/>
          <w:szCs w:val="21"/>
        </w:rPr>
        <w:t>它是由下述重量配比的原料制成的药剂</w:t>
      </w:r>
      <w:r>
        <w:rPr>
          <w:rFonts w:ascii="Times New Roman" w:eastAsia="楷体_GB2312" w:hAnsi="Times New Roman"/>
          <w:sz w:val="21"/>
          <w:szCs w:val="21"/>
        </w:rPr>
        <w:t>：</w:t>
      </w:r>
      <w:r>
        <w:rPr>
          <w:rFonts w:ascii="Times New Roman" w:eastAsia="楷体_GB2312" w:hAnsi="Times New Roman" w:hint="eastAsia"/>
          <w:sz w:val="21"/>
          <w:szCs w:val="21"/>
        </w:rPr>
        <w:t>活性钙</w:t>
      </w:r>
      <w:r>
        <w:rPr>
          <w:rFonts w:ascii="Times New Roman" w:eastAsia="楷体_GB2312" w:hAnsi="Times New Roman"/>
          <w:sz w:val="21"/>
          <w:szCs w:val="21"/>
        </w:rPr>
        <w:t>4</w:t>
      </w:r>
      <w:r>
        <w:rPr>
          <w:rFonts w:ascii="Times New Roman" w:eastAsia="楷体_GB2312" w:hAnsi="Times New Roman"/>
          <w:sz w:val="21"/>
          <w:szCs w:val="21"/>
        </w:rPr>
        <w:t>～</w:t>
      </w:r>
      <w:r>
        <w:rPr>
          <w:rFonts w:ascii="Times New Roman" w:eastAsia="楷体_GB2312" w:hAnsi="Times New Roman"/>
          <w:sz w:val="21"/>
          <w:szCs w:val="21"/>
        </w:rPr>
        <w:t>8</w:t>
      </w:r>
      <w:r>
        <w:rPr>
          <w:rFonts w:ascii="Times New Roman" w:eastAsia="楷体_GB2312" w:hAnsi="Times New Roman" w:hint="eastAsia"/>
          <w:sz w:val="21"/>
          <w:szCs w:val="21"/>
        </w:rPr>
        <w:t>份，葡萄糖酸锌</w:t>
      </w:r>
      <w:r>
        <w:rPr>
          <w:rFonts w:ascii="Times New Roman" w:eastAsia="楷体_GB2312" w:hAnsi="Times New Roman"/>
          <w:sz w:val="21"/>
          <w:szCs w:val="21"/>
        </w:rPr>
        <w:t>0.1</w:t>
      </w:r>
      <w:r>
        <w:rPr>
          <w:rFonts w:ascii="Times New Roman" w:eastAsia="楷体_GB2312" w:hAnsi="Times New Roman"/>
          <w:sz w:val="21"/>
          <w:szCs w:val="21"/>
        </w:rPr>
        <w:t>～</w:t>
      </w:r>
      <w:r>
        <w:rPr>
          <w:rFonts w:ascii="Times New Roman" w:eastAsia="楷体_GB2312" w:hAnsi="Times New Roman"/>
          <w:sz w:val="21"/>
          <w:szCs w:val="21"/>
        </w:rPr>
        <w:t>0.4</w:t>
      </w:r>
      <w:r>
        <w:rPr>
          <w:rFonts w:ascii="Times New Roman" w:eastAsia="楷体_GB2312" w:hAnsi="Times New Roman" w:hint="eastAsia"/>
          <w:sz w:val="21"/>
          <w:szCs w:val="21"/>
        </w:rPr>
        <w:t>份，谷氨酰胺或谷氨酸</w:t>
      </w:r>
      <w:r>
        <w:rPr>
          <w:rFonts w:ascii="Times New Roman" w:eastAsia="楷体_GB2312" w:hAnsi="Times New Roman"/>
          <w:sz w:val="21"/>
          <w:szCs w:val="21"/>
        </w:rPr>
        <w:t>0.8</w:t>
      </w:r>
      <w:r>
        <w:rPr>
          <w:rFonts w:ascii="Times New Roman" w:eastAsia="楷体_GB2312" w:hAnsi="Times New Roman"/>
          <w:sz w:val="21"/>
          <w:szCs w:val="21"/>
        </w:rPr>
        <w:t>～</w:t>
      </w:r>
      <w:r>
        <w:rPr>
          <w:rFonts w:ascii="Times New Roman" w:eastAsia="楷体_GB2312" w:hAnsi="Times New Roman"/>
          <w:sz w:val="21"/>
          <w:szCs w:val="21"/>
        </w:rPr>
        <w:t>1. 2</w:t>
      </w:r>
      <w:r>
        <w:rPr>
          <w:rFonts w:ascii="Times New Roman" w:eastAsia="楷体_GB2312" w:hAnsi="Times New Roman" w:hint="eastAsia"/>
          <w:sz w:val="21"/>
          <w:szCs w:val="21"/>
        </w:rPr>
        <w:t>份。”</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涉案专利原始申请文件中</w:t>
      </w:r>
      <w:r>
        <w:rPr>
          <w:rFonts w:ascii="Times New Roman" w:eastAsia="楷体_GB2312" w:hAnsi="Times New Roman"/>
          <w:sz w:val="21"/>
          <w:szCs w:val="21"/>
        </w:rPr>
        <w:t>，</w:t>
      </w:r>
      <w:r>
        <w:rPr>
          <w:rFonts w:ascii="Times New Roman" w:eastAsia="楷体_GB2312" w:hAnsi="Times New Roman" w:hint="eastAsia"/>
          <w:sz w:val="21"/>
          <w:szCs w:val="21"/>
        </w:rPr>
        <w:t>其独立权利要求中与“活性钙”相对应的技术特征为“可溶性钙剂”。说明书中记载，可溶性钙剂包括葡萄糖酸钙、氯化钙、乳酸钙、碳酸钙或活性钙。国家知识产权局在审查意见通知书中指出，该权利要求</w:t>
      </w:r>
      <w:r>
        <w:rPr>
          <w:rFonts w:ascii="Times New Roman" w:eastAsia="楷体_GB2312" w:hAnsi="Times New Roman"/>
          <w:sz w:val="21"/>
          <w:szCs w:val="21"/>
        </w:rPr>
        <w:t>1</w:t>
      </w:r>
      <w:r>
        <w:rPr>
          <w:rFonts w:ascii="Times New Roman" w:eastAsia="楷体_GB2312" w:hAnsi="Times New Roman" w:hint="eastAsia"/>
          <w:sz w:val="21"/>
          <w:szCs w:val="21"/>
        </w:rPr>
        <w:t>使用的上位概念“可溶性钙剂”包括各种可溶性的含钙物质，概括了一个较宽的保护范围，而申请人仅对其中的“葡萄糖酸钙”和“活性钙”提供了配制药物的实施例，对于其他的可溶性钙剂没有提供配方和效果实施例，本领域技术人员难以预见其他的可溶性钙剂按发明进行配方也能在人体中发挥相同的作用，因此，权利要求得不到说明书实质的支持，不符合《专利法》第二十六条第四款的规定。申请人根据上述审查意见对权利要求书进行了修改，将“可溶性钙剂”修改为“活性钙”。</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被控侵权产品为一种葡萄糖酸钙锌口服溶液，其含有葡萄糖酸钙。</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本案争议点在于：被控侵权产品的葡萄糖酸钙与权利要求</w:t>
      </w:r>
      <w:r>
        <w:rPr>
          <w:rFonts w:ascii="Times New Roman" w:eastAsia="楷体_GB2312" w:hAnsi="Times New Roman"/>
          <w:sz w:val="21"/>
          <w:szCs w:val="21"/>
        </w:rPr>
        <w:t>1</w:t>
      </w:r>
      <w:r>
        <w:rPr>
          <w:rFonts w:ascii="Times New Roman" w:eastAsia="楷体_GB2312" w:hAnsi="Times New Roman" w:hint="eastAsia"/>
          <w:sz w:val="21"/>
          <w:szCs w:val="21"/>
        </w:rPr>
        <w:t>中的活性钙是否构成等同特征。</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专利申请人在专利授权程序中对权利要求</w:t>
      </w:r>
      <w:r>
        <w:rPr>
          <w:rFonts w:ascii="Times New Roman" w:eastAsia="楷体_GB2312" w:hAnsi="Times New Roman" w:hint="eastAsia"/>
          <w:sz w:val="21"/>
          <w:szCs w:val="21"/>
        </w:rPr>
        <w:t>1</w:t>
      </w:r>
      <w:r>
        <w:rPr>
          <w:rFonts w:ascii="Times New Roman" w:eastAsia="楷体_GB2312" w:hAnsi="Times New Roman" w:hint="eastAsia"/>
          <w:sz w:val="21"/>
          <w:szCs w:val="21"/>
        </w:rPr>
        <w:t>作出修改，放弃了包含“葡萄糖酸钙”技术特征的技术方案。根据禁止反悔原则，专利申请人或专利权人在专利授权或确权程序中，通过对权利要求书、说明书的修改或者意见陈述而放弃的技术方案，在专利侵权纠纷中不能被纳入专利权的保护范围。因此，本案中专利权的保护范围不应包括“葡萄糖酸钙”技术特征的技术方案。被控侵权产品的相应技术特征为葡萄糖酸钙，属于专利权人在专利授权程序中放弃的技术方案，与权利要求</w:t>
      </w:r>
      <w:r>
        <w:rPr>
          <w:rFonts w:ascii="Times New Roman" w:eastAsia="楷体_GB2312" w:hAnsi="Times New Roman" w:hint="eastAsia"/>
          <w:sz w:val="21"/>
          <w:szCs w:val="21"/>
        </w:rPr>
        <w:t>1</w:t>
      </w:r>
      <w:r>
        <w:rPr>
          <w:rFonts w:ascii="Times New Roman" w:eastAsia="楷体_GB2312" w:hAnsi="Times New Roman" w:hint="eastAsia"/>
          <w:sz w:val="21"/>
          <w:szCs w:val="21"/>
        </w:rPr>
        <w:t>中记载的“活性钙”不构成等同特征。</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b</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意见陈述导致的禁止反悔原则的适用</w:t>
      </w:r>
    </w:p>
    <w:p w:rsidR="00800760" w:rsidRDefault="00235733">
      <w:pPr>
        <w:pStyle w:val="af6"/>
        <w:topLinePunct/>
        <w:spacing w:before="120"/>
        <w:ind w:firstLine="420"/>
        <w:rPr>
          <w:rFonts w:ascii="Times New Roman" w:eastAsia="宋体" w:hAnsi="Times New Roman"/>
        </w:rPr>
      </w:pPr>
      <w:r>
        <w:rPr>
          <w:rFonts w:ascii="Times New Roman" w:eastAsia="宋体" w:hAnsi="Times New Roman" w:hint="eastAsia"/>
        </w:rPr>
        <w:t>在专利授权程序中，针对审查员提出的反对意见，专利申请人经常通过陈述意见进行争辩。专利申请人提交争辩意见有时伴随着对申请文件的修改，有时仅仅是提出争辩意见而不修改申请文件。在专利确权程序中，为了维持专利权有效，针对无效宣告请求人的无效理由，专利权人往往也需要对权利要求书中的技术术语、技术特征或技术方案进行解释。如果在专利授权、确权程序中关于权利要求的解释对其保护范围产生了限缩性影响，则可能导致禁止反悔原则的适用。</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-3</w:t>
      </w:r>
      <w:r>
        <w:rPr>
          <w:rFonts w:ascii="Times New Roman" w:hAnsi="Times New Roman" w:hint="eastAsia"/>
          <w:color w:val="000000"/>
          <w:lang w:val="en-US"/>
        </w:rPr>
        <w:t>5</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hint="eastAsia"/>
          <w:sz w:val="21"/>
          <w:szCs w:val="21"/>
        </w:rPr>
        <w:t>1</w:t>
      </w:r>
      <w:r>
        <w:rPr>
          <w:rFonts w:ascii="Times New Roman" w:eastAsia="楷体_GB2312" w:hAnsi="Times New Roman" w:hint="eastAsia"/>
          <w:sz w:val="21"/>
          <w:szCs w:val="21"/>
        </w:rPr>
        <w:t>：“一种汽车地桩锁，其特征在于：它由底座（</w:t>
      </w:r>
      <w:r>
        <w:rPr>
          <w:rFonts w:ascii="Times New Roman" w:eastAsia="楷体_GB2312" w:hAnsi="Times New Roman" w:hint="eastAsia"/>
          <w:sz w:val="21"/>
          <w:szCs w:val="21"/>
        </w:rPr>
        <w:t>1</w:t>
      </w:r>
      <w:r>
        <w:rPr>
          <w:rFonts w:ascii="Times New Roman" w:eastAsia="楷体_GB2312" w:hAnsi="Times New Roman" w:hint="eastAsia"/>
          <w:sz w:val="21"/>
          <w:szCs w:val="21"/>
        </w:rPr>
        <w:t>）、芯轴（</w:t>
      </w:r>
      <w:r>
        <w:rPr>
          <w:rFonts w:ascii="Times New Roman" w:eastAsia="楷体_GB2312" w:hAnsi="Times New Roman" w:hint="eastAsia"/>
          <w:sz w:val="21"/>
          <w:szCs w:val="21"/>
        </w:rPr>
        <w:t>2</w:t>
      </w:r>
      <w:r>
        <w:rPr>
          <w:rFonts w:ascii="Times New Roman" w:eastAsia="楷体_GB2312" w:hAnsi="Times New Roman" w:hint="eastAsia"/>
          <w:sz w:val="21"/>
          <w:szCs w:val="21"/>
        </w:rPr>
        <w:t>）、活动桩（</w:t>
      </w:r>
      <w:r>
        <w:rPr>
          <w:rFonts w:ascii="Times New Roman" w:eastAsia="楷体_GB2312" w:hAnsi="Times New Roman" w:hint="eastAsia"/>
          <w:sz w:val="21"/>
          <w:szCs w:val="21"/>
        </w:rPr>
        <w:t>3</w:t>
      </w:r>
      <w:r>
        <w:rPr>
          <w:rFonts w:ascii="Times New Roman" w:eastAsia="楷体_GB2312" w:hAnsi="Times New Roman" w:hint="eastAsia"/>
          <w:sz w:val="21"/>
          <w:szCs w:val="21"/>
        </w:rPr>
        <w:t>）和锁具（</w:t>
      </w:r>
      <w:r>
        <w:rPr>
          <w:rFonts w:ascii="Times New Roman" w:eastAsia="楷体_GB2312" w:hAnsi="Times New Roman" w:hint="eastAsia"/>
          <w:sz w:val="21"/>
          <w:szCs w:val="21"/>
        </w:rPr>
        <w:t>4</w:t>
      </w:r>
      <w:r>
        <w:rPr>
          <w:rFonts w:ascii="Times New Roman" w:eastAsia="楷体_GB2312" w:hAnsi="Times New Roman" w:hint="eastAsia"/>
          <w:sz w:val="21"/>
          <w:szCs w:val="21"/>
        </w:rPr>
        <w:t>）构成，所述底座（</w:t>
      </w:r>
      <w:r>
        <w:rPr>
          <w:rFonts w:ascii="Times New Roman" w:eastAsia="楷体_GB2312" w:hAnsi="Times New Roman" w:hint="eastAsia"/>
          <w:sz w:val="21"/>
          <w:szCs w:val="21"/>
        </w:rPr>
        <w:t>1</w:t>
      </w:r>
      <w:r>
        <w:rPr>
          <w:rFonts w:ascii="Times New Roman" w:eastAsia="楷体_GB2312" w:hAnsi="Times New Roman" w:hint="eastAsia"/>
          <w:sz w:val="21"/>
          <w:szCs w:val="21"/>
        </w:rPr>
        <w:t>）固定在地面上，所述活动桩（</w:t>
      </w:r>
      <w:r>
        <w:rPr>
          <w:rFonts w:ascii="Times New Roman" w:eastAsia="楷体_GB2312" w:hAnsi="Times New Roman" w:hint="eastAsia"/>
          <w:sz w:val="21"/>
          <w:szCs w:val="21"/>
        </w:rPr>
        <w:t>3</w:t>
      </w:r>
      <w:r>
        <w:rPr>
          <w:rFonts w:ascii="Times New Roman" w:eastAsia="楷体_GB2312" w:hAnsi="Times New Roman" w:hint="eastAsia"/>
          <w:sz w:val="21"/>
          <w:szCs w:val="21"/>
        </w:rPr>
        <w:t>）通过芯轴（</w:t>
      </w:r>
      <w:r>
        <w:rPr>
          <w:rFonts w:ascii="Times New Roman" w:eastAsia="楷体_GB2312" w:hAnsi="Times New Roman" w:hint="eastAsia"/>
          <w:sz w:val="21"/>
          <w:szCs w:val="21"/>
        </w:rPr>
        <w:t>2</w:t>
      </w:r>
      <w:r>
        <w:rPr>
          <w:rFonts w:ascii="Times New Roman" w:eastAsia="楷体_GB2312" w:hAnsi="Times New Roman" w:hint="eastAsia"/>
          <w:sz w:val="21"/>
          <w:szCs w:val="21"/>
        </w:rPr>
        <w:t>）与座（</w:t>
      </w:r>
      <w:r>
        <w:rPr>
          <w:rFonts w:ascii="Times New Roman" w:eastAsia="楷体_GB2312" w:hAnsi="Times New Roman" w:hint="eastAsia"/>
          <w:sz w:val="21"/>
          <w:szCs w:val="21"/>
        </w:rPr>
        <w:t>1</w:t>
      </w:r>
      <w:r>
        <w:rPr>
          <w:rFonts w:ascii="Times New Roman" w:eastAsia="楷体_GB2312" w:hAnsi="Times New Roman" w:hint="eastAsia"/>
          <w:sz w:val="21"/>
          <w:szCs w:val="21"/>
        </w:rPr>
        <w:t>）相连，活动桩设有供锁具（</w:t>
      </w:r>
      <w:r>
        <w:rPr>
          <w:rFonts w:ascii="Times New Roman" w:eastAsia="楷体_GB2312" w:hAnsi="Times New Roman" w:hint="eastAsia"/>
          <w:sz w:val="21"/>
          <w:szCs w:val="21"/>
        </w:rPr>
        <w:t>4</w:t>
      </w:r>
      <w:r>
        <w:rPr>
          <w:rFonts w:ascii="Times New Roman" w:eastAsia="楷体_GB2312" w:hAnsi="Times New Roman" w:hint="eastAsia"/>
          <w:sz w:val="21"/>
          <w:szCs w:val="21"/>
        </w:rPr>
        <w:t>）插入的孔。”</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该专利的确权程序中，针对无效宣告请求人提出的有关创造性的无效理由，专利权人在其答辩意见中称：“活动桩设有供锁具插入的孔。该描述的含义是，锁具不是永久固定在孔中，而是根据使用状态呈现两种连接关系，即锁定时位于活动桩的孔中，打开时，从孔中取出，与活动桩的孔分离。”</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根据专利权人的陈述，原专利复审委员会作出了维持专利权有效的决定。在无效宣告请求审查决定中，原专利复审委员会认定：“在锁闭地桩锁时，权利要求１的活动桩上所设置的孔可供锁具整体地插入以达到锁闭地桩锁的目的，开启地桩锁时，可将锁具全部取出，活动桩上也无需设置附加的固定装置来固定锁具，因而该专利相对于现有技术具有实质性特点和进步，具备创造性。”</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被控侵权产品：除锁具固定在底座上之外，其他技术特征与专利权利要求相同。</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本案的争议点在于：被控侵权产品是否构成等同侵权。</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确权程序中，专利权人为克服无效宣告请求人提出的有关涉案专利不具备创造性的缺陷，在意见陈述中明确了其专利中“活动桩设有供锁具插入的孔”这一技术特征的含义，对权利要求的保护范围进行了实质性的限定；原专利复审委员会认可了专利权人对这一技术特征的解释，据此认定权利要求所取得的技术效果并最终判定涉案专利具备创造性，维持专利权有效。因此，根据禁止反悔原则，所述技术特征与被控侵权产品“锁具固定在底座上”的技术特征不等同。</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c</w:t>
      </w:r>
      <w:r>
        <w:rPr>
          <w:rFonts w:ascii="Times New Roman" w:eastAsia="宋体" w:hAnsi="Times New Roman"/>
          <w:sz w:val="21"/>
          <w:szCs w:val="21"/>
        </w:rPr>
        <w:t>.</w:t>
      </w:r>
      <w:r>
        <w:rPr>
          <w:rFonts w:ascii="Times New Roman" w:eastAsia="宋体" w:hAnsi="Times New Roman" w:hint="eastAsia"/>
          <w:sz w:val="21"/>
          <w:szCs w:val="21"/>
        </w:rPr>
        <w:t>禁止反悔原则的例外</w:t>
      </w:r>
    </w:p>
    <w:p w:rsidR="00800760" w:rsidRDefault="00235733">
      <w:pPr>
        <w:pStyle w:val="22"/>
        <w:topLinePunct/>
        <w:spacing w:line="336" w:lineRule="auto"/>
        <w:ind w:firstLine="420"/>
        <w:rPr>
          <w:rFonts w:ascii="Times New Roman" w:eastAsia="宋体" w:hAnsi="Times New Roman"/>
          <w:sz w:val="21"/>
          <w:szCs w:val="21"/>
          <w:lang w:val="en-GB"/>
        </w:rPr>
      </w:pPr>
      <w:r>
        <w:rPr>
          <w:rFonts w:ascii="Times New Roman" w:eastAsia="宋体" w:hAnsi="Times New Roman" w:hint="eastAsia"/>
          <w:sz w:val="21"/>
          <w:szCs w:val="21"/>
          <w:lang w:val="en-GB"/>
        </w:rPr>
        <w:t>如果权利人能够证明专利申请人、专利权人在专利授权确权程序中对权利要求书、说明书及附图的限缩性修改或者意见陈述已经被明确否定，管理专利工作的部门应当认定该修改或者意见陈述未导致技术方案的放弃。</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捐献原则</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专利授权程序中</w:t>
      </w:r>
      <w:r>
        <w:rPr>
          <w:rFonts w:ascii="Times New Roman" w:eastAsia="宋体" w:hAnsi="Times New Roman"/>
          <w:sz w:val="21"/>
          <w:szCs w:val="21"/>
        </w:rPr>
        <w:t>，</w:t>
      </w:r>
      <w:r>
        <w:rPr>
          <w:rFonts w:ascii="Times New Roman" w:eastAsia="宋体" w:hAnsi="Times New Roman" w:hint="eastAsia"/>
          <w:sz w:val="21"/>
          <w:szCs w:val="21"/>
        </w:rPr>
        <w:t>可能出现说明书中公开的技术方案未被权利要求书覆盖</w:t>
      </w:r>
      <w:r>
        <w:rPr>
          <w:rFonts w:ascii="Times New Roman" w:eastAsia="宋体" w:hAnsi="Times New Roman"/>
          <w:sz w:val="21"/>
          <w:szCs w:val="21"/>
        </w:rPr>
        <w:t>，</w:t>
      </w:r>
      <w:r>
        <w:rPr>
          <w:rFonts w:ascii="Times New Roman" w:eastAsia="宋体" w:hAnsi="Times New Roman" w:hint="eastAsia"/>
          <w:sz w:val="21"/>
          <w:szCs w:val="21"/>
        </w:rPr>
        <w:t>或者专利申请人为了通过审查</w:t>
      </w:r>
      <w:r>
        <w:rPr>
          <w:rFonts w:ascii="Times New Roman" w:eastAsia="宋体" w:hAnsi="Times New Roman"/>
          <w:sz w:val="21"/>
          <w:szCs w:val="21"/>
        </w:rPr>
        <w:t>，</w:t>
      </w:r>
      <w:r>
        <w:rPr>
          <w:rFonts w:ascii="Times New Roman" w:eastAsia="宋体" w:hAnsi="Times New Roman" w:hint="eastAsia"/>
          <w:sz w:val="21"/>
          <w:szCs w:val="21"/>
        </w:rPr>
        <w:t>撰写保护范围比较窄的权利要求</w:t>
      </w:r>
      <w:r>
        <w:rPr>
          <w:rFonts w:ascii="Times New Roman" w:eastAsia="宋体" w:hAnsi="Times New Roman"/>
          <w:sz w:val="21"/>
          <w:szCs w:val="21"/>
        </w:rPr>
        <w:t>，</w:t>
      </w:r>
      <w:r>
        <w:rPr>
          <w:rFonts w:ascii="Times New Roman" w:eastAsia="宋体" w:hAnsi="Times New Roman" w:hint="eastAsia"/>
          <w:sz w:val="21"/>
          <w:szCs w:val="21"/>
        </w:rPr>
        <w:t>而在说明书中又对其进行扩张性解释。针对以上两种情况，在专利侵权纠纷处理中，专利权人可能通过主张等同而将说明书扩张的部分或者说明书中公开却未被权利要求所覆盖的技术方案纳入专利权的保护范围。捐献原则的确立，就是为了避免这种情况的发生，维护权利要求的公示作用，平衡专利权人与社会公众的利益。</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捐献原则的含义</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所称捐献原则，是指对于仅在说明书或者附图中描述而在权利要求中未记载的技术方案，权利人在侵犯专利权纠纷行政裁决案件中，将其纳入专利权保护范围的，管理专利工作的部门不予支持。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在专利侵权判定中，如果被控侵权产品的技术方案在涉案专利的说明书中公开，但并没有落入权利要求限定的范围，则认为专利权人已将该技术方案捐献给了社会公众，不应再通过主张构成侵权而获得保护。</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捐献原则的适用</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适用捐献原则有两个条件。一是只有说明书中对相关主题有具体明确的描述，并且明显以替代方案出现时，才可适用捐献原则，不能以说明书中披露了上位概念为由而推定对其所有的下位概念都要适用捐献原则；二是相关主题是否在说明书中有清楚、具体的描述，需要由本领域技术人员在阅读整个说明书后作出判断。</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应当注意，在专利侵权判定中，常常要参考说明书记载的内容解释权利要求的保护范围。如果权利要求中记载的特征</w:t>
      </w:r>
      <w:r>
        <w:rPr>
          <w:rFonts w:ascii="Times New Roman" w:eastAsia="宋体" w:hAnsi="Times New Roman"/>
          <w:sz w:val="21"/>
          <w:szCs w:val="21"/>
        </w:rPr>
        <w:t>A</w:t>
      </w:r>
      <w:r>
        <w:rPr>
          <w:rFonts w:ascii="Times New Roman" w:eastAsia="宋体" w:hAnsi="Times New Roman" w:hint="eastAsia"/>
          <w:sz w:val="21"/>
          <w:szCs w:val="21"/>
        </w:rPr>
        <w:t>只能解释成说明书中记载的特征</w:t>
      </w:r>
      <w:r>
        <w:rPr>
          <w:rFonts w:ascii="Times New Roman" w:eastAsia="宋体" w:hAnsi="Times New Roman"/>
          <w:sz w:val="21"/>
          <w:szCs w:val="21"/>
        </w:rPr>
        <w:t>B</w:t>
      </w:r>
      <w:r>
        <w:rPr>
          <w:rFonts w:ascii="Times New Roman" w:eastAsia="宋体" w:hAnsi="Times New Roman" w:hint="eastAsia"/>
          <w:sz w:val="21"/>
          <w:szCs w:val="21"/>
        </w:rPr>
        <w:t>，而被控侵权产品使用的恰好是特征</w:t>
      </w:r>
      <w:r>
        <w:rPr>
          <w:rFonts w:ascii="Times New Roman" w:eastAsia="宋体" w:hAnsi="Times New Roman"/>
          <w:sz w:val="21"/>
          <w:szCs w:val="21"/>
        </w:rPr>
        <w:t>B</w:t>
      </w:r>
      <w:r>
        <w:rPr>
          <w:rFonts w:ascii="Times New Roman" w:eastAsia="宋体" w:hAnsi="Times New Roman" w:hint="eastAsia"/>
          <w:sz w:val="21"/>
          <w:szCs w:val="21"/>
        </w:rPr>
        <w:t>时，不能适用捐献原则以特征</w:t>
      </w:r>
      <w:r>
        <w:rPr>
          <w:rFonts w:ascii="Times New Roman" w:eastAsia="宋体" w:hAnsi="Times New Roman"/>
          <w:sz w:val="21"/>
          <w:szCs w:val="21"/>
        </w:rPr>
        <w:t>B</w:t>
      </w:r>
      <w:r>
        <w:rPr>
          <w:rFonts w:ascii="Times New Roman" w:eastAsia="宋体" w:hAnsi="Times New Roman" w:hint="eastAsia"/>
          <w:sz w:val="21"/>
          <w:szCs w:val="21"/>
        </w:rPr>
        <w:t>在权利要求中没有文字记载为由认定不构成侵权。</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-3</w:t>
      </w:r>
      <w:r>
        <w:rPr>
          <w:rFonts w:ascii="Times New Roman" w:hAnsi="Times New Roman" w:hint="eastAsia"/>
          <w:color w:val="000000"/>
          <w:lang w:val="en-US"/>
        </w:rPr>
        <w:t>6</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涉及一种制造印刷电路板的方法。在现有技术中，在制造印刷电路板的成层工艺中，铜箔是由手工处理的，容易遭到损坏。涉案专利将铜箔黏附在硬基片上，能够避免手工处理过程中可能出现的损坏。在该专利权利要求中，将硬基片限定为铝片。说明书中记载</w:t>
      </w:r>
      <w:r>
        <w:rPr>
          <w:rFonts w:ascii="Times New Roman" w:eastAsia="楷体_GB2312" w:hAnsi="Times New Roman"/>
          <w:sz w:val="21"/>
          <w:szCs w:val="21"/>
        </w:rPr>
        <w:t>：</w:t>
      </w:r>
      <w:r>
        <w:rPr>
          <w:rFonts w:ascii="Times New Roman" w:eastAsia="楷体_GB2312" w:hAnsi="Times New Roman" w:hint="eastAsia"/>
          <w:sz w:val="21"/>
          <w:szCs w:val="21"/>
        </w:rPr>
        <w:t>虽然铝是硬基片的优选材料，但也可以使用诸如不锈钢、镍合金等其他材料，有时也可以使用聚丙烯。</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被控侵权方法使用的是不锈钢材料。</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本案的争议点在于：被控侵权方法使用不锈钢材料是否构成等同侵权。</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当专利权人在说明书中公开了一个技术方案，但没有在权利要求书中请求保护时，意味着专利权人将该技术方案捐献给了社会公众。本案中，专利说明书中涉及不锈钢材料的技术方案并没有被划入专利权的保护范围，实际上已经被专利权人捐献给社会公众。这种情况下，专利权人依等同侵权而将其纳入专利权保护范围的主张不能成立。</w:t>
      </w:r>
    </w:p>
    <w:p w:rsidR="00800760" w:rsidRDefault="00235733">
      <w:pPr>
        <w:pStyle w:val="af6"/>
        <w:topLinePunct/>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-3</w:t>
      </w:r>
      <w:r>
        <w:rPr>
          <w:rFonts w:ascii="Times New Roman" w:hAnsi="Times New Roman" w:hint="eastAsia"/>
          <w:color w:val="000000"/>
          <w:lang w:val="en-US"/>
        </w:rPr>
        <w:t>7</w:t>
      </w:r>
      <w:r>
        <w:rPr>
          <w:rFonts w:ascii="Times New Roman" w:hAnsi="Times New Roman" w:hint="eastAsia"/>
          <w:color w:val="000000"/>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专利权利要求</w:t>
      </w:r>
      <w:r>
        <w:rPr>
          <w:rFonts w:ascii="Times New Roman" w:eastAsia="楷体_GB2312" w:hAnsi="Times New Roman"/>
          <w:sz w:val="21"/>
          <w:szCs w:val="21"/>
        </w:rPr>
        <w:t>：</w:t>
      </w:r>
      <w:r>
        <w:rPr>
          <w:rFonts w:ascii="Times New Roman" w:eastAsia="楷体_GB2312" w:hAnsi="Times New Roman" w:hint="eastAsia"/>
          <w:sz w:val="21"/>
          <w:szCs w:val="21"/>
        </w:rPr>
        <w:t>一种离心式开沟机，其特征在于机体的中心部有一开沟机轴，机轴上带有一切土刀架，刀架的断面呈“十”字形，即圆周四等分设置</w:t>
      </w:r>
      <w:r>
        <w:rPr>
          <w:rFonts w:ascii="Times New Roman" w:eastAsia="宋体" w:hAnsi="Times New Roman" w:hint="eastAsia"/>
          <w:sz w:val="21"/>
          <w:szCs w:val="21"/>
        </w:rPr>
        <w:t>……</w:t>
      </w:r>
      <w:r>
        <w:rPr>
          <w:rFonts w:ascii="Times New Roman" w:eastAsia="楷体_GB2312" w:hAnsi="Times New Roman" w:hint="eastAsia"/>
          <w:sz w:val="21"/>
          <w:szCs w:val="21"/>
        </w:rPr>
        <w:t>。</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说明书中记载</w:t>
      </w:r>
      <w:r>
        <w:rPr>
          <w:rFonts w:ascii="Times New Roman" w:eastAsia="楷体_GB2312" w:hAnsi="Times New Roman"/>
          <w:sz w:val="21"/>
          <w:szCs w:val="21"/>
        </w:rPr>
        <w:t>：</w:t>
      </w:r>
      <w:r>
        <w:rPr>
          <w:rFonts w:ascii="Times New Roman" w:eastAsia="楷体_GB2312" w:hAnsi="Times New Roman" w:hint="eastAsia"/>
          <w:sz w:val="21"/>
          <w:szCs w:val="21"/>
        </w:rPr>
        <w:t>刀架的端面呈“十”字形，即圆周四等分设计，也可以是六等分、八等分设计。</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w:t>
      </w:r>
      <w:r>
        <w:rPr>
          <w:rFonts w:ascii="Times New Roman" w:eastAsia="楷体_GB2312" w:hAnsi="Times New Roman"/>
          <w:sz w:val="21"/>
          <w:szCs w:val="21"/>
        </w:rPr>
        <w:t>：</w:t>
      </w:r>
      <w:r>
        <w:rPr>
          <w:rFonts w:ascii="Times New Roman" w:eastAsia="楷体_GB2312" w:hAnsi="Times New Roman" w:hint="eastAsia"/>
          <w:sz w:val="21"/>
          <w:szCs w:val="21"/>
        </w:rPr>
        <w:t>一种农用葡萄培土机，除刀架为六等分外，其他技术特征与专利权利要求相同。</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本案的争议点在于：被控侵权产品采用六等分设计的刀架是否构成等同侵权。</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涉案专利说明书中明确记载</w:t>
      </w:r>
      <w:r>
        <w:rPr>
          <w:rFonts w:ascii="Times New Roman" w:eastAsia="楷体_GB2312" w:hAnsi="Times New Roman"/>
          <w:sz w:val="21"/>
          <w:szCs w:val="21"/>
        </w:rPr>
        <w:t>：</w:t>
      </w:r>
      <w:r>
        <w:rPr>
          <w:rFonts w:ascii="Times New Roman" w:eastAsia="楷体_GB2312" w:hAnsi="Times New Roman" w:hint="eastAsia"/>
          <w:sz w:val="21"/>
          <w:szCs w:val="21"/>
        </w:rPr>
        <w:t>刀架的端面可以是圆周四等分设计，也可以是六等分、八等分设计。然而，在权利要求中仅仅要求保护刀架端面为四等分设计的技术方案，这意味着专利权人将六等分、八等分的技术方案捐献给了社会公众。因此被控侵权产品不能被认定构成等同侵权。</w:t>
      </w:r>
    </w:p>
    <w:p w:rsidR="00800760" w:rsidRDefault="00235733">
      <w:pPr>
        <w:pStyle w:val="5"/>
        <w:spacing w:before="120"/>
        <w:rPr>
          <w:color w:val="000000"/>
        </w:rPr>
      </w:pPr>
      <w:r>
        <w:rPr>
          <w:color w:val="000000"/>
        </w:rPr>
        <w:t xml:space="preserve">6. </w:t>
      </w:r>
      <w:r>
        <w:rPr>
          <w:rFonts w:hint="eastAsia"/>
          <w:color w:val="000000"/>
        </w:rPr>
        <w:t>注意事项</w:t>
      </w:r>
    </w:p>
    <w:p w:rsidR="00800760" w:rsidRDefault="00235733">
      <w:pPr>
        <w:pStyle w:val="-11"/>
        <w:topLinePunct/>
        <w:spacing w:line="336" w:lineRule="auto"/>
        <w:ind w:firstLine="420"/>
        <w:rPr>
          <w:sz w:val="21"/>
          <w:szCs w:val="21"/>
          <w:lang w:val="zh-CN" w:eastAsia="zh-CN"/>
        </w:rPr>
      </w:pPr>
      <w:r>
        <w:rPr>
          <w:rFonts w:hint="eastAsia"/>
          <w:sz w:val="21"/>
          <w:szCs w:val="21"/>
          <w:lang w:eastAsia="zh-CN"/>
        </w:rPr>
        <w:t>在判定</w:t>
      </w:r>
      <w:r>
        <w:rPr>
          <w:rFonts w:hint="eastAsia"/>
          <w:sz w:val="21"/>
          <w:szCs w:val="21"/>
          <w:lang w:val="zh-CN" w:eastAsia="zh-CN"/>
        </w:rPr>
        <w:t>相同或等同侵权的实践中，以下几点还需要特别注意：</w:t>
      </w:r>
    </w:p>
    <w:p w:rsidR="00800760" w:rsidRDefault="00235733">
      <w:pPr>
        <w:pStyle w:val="-11"/>
        <w:topLinePunct/>
        <w:spacing w:line="336" w:lineRule="auto"/>
        <w:ind w:firstLine="420"/>
        <w:rPr>
          <w:sz w:val="21"/>
          <w:szCs w:val="21"/>
          <w:lang w:val="zh-CN" w:eastAsia="zh-CN"/>
        </w:rPr>
      </w:pPr>
      <w:r>
        <w:rPr>
          <w:rFonts w:hint="eastAsia"/>
          <w:sz w:val="21"/>
          <w:szCs w:val="21"/>
          <w:lang w:val="zh-CN" w:eastAsia="zh-CN"/>
        </w:rPr>
        <w:t>①当</w:t>
      </w:r>
      <w:r>
        <w:rPr>
          <w:rFonts w:hint="eastAsia"/>
          <w:sz w:val="21"/>
          <w:szCs w:val="21"/>
          <w:lang w:eastAsia="zh-CN"/>
        </w:rPr>
        <w:t>权利要求中存在功能性技术特征时，需要将涉案专利的</w:t>
      </w:r>
      <w:r>
        <w:rPr>
          <w:rFonts w:hint="eastAsia"/>
          <w:sz w:val="21"/>
          <w:szCs w:val="21"/>
          <w:lang w:val="zh-CN" w:eastAsia="zh-CN"/>
        </w:rPr>
        <w:t>说明书及附图记载的实现</w:t>
      </w:r>
      <w:r>
        <w:rPr>
          <w:rFonts w:hint="eastAsia"/>
          <w:sz w:val="21"/>
          <w:szCs w:val="21"/>
          <w:lang w:eastAsia="zh-CN"/>
        </w:rPr>
        <w:t>该</w:t>
      </w:r>
      <w:r>
        <w:rPr>
          <w:rFonts w:hint="eastAsia"/>
          <w:sz w:val="21"/>
          <w:szCs w:val="21"/>
          <w:lang w:val="zh-CN" w:eastAsia="zh-CN"/>
        </w:rPr>
        <w:t>功能或者效果不可缺少的技术特征与</w:t>
      </w:r>
      <w:r>
        <w:rPr>
          <w:rFonts w:hint="eastAsia"/>
          <w:sz w:val="21"/>
          <w:szCs w:val="21"/>
          <w:lang w:eastAsia="zh-CN"/>
        </w:rPr>
        <w:t>被控侵权技术方案的</w:t>
      </w:r>
      <w:r>
        <w:rPr>
          <w:rFonts w:hint="eastAsia"/>
          <w:sz w:val="21"/>
          <w:szCs w:val="21"/>
          <w:lang w:val="zh-CN" w:eastAsia="zh-CN"/>
        </w:rPr>
        <w:t>相应技术特征进行比较，如果被</w:t>
      </w:r>
      <w:r>
        <w:rPr>
          <w:rFonts w:hint="eastAsia"/>
          <w:sz w:val="21"/>
          <w:szCs w:val="21"/>
          <w:lang w:eastAsia="zh-CN"/>
        </w:rPr>
        <w:t>控</w:t>
      </w:r>
      <w:r>
        <w:rPr>
          <w:rFonts w:hint="eastAsia"/>
          <w:sz w:val="21"/>
          <w:szCs w:val="21"/>
          <w:lang w:val="zh-CN" w:eastAsia="zh-CN"/>
        </w:rPr>
        <w:t>侵权技术方案的相应技术特征是以基本相同的手段，实现相同的功能，达到相同的效果，并且本领域技术人员在被</w:t>
      </w:r>
      <w:r>
        <w:rPr>
          <w:rFonts w:hint="eastAsia"/>
          <w:sz w:val="21"/>
          <w:szCs w:val="21"/>
          <w:lang w:eastAsia="zh-CN"/>
        </w:rPr>
        <w:t>控</w:t>
      </w:r>
      <w:r>
        <w:rPr>
          <w:rFonts w:hint="eastAsia"/>
          <w:sz w:val="21"/>
          <w:szCs w:val="21"/>
          <w:lang w:val="zh-CN" w:eastAsia="zh-CN"/>
        </w:rPr>
        <w:t>侵权行为发生时无需经过创造性劳动就能够联想到的，应当认定该相应技术特征与功能性特征相同或者等同。</w:t>
      </w:r>
    </w:p>
    <w:p w:rsidR="00800760" w:rsidRDefault="00235733">
      <w:pPr>
        <w:pStyle w:val="-11"/>
        <w:topLinePunct/>
        <w:spacing w:line="336" w:lineRule="auto"/>
        <w:ind w:firstLine="420"/>
        <w:rPr>
          <w:sz w:val="21"/>
          <w:szCs w:val="21"/>
          <w:lang w:val="zh-CN" w:eastAsia="zh-CN"/>
        </w:rPr>
      </w:pPr>
      <w:r>
        <w:rPr>
          <w:rFonts w:hint="eastAsia"/>
          <w:sz w:val="21"/>
          <w:szCs w:val="21"/>
          <w:lang w:eastAsia="zh-CN"/>
        </w:rPr>
        <w:t>②如果</w:t>
      </w:r>
      <w:r>
        <w:rPr>
          <w:rFonts w:hint="eastAsia"/>
          <w:sz w:val="21"/>
          <w:szCs w:val="21"/>
          <w:lang w:val="zh-CN" w:eastAsia="zh-CN"/>
        </w:rPr>
        <w:t>被</w:t>
      </w:r>
      <w:r>
        <w:rPr>
          <w:rFonts w:hint="eastAsia"/>
          <w:sz w:val="21"/>
          <w:szCs w:val="21"/>
          <w:lang w:eastAsia="zh-CN"/>
        </w:rPr>
        <w:t>控</w:t>
      </w:r>
      <w:r>
        <w:rPr>
          <w:rFonts w:hint="eastAsia"/>
          <w:sz w:val="21"/>
          <w:szCs w:val="21"/>
          <w:lang w:val="zh-CN" w:eastAsia="zh-CN"/>
        </w:rPr>
        <w:t>侵权技术方案不能适用于权利要求中记载的使用环境特征所限定的使用环境的，应当认定被</w:t>
      </w:r>
      <w:r>
        <w:rPr>
          <w:rFonts w:hint="eastAsia"/>
          <w:sz w:val="21"/>
          <w:szCs w:val="21"/>
          <w:lang w:eastAsia="zh-CN"/>
        </w:rPr>
        <w:t>控</w:t>
      </w:r>
      <w:r>
        <w:rPr>
          <w:rFonts w:hint="eastAsia"/>
          <w:sz w:val="21"/>
          <w:szCs w:val="21"/>
          <w:lang w:val="zh-CN" w:eastAsia="zh-CN"/>
        </w:rPr>
        <w:t>侵权技术方案未落入专利权的保护范围。</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③权利要求中以制备方法界定产品的技术特征时，如果被控侵权产品的制备方法与其既不相同也不等同，应当认定被控侵权技术方案未落入专利权的保护范围。</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④权利要求采用“至少”“不超过”等用语对数值特征进行界定时，如果本领域技术人员阅读权利要求书、说明书及附图后认为专利技术方案中特别强调了该用语对技术特征的限定作用，不应认定与其不相同的数值特征属于等同特征。</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w:t>
      </w:r>
      <w:r>
        <w:rPr>
          <w:rFonts w:ascii="Times New Roman" w:hAnsi="Times New Roman" w:hint="eastAsia"/>
          <w:color w:val="000000"/>
          <w:lang w:val="en-US"/>
        </w:rPr>
        <w:t>三</w:t>
      </w:r>
      <w:r>
        <w:rPr>
          <w:rFonts w:ascii="Times New Roman" w:hAnsi="Times New Roman" w:hint="eastAsia"/>
          <w:color w:val="000000"/>
        </w:rPr>
        <w:t>）中药专利侵权判定</w:t>
      </w:r>
    </w:p>
    <w:p w:rsidR="00800760" w:rsidRDefault="00235733" w:rsidP="00C22A7B">
      <w:pPr>
        <w:keepNext/>
        <w:topLinePunct/>
        <w:adjustRightInd w:val="0"/>
        <w:snapToGrid w:val="0"/>
        <w:spacing w:beforeLines="100"/>
        <w:ind w:firstLine="444"/>
        <w:outlineLvl w:val="3"/>
        <w:rPr>
          <w:rFonts w:eastAsia="黑体"/>
          <w:color w:val="000000" w:themeColor="text1"/>
          <w:spacing w:val="6"/>
          <w:szCs w:val="21"/>
        </w:rPr>
      </w:pPr>
      <w:r>
        <w:rPr>
          <w:rFonts w:eastAsia="黑体" w:hint="eastAsia"/>
          <w:color w:val="000000" w:themeColor="text1"/>
          <w:spacing w:val="6"/>
          <w:szCs w:val="21"/>
          <w:lang w:val="en-US"/>
        </w:rPr>
        <w:t xml:space="preserve">1. </w:t>
      </w:r>
      <w:r>
        <w:rPr>
          <w:rFonts w:eastAsia="黑体" w:hint="eastAsia"/>
          <w:color w:val="000000" w:themeColor="text1"/>
          <w:spacing w:val="6"/>
          <w:szCs w:val="21"/>
        </w:rPr>
        <w:t>基本原则</w:t>
      </w:r>
    </w:p>
    <w:p w:rsidR="00800760" w:rsidRDefault="00235733">
      <w:pPr>
        <w:topLinePunct/>
        <w:rPr>
          <w:rFonts w:cs="MingLiU_HKSCS"/>
          <w:color w:val="000000" w:themeColor="text1"/>
          <w:szCs w:val="21"/>
          <w:lang w:val="zh-CN"/>
        </w:rPr>
      </w:pPr>
      <w:r>
        <w:rPr>
          <w:rFonts w:cs="MingLiU_HKSCS" w:hint="eastAsia"/>
          <w:color w:val="000000" w:themeColor="text1"/>
          <w:szCs w:val="21"/>
          <w:lang w:val="zh-CN"/>
        </w:rPr>
        <w:t>根据中医的组方理论，每味药材在处方中因其发挥的作用不同而具有不同的重要地位，一般将其分为四类，包括：君药，即主药，是方剂中针对主病或主证起主要治疗作用的药物；臣药，发挥次要作用；佐药，对君药和臣药发挥辅助作用；使药，发挥调和诸药的作用。</w:t>
      </w:r>
    </w:p>
    <w:p w:rsidR="00800760" w:rsidRDefault="00235733">
      <w:pPr>
        <w:topLinePunct/>
        <w:rPr>
          <w:rFonts w:cs="MingLiU_HKSCS"/>
          <w:color w:val="000000" w:themeColor="text1"/>
          <w:szCs w:val="21"/>
          <w:lang w:val="zh-CN"/>
        </w:rPr>
      </w:pPr>
      <w:r>
        <w:rPr>
          <w:rFonts w:cs="MingLiU_HKSCS" w:hint="eastAsia"/>
          <w:color w:val="000000" w:themeColor="text1"/>
          <w:szCs w:val="21"/>
          <w:lang w:val="zh-CN"/>
        </w:rPr>
        <w:t>在进行侵权比对时，应综合考虑中医药专利与被诉侵权技术方案之间在药味种类、药味比例、制备方法、治疗效果等方面的差异，判断被诉侵权技术方案是否构成侵权。</w:t>
      </w:r>
    </w:p>
    <w:p w:rsidR="00800760" w:rsidRDefault="00235733" w:rsidP="00C22A7B">
      <w:pPr>
        <w:keepNext/>
        <w:numPr>
          <w:ilvl w:val="0"/>
          <w:numId w:val="2"/>
        </w:numPr>
        <w:topLinePunct/>
        <w:adjustRightInd w:val="0"/>
        <w:snapToGrid w:val="0"/>
        <w:spacing w:beforeLines="100"/>
        <w:ind w:left="360" w:firstLineChars="0" w:hanging="360"/>
        <w:outlineLvl w:val="3"/>
        <w:rPr>
          <w:rFonts w:eastAsia="黑体"/>
          <w:color w:val="000000" w:themeColor="text1"/>
          <w:spacing w:val="6"/>
          <w:szCs w:val="21"/>
        </w:rPr>
      </w:pPr>
      <w:r>
        <w:rPr>
          <w:rFonts w:eastAsia="黑体" w:hint="eastAsia"/>
          <w:color w:val="000000" w:themeColor="text1"/>
          <w:spacing w:val="6"/>
          <w:szCs w:val="21"/>
        </w:rPr>
        <w:t>主要情形</w:t>
      </w:r>
    </w:p>
    <w:p w:rsidR="00800760" w:rsidRDefault="00235733" w:rsidP="00C22A7B">
      <w:pPr>
        <w:keepNext/>
        <w:topLinePunct/>
        <w:spacing w:beforeLines="50"/>
        <w:outlineLvl w:val="4"/>
        <w:rPr>
          <w:rFonts w:eastAsia="黑体"/>
          <w:color w:val="000000" w:themeColor="text1"/>
        </w:rPr>
      </w:pPr>
      <w:r>
        <w:rPr>
          <w:rFonts w:eastAsia="黑体" w:hint="eastAsia"/>
          <w:color w:val="000000" w:themeColor="text1"/>
        </w:rPr>
        <w:t>（</w:t>
      </w:r>
      <w:r>
        <w:rPr>
          <w:rFonts w:eastAsia="黑体" w:hint="eastAsia"/>
          <w:color w:val="000000" w:themeColor="text1"/>
          <w:lang w:val="en-US"/>
        </w:rPr>
        <w:t>1</w:t>
      </w:r>
      <w:r>
        <w:rPr>
          <w:rFonts w:eastAsia="黑体" w:hint="eastAsia"/>
          <w:color w:val="000000" w:themeColor="text1"/>
          <w:lang w:val="en-US"/>
        </w:rPr>
        <w:t>）</w:t>
      </w:r>
      <w:r>
        <w:rPr>
          <w:rFonts w:eastAsia="黑体" w:hint="eastAsia"/>
          <w:color w:val="000000" w:themeColor="text1"/>
        </w:rPr>
        <w:t>药味种类</w:t>
      </w:r>
    </w:p>
    <w:p w:rsidR="00800760" w:rsidRDefault="00235733">
      <w:pPr>
        <w:topLinePunct/>
        <w:rPr>
          <w:rFonts w:cs="MingLiU_HKSCS"/>
          <w:color w:val="000000" w:themeColor="text1"/>
          <w:szCs w:val="21"/>
          <w:lang w:val="zh-CN"/>
        </w:rPr>
      </w:pPr>
      <w:r>
        <w:rPr>
          <w:rFonts w:cs="MingLiU_HKSCS" w:hint="eastAsia"/>
          <w:color w:val="000000" w:themeColor="text1"/>
          <w:szCs w:val="21"/>
          <w:lang w:val="zh-CN"/>
        </w:rPr>
        <w:t>在专利技术方案与被诉侵权产品之间存在药味种类不同的情况下，应坚持中药处方整体观，综合考虑差异药物的君臣佐使地位、在药效中的主次作用、是否属于专利相对于现有技术的技术贡献、对治疗效果的影响等因素。</w:t>
      </w:r>
    </w:p>
    <w:p w:rsidR="00800760" w:rsidRDefault="00235733" w:rsidP="00C22A7B">
      <w:pPr>
        <w:keepNext/>
        <w:topLinePunct/>
        <w:spacing w:beforeLines="50"/>
        <w:rPr>
          <w:rFonts w:eastAsia="黑体" w:cs="MingLiU_HKSCS"/>
          <w:color w:val="000000" w:themeColor="text1"/>
          <w:szCs w:val="21"/>
          <w:lang w:val="zh-CN"/>
        </w:rPr>
      </w:pPr>
      <w:r>
        <w:rPr>
          <w:rFonts w:eastAsia="黑体" w:cs="MingLiU_HKSCS" w:hint="eastAsia"/>
          <w:color w:val="000000" w:themeColor="text1"/>
          <w:szCs w:val="21"/>
          <w:lang w:val="zh-CN"/>
        </w:rPr>
        <w:t>【案例</w:t>
      </w:r>
      <w:r>
        <w:rPr>
          <w:rFonts w:eastAsia="黑体" w:cs="MingLiU_HKSCS" w:hint="eastAsia"/>
          <w:color w:val="000000" w:themeColor="text1"/>
          <w:szCs w:val="21"/>
        </w:rPr>
        <w:t>3</w:t>
      </w:r>
      <w:r>
        <w:rPr>
          <w:rFonts w:eastAsia="黑体" w:cs="MingLiU_HKSCS"/>
          <w:color w:val="000000" w:themeColor="text1"/>
          <w:szCs w:val="21"/>
          <w:lang w:val="zh-CN"/>
        </w:rPr>
        <w:t>-</w:t>
      </w:r>
      <w:r>
        <w:rPr>
          <w:rFonts w:eastAsia="黑体" w:cs="MingLiU_HKSCS" w:hint="eastAsia"/>
          <w:color w:val="000000" w:themeColor="text1"/>
          <w:szCs w:val="21"/>
        </w:rPr>
        <w:t>4</w:t>
      </w:r>
      <w:r>
        <w:rPr>
          <w:rFonts w:eastAsia="黑体" w:cs="MingLiU_HKSCS"/>
          <w:color w:val="000000" w:themeColor="text1"/>
          <w:szCs w:val="21"/>
          <w:lang w:val="zh-CN"/>
        </w:rPr>
        <w:t>-</w:t>
      </w:r>
      <w:r>
        <w:rPr>
          <w:rFonts w:eastAsia="黑体" w:cs="MingLiU_HKSCS" w:hint="eastAsia"/>
          <w:color w:val="000000" w:themeColor="text1"/>
          <w:szCs w:val="21"/>
          <w:lang w:val="zh-CN"/>
        </w:rPr>
        <w:t>38</w:t>
      </w:r>
      <w:r>
        <w:rPr>
          <w:rFonts w:eastAsia="黑体" w:cs="MingLiU_HKSCS" w:hint="eastAsia"/>
          <w:color w:val="000000" w:themeColor="text1"/>
          <w:szCs w:val="21"/>
          <w:lang w:val="zh-CN"/>
        </w:rPr>
        <w:t>】</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某案，其授权公告的权利要求</w:t>
      </w:r>
      <w:r>
        <w:rPr>
          <w:rFonts w:eastAsia="楷体_GB2312" w:cs="MingLiU_HKSCS"/>
          <w:color w:val="000000" w:themeColor="text1"/>
          <w:szCs w:val="21"/>
          <w:lang w:val="zh-CN"/>
        </w:rPr>
        <w:t>1</w:t>
      </w:r>
      <w:r>
        <w:rPr>
          <w:rFonts w:eastAsia="楷体_GB2312" w:cs="MingLiU_HKSCS" w:hint="eastAsia"/>
          <w:color w:val="000000" w:themeColor="text1"/>
          <w:szCs w:val="21"/>
          <w:lang w:val="zh-CN"/>
        </w:rPr>
        <w:t>为“一种治疗妇科瘀血证的中药组合物，由桂枝，茯苓，桃仁，白芍，牡丹皮组成。”专利说明书中记载了以桂枝作为君药。被控侵权产品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是一种治疗妇科瘀血证的中药组合物，由桂皮，茯苓，桃仁，白芍，牡丹皮组成。即被控侵权产品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的复方中用桂皮替代了专利技术方案中的桂枝。</w:t>
      </w:r>
    </w:p>
    <w:p w:rsidR="00800760" w:rsidRDefault="00235733">
      <w:pPr>
        <w:topLinePunct/>
        <w:rPr>
          <w:rFonts w:eastAsia="华文隶书" w:cs="MingLiU_HKSCS"/>
          <w:color w:val="000000" w:themeColor="text1"/>
          <w:szCs w:val="21"/>
          <w:lang w:val="zh-CN"/>
        </w:rPr>
      </w:pPr>
      <w:r>
        <w:rPr>
          <w:rFonts w:eastAsia="华文隶书" w:cs="MingLiU_HKSCS" w:hint="eastAsia"/>
          <w:color w:val="000000" w:themeColor="text1"/>
          <w:szCs w:val="21"/>
          <w:lang w:val="zh-CN"/>
        </w:rPr>
        <w:t>分析与评述：</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判断中药复方药味种类替换是否构成等同侵权时，不能机械地比对单一药材，而应从整体技术方案、所解决的技术问题和产生的技术效果进行综合判断。桂皮和桂枝是《中国药典》收载的两种不同的药材，其来源、性状、组成有所区别，但是，从中医理论和专利发明目的来看，桂皮和桂枝性味相同，在整体组方中均作为君药，具有相似的药性和归经，使用桂皮替换桂枝并未导致整体复方在治疗目的和效果上发生实质性变化，构成等同侵权。</w:t>
      </w:r>
    </w:p>
    <w:p w:rsidR="00800760" w:rsidRDefault="00C22A7B" w:rsidP="00C22A7B">
      <w:pPr>
        <w:keepNext/>
        <w:topLinePunct/>
        <w:spacing w:beforeLines="50"/>
        <w:outlineLvl w:val="4"/>
        <w:rPr>
          <w:rFonts w:eastAsia="黑体"/>
          <w:color w:val="000000" w:themeColor="text1"/>
        </w:rPr>
      </w:pPr>
      <w:r>
        <w:rPr>
          <w:rFonts w:eastAsia="黑体"/>
          <w:color w:val="000000" w:themeColor="text1"/>
        </w:rPr>
        <w:fldChar w:fldCharType="begin"/>
      </w:r>
      <w:r w:rsidR="00235733">
        <w:rPr>
          <w:rFonts w:eastAsia="黑体"/>
          <w:color w:val="000000" w:themeColor="text1"/>
        </w:rPr>
        <w:instrText>= 2 \* GB1</w:instrText>
      </w:r>
      <w:r>
        <w:rPr>
          <w:rFonts w:eastAsia="黑体"/>
          <w:color w:val="000000" w:themeColor="text1"/>
        </w:rPr>
        <w:fldChar w:fldCharType="separate"/>
      </w:r>
      <w:r w:rsidR="00235733">
        <w:rPr>
          <w:rFonts w:eastAsia="黑体" w:hint="eastAsia"/>
          <w:color w:val="000000" w:themeColor="text1"/>
        </w:rPr>
        <w:t>（</w:t>
      </w:r>
      <w:r w:rsidR="00235733">
        <w:rPr>
          <w:rFonts w:eastAsia="黑体" w:hint="eastAsia"/>
          <w:color w:val="000000" w:themeColor="text1"/>
          <w:lang w:val="en-US"/>
        </w:rPr>
        <w:t>2</w:t>
      </w:r>
      <w:r w:rsidR="00235733">
        <w:rPr>
          <w:rFonts w:eastAsia="黑体" w:hint="eastAsia"/>
          <w:color w:val="000000" w:themeColor="text1"/>
        </w:rPr>
        <w:t>）</w:t>
      </w:r>
      <w:r>
        <w:rPr>
          <w:rFonts w:eastAsia="黑体"/>
          <w:color w:val="000000" w:themeColor="text1"/>
        </w:rPr>
        <w:fldChar w:fldCharType="end"/>
      </w:r>
      <w:r w:rsidR="00235733">
        <w:rPr>
          <w:rFonts w:eastAsia="黑体" w:hint="eastAsia"/>
          <w:color w:val="000000" w:themeColor="text1"/>
        </w:rPr>
        <w:t>药味比例</w:t>
      </w:r>
    </w:p>
    <w:p w:rsidR="00800760" w:rsidRDefault="00235733">
      <w:pPr>
        <w:topLinePunct/>
        <w:rPr>
          <w:rFonts w:cs="MingLiU_HKSCS"/>
          <w:color w:val="000000" w:themeColor="text1"/>
          <w:szCs w:val="21"/>
        </w:rPr>
      </w:pPr>
      <w:r>
        <w:rPr>
          <w:rFonts w:cs="MingLiU_HKSCS" w:hint="eastAsia"/>
          <w:color w:val="000000" w:themeColor="text1"/>
          <w:szCs w:val="21"/>
        </w:rPr>
        <w:t>中药原料的用量配比关系决定了组合物的组方结构和主次作用，对组合物的疗效有直接影响。</w:t>
      </w:r>
      <w:r>
        <w:rPr>
          <w:rFonts w:cs="MingLiU_HKSCS" w:hint="eastAsia"/>
          <w:color w:val="000000" w:themeColor="text1"/>
          <w:szCs w:val="21"/>
          <w:lang w:val="zh-CN"/>
        </w:rPr>
        <w:t>在专利技术方案与被诉侵权产品之间存在药味比例不同的情况下，</w:t>
      </w:r>
      <w:r>
        <w:rPr>
          <w:rFonts w:cs="MingLiU_HKSCS"/>
          <w:color w:val="000000" w:themeColor="text1"/>
          <w:szCs w:val="21"/>
        </w:rPr>
        <w:t>应综合考虑药味</w:t>
      </w:r>
      <w:r>
        <w:rPr>
          <w:rFonts w:cs="MingLiU_HKSCS" w:hint="eastAsia"/>
          <w:color w:val="000000" w:themeColor="text1"/>
          <w:szCs w:val="21"/>
        </w:rPr>
        <w:t>的功能和作用，药味</w:t>
      </w:r>
      <w:r>
        <w:rPr>
          <w:rFonts w:cs="MingLiU_HKSCS"/>
          <w:color w:val="000000" w:themeColor="text1"/>
          <w:szCs w:val="21"/>
        </w:rPr>
        <w:t>比例</w:t>
      </w:r>
      <w:r>
        <w:rPr>
          <w:rFonts w:cs="MingLiU_HKSCS" w:hint="eastAsia"/>
          <w:color w:val="000000" w:themeColor="text1"/>
          <w:szCs w:val="21"/>
        </w:rPr>
        <w:t>特征</w:t>
      </w:r>
      <w:r>
        <w:rPr>
          <w:rFonts w:cs="MingLiU_HKSCS"/>
          <w:color w:val="000000" w:themeColor="text1"/>
          <w:szCs w:val="21"/>
        </w:rPr>
        <w:t>对治疗效果、毒副作用、是否产生新的医药用途等因素的影响。</w:t>
      </w:r>
    </w:p>
    <w:p w:rsidR="00800760" w:rsidRDefault="00235733" w:rsidP="00C22A7B">
      <w:pPr>
        <w:keepNext/>
        <w:topLinePunct/>
        <w:spacing w:beforeLines="50"/>
        <w:rPr>
          <w:rFonts w:eastAsia="黑体" w:cs="MingLiU_HKSCS"/>
          <w:color w:val="000000" w:themeColor="text1"/>
          <w:szCs w:val="21"/>
          <w:lang w:val="zh-CN"/>
        </w:rPr>
      </w:pPr>
      <w:r>
        <w:rPr>
          <w:rFonts w:eastAsia="黑体" w:cs="MingLiU_HKSCS" w:hint="eastAsia"/>
          <w:color w:val="000000" w:themeColor="text1"/>
          <w:szCs w:val="21"/>
          <w:lang w:val="zh-CN"/>
        </w:rPr>
        <w:t>【案例</w:t>
      </w:r>
      <w:r>
        <w:rPr>
          <w:rFonts w:eastAsia="黑体" w:cs="MingLiU_HKSCS" w:hint="eastAsia"/>
          <w:color w:val="000000" w:themeColor="text1"/>
          <w:szCs w:val="21"/>
        </w:rPr>
        <w:t>3</w:t>
      </w:r>
      <w:r>
        <w:rPr>
          <w:rFonts w:eastAsia="黑体" w:cs="MingLiU_HKSCS"/>
          <w:color w:val="000000" w:themeColor="text1"/>
          <w:szCs w:val="21"/>
          <w:lang w:val="zh-CN"/>
        </w:rPr>
        <w:t>-</w:t>
      </w:r>
      <w:r>
        <w:rPr>
          <w:rFonts w:eastAsia="黑体" w:cs="MingLiU_HKSCS" w:hint="eastAsia"/>
          <w:color w:val="000000" w:themeColor="text1"/>
          <w:szCs w:val="21"/>
        </w:rPr>
        <w:t>4</w:t>
      </w:r>
      <w:r>
        <w:rPr>
          <w:rFonts w:eastAsia="黑体" w:cs="MingLiU_HKSCS"/>
          <w:color w:val="000000" w:themeColor="text1"/>
          <w:szCs w:val="21"/>
          <w:lang w:val="zh-CN"/>
        </w:rPr>
        <w:t>-</w:t>
      </w:r>
      <w:r>
        <w:rPr>
          <w:rFonts w:eastAsia="黑体" w:cs="MingLiU_HKSCS" w:hint="eastAsia"/>
          <w:color w:val="000000" w:themeColor="text1"/>
          <w:szCs w:val="21"/>
          <w:lang w:val="zh-CN"/>
        </w:rPr>
        <w:t>39</w:t>
      </w:r>
      <w:r>
        <w:rPr>
          <w:rFonts w:eastAsia="黑体" w:cs="MingLiU_HKSCS" w:hint="eastAsia"/>
          <w:color w:val="000000" w:themeColor="text1"/>
          <w:szCs w:val="21"/>
          <w:lang w:val="zh-CN"/>
        </w:rPr>
        <w:t>】</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某案，其授权公告的权利要求</w:t>
      </w:r>
      <w:r>
        <w:rPr>
          <w:rFonts w:eastAsia="楷体_GB2312" w:cs="MingLiU_HKSCS"/>
          <w:color w:val="000000" w:themeColor="text1"/>
          <w:szCs w:val="21"/>
          <w:lang w:val="zh-CN"/>
        </w:rPr>
        <w:t>1</w:t>
      </w:r>
      <w:r>
        <w:rPr>
          <w:rFonts w:eastAsia="楷体_GB2312" w:cs="MingLiU_HKSCS" w:hint="eastAsia"/>
          <w:color w:val="000000" w:themeColor="text1"/>
          <w:szCs w:val="21"/>
          <w:lang w:val="zh-CN"/>
        </w:rPr>
        <w:t>为“一种治疗急性扁桃体炎的中药组合物，由生地</w:t>
      </w:r>
      <w:r>
        <w:rPr>
          <w:rFonts w:eastAsia="楷体_GB2312" w:cs="MingLiU_HKSCS" w:hint="eastAsia"/>
          <w:color w:val="000000" w:themeColor="text1"/>
          <w:szCs w:val="21"/>
          <w:lang w:val="zh-CN"/>
        </w:rPr>
        <w:t>12</w:t>
      </w:r>
      <w:r>
        <w:rPr>
          <w:rFonts w:eastAsia="楷体_GB2312" w:cs="MingLiU_HKSCS" w:hint="eastAsia"/>
          <w:color w:val="000000" w:themeColor="text1"/>
          <w:szCs w:val="21"/>
          <w:lang w:val="zh-CN"/>
        </w:rPr>
        <w:t>份，玄参</w:t>
      </w:r>
      <w:r>
        <w:rPr>
          <w:rFonts w:eastAsia="楷体_GB2312" w:cs="MingLiU_HKSCS" w:hint="eastAsia"/>
          <w:color w:val="000000" w:themeColor="text1"/>
          <w:szCs w:val="21"/>
          <w:lang w:val="zh-CN"/>
        </w:rPr>
        <w:t>9</w:t>
      </w:r>
      <w:r>
        <w:rPr>
          <w:rFonts w:eastAsia="楷体_GB2312" w:cs="MingLiU_HKSCS" w:hint="eastAsia"/>
          <w:color w:val="000000" w:themeColor="text1"/>
          <w:szCs w:val="21"/>
          <w:lang w:val="zh-CN"/>
        </w:rPr>
        <w:t>份，麦冬</w:t>
      </w:r>
      <w:r>
        <w:rPr>
          <w:rFonts w:eastAsia="楷体_GB2312" w:cs="MingLiU_HKSCS" w:hint="eastAsia"/>
          <w:color w:val="000000" w:themeColor="text1"/>
          <w:szCs w:val="21"/>
          <w:lang w:val="zh-CN"/>
        </w:rPr>
        <w:t>9</w:t>
      </w:r>
      <w:r>
        <w:rPr>
          <w:rFonts w:eastAsia="楷体_GB2312" w:cs="MingLiU_HKSCS" w:hint="eastAsia"/>
          <w:color w:val="000000" w:themeColor="text1"/>
          <w:szCs w:val="21"/>
          <w:lang w:val="zh-CN"/>
        </w:rPr>
        <w:t>份，丹皮</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份，白芍</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份，贝母</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份，生甘草</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份组成，”说明书中记载了生地为君药，玄参、麦冬为臣药，丹皮、白芍、贝母为佐药，生甘草为使药。被控侵权产品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是一种治疗急性扁桃体炎的中药组合物，与专利技术方案相比，将白芍、贝母分别由</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份减为</w:t>
      </w:r>
      <w:r>
        <w:rPr>
          <w:rFonts w:eastAsia="楷体_GB2312" w:cs="MingLiU_HKSCS" w:hint="eastAsia"/>
          <w:color w:val="000000" w:themeColor="text1"/>
          <w:szCs w:val="21"/>
          <w:lang w:val="zh-CN"/>
        </w:rPr>
        <w:t>2</w:t>
      </w:r>
      <w:r>
        <w:rPr>
          <w:rFonts w:eastAsia="楷体_GB2312" w:cs="MingLiU_HKSCS" w:hint="eastAsia"/>
          <w:color w:val="000000" w:themeColor="text1"/>
          <w:szCs w:val="21"/>
          <w:lang w:val="zh-CN"/>
        </w:rPr>
        <w:t>份，将甘草由</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份增加为</w:t>
      </w:r>
      <w:r>
        <w:rPr>
          <w:rFonts w:eastAsia="楷体_GB2312" w:cs="MingLiU_HKSCS" w:hint="eastAsia"/>
          <w:color w:val="000000" w:themeColor="text1"/>
          <w:szCs w:val="21"/>
          <w:lang w:val="zh-CN"/>
        </w:rPr>
        <w:t>5</w:t>
      </w:r>
      <w:r>
        <w:rPr>
          <w:rFonts w:eastAsia="楷体_GB2312" w:cs="MingLiU_HKSCS" w:hint="eastAsia"/>
          <w:color w:val="000000" w:themeColor="text1"/>
          <w:szCs w:val="21"/>
          <w:lang w:val="zh-CN"/>
        </w:rPr>
        <w:t>份。</w:t>
      </w:r>
    </w:p>
    <w:p w:rsidR="00800760" w:rsidRDefault="00235733">
      <w:pPr>
        <w:topLinePunct/>
        <w:rPr>
          <w:rFonts w:eastAsia="华文隶书" w:cs="MingLiU_HKSCS"/>
          <w:color w:val="000000" w:themeColor="text1"/>
          <w:szCs w:val="21"/>
          <w:lang w:val="zh-CN"/>
        </w:rPr>
      </w:pPr>
      <w:r>
        <w:rPr>
          <w:rFonts w:eastAsia="华文隶书" w:cs="MingLiU_HKSCS" w:hint="eastAsia"/>
          <w:color w:val="000000" w:themeColor="text1"/>
          <w:szCs w:val="21"/>
          <w:lang w:val="zh-CN"/>
        </w:rPr>
        <w:t>分析与评述：</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被控侵权产品在保持君药和臣药不变的情况下，仅对其中佐药白芍、贝母和使药甘草的用量进行了微调，这种常规的用量加减变化并未影响原方的君臣佐使配伍关系，也没有改变组方的功用和主治，构成等同侵权。</w:t>
      </w:r>
    </w:p>
    <w:p w:rsidR="00800760" w:rsidRDefault="00235733" w:rsidP="00C22A7B">
      <w:pPr>
        <w:keepNext/>
        <w:topLinePunct/>
        <w:spacing w:beforeLines="50"/>
        <w:outlineLvl w:val="4"/>
        <w:rPr>
          <w:rFonts w:eastAsia="黑体"/>
          <w:color w:val="000000" w:themeColor="text1"/>
        </w:rPr>
      </w:pPr>
      <w:r>
        <w:rPr>
          <w:rFonts w:eastAsia="黑体" w:hint="eastAsia"/>
          <w:color w:val="000000" w:themeColor="text1"/>
        </w:rPr>
        <w:t>（</w:t>
      </w:r>
      <w:r>
        <w:rPr>
          <w:rFonts w:eastAsia="黑体" w:hint="eastAsia"/>
          <w:color w:val="000000" w:themeColor="text1"/>
          <w:lang w:val="en-US"/>
        </w:rPr>
        <w:t>3</w:t>
      </w:r>
      <w:r>
        <w:rPr>
          <w:rFonts w:eastAsia="黑体" w:hint="eastAsia"/>
          <w:color w:val="000000" w:themeColor="text1"/>
        </w:rPr>
        <w:t>）方法参数</w:t>
      </w:r>
    </w:p>
    <w:p w:rsidR="00800760" w:rsidRDefault="00235733">
      <w:pPr>
        <w:topLinePunct/>
        <w:rPr>
          <w:rFonts w:cs="MingLiU_HKSCS"/>
          <w:color w:val="000000" w:themeColor="text1"/>
          <w:szCs w:val="21"/>
          <w:lang w:val="zh-CN"/>
        </w:rPr>
      </w:pPr>
      <w:r>
        <w:rPr>
          <w:rFonts w:cs="MingLiU_HKSCS" w:hint="eastAsia"/>
          <w:color w:val="000000" w:themeColor="text1"/>
          <w:szCs w:val="21"/>
          <w:lang w:val="zh-CN"/>
        </w:rPr>
        <w:t>中药制备过程一般包括炮制过程、煎煮提取过程、制剂过程等。根据中药领域的常识，炮制和提取方法决定了产品的组成，通过不同的溶剂或者分离步骤所获得的终产物组成一般不同，而制剂过程通常会影响药物的体内过程，上述因素均可能影响体内疗效和安全性。在涉及中药制备方法参数特征的判定过程中，应当重视步骤参数特征对技术效果的影响。</w:t>
      </w:r>
    </w:p>
    <w:p w:rsidR="00800760" w:rsidRDefault="00235733" w:rsidP="00C22A7B">
      <w:pPr>
        <w:keepNext/>
        <w:topLinePunct/>
        <w:spacing w:beforeLines="50"/>
        <w:rPr>
          <w:rFonts w:eastAsia="黑体" w:cs="MingLiU_HKSCS"/>
          <w:color w:val="000000" w:themeColor="text1"/>
          <w:szCs w:val="21"/>
          <w:lang w:val="zh-CN"/>
        </w:rPr>
      </w:pPr>
      <w:r>
        <w:rPr>
          <w:rFonts w:eastAsia="黑体" w:cs="MingLiU_HKSCS" w:hint="eastAsia"/>
          <w:color w:val="000000" w:themeColor="text1"/>
          <w:szCs w:val="21"/>
          <w:lang w:val="zh-CN"/>
        </w:rPr>
        <w:t>【案例</w:t>
      </w:r>
      <w:r>
        <w:rPr>
          <w:rFonts w:eastAsia="黑体" w:cs="MingLiU_HKSCS" w:hint="eastAsia"/>
          <w:color w:val="000000" w:themeColor="text1"/>
          <w:szCs w:val="21"/>
        </w:rPr>
        <w:t>3</w:t>
      </w:r>
      <w:r>
        <w:rPr>
          <w:rFonts w:eastAsia="黑体" w:cs="MingLiU_HKSCS"/>
          <w:color w:val="000000" w:themeColor="text1"/>
          <w:szCs w:val="21"/>
          <w:lang w:val="zh-CN"/>
        </w:rPr>
        <w:t>-</w:t>
      </w:r>
      <w:r>
        <w:rPr>
          <w:rFonts w:eastAsia="黑体" w:cs="MingLiU_HKSCS" w:hint="eastAsia"/>
          <w:color w:val="000000" w:themeColor="text1"/>
          <w:szCs w:val="21"/>
        </w:rPr>
        <w:t>4</w:t>
      </w:r>
      <w:r>
        <w:rPr>
          <w:rFonts w:eastAsia="黑体" w:cs="MingLiU_HKSCS"/>
          <w:color w:val="000000" w:themeColor="text1"/>
          <w:szCs w:val="21"/>
          <w:lang w:val="zh-CN"/>
        </w:rPr>
        <w:t>-</w:t>
      </w:r>
      <w:r>
        <w:rPr>
          <w:rFonts w:eastAsia="黑体" w:cs="MingLiU_HKSCS" w:hint="eastAsia"/>
          <w:color w:val="000000" w:themeColor="text1"/>
          <w:szCs w:val="21"/>
          <w:lang w:val="zh-CN"/>
        </w:rPr>
        <w:t>40</w:t>
      </w:r>
      <w:r>
        <w:rPr>
          <w:rFonts w:eastAsia="黑体" w:cs="MingLiU_HKSCS" w:hint="eastAsia"/>
          <w:color w:val="000000" w:themeColor="text1"/>
          <w:szCs w:val="21"/>
          <w:lang w:val="zh-CN"/>
        </w:rPr>
        <w:t>】</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某案，涉案专利权利要求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为“一种独一味的软胶囊制剂，其特征在于，该软胶囊由如下重量份的原料药组成：独一味提取物</w:t>
      </w:r>
      <w:r>
        <w:rPr>
          <w:rFonts w:eastAsia="楷体_GB2312" w:cs="MingLiU_HKSCS" w:hint="eastAsia"/>
          <w:color w:val="000000" w:themeColor="text1"/>
          <w:szCs w:val="21"/>
          <w:lang w:val="zh-CN"/>
        </w:rPr>
        <w:t>20</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30</w:t>
      </w:r>
      <w:r>
        <w:rPr>
          <w:rFonts w:eastAsia="楷体_GB2312" w:cs="MingLiU_HKSCS" w:hint="eastAsia"/>
          <w:color w:val="000000" w:themeColor="text1"/>
          <w:szCs w:val="21"/>
          <w:lang w:val="zh-CN"/>
        </w:rPr>
        <w:t>重量份，植物油</w:t>
      </w:r>
      <w:r>
        <w:rPr>
          <w:rFonts w:eastAsia="楷体_GB2312" w:cs="MingLiU_HKSCS" w:hint="eastAsia"/>
          <w:color w:val="000000" w:themeColor="text1"/>
          <w:szCs w:val="21"/>
          <w:lang w:val="zh-CN"/>
        </w:rPr>
        <w:t>25</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36</w:t>
      </w:r>
      <w:r>
        <w:rPr>
          <w:rFonts w:eastAsia="楷体_GB2312" w:cs="MingLiU_HKSCS" w:hint="eastAsia"/>
          <w:color w:val="000000" w:themeColor="text1"/>
          <w:szCs w:val="21"/>
          <w:lang w:val="zh-CN"/>
        </w:rPr>
        <w:t>重量份，助悬剂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 xml:space="preserve"> 5</w:t>
      </w:r>
      <w:r>
        <w:rPr>
          <w:rFonts w:eastAsia="楷体_GB2312" w:cs="MingLiU_HKSCS" w:hint="eastAsia"/>
          <w:color w:val="000000" w:themeColor="text1"/>
          <w:szCs w:val="21"/>
          <w:lang w:val="zh-CN"/>
        </w:rPr>
        <w:t>重量份；其中独一味提取物由如下方法制备：取独一味药材，粉碎成最粗粉，加水煎煮二次，第一次加</w:t>
      </w:r>
      <w:r>
        <w:rPr>
          <w:rFonts w:eastAsia="楷体_GB2312" w:cs="MingLiU_HKSCS" w:hint="eastAsia"/>
          <w:color w:val="000000" w:themeColor="text1"/>
          <w:szCs w:val="21"/>
          <w:lang w:val="zh-CN"/>
        </w:rPr>
        <w:t>10</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 xml:space="preserve">30 </w:t>
      </w:r>
      <w:r>
        <w:rPr>
          <w:rFonts w:eastAsia="楷体_GB2312" w:cs="MingLiU_HKSCS" w:hint="eastAsia"/>
          <w:color w:val="000000" w:themeColor="text1"/>
          <w:szCs w:val="21"/>
          <w:lang w:val="zh-CN"/>
        </w:rPr>
        <w:t>倍量的水，煎煮</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2</w:t>
      </w:r>
      <w:r>
        <w:rPr>
          <w:rFonts w:eastAsia="楷体_GB2312" w:cs="MingLiU_HKSCS" w:hint="eastAsia"/>
          <w:color w:val="000000" w:themeColor="text1"/>
          <w:szCs w:val="21"/>
          <w:lang w:val="zh-CN"/>
        </w:rPr>
        <w:t>小时，第二次加</w:t>
      </w:r>
      <w:r>
        <w:rPr>
          <w:rFonts w:eastAsia="楷体_GB2312" w:cs="MingLiU_HKSCS" w:hint="eastAsia"/>
          <w:color w:val="000000" w:themeColor="text1"/>
          <w:szCs w:val="21"/>
          <w:lang w:val="zh-CN"/>
        </w:rPr>
        <w:t>10</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20</w:t>
      </w:r>
      <w:r>
        <w:rPr>
          <w:rFonts w:eastAsia="楷体_GB2312" w:cs="MingLiU_HKSCS" w:hint="eastAsia"/>
          <w:color w:val="000000" w:themeColor="text1"/>
          <w:szCs w:val="21"/>
          <w:lang w:val="zh-CN"/>
        </w:rPr>
        <w:t>倍量水，煎煮</w:t>
      </w:r>
      <w:r>
        <w:rPr>
          <w:rFonts w:eastAsia="楷体_GB2312" w:cs="MingLiU_HKSCS" w:hint="eastAsia"/>
          <w:color w:val="000000" w:themeColor="text1"/>
          <w:szCs w:val="21"/>
          <w:lang w:val="zh-CN"/>
        </w:rPr>
        <w:t>0.5</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1. 5</w:t>
      </w:r>
      <w:r>
        <w:rPr>
          <w:rFonts w:eastAsia="楷体_GB2312" w:cs="MingLiU_HKSCS" w:hint="eastAsia"/>
          <w:color w:val="000000" w:themeColor="text1"/>
          <w:szCs w:val="21"/>
          <w:lang w:val="zh-CN"/>
        </w:rPr>
        <w:t>小时，</w:t>
      </w:r>
      <w:r>
        <w:rPr>
          <w:rFonts w:eastAsia="楷体_GB2312" w:cs="MingLiU_HKSCS" w:hint="eastAsia"/>
          <w:color w:val="000000" w:themeColor="text1"/>
          <w:szCs w:val="21"/>
          <w:lang w:val="zh-CN"/>
        </w:rPr>
        <w:t xml:space="preserve"> </w:t>
      </w:r>
      <w:r>
        <w:rPr>
          <w:rFonts w:eastAsia="楷体_GB2312" w:cs="MingLiU_HKSCS" w:hint="eastAsia"/>
          <w:color w:val="000000" w:themeColor="text1"/>
          <w:szCs w:val="21"/>
          <w:lang w:val="zh-CN"/>
        </w:rPr>
        <w:t>合并药液，滤过，滤液浓缩成稠膏，减压干燥，粉碎成细粉，过</w:t>
      </w:r>
      <w:r>
        <w:rPr>
          <w:rFonts w:eastAsia="楷体_GB2312" w:cs="MingLiU_HKSCS" w:hint="eastAsia"/>
          <w:color w:val="000000" w:themeColor="text1"/>
          <w:szCs w:val="21"/>
          <w:lang w:val="zh-CN"/>
        </w:rPr>
        <w:t>200</w:t>
      </w:r>
      <w:r>
        <w:rPr>
          <w:rFonts w:eastAsia="楷体_GB2312" w:cs="MingLiU_HKSCS" w:hint="eastAsia"/>
          <w:color w:val="000000" w:themeColor="text1"/>
          <w:szCs w:val="21"/>
          <w:lang w:val="zh-CN"/>
        </w:rPr>
        <w:t>目筛，</w:t>
      </w:r>
      <w:r>
        <w:rPr>
          <w:rFonts w:eastAsia="楷体_GB2312" w:cs="MingLiU_HKSCS" w:hint="eastAsia"/>
          <w:color w:val="000000" w:themeColor="text1"/>
          <w:szCs w:val="21"/>
          <w:lang w:val="zh-CN"/>
        </w:rPr>
        <w:t xml:space="preserve"> </w:t>
      </w:r>
      <w:r>
        <w:rPr>
          <w:rFonts w:eastAsia="楷体_GB2312" w:cs="MingLiU_HKSCS" w:hint="eastAsia"/>
          <w:color w:val="000000" w:themeColor="text1"/>
          <w:szCs w:val="21"/>
          <w:lang w:val="zh-CN"/>
        </w:rPr>
        <w:t>备用。”被控侵权产品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为独一味软胶囊，其制备工艺与涉案权利要求的区别在于煎煮次数不同（加水煎煮</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次）和对于粉碎程度的描述不同（研成细粉）。</w:t>
      </w:r>
    </w:p>
    <w:p w:rsidR="00800760" w:rsidRDefault="00235733">
      <w:pPr>
        <w:topLinePunct/>
        <w:rPr>
          <w:rFonts w:eastAsia="华文隶书" w:cs="MingLiU_HKSCS"/>
          <w:color w:val="000000" w:themeColor="text1"/>
          <w:szCs w:val="21"/>
          <w:lang w:val="zh-CN"/>
        </w:rPr>
      </w:pPr>
      <w:r>
        <w:rPr>
          <w:rFonts w:eastAsia="华文隶书" w:cs="MingLiU_HKSCS" w:hint="eastAsia"/>
          <w:color w:val="000000" w:themeColor="text1"/>
          <w:szCs w:val="21"/>
          <w:lang w:val="zh-CN"/>
        </w:rPr>
        <w:t>分析与评述：</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本案的争议焦点在于涉案专利“加水煎煮</w:t>
      </w:r>
      <w:r>
        <w:rPr>
          <w:rFonts w:eastAsia="楷体_GB2312" w:cs="MingLiU_HKSCS" w:hint="eastAsia"/>
          <w:color w:val="000000" w:themeColor="text1"/>
          <w:szCs w:val="21"/>
          <w:lang w:val="zh-CN"/>
        </w:rPr>
        <w:t>2</w:t>
      </w:r>
      <w:r>
        <w:rPr>
          <w:rFonts w:eastAsia="楷体_GB2312" w:cs="MingLiU_HKSCS" w:hint="eastAsia"/>
          <w:color w:val="000000" w:themeColor="text1"/>
          <w:szCs w:val="21"/>
          <w:lang w:val="zh-CN"/>
        </w:rPr>
        <w:t>次”、“研磨成细粉后过</w:t>
      </w:r>
      <w:r>
        <w:rPr>
          <w:rFonts w:eastAsia="楷体_GB2312" w:cs="MingLiU_HKSCS" w:hint="eastAsia"/>
          <w:color w:val="000000" w:themeColor="text1"/>
          <w:szCs w:val="21"/>
          <w:lang w:val="zh-CN"/>
        </w:rPr>
        <w:t>200</w:t>
      </w:r>
      <w:r>
        <w:rPr>
          <w:rFonts w:eastAsia="楷体_GB2312" w:cs="MingLiU_HKSCS" w:hint="eastAsia"/>
          <w:color w:val="000000" w:themeColor="text1"/>
          <w:szCs w:val="21"/>
          <w:lang w:val="zh-CN"/>
        </w:rPr>
        <w:t>目筛”这两个方法特征与待裁决中药产品制备方法中“加水煎煮</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次”、“研成细粉”是否构成等同特征。根据《中华人民共和国药典》记载，“研成细粉”是指过</w:t>
      </w:r>
      <w:r>
        <w:rPr>
          <w:rFonts w:eastAsia="楷体_GB2312" w:cs="MingLiU_HKSCS" w:hint="eastAsia"/>
          <w:color w:val="000000" w:themeColor="text1"/>
          <w:szCs w:val="21"/>
          <w:lang w:val="zh-CN"/>
        </w:rPr>
        <w:t>80</w:t>
      </w:r>
      <w:r>
        <w:rPr>
          <w:rFonts w:eastAsia="楷体_GB2312" w:cs="MingLiU_HKSCS" w:hint="eastAsia"/>
          <w:color w:val="000000" w:themeColor="text1"/>
          <w:szCs w:val="21"/>
          <w:lang w:val="zh-CN"/>
        </w:rPr>
        <w:t>目筛的细粉，与涉案专利“粉碎成细粉，过</w:t>
      </w:r>
      <w:r>
        <w:rPr>
          <w:rFonts w:eastAsia="楷体_GB2312" w:cs="MingLiU_HKSCS" w:hint="eastAsia"/>
          <w:color w:val="000000" w:themeColor="text1"/>
          <w:szCs w:val="21"/>
          <w:lang w:val="zh-CN"/>
        </w:rPr>
        <w:t>200</w:t>
      </w:r>
      <w:r>
        <w:rPr>
          <w:rFonts w:eastAsia="楷体_GB2312" w:cs="MingLiU_HKSCS" w:hint="eastAsia"/>
          <w:color w:val="000000" w:themeColor="text1"/>
          <w:szCs w:val="21"/>
          <w:lang w:val="zh-CN"/>
        </w:rPr>
        <w:t>目筛”获得的粉末粒度不同。涉案专利说明书强调了“煎煮</w:t>
      </w:r>
      <w:r>
        <w:rPr>
          <w:rFonts w:eastAsia="楷体_GB2312" w:cs="MingLiU_HKSCS" w:hint="eastAsia"/>
          <w:color w:val="000000" w:themeColor="text1"/>
          <w:szCs w:val="21"/>
          <w:lang w:val="zh-CN"/>
        </w:rPr>
        <w:t>2</w:t>
      </w:r>
      <w:r>
        <w:rPr>
          <w:rFonts w:eastAsia="楷体_GB2312" w:cs="MingLiU_HKSCS" w:hint="eastAsia"/>
          <w:color w:val="000000" w:themeColor="text1"/>
          <w:szCs w:val="21"/>
          <w:lang w:val="zh-CN"/>
        </w:rPr>
        <w:t>次与煎煮</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次相比可以降低生产成本，所以选择煎煮</w:t>
      </w:r>
      <w:r>
        <w:rPr>
          <w:rFonts w:eastAsia="楷体_GB2312" w:cs="MingLiU_HKSCS" w:hint="eastAsia"/>
          <w:color w:val="000000" w:themeColor="text1"/>
          <w:szCs w:val="21"/>
          <w:lang w:val="zh-CN"/>
        </w:rPr>
        <w:t>2</w:t>
      </w:r>
      <w:r>
        <w:rPr>
          <w:rFonts w:eastAsia="楷体_GB2312" w:cs="MingLiU_HKSCS" w:hint="eastAsia"/>
          <w:color w:val="000000" w:themeColor="text1"/>
          <w:szCs w:val="21"/>
          <w:lang w:val="zh-CN"/>
        </w:rPr>
        <w:t>次”，“将独一味提取物粉碎成过</w:t>
      </w:r>
      <w:r>
        <w:rPr>
          <w:rFonts w:eastAsia="楷体_GB2312" w:cs="MingLiU_HKSCS" w:hint="eastAsia"/>
          <w:color w:val="000000" w:themeColor="text1"/>
          <w:szCs w:val="21"/>
          <w:lang w:val="zh-CN"/>
        </w:rPr>
        <w:t>200</w:t>
      </w:r>
      <w:r>
        <w:rPr>
          <w:rFonts w:eastAsia="楷体_GB2312" w:cs="MingLiU_HKSCS" w:hint="eastAsia"/>
          <w:color w:val="000000" w:themeColor="text1"/>
          <w:szCs w:val="21"/>
          <w:lang w:val="zh-CN"/>
        </w:rPr>
        <w:t>目筛的细粉制成的软胶囊内容物混悬体系最稳定”，表明煎煮次数、过筛目数对于技术效果有影响。因此，“煎煮</w:t>
      </w:r>
      <w:r>
        <w:rPr>
          <w:rFonts w:eastAsia="楷体_GB2312" w:cs="MingLiU_HKSCS" w:hint="eastAsia"/>
          <w:color w:val="000000" w:themeColor="text1"/>
          <w:szCs w:val="21"/>
          <w:lang w:val="zh-CN"/>
        </w:rPr>
        <w:t>2</w:t>
      </w:r>
      <w:r>
        <w:rPr>
          <w:rFonts w:eastAsia="楷体_GB2312" w:cs="MingLiU_HKSCS" w:hint="eastAsia"/>
          <w:color w:val="000000" w:themeColor="text1"/>
          <w:szCs w:val="21"/>
          <w:lang w:val="zh-CN"/>
        </w:rPr>
        <w:t>次”与“煎煮</w:t>
      </w:r>
      <w:r>
        <w:rPr>
          <w:rFonts w:eastAsia="楷体_GB2312" w:cs="MingLiU_HKSCS" w:hint="eastAsia"/>
          <w:color w:val="000000" w:themeColor="text1"/>
          <w:szCs w:val="21"/>
          <w:lang w:val="zh-CN"/>
        </w:rPr>
        <w:t>3</w:t>
      </w:r>
      <w:r>
        <w:rPr>
          <w:rFonts w:eastAsia="楷体_GB2312" w:cs="MingLiU_HKSCS" w:hint="eastAsia"/>
          <w:color w:val="000000" w:themeColor="text1"/>
          <w:szCs w:val="21"/>
          <w:lang w:val="zh-CN"/>
        </w:rPr>
        <w:t>次”相比、“粉碎成细粉，过</w:t>
      </w:r>
      <w:r>
        <w:rPr>
          <w:rFonts w:eastAsia="楷体_GB2312" w:cs="MingLiU_HKSCS" w:hint="eastAsia"/>
          <w:color w:val="000000" w:themeColor="text1"/>
          <w:szCs w:val="21"/>
          <w:lang w:val="zh-CN"/>
        </w:rPr>
        <w:t>200</w:t>
      </w:r>
      <w:r>
        <w:rPr>
          <w:rFonts w:eastAsia="楷体_GB2312" w:cs="MingLiU_HKSCS" w:hint="eastAsia"/>
          <w:color w:val="000000" w:themeColor="text1"/>
          <w:szCs w:val="21"/>
          <w:lang w:val="zh-CN"/>
        </w:rPr>
        <w:t>目筛”与“研成细粉”相比，均不构成等同特征。</w:t>
      </w:r>
    </w:p>
    <w:p w:rsidR="00800760" w:rsidRDefault="00235733" w:rsidP="00C22A7B">
      <w:pPr>
        <w:keepNext/>
        <w:topLinePunct/>
        <w:spacing w:beforeLines="50"/>
        <w:outlineLvl w:val="4"/>
        <w:rPr>
          <w:rFonts w:eastAsia="黑体"/>
          <w:color w:val="000000" w:themeColor="text1"/>
        </w:rPr>
      </w:pPr>
      <w:r>
        <w:rPr>
          <w:rFonts w:eastAsia="黑体" w:hint="eastAsia"/>
          <w:color w:val="000000" w:themeColor="text1"/>
        </w:rPr>
        <w:t>（</w:t>
      </w:r>
      <w:r>
        <w:rPr>
          <w:rFonts w:eastAsia="黑体" w:hint="eastAsia"/>
          <w:color w:val="000000" w:themeColor="text1"/>
          <w:lang w:val="en-US"/>
        </w:rPr>
        <w:t>4</w:t>
      </w:r>
      <w:r>
        <w:rPr>
          <w:rFonts w:eastAsia="黑体" w:hint="eastAsia"/>
          <w:color w:val="000000" w:themeColor="text1"/>
        </w:rPr>
        <w:t>）疾病名称</w:t>
      </w:r>
    </w:p>
    <w:p w:rsidR="00800760" w:rsidRDefault="00235733">
      <w:pPr>
        <w:topLinePunct/>
        <w:rPr>
          <w:color w:val="000000" w:themeColor="text1"/>
          <w:szCs w:val="21"/>
        </w:rPr>
      </w:pPr>
      <w:r>
        <w:rPr>
          <w:rFonts w:hint="eastAsia"/>
          <w:color w:val="000000" w:themeColor="text1"/>
          <w:szCs w:val="21"/>
          <w:lang w:val="en-US"/>
        </w:rPr>
        <w:t>①</w:t>
      </w:r>
      <w:r>
        <w:rPr>
          <w:rFonts w:hint="eastAsia"/>
          <w:color w:val="000000" w:themeColor="text1"/>
          <w:szCs w:val="21"/>
        </w:rPr>
        <w:t>疾病与证型</w:t>
      </w:r>
    </w:p>
    <w:p w:rsidR="00800760" w:rsidRDefault="00235733">
      <w:pPr>
        <w:topLinePunct/>
        <w:rPr>
          <w:color w:val="000000" w:themeColor="text1"/>
          <w:szCs w:val="21"/>
        </w:rPr>
      </w:pPr>
      <w:r>
        <w:rPr>
          <w:color w:val="000000" w:themeColor="text1"/>
          <w:szCs w:val="21"/>
        </w:rPr>
        <w:t>以证型限定的中医疾病通常属于该疾病的一种类型，</w:t>
      </w:r>
      <w:r>
        <w:rPr>
          <w:rFonts w:hint="eastAsia"/>
          <w:color w:val="000000" w:themeColor="text1"/>
          <w:szCs w:val="21"/>
        </w:rPr>
        <w:t>落入</w:t>
      </w:r>
      <w:r>
        <w:rPr>
          <w:color w:val="000000" w:themeColor="text1"/>
          <w:szCs w:val="21"/>
        </w:rPr>
        <w:t>该疾病的</w:t>
      </w:r>
      <w:r>
        <w:rPr>
          <w:rFonts w:hint="eastAsia"/>
          <w:color w:val="000000" w:themeColor="text1"/>
          <w:szCs w:val="21"/>
        </w:rPr>
        <w:t>保护</w:t>
      </w:r>
      <w:r>
        <w:rPr>
          <w:color w:val="000000" w:themeColor="text1"/>
          <w:szCs w:val="21"/>
        </w:rPr>
        <w:t>范围</w:t>
      </w:r>
      <w:r>
        <w:rPr>
          <w:rFonts w:hint="eastAsia"/>
          <w:color w:val="000000" w:themeColor="text1"/>
          <w:szCs w:val="21"/>
        </w:rPr>
        <w:t>。</w:t>
      </w:r>
    </w:p>
    <w:p w:rsidR="00800760" w:rsidRDefault="00235733" w:rsidP="00C22A7B">
      <w:pPr>
        <w:keepNext/>
        <w:topLinePunct/>
        <w:spacing w:beforeLines="50"/>
        <w:rPr>
          <w:rFonts w:eastAsia="黑体" w:cs="MingLiU_HKSCS"/>
          <w:color w:val="000000" w:themeColor="text1"/>
          <w:szCs w:val="21"/>
          <w:lang w:val="zh-CN"/>
        </w:rPr>
      </w:pPr>
      <w:r>
        <w:rPr>
          <w:rFonts w:eastAsia="黑体" w:cs="MingLiU_HKSCS" w:hint="eastAsia"/>
          <w:color w:val="000000" w:themeColor="text1"/>
          <w:szCs w:val="21"/>
          <w:lang w:val="zh-CN"/>
        </w:rPr>
        <w:t>【案例</w:t>
      </w:r>
      <w:r>
        <w:rPr>
          <w:rFonts w:eastAsia="黑体" w:cs="MingLiU_HKSCS" w:hint="eastAsia"/>
          <w:color w:val="000000" w:themeColor="text1"/>
          <w:szCs w:val="21"/>
        </w:rPr>
        <w:t>3</w:t>
      </w:r>
      <w:r>
        <w:rPr>
          <w:rFonts w:eastAsia="黑体" w:cs="MingLiU_HKSCS"/>
          <w:color w:val="000000" w:themeColor="text1"/>
          <w:szCs w:val="21"/>
          <w:lang w:val="zh-CN"/>
        </w:rPr>
        <w:t>-</w:t>
      </w:r>
      <w:r>
        <w:rPr>
          <w:rFonts w:eastAsia="黑体" w:cs="MingLiU_HKSCS" w:hint="eastAsia"/>
          <w:color w:val="000000" w:themeColor="text1"/>
          <w:szCs w:val="21"/>
        </w:rPr>
        <w:t>4</w:t>
      </w:r>
      <w:r>
        <w:rPr>
          <w:rFonts w:eastAsia="黑体" w:cs="MingLiU_HKSCS"/>
          <w:color w:val="000000" w:themeColor="text1"/>
          <w:szCs w:val="21"/>
          <w:lang w:val="zh-CN"/>
        </w:rPr>
        <w:t>-</w:t>
      </w:r>
      <w:r>
        <w:rPr>
          <w:rFonts w:eastAsia="黑体" w:cs="MingLiU_HKSCS" w:hint="eastAsia"/>
          <w:color w:val="000000" w:themeColor="text1"/>
          <w:szCs w:val="21"/>
          <w:lang w:val="zh-CN"/>
        </w:rPr>
        <w:t>41</w:t>
      </w:r>
      <w:r>
        <w:rPr>
          <w:rFonts w:eastAsia="黑体" w:cs="MingLiU_HKSCS" w:hint="eastAsia"/>
          <w:color w:val="000000" w:themeColor="text1"/>
          <w:szCs w:val="21"/>
          <w:lang w:val="zh-CN"/>
        </w:rPr>
        <w:t>】</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某案，权利要求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涉及一种中药组合物在制备治疗胸痹的药物中的应用。被控侵权产品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的组方与权利要求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相同，药品说明书中记载了其是一种用于治疗气阴两虚型胸痹的药物。</w:t>
      </w:r>
    </w:p>
    <w:p w:rsidR="00800760" w:rsidRDefault="00235733">
      <w:pPr>
        <w:topLinePunct/>
        <w:rPr>
          <w:rFonts w:eastAsia="华文隶书" w:cs="MingLiU_HKSCS"/>
          <w:color w:val="000000" w:themeColor="text1"/>
          <w:szCs w:val="21"/>
          <w:lang w:val="zh-CN"/>
        </w:rPr>
      </w:pPr>
      <w:r>
        <w:rPr>
          <w:rFonts w:eastAsia="华文隶书" w:cs="MingLiU_HKSCS" w:hint="eastAsia"/>
          <w:color w:val="000000" w:themeColor="text1"/>
          <w:szCs w:val="21"/>
          <w:lang w:val="zh-CN"/>
        </w:rPr>
        <w:t>分析与评述：</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胸痹分为心血瘀阻、痰浊闭阻、气阴两虚、心肾阳虚等不同证候类型，即气阴两虚型胸痹属于胸痹的一种类型，被控侵权产品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落入权利要求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的保护范围内。</w:t>
      </w:r>
    </w:p>
    <w:p w:rsidR="00800760" w:rsidRDefault="00235733">
      <w:pPr>
        <w:topLinePunct/>
        <w:rPr>
          <w:color w:val="000000" w:themeColor="text1"/>
          <w:szCs w:val="21"/>
        </w:rPr>
      </w:pPr>
      <w:r>
        <w:rPr>
          <w:rFonts w:hint="eastAsia"/>
          <w:color w:val="000000" w:themeColor="text1"/>
          <w:szCs w:val="21"/>
          <w:lang w:val="en-US"/>
        </w:rPr>
        <w:t>②</w:t>
      </w:r>
      <w:r>
        <w:rPr>
          <w:rFonts w:hint="eastAsia"/>
          <w:color w:val="000000" w:themeColor="text1"/>
          <w:szCs w:val="21"/>
        </w:rPr>
        <w:t>中医病证与西医病名</w:t>
      </w:r>
    </w:p>
    <w:p w:rsidR="00800760" w:rsidRDefault="00235733">
      <w:pPr>
        <w:topLinePunct/>
        <w:rPr>
          <w:rFonts w:cs="MingLiU_HKSCS"/>
          <w:color w:val="000000" w:themeColor="text1"/>
          <w:szCs w:val="21"/>
          <w:lang w:val="zh-CN"/>
        </w:rPr>
      </w:pPr>
      <w:r>
        <w:rPr>
          <w:rFonts w:cs="MingLiU_HKSCS" w:hint="eastAsia"/>
          <w:color w:val="000000" w:themeColor="text1"/>
          <w:szCs w:val="21"/>
          <w:lang w:val="zh-CN"/>
        </w:rPr>
        <w:t>中医与西医的理论体系不同，中医的病或证与西医的病名并不完全相对应。需要站位本领域技术人员，合理判断所涉及的疾病是否相同或实质相同。</w:t>
      </w:r>
    </w:p>
    <w:p w:rsidR="00800760" w:rsidRDefault="00235733" w:rsidP="00C22A7B">
      <w:pPr>
        <w:keepNext/>
        <w:topLinePunct/>
        <w:spacing w:beforeLines="50"/>
        <w:rPr>
          <w:rFonts w:eastAsia="黑体" w:cs="MingLiU_HKSCS"/>
          <w:color w:val="000000" w:themeColor="text1"/>
          <w:szCs w:val="21"/>
          <w:lang w:val="zh-CN"/>
        </w:rPr>
      </w:pPr>
      <w:r>
        <w:rPr>
          <w:rFonts w:eastAsia="黑体" w:cs="MingLiU_HKSCS" w:hint="eastAsia"/>
          <w:color w:val="000000" w:themeColor="text1"/>
          <w:szCs w:val="21"/>
          <w:lang w:val="zh-CN"/>
        </w:rPr>
        <w:t>【案例</w:t>
      </w:r>
      <w:r>
        <w:rPr>
          <w:rFonts w:eastAsia="黑体" w:cs="MingLiU_HKSCS" w:hint="eastAsia"/>
          <w:color w:val="000000" w:themeColor="text1"/>
          <w:szCs w:val="21"/>
        </w:rPr>
        <w:t>3</w:t>
      </w:r>
      <w:r>
        <w:rPr>
          <w:rFonts w:eastAsia="黑体" w:cs="MingLiU_HKSCS"/>
          <w:color w:val="000000" w:themeColor="text1"/>
          <w:szCs w:val="21"/>
          <w:lang w:val="zh-CN"/>
        </w:rPr>
        <w:t>-</w:t>
      </w:r>
      <w:r>
        <w:rPr>
          <w:rFonts w:eastAsia="黑体" w:cs="MingLiU_HKSCS" w:hint="eastAsia"/>
          <w:color w:val="000000" w:themeColor="text1"/>
          <w:szCs w:val="21"/>
        </w:rPr>
        <w:t>4</w:t>
      </w:r>
      <w:r>
        <w:rPr>
          <w:rFonts w:eastAsia="黑体" w:cs="MingLiU_HKSCS"/>
          <w:color w:val="000000" w:themeColor="text1"/>
          <w:szCs w:val="21"/>
          <w:lang w:val="zh-CN"/>
        </w:rPr>
        <w:t>-</w:t>
      </w:r>
      <w:r>
        <w:rPr>
          <w:rFonts w:eastAsia="黑体" w:cs="MingLiU_HKSCS" w:hint="eastAsia"/>
          <w:color w:val="000000" w:themeColor="text1"/>
          <w:szCs w:val="21"/>
          <w:lang w:val="zh-CN"/>
        </w:rPr>
        <w:t>42</w:t>
      </w:r>
      <w:r>
        <w:rPr>
          <w:rFonts w:eastAsia="黑体" w:cs="MingLiU_HKSCS" w:hint="eastAsia"/>
          <w:color w:val="000000" w:themeColor="text1"/>
          <w:szCs w:val="21"/>
          <w:lang w:val="zh-CN"/>
        </w:rPr>
        <w:t>】</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某案，权利要求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保护一种中药组合物在制备治疗过敏性鼻炎的药物中的应用。被控侵权产品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的组方与权利要求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相同，药品说明书中记载了其是一种用于治疗鼻鼽的药物。</w:t>
      </w:r>
    </w:p>
    <w:p w:rsidR="00800760" w:rsidRDefault="00235733">
      <w:pPr>
        <w:topLinePunct/>
        <w:rPr>
          <w:rFonts w:eastAsia="华文隶书" w:cs="MingLiU_HKSCS"/>
          <w:color w:val="000000" w:themeColor="text1"/>
          <w:szCs w:val="21"/>
          <w:lang w:val="zh-CN"/>
        </w:rPr>
      </w:pPr>
      <w:r>
        <w:rPr>
          <w:rFonts w:eastAsia="华文隶书" w:cs="MingLiU_HKSCS" w:hint="eastAsia"/>
          <w:color w:val="000000" w:themeColor="text1"/>
          <w:szCs w:val="21"/>
          <w:lang w:val="zh-CN"/>
        </w:rPr>
        <w:t>分析与评述：</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中医的“鼻鼽”以反复发作性鼻痒、喷嚏、流清涕、鼻塞为临床特征，相当于西医学中的过敏性鼻炎、过敏性鼻窦炎及血管舒缩性鼻炎等疾病，被控侵权产品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落入权利要求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的保护范围内。</w:t>
      </w:r>
    </w:p>
    <w:p w:rsidR="00800760" w:rsidRDefault="00235733">
      <w:pPr>
        <w:topLinePunct/>
        <w:rPr>
          <w:color w:val="000000" w:themeColor="text1"/>
          <w:szCs w:val="21"/>
        </w:rPr>
      </w:pPr>
      <w:r>
        <w:rPr>
          <w:rFonts w:hint="eastAsia"/>
          <w:color w:val="000000" w:themeColor="text1"/>
          <w:szCs w:val="21"/>
          <w:lang w:val="en-US"/>
        </w:rPr>
        <w:t>③</w:t>
      </w:r>
      <w:r>
        <w:rPr>
          <w:rFonts w:hint="eastAsia"/>
          <w:color w:val="000000" w:themeColor="text1"/>
          <w:szCs w:val="21"/>
        </w:rPr>
        <w:t>中医病证与药物作用机理</w:t>
      </w:r>
    </w:p>
    <w:p w:rsidR="00800760" w:rsidRDefault="00235733">
      <w:pPr>
        <w:topLinePunct/>
        <w:rPr>
          <w:rFonts w:eastAsia="楷体_GB2312" w:cs="MingLiU_HKSCS"/>
          <w:color w:val="000000" w:themeColor="text1"/>
          <w:szCs w:val="21"/>
          <w:lang w:val="zh-CN"/>
        </w:rPr>
      </w:pPr>
      <w:r>
        <w:rPr>
          <w:rFonts w:hint="eastAsia"/>
          <w:color w:val="000000" w:themeColor="text1"/>
          <w:szCs w:val="21"/>
        </w:rPr>
        <w:t>中医病症与西医对药物作用机理通常并不一致。</w:t>
      </w:r>
      <w:r>
        <w:rPr>
          <w:rFonts w:cs="MingLiU_HKSCS" w:hint="eastAsia"/>
          <w:color w:val="000000" w:themeColor="text1"/>
          <w:szCs w:val="21"/>
          <w:lang w:val="zh-CN"/>
        </w:rPr>
        <w:t>需要站位本领域技术人员，结合专利说明书的记载，合理判断该中医病症与药物作用机理所描述的疾病是否相同或实质相同。</w:t>
      </w:r>
    </w:p>
    <w:p w:rsidR="00800760" w:rsidRDefault="00235733" w:rsidP="00C22A7B">
      <w:pPr>
        <w:keepNext/>
        <w:topLinePunct/>
        <w:spacing w:beforeLines="50"/>
        <w:rPr>
          <w:rFonts w:eastAsia="黑体" w:cs="MingLiU_HKSCS"/>
          <w:color w:val="000000" w:themeColor="text1"/>
          <w:szCs w:val="21"/>
          <w:lang w:val="zh-CN"/>
        </w:rPr>
      </w:pPr>
      <w:r>
        <w:rPr>
          <w:rFonts w:eastAsia="黑体" w:cs="MingLiU_HKSCS" w:hint="eastAsia"/>
          <w:color w:val="000000" w:themeColor="text1"/>
          <w:szCs w:val="21"/>
          <w:lang w:val="zh-CN"/>
        </w:rPr>
        <w:t>【案例</w:t>
      </w:r>
      <w:r>
        <w:rPr>
          <w:rFonts w:eastAsia="黑体" w:cs="MingLiU_HKSCS" w:hint="eastAsia"/>
          <w:color w:val="000000" w:themeColor="text1"/>
          <w:szCs w:val="21"/>
        </w:rPr>
        <w:t>3</w:t>
      </w:r>
      <w:r>
        <w:rPr>
          <w:rFonts w:eastAsia="黑体" w:cs="MingLiU_HKSCS"/>
          <w:color w:val="000000" w:themeColor="text1"/>
          <w:szCs w:val="21"/>
          <w:lang w:val="zh-CN"/>
        </w:rPr>
        <w:t>-</w:t>
      </w:r>
      <w:r>
        <w:rPr>
          <w:rFonts w:eastAsia="黑体" w:cs="MingLiU_HKSCS" w:hint="eastAsia"/>
          <w:color w:val="000000" w:themeColor="text1"/>
          <w:szCs w:val="21"/>
        </w:rPr>
        <w:t>4</w:t>
      </w:r>
      <w:r>
        <w:rPr>
          <w:rFonts w:eastAsia="黑体" w:cs="MingLiU_HKSCS"/>
          <w:color w:val="000000" w:themeColor="text1"/>
          <w:szCs w:val="21"/>
          <w:lang w:val="zh-CN"/>
        </w:rPr>
        <w:t>-</w:t>
      </w:r>
      <w:r>
        <w:rPr>
          <w:rFonts w:eastAsia="黑体" w:cs="MingLiU_HKSCS" w:hint="eastAsia"/>
          <w:color w:val="000000" w:themeColor="text1"/>
          <w:szCs w:val="21"/>
          <w:lang w:val="zh-CN"/>
        </w:rPr>
        <w:t>43</w:t>
      </w:r>
      <w:r>
        <w:rPr>
          <w:rFonts w:eastAsia="黑体" w:cs="MingLiU_HKSCS" w:hint="eastAsia"/>
          <w:color w:val="000000" w:themeColor="text1"/>
          <w:szCs w:val="21"/>
          <w:lang w:val="zh-CN"/>
        </w:rPr>
        <w:t>】</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某案，权利要求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保护一种中药组合物在制备治疗消渴病的药物中的应用。被控侵权产品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的组方与权利要求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相同，药品说明书中记载了其是一种用于促进胰岛素分泌的药物。</w:t>
      </w:r>
    </w:p>
    <w:p w:rsidR="00800760" w:rsidRDefault="00235733">
      <w:pPr>
        <w:topLinePunct/>
        <w:rPr>
          <w:rFonts w:eastAsia="华文隶书" w:cs="MingLiU_HKSCS"/>
          <w:color w:val="000000" w:themeColor="text1"/>
          <w:szCs w:val="21"/>
          <w:lang w:val="zh-CN"/>
        </w:rPr>
      </w:pPr>
      <w:r>
        <w:rPr>
          <w:rFonts w:eastAsia="华文隶书" w:cs="MingLiU_HKSCS" w:hint="eastAsia"/>
          <w:color w:val="000000" w:themeColor="text1"/>
          <w:szCs w:val="21"/>
          <w:lang w:val="zh-CN"/>
        </w:rPr>
        <w:t>分析与评述：</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中医的“消渴病”是指多饮、多食、多尿、形体消瘦、尿有甜味的一种疾病，相当于西医学中的糖尿病、尿崩症等疾病；促进胰岛素分泌隐含了可用于治疗胰岛素分泌不足导致的糖尿病。由此可知，消渴病包括了胰岛素分泌不足导致的糖尿病，因此，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的用途技术方案落入权利要求</w:t>
      </w:r>
      <w:r>
        <w:rPr>
          <w:rFonts w:eastAsia="楷体_GB2312" w:cs="MingLiU_HKSCS" w:hint="eastAsia"/>
          <w:color w:val="000000" w:themeColor="text1"/>
          <w:szCs w:val="21"/>
          <w:lang w:val="zh-CN"/>
        </w:rPr>
        <w:t>1</w:t>
      </w:r>
      <w:r>
        <w:rPr>
          <w:rFonts w:eastAsia="楷体_GB2312" w:cs="MingLiU_HKSCS" w:hint="eastAsia"/>
          <w:color w:val="000000" w:themeColor="text1"/>
          <w:szCs w:val="21"/>
          <w:lang w:val="zh-CN"/>
        </w:rPr>
        <w:t>保护的范围内。</w:t>
      </w:r>
    </w:p>
    <w:p w:rsidR="00800760" w:rsidRDefault="00235733">
      <w:pPr>
        <w:pStyle w:val="3"/>
        <w:topLinePunct/>
        <w:spacing w:before="240"/>
        <w:ind w:firstLine="444"/>
        <w:rPr>
          <w:rFonts w:ascii="Times New Roman" w:hAnsi="Times New Roman"/>
          <w:color w:val="000000"/>
        </w:rPr>
      </w:pPr>
      <w:bookmarkStart w:id="1898" w:name="_Toc1286"/>
      <w:bookmarkStart w:id="1899" w:name="_Toc31567"/>
      <w:bookmarkStart w:id="1900" w:name="_Toc4141"/>
      <w:bookmarkStart w:id="1901" w:name="_Toc11736"/>
      <w:bookmarkStart w:id="1902" w:name="_Toc19527"/>
      <w:bookmarkStart w:id="1903" w:name="_Toc31555"/>
      <w:bookmarkStart w:id="1904" w:name="_Toc4241"/>
      <w:bookmarkStart w:id="1905" w:name="_Toc29108"/>
      <w:bookmarkStart w:id="1906" w:name="_Toc19136"/>
      <w:bookmarkStart w:id="1907" w:name="_Toc28344"/>
      <w:bookmarkStart w:id="1908" w:name="_Toc9249"/>
      <w:bookmarkStart w:id="1909" w:name="_Toc24672"/>
      <w:bookmarkStart w:id="1910" w:name="_Toc4094"/>
      <w:bookmarkStart w:id="1911" w:name="_Toc1140"/>
      <w:bookmarkStart w:id="1912" w:name="_Toc1824"/>
      <w:bookmarkStart w:id="1913" w:name="_Toc5874"/>
      <w:bookmarkStart w:id="1914" w:name="_Toc16325"/>
      <w:bookmarkStart w:id="1915" w:name="_Toc27885"/>
      <w:bookmarkStart w:id="1916" w:name="_Toc18126"/>
      <w:bookmarkStart w:id="1917" w:name="_Toc8321"/>
      <w:bookmarkStart w:id="1918" w:name="_Toc28194"/>
      <w:bookmarkStart w:id="1919" w:name="_Toc10977"/>
      <w:bookmarkStart w:id="1920" w:name="_Toc31900"/>
      <w:bookmarkStart w:id="1921" w:name="_Toc25984"/>
      <w:bookmarkStart w:id="1922" w:name="_Toc13621"/>
      <w:bookmarkStart w:id="1923" w:name="_Toc9743"/>
      <w:bookmarkStart w:id="1924" w:name="_Toc2750"/>
      <w:bookmarkStart w:id="1925" w:name="_Toc20999"/>
      <w:bookmarkStart w:id="1926" w:name="_Toc13256"/>
      <w:bookmarkStart w:id="1927" w:name="_Toc1229"/>
      <w:bookmarkStart w:id="1928" w:name="_Toc275"/>
      <w:bookmarkStart w:id="1929" w:name="_Toc9697"/>
      <w:bookmarkStart w:id="1930" w:name="_Toc13002"/>
      <w:bookmarkStart w:id="1931" w:name="_Toc16895"/>
      <w:bookmarkStart w:id="1932" w:name="_Toc26007"/>
      <w:bookmarkStart w:id="1933" w:name="_Toc31620"/>
      <w:bookmarkStart w:id="1934" w:name="_Toc15264"/>
      <w:bookmarkStart w:id="1935" w:name="_Toc217908629"/>
      <w:bookmarkStart w:id="1936" w:name="_Toc1464"/>
      <w:bookmarkStart w:id="1937" w:name="_Toc19721"/>
      <w:bookmarkStart w:id="1938" w:name="_Toc6952"/>
      <w:bookmarkStart w:id="1939" w:name="_Toc6429"/>
      <w:bookmarkStart w:id="1940" w:name="_Toc2137"/>
      <w:bookmarkStart w:id="1941" w:name="_Toc229114374"/>
      <w:bookmarkStart w:id="1942" w:name="_Toc229225470"/>
      <w:r>
        <w:rPr>
          <w:rFonts w:ascii="Times New Roman" w:hAnsi="Times New Roman" w:hint="eastAsia"/>
          <w:color w:val="000000"/>
        </w:rPr>
        <w:t>三、发明、实用新型专利侵权抗辩</w:t>
      </w:r>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专利侵权纠纷处理中，被控侵权人为了证明其未侵犯专利权，往往会采取一系列抗辩手段。常见的抗辩事由包括基于《专利法》第十一条规定的侵权行为构成要件抗辩、基于《专利法》第六十七条规定的现有技术抗辩、基于《专利法》第七十五条规定的不视为侵权抗辩，以及诸如专利权效力抗辩、诉讼时效抗辩等其他类型的抗辩。</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r w:rsidR="00235733">
        <w:rPr>
          <w:rFonts w:ascii="Times New Roman" w:hAnsi="Times New Roman" w:hint="eastAsia"/>
          <w:color w:val="000000"/>
          <w:lang w:val="en-US"/>
        </w:rPr>
        <w:t>（一）</w:t>
      </w:r>
      <w:r>
        <w:rPr>
          <w:rFonts w:ascii="Times New Roman" w:hAnsi="Times New Roman"/>
          <w:color w:val="000000"/>
        </w:rPr>
        <w:fldChar w:fldCharType="end"/>
      </w:r>
      <w:r w:rsidR="00235733">
        <w:rPr>
          <w:rFonts w:ascii="Times New Roman" w:hAnsi="Times New Roman" w:hint="eastAsia"/>
          <w:color w:val="000000"/>
        </w:rPr>
        <w:t>现有技术抗辩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现有技术抗辩</w:t>
      </w:r>
      <w:r>
        <w:rPr>
          <w:rFonts w:ascii="Times New Roman" w:eastAsia="宋体" w:hAnsi="Times New Roman"/>
          <w:sz w:val="21"/>
          <w:szCs w:val="21"/>
        </w:rPr>
        <w:t>，</w:t>
      </w:r>
      <w:r>
        <w:rPr>
          <w:rFonts w:ascii="Times New Roman" w:eastAsia="宋体" w:hAnsi="Times New Roman" w:hint="eastAsia"/>
          <w:sz w:val="21"/>
          <w:szCs w:val="21"/>
        </w:rPr>
        <w:t>是指在侵犯专利权纠纷案件中</w:t>
      </w:r>
      <w:r>
        <w:rPr>
          <w:rFonts w:ascii="Times New Roman" w:eastAsia="宋体" w:hAnsi="Times New Roman"/>
          <w:sz w:val="21"/>
          <w:szCs w:val="21"/>
        </w:rPr>
        <w:t>，</w:t>
      </w:r>
      <w:r>
        <w:rPr>
          <w:rFonts w:ascii="Times New Roman" w:eastAsia="宋体" w:hAnsi="Times New Roman" w:hint="eastAsia"/>
          <w:sz w:val="21"/>
          <w:szCs w:val="21"/>
        </w:rPr>
        <w:t>被控侵权人主张被控侵权技术方案采用的是现有技术</w:t>
      </w:r>
      <w:r>
        <w:rPr>
          <w:rFonts w:ascii="Times New Roman" w:eastAsia="宋体" w:hAnsi="Times New Roman"/>
          <w:sz w:val="21"/>
          <w:szCs w:val="21"/>
        </w:rPr>
        <w:t>，</w:t>
      </w:r>
      <w:r>
        <w:rPr>
          <w:rFonts w:ascii="Times New Roman" w:eastAsia="宋体" w:hAnsi="Times New Roman" w:hint="eastAsia"/>
          <w:sz w:val="21"/>
          <w:szCs w:val="21"/>
        </w:rPr>
        <w:t>因而其行为不侵犯权利人所主张的权利的一种抗辩方式。</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r w:rsidR="00235733">
        <w:rPr>
          <w:rFonts w:hint="eastAsia"/>
          <w:color w:val="000000"/>
        </w:rPr>
        <w:t xml:space="preserve">1. </w:t>
      </w:r>
      <w:r>
        <w:rPr>
          <w:color w:val="000000"/>
        </w:rPr>
        <w:fldChar w:fldCharType="end"/>
      </w:r>
      <w:r w:rsidR="00235733">
        <w:rPr>
          <w:rFonts w:hint="eastAsia"/>
          <w:color w:val="000000"/>
        </w:rPr>
        <w:t>现有技术抗辩的目的及性质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《专利法》第六十七条规定</w:t>
      </w:r>
      <w:r>
        <w:rPr>
          <w:rFonts w:ascii="Times New Roman" w:eastAsia="宋体" w:hAnsi="Times New Roman"/>
          <w:sz w:val="21"/>
          <w:szCs w:val="21"/>
        </w:rPr>
        <w:t>，</w:t>
      </w:r>
      <w:r>
        <w:rPr>
          <w:rFonts w:ascii="Times New Roman" w:eastAsia="宋体" w:hAnsi="Times New Roman" w:hint="eastAsia"/>
          <w:sz w:val="21"/>
          <w:szCs w:val="21"/>
        </w:rPr>
        <w:t>在专利侵权纠纷中</w:t>
      </w:r>
      <w:r>
        <w:rPr>
          <w:rFonts w:ascii="Times New Roman" w:eastAsia="宋体" w:hAnsi="Times New Roman"/>
          <w:sz w:val="21"/>
          <w:szCs w:val="21"/>
        </w:rPr>
        <w:t>，</w:t>
      </w:r>
      <w:r>
        <w:rPr>
          <w:rFonts w:ascii="Times New Roman" w:eastAsia="宋体" w:hAnsi="Times New Roman" w:hint="eastAsia"/>
          <w:sz w:val="21"/>
          <w:szCs w:val="21"/>
        </w:rPr>
        <w:t>被控侵权人有证据证明其实施的技术或者设计属于现有技术或者现有设计的</w:t>
      </w:r>
      <w:r>
        <w:rPr>
          <w:rFonts w:ascii="Times New Roman" w:eastAsia="宋体" w:hAnsi="Times New Roman"/>
          <w:sz w:val="21"/>
          <w:szCs w:val="21"/>
        </w:rPr>
        <w:t>，</w:t>
      </w:r>
      <w:r>
        <w:rPr>
          <w:rFonts w:ascii="Times New Roman" w:eastAsia="宋体" w:hAnsi="Times New Roman" w:hint="eastAsia"/>
          <w:sz w:val="21"/>
          <w:szCs w:val="21"/>
        </w:rPr>
        <w:t>不构成侵犯专利权。</w:t>
      </w:r>
      <w:r>
        <w:rPr>
          <w:rFonts w:ascii="Times New Roman" w:eastAsia="宋体" w:hAnsi="Times New Roman"/>
          <w:sz w:val="21"/>
          <w:szCs w:val="21"/>
        </w:rPr>
        <w:t>现有技术或者现有设计</w:t>
      </w:r>
      <w:r>
        <w:rPr>
          <w:rFonts w:ascii="Times New Roman" w:eastAsia="宋体" w:hAnsi="Times New Roman" w:hint="eastAsia"/>
          <w:sz w:val="21"/>
          <w:szCs w:val="21"/>
        </w:rPr>
        <w:t>的界定</w:t>
      </w:r>
      <w:r>
        <w:rPr>
          <w:rFonts w:ascii="Times New Roman" w:eastAsia="宋体" w:hAnsi="Times New Roman"/>
          <w:sz w:val="21"/>
          <w:szCs w:val="21"/>
        </w:rPr>
        <w:t>应当依照专利申请日时施行的</w:t>
      </w:r>
      <w:hyperlink r:id="rId20" w:anchor="tiao_0" w:history="1">
        <w:r>
          <w:rPr>
            <w:rFonts w:ascii="Times New Roman" w:eastAsia="宋体" w:hAnsi="Times New Roman"/>
            <w:sz w:val="21"/>
            <w:szCs w:val="21"/>
          </w:rPr>
          <w:t>专利法</w:t>
        </w:r>
      </w:hyperlink>
      <w:r>
        <w:rPr>
          <w:rFonts w:ascii="Times New Roman" w:eastAsia="宋体" w:hAnsi="Times New Roman" w:hint="eastAsia"/>
          <w:sz w:val="21"/>
          <w:szCs w:val="21"/>
        </w:rPr>
        <w:t>为准</w:t>
      </w:r>
      <w:r>
        <w:rPr>
          <w:rFonts w:ascii="Times New Roman" w:eastAsia="宋体" w:hAnsi="Times New Roman"/>
          <w:sz w:val="21"/>
          <w:szCs w:val="21"/>
        </w:rPr>
        <w:t>。</w:t>
      </w:r>
      <w:r>
        <w:rPr>
          <w:rFonts w:ascii="Times New Roman" w:eastAsia="宋体" w:hAnsi="Times New Roman" w:hint="eastAsia"/>
          <w:sz w:val="21"/>
          <w:szCs w:val="21"/>
        </w:rPr>
        <w:t>该规定的目的在于保障社会公众能够自由利用现有技术，对使用现有技术的公众提供免受侵权纠纷的救济，从而保障现有技术自由、便利、广泛地传播和使用。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被控侵权人实施的技术的全部技术特征与一项现有技术方案中的相应技术特征相同或者等同的，管理专利工作的部门应当认定被控侵权人实施的技术属于《专利法》第六十七条的现有技术。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技术抗辩是被控侵权人针对停止侵权、损害赔偿等专利请求权行使的一种抗辩权，其效力在于阻止请求权的行使，一般只有在被控侵权技术方案落入了专利权的保护范围时才适用。现有技术抗辩不能变更专利权的保护范围，不能将属于现有技术的范围从专利权的保护范围中排除，也不能否定专利权的效力。</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现有技术抗辩作为一种抗辩权，必须以被控侵权人提出抗辩主张为前提，管理专利工作的部门不能依职权主动调查适用。</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r w:rsidR="00235733">
        <w:rPr>
          <w:rFonts w:hint="eastAsia"/>
          <w:color w:val="000000"/>
        </w:rPr>
        <w:t xml:space="preserve">2. </w:t>
      </w:r>
      <w:r>
        <w:rPr>
          <w:color w:val="000000"/>
        </w:rPr>
        <w:fldChar w:fldCharType="end"/>
      </w:r>
      <w:r w:rsidR="00235733">
        <w:rPr>
          <w:rFonts w:hint="eastAsia"/>
          <w:color w:val="000000"/>
        </w:rPr>
        <w:t>现有技术范围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第二十二条定义新颖性和创造性时，对现有技术的范围进行了限定。《专利法》第六十七条关于现有技术抗辩中的现有技术范围与《专利法》第二十二条相同。因此，在专利侵权纠纷处理中，如果权利人主张的专利权的专利申请日</w:t>
      </w:r>
      <w:r>
        <w:rPr>
          <w:rFonts w:ascii="Times New Roman" w:eastAsia="宋体" w:hAnsi="Times New Roman"/>
          <w:sz w:val="21"/>
          <w:szCs w:val="21"/>
        </w:rPr>
        <w:t>（</w:t>
      </w:r>
      <w:r>
        <w:rPr>
          <w:rFonts w:ascii="Times New Roman" w:eastAsia="宋体" w:hAnsi="Times New Roman" w:hint="eastAsia"/>
          <w:sz w:val="21"/>
          <w:szCs w:val="21"/>
        </w:rPr>
        <w:t>有优先权的，指优先权日。下同</w:t>
      </w:r>
      <w:r>
        <w:rPr>
          <w:rFonts w:ascii="Times New Roman" w:eastAsia="宋体" w:hAnsi="Times New Roman"/>
          <w:sz w:val="21"/>
          <w:szCs w:val="21"/>
        </w:rPr>
        <w:t>）</w:t>
      </w:r>
      <w:r>
        <w:rPr>
          <w:rFonts w:ascii="Times New Roman" w:eastAsia="宋体" w:hAnsi="Times New Roman" w:hint="eastAsia"/>
          <w:sz w:val="21"/>
          <w:szCs w:val="21"/>
        </w:rPr>
        <w:t>在</w:t>
      </w:r>
      <w:r>
        <w:rPr>
          <w:rFonts w:ascii="Times New Roman" w:eastAsia="宋体" w:hAnsi="Times New Roman"/>
          <w:sz w:val="21"/>
          <w:szCs w:val="21"/>
        </w:rPr>
        <w:t>2009</w:t>
      </w:r>
      <w:r>
        <w:rPr>
          <w:rFonts w:ascii="Times New Roman" w:eastAsia="宋体" w:hAnsi="Times New Roman" w:hint="eastAsia"/>
          <w:sz w:val="21"/>
          <w:szCs w:val="21"/>
        </w:rPr>
        <w:t>年</w:t>
      </w:r>
      <w:r>
        <w:rPr>
          <w:rFonts w:ascii="Times New Roman" w:eastAsia="宋体" w:hAnsi="Times New Roman"/>
          <w:sz w:val="21"/>
          <w:szCs w:val="21"/>
        </w:rPr>
        <w:t>10</w:t>
      </w:r>
      <w:r>
        <w:rPr>
          <w:rFonts w:ascii="Times New Roman" w:eastAsia="宋体" w:hAnsi="Times New Roman" w:hint="eastAsia"/>
          <w:sz w:val="21"/>
          <w:szCs w:val="21"/>
        </w:rPr>
        <w:t>月</w:t>
      </w:r>
      <w:r>
        <w:rPr>
          <w:rFonts w:ascii="Times New Roman" w:eastAsia="宋体" w:hAnsi="Times New Roman"/>
          <w:sz w:val="21"/>
          <w:szCs w:val="21"/>
        </w:rPr>
        <w:t>1</w:t>
      </w:r>
      <w:r>
        <w:rPr>
          <w:rFonts w:ascii="Times New Roman" w:eastAsia="宋体" w:hAnsi="Times New Roman" w:hint="eastAsia"/>
          <w:sz w:val="21"/>
          <w:szCs w:val="21"/>
        </w:rPr>
        <w:t>日之前，则被控侵权人能够援引进行抗辩的现有技术应当为在专利申请日以前在国内外出版物上公开发表、在国内公开使用或以其他方式为公众所知的技术；如果权利人主张的专利权的专利申请日在</w:t>
      </w:r>
      <w:r>
        <w:rPr>
          <w:rFonts w:ascii="Times New Roman" w:eastAsia="宋体" w:hAnsi="Times New Roman"/>
          <w:sz w:val="21"/>
          <w:szCs w:val="21"/>
        </w:rPr>
        <w:t>2009</w:t>
      </w:r>
      <w:r>
        <w:rPr>
          <w:rFonts w:ascii="Times New Roman" w:eastAsia="宋体" w:hAnsi="Times New Roman" w:hint="eastAsia"/>
          <w:sz w:val="21"/>
          <w:szCs w:val="21"/>
        </w:rPr>
        <w:t>年</w:t>
      </w:r>
      <w:r>
        <w:rPr>
          <w:rFonts w:ascii="Times New Roman" w:eastAsia="宋体" w:hAnsi="Times New Roman"/>
          <w:sz w:val="21"/>
          <w:szCs w:val="21"/>
        </w:rPr>
        <w:t>10</w:t>
      </w:r>
      <w:r>
        <w:rPr>
          <w:rFonts w:ascii="Times New Roman" w:eastAsia="宋体" w:hAnsi="Times New Roman" w:hint="eastAsia"/>
          <w:sz w:val="21"/>
          <w:szCs w:val="21"/>
        </w:rPr>
        <w:t>月</w:t>
      </w:r>
      <w:r>
        <w:rPr>
          <w:rFonts w:ascii="Times New Roman" w:eastAsia="宋体" w:hAnsi="Times New Roman"/>
          <w:sz w:val="21"/>
          <w:szCs w:val="21"/>
        </w:rPr>
        <w:t>1</w:t>
      </w:r>
      <w:r>
        <w:rPr>
          <w:rFonts w:ascii="Times New Roman" w:eastAsia="宋体" w:hAnsi="Times New Roman" w:hint="eastAsia"/>
          <w:sz w:val="21"/>
          <w:szCs w:val="21"/>
        </w:rPr>
        <w:t>日之后</w:t>
      </w:r>
      <w:r>
        <w:rPr>
          <w:rFonts w:ascii="Times New Roman" w:eastAsia="宋体" w:hAnsi="Times New Roman"/>
          <w:sz w:val="21"/>
          <w:szCs w:val="21"/>
        </w:rPr>
        <w:t>（</w:t>
      </w:r>
      <w:r>
        <w:rPr>
          <w:rFonts w:ascii="Times New Roman" w:eastAsia="宋体" w:hAnsi="Times New Roman" w:hint="eastAsia"/>
          <w:sz w:val="21"/>
          <w:szCs w:val="21"/>
        </w:rPr>
        <w:t>含申请日</w:t>
      </w:r>
      <w:r>
        <w:rPr>
          <w:rFonts w:ascii="Times New Roman" w:eastAsia="宋体" w:hAnsi="Times New Roman"/>
          <w:sz w:val="21"/>
          <w:szCs w:val="21"/>
        </w:rPr>
        <w:t>）</w:t>
      </w:r>
      <w:r>
        <w:rPr>
          <w:rFonts w:ascii="Times New Roman" w:eastAsia="宋体" w:hAnsi="Times New Roman" w:hint="eastAsia"/>
          <w:sz w:val="21"/>
          <w:szCs w:val="21"/>
        </w:rPr>
        <w:t>，则被控侵权人能够援引进行抗辩的现有技术应当是在专利申请日以前在国内外为公众所知的技术，即在申请日以前在国内外出版物上公开发表、在国内外公开使用或者以其他方式为公众所知的技术。</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公开出版物构成现有技术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出版物公开是现有技术的一种最常见的公开方式。专利法意义上的出版物，是指记载有技术或者设计内容的独立存在的传播载体，并且应当标明或者有其他证据证明公开发表或出版的时间。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符合上述含义的出版物可以是各种印刷的、打字的纸件，例如纸质的专利文献、科技杂志、科技书籍、学术论文、专业文献、教科书、技术手册、正式公布的会议记录或者技术报告、报纸、产品样本、产品目录、广告宣传册等，也可以是用电、光、磁、照相等方法制成的视听资料，例如缩微胶片、影片、照相底片、录像带、磁带、唱片、光盘等，还可以是以其他形式存在的资料，例如存在于互联网或其他在线数据库中的资料等，即</w:t>
      </w:r>
      <w:r>
        <w:rPr>
          <w:rFonts w:ascii="Times New Roman" w:eastAsia="宋体" w:hAnsi="Times New Roman"/>
          <w:sz w:val="21"/>
          <w:szCs w:val="21"/>
        </w:rPr>
        <w:t>以数据形式存储、以网络为传播途径的文字、图片、音视频等资料</w:t>
      </w:r>
      <w:r>
        <w:rPr>
          <w:rFonts w:ascii="Times New Roman" w:eastAsia="宋体" w:hAnsi="Times New Roman" w:hint="eastAsia"/>
          <w:sz w:val="21"/>
          <w:szCs w:val="21"/>
        </w:rPr>
        <w:t>。</w:t>
      </w:r>
      <w:r>
        <w:rPr>
          <w:rFonts w:ascii="Times New Roman" w:eastAsia="宋体" w:hAnsi="Times New Roman"/>
          <w:sz w:val="21"/>
          <w:szCs w:val="21"/>
        </w:rPr>
        <w:t>纸质出版物和视听资料</w:t>
      </w:r>
      <w:r>
        <w:rPr>
          <w:rFonts w:ascii="Times New Roman" w:eastAsia="宋体" w:hAnsi="Times New Roman" w:hint="eastAsia"/>
          <w:sz w:val="21"/>
          <w:szCs w:val="21"/>
        </w:rPr>
        <w:t>不受地理位置、语言或者获得方式的限制，也不受年代的限制。</w:t>
      </w:r>
      <w:r>
        <w:rPr>
          <w:rFonts w:ascii="Times New Roman" w:eastAsia="宋体" w:hAnsi="Times New Roman"/>
          <w:sz w:val="21"/>
          <w:szCs w:val="21"/>
        </w:rPr>
        <w:t>纸质出版物和视听资料是否能够获得与出版发行量多少、是否有人阅读过、申请人是否知道无关。存在于互联网或者其他在线数据库中的资料应当是通过合法途径能够获得的，资料的获得与是否需要口令或者付费、资料是否有人阅读过无关。</w:t>
      </w:r>
      <w:r>
        <w:rPr>
          <w:rFonts w:ascii="Times New Roman" w:eastAsia="宋体" w:hAnsi="Times New Roman" w:hint="eastAsia"/>
          <w:sz w:val="21"/>
          <w:szCs w:val="21"/>
        </w:rPr>
        <w:t>印有“内部资料”“内部发行”等字样的出版物，确系在特定范围内发行并要求保密的，不属于公开出版物。</w:t>
      </w:r>
    </w:p>
    <w:p w:rsidR="00800760" w:rsidRDefault="00235733">
      <w:pPr>
        <w:pStyle w:val="12"/>
        <w:topLinePunct/>
        <w:spacing w:line="336" w:lineRule="auto"/>
        <w:ind w:firstLine="420"/>
        <w:rPr>
          <w:rFonts w:ascii="Times New Roman" w:eastAsia="宋体" w:hAnsi="Times New Roman"/>
          <w:sz w:val="21"/>
          <w:szCs w:val="21"/>
          <w:lang w:val="en-GB"/>
        </w:rPr>
      </w:pPr>
      <w:r>
        <w:rPr>
          <w:rFonts w:ascii="Times New Roman" w:eastAsia="宋体" w:hAnsi="Times New Roman" w:hint="eastAsia"/>
          <w:sz w:val="21"/>
          <w:szCs w:val="21"/>
        </w:rPr>
        <w:t>出版物的印刷日视为公开日，有其他证据证明其公开日的除外。印刷日只写明年月或者年份的，以所写月份的最后一日或者所写年份的</w:t>
      </w:r>
      <w:r>
        <w:rPr>
          <w:rFonts w:ascii="Times New Roman" w:eastAsia="宋体" w:hAnsi="Times New Roman"/>
          <w:sz w:val="21"/>
          <w:szCs w:val="21"/>
        </w:rPr>
        <w:t>12</w:t>
      </w:r>
      <w:r>
        <w:rPr>
          <w:rFonts w:ascii="Times New Roman" w:eastAsia="宋体" w:hAnsi="Times New Roman" w:hint="eastAsia"/>
          <w:sz w:val="21"/>
          <w:szCs w:val="21"/>
        </w:rPr>
        <w:t>月</w:t>
      </w:r>
      <w:r>
        <w:rPr>
          <w:rFonts w:ascii="Times New Roman" w:eastAsia="宋体" w:hAnsi="Times New Roman"/>
          <w:sz w:val="21"/>
          <w:szCs w:val="21"/>
        </w:rPr>
        <w:t>31</w:t>
      </w:r>
      <w:r>
        <w:rPr>
          <w:rFonts w:ascii="Times New Roman" w:eastAsia="宋体" w:hAnsi="Times New Roman" w:hint="eastAsia"/>
          <w:sz w:val="21"/>
          <w:szCs w:val="21"/>
        </w:rPr>
        <w:t>日为公开日。</w:t>
      </w:r>
      <w:r>
        <w:rPr>
          <w:rFonts w:ascii="Times New Roman" w:eastAsia="宋体" w:hAnsi="Times New Roman"/>
          <w:sz w:val="21"/>
          <w:szCs w:val="21"/>
        </w:rPr>
        <w:t>存在于互联网或者其他在线数据库中的资料的公开日一般以发布日为准，有其他证据证明其公开日的除外。以网络方式出版的书籍、期刊、学位论文等出版物，其公开日为网页上记载的网络发布日。如果上述出版物同时具有内容相同的纸质出版物，也可以根据纸质出版物的印刷日确定公开日，通常以能够确定的最早的公开日为准。对于网页上未明确发布日或者发布日存疑的资料，可以参考日志文件中记载的发布日期和修改日期、搜索引擎给出的索引日期、互联网档案馆服务显示的日期、时间戳信息或者在镜像网站上显示的复制信息的发布日期等信息确定公开日。</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合议组认为出版物的公开日期存在疑义的，可以要求该出版物的提交人提出证明。</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当被控侵权人以出版物进行现有技术抗辩时，要注意核查现有技术的公开时间是否在专利申请日之前。</w:t>
      </w:r>
    </w:p>
    <w:p w:rsidR="00800760" w:rsidRDefault="00235733">
      <w:pPr>
        <w:pStyle w:val="af6"/>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w:t>
      </w:r>
      <w:r>
        <w:rPr>
          <w:rFonts w:ascii="Times New Roman" w:hAnsi="Times New Roman" w:hint="eastAsia"/>
          <w:color w:val="000000"/>
        </w:rPr>
        <w:t>44</w:t>
      </w:r>
      <w:r>
        <w:rPr>
          <w:rFonts w:ascii="Times New Roman" w:hAnsi="Times New Roman" w:hint="eastAsia"/>
          <w:color w:val="000000"/>
        </w:rPr>
        <w:t>】</w:t>
      </w:r>
    </w:p>
    <w:p w:rsidR="00800760" w:rsidRDefault="00235733">
      <w:pPr>
        <w:pStyle w:val="1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某实用新型专利，名称为“旋转式吸管瓶盖”，申请日为</w:t>
      </w:r>
      <w:r>
        <w:rPr>
          <w:rFonts w:ascii="Times New Roman" w:eastAsia="楷体_GB2312" w:hAnsi="Times New Roman"/>
          <w:sz w:val="21"/>
          <w:szCs w:val="21"/>
        </w:rPr>
        <w:t>1998</w:t>
      </w:r>
      <w:r>
        <w:rPr>
          <w:rFonts w:ascii="Times New Roman" w:eastAsia="楷体_GB2312" w:hAnsi="Times New Roman" w:hint="eastAsia"/>
          <w:sz w:val="21"/>
          <w:szCs w:val="21"/>
        </w:rPr>
        <w:t>年</w:t>
      </w:r>
      <w:r>
        <w:rPr>
          <w:rFonts w:ascii="Times New Roman" w:eastAsia="楷体_GB2312" w:hAnsi="Times New Roman"/>
          <w:sz w:val="21"/>
          <w:szCs w:val="21"/>
        </w:rPr>
        <w:t>3</w:t>
      </w:r>
      <w:r>
        <w:rPr>
          <w:rFonts w:ascii="Times New Roman" w:eastAsia="楷体_GB2312" w:hAnsi="Times New Roman" w:hint="eastAsia"/>
          <w:sz w:val="21"/>
          <w:szCs w:val="21"/>
        </w:rPr>
        <w:t>月</w:t>
      </w:r>
      <w:r>
        <w:rPr>
          <w:rFonts w:ascii="Times New Roman" w:eastAsia="楷体_GB2312" w:hAnsi="Times New Roman"/>
          <w:sz w:val="21"/>
          <w:szCs w:val="21"/>
        </w:rPr>
        <w:t>3</w:t>
      </w:r>
      <w:r>
        <w:rPr>
          <w:rFonts w:ascii="Times New Roman" w:eastAsia="楷体_GB2312" w:hAnsi="Times New Roman" w:hint="eastAsia"/>
          <w:sz w:val="21"/>
          <w:szCs w:val="21"/>
        </w:rPr>
        <w:t>日，授权公告日为</w:t>
      </w:r>
      <w:r>
        <w:rPr>
          <w:rFonts w:ascii="Times New Roman" w:eastAsia="楷体_GB2312" w:hAnsi="Times New Roman"/>
          <w:sz w:val="21"/>
          <w:szCs w:val="21"/>
        </w:rPr>
        <w:t>1999</w:t>
      </w:r>
      <w:r>
        <w:rPr>
          <w:rFonts w:ascii="Times New Roman" w:eastAsia="楷体_GB2312" w:hAnsi="Times New Roman" w:hint="eastAsia"/>
          <w:sz w:val="21"/>
          <w:szCs w:val="21"/>
        </w:rPr>
        <w:t>年</w:t>
      </w:r>
      <w:r>
        <w:rPr>
          <w:rFonts w:ascii="Times New Roman" w:eastAsia="楷体_GB2312" w:hAnsi="Times New Roman"/>
          <w:sz w:val="21"/>
          <w:szCs w:val="21"/>
        </w:rPr>
        <w:t>3</w:t>
      </w:r>
      <w:r>
        <w:rPr>
          <w:rFonts w:ascii="Times New Roman" w:eastAsia="楷体_GB2312" w:hAnsi="Times New Roman" w:hint="eastAsia"/>
          <w:sz w:val="21"/>
          <w:szCs w:val="21"/>
        </w:rPr>
        <w:t>月</w:t>
      </w:r>
      <w:r>
        <w:rPr>
          <w:rFonts w:ascii="Times New Roman" w:eastAsia="楷体_GB2312" w:hAnsi="Times New Roman"/>
          <w:sz w:val="21"/>
          <w:szCs w:val="21"/>
        </w:rPr>
        <w:t>25</w:t>
      </w:r>
      <w:r>
        <w:rPr>
          <w:rFonts w:ascii="Times New Roman" w:eastAsia="楷体_GB2312" w:hAnsi="Times New Roman" w:hint="eastAsia"/>
          <w:sz w:val="21"/>
          <w:szCs w:val="21"/>
        </w:rPr>
        <w:t>日。该专利的权利要求</w:t>
      </w:r>
      <w:r>
        <w:rPr>
          <w:rFonts w:ascii="Times New Roman" w:eastAsia="楷体_GB2312" w:hAnsi="Times New Roman"/>
          <w:sz w:val="21"/>
          <w:szCs w:val="21"/>
        </w:rPr>
        <w:t>1</w:t>
      </w:r>
      <w:r>
        <w:rPr>
          <w:rFonts w:ascii="Times New Roman" w:eastAsia="楷体_GB2312" w:hAnsi="Times New Roman" w:hint="eastAsia"/>
          <w:sz w:val="21"/>
          <w:szCs w:val="21"/>
        </w:rPr>
        <w:t>为</w:t>
      </w:r>
      <w:r>
        <w:rPr>
          <w:rFonts w:ascii="Times New Roman" w:eastAsia="楷体_GB2312" w:hAnsi="Times New Roman"/>
          <w:sz w:val="21"/>
          <w:szCs w:val="21"/>
        </w:rPr>
        <w:t>：</w:t>
      </w:r>
      <w:r>
        <w:rPr>
          <w:rFonts w:ascii="Times New Roman" w:eastAsia="楷体_GB2312" w:hAnsi="Times New Roman" w:hint="eastAsia"/>
          <w:sz w:val="21"/>
          <w:szCs w:val="21"/>
        </w:rPr>
        <w:t>“一种旋转式吸管瓶盖，主要由瓶、封口膜、瓶盖接头、吸管、护盖组成，其特征在于瓶口上粘贴有封口膜，瓶口上通过螺纹旋拧有瓶盖接头，瓶盖接头上通过螺纹旋拧有吸管，吸管上套插有护盖；吸管的内管上设有锥刺，吸管的外管内设有螺纹，吸管的外管外设有主拨头，护盖内设有主拨头。”</w:t>
      </w:r>
    </w:p>
    <w:p w:rsidR="00800760" w:rsidRDefault="00235733">
      <w:pPr>
        <w:pStyle w:val="1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被控侵权产品为某品牌</w:t>
      </w:r>
      <w:r>
        <w:rPr>
          <w:rFonts w:ascii="Times New Roman" w:eastAsia="楷体_GB2312" w:hAnsi="Times New Roman"/>
          <w:sz w:val="21"/>
          <w:szCs w:val="21"/>
        </w:rPr>
        <w:t>AD</w:t>
      </w:r>
      <w:r>
        <w:rPr>
          <w:rFonts w:ascii="Times New Roman" w:eastAsia="楷体_GB2312" w:hAnsi="Times New Roman" w:hint="eastAsia"/>
          <w:sz w:val="21"/>
          <w:szCs w:val="21"/>
        </w:rPr>
        <w:t>钙奶所使用的瓶盖。在侵权纠纷处理中，被请求人认为，其销售的</w:t>
      </w:r>
      <w:r>
        <w:rPr>
          <w:rFonts w:ascii="Times New Roman" w:eastAsia="楷体_GB2312" w:hAnsi="Times New Roman"/>
          <w:sz w:val="21"/>
          <w:szCs w:val="21"/>
        </w:rPr>
        <w:t>AD</w:t>
      </w:r>
      <w:r>
        <w:rPr>
          <w:rFonts w:ascii="Times New Roman" w:eastAsia="楷体_GB2312" w:hAnsi="Times New Roman" w:hint="eastAsia"/>
          <w:sz w:val="21"/>
          <w:szCs w:val="21"/>
        </w:rPr>
        <w:t>钙奶所使用的瓶盖系现有技术，并提交文献号为</w:t>
      </w:r>
      <w:r>
        <w:rPr>
          <w:rFonts w:ascii="Times New Roman" w:eastAsia="楷体_GB2312" w:hAnsi="Times New Roman"/>
          <w:sz w:val="21"/>
          <w:szCs w:val="21"/>
        </w:rPr>
        <w:t>DE4323666A</w:t>
      </w:r>
      <w:r>
        <w:rPr>
          <w:rFonts w:ascii="Times New Roman" w:eastAsia="楷体_GB2312" w:hAnsi="Times New Roman" w:hint="eastAsia"/>
          <w:sz w:val="21"/>
          <w:szCs w:val="21"/>
        </w:rPr>
        <w:t>1</w:t>
      </w:r>
      <w:r>
        <w:rPr>
          <w:rFonts w:ascii="Times New Roman" w:eastAsia="楷体_GB2312" w:hAnsi="Times New Roman" w:hint="eastAsia"/>
          <w:sz w:val="21"/>
          <w:szCs w:val="21"/>
        </w:rPr>
        <w:t>的德意志联邦共和国专利公布文本。经核实，所述专利文献的公开日为</w:t>
      </w:r>
      <w:r>
        <w:rPr>
          <w:rFonts w:ascii="Times New Roman" w:eastAsia="楷体_GB2312" w:hAnsi="Times New Roman"/>
          <w:sz w:val="21"/>
          <w:szCs w:val="21"/>
        </w:rPr>
        <w:t>1994</w:t>
      </w:r>
      <w:r>
        <w:rPr>
          <w:rFonts w:ascii="Times New Roman" w:eastAsia="楷体_GB2312" w:hAnsi="Times New Roman" w:hint="eastAsia"/>
          <w:sz w:val="21"/>
          <w:szCs w:val="21"/>
        </w:rPr>
        <w:t>年</w:t>
      </w:r>
      <w:r>
        <w:rPr>
          <w:rFonts w:ascii="Times New Roman" w:eastAsia="楷体_GB2312" w:hAnsi="Times New Roman"/>
          <w:sz w:val="21"/>
          <w:szCs w:val="21"/>
        </w:rPr>
        <w:t>1</w:t>
      </w:r>
      <w:r>
        <w:rPr>
          <w:rFonts w:ascii="Times New Roman" w:eastAsia="楷体_GB2312" w:hAnsi="Times New Roman" w:hint="eastAsia"/>
          <w:sz w:val="21"/>
          <w:szCs w:val="21"/>
        </w:rPr>
        <w:t>月</w:t>
      </w:r>
      <w:r>
        <w:rPr>
          <w:rFonts w:ascii="Times New Roman" w:eastAsia="楷体_GB2312" w:hAnsi="Times New Roman"/>
          <w:sz w:val="21"/>
          <w:szCs w:val="21"/>
        </w:rPr>
        <w:t>27</w:t>
      </w:r>
      <w:r>
        <w:rPr>
          <w:rFonts w:ascii="Times New Roman" w:eastAsia="楷体_GB2312" w:hAnsi="Times New Roman" w:hint="eastAsia"/>
          <w:sz w:val="21"/>
          <w:szCs w:val="21"/>
        </w:rPr>
        <w:t>日。该专利文献的说明书部分记载</w:t>
      </w:r>
      <w:r>
        <w:rPr>
          <w:rFonts w:ascii="Times New Roman" w:eastAsia="楷体_GB2312" w:hAnsi="Times New Roman"/>
          <w:sz w:val="21"/>
          <w:szCs w:val="21"/>
        </w:rPr>
        <w:t>：</w:t>
      </w:r>
      <w:r>
        <w:rPr>
          <w:rFonts w:ascii="Times New Roman" w:eastAsia="楷体_GB2312" w:hAnsi="Times New Roman" w:hint="eastAsia"/>
          <w:sz w:val="21"/>
          <w:szCs w:val="21"/>
        </w:rPr>
        <w:t>“利用封闭装置也已经为人所知，将瓶盖</w:t>
      </w:r>
      <w:r>
        <w:rPr>
          <w:rFonts w:ascii="Times New Roman" w:eastAsia="楷体_GB2312" w:hAnsi="Times New Roman"/>
          <w:sz w:val="21"/>
          <w:szCs w:val="21"/>
        </w:rPr>
        <w:t>（</w:t>
      </w:r>
      <w:r>
        <w:rPr>
          <w:rFonts w:ascii="Times New Roman" w:eastAsia="楷体_GB2312" w:hAnsi="Times New Roman" w:hint="eastAsia"/>
          <w:sz w:val="21"/>
          <w:szCs w:val="21"/>
        </w:rPr>
        <w:t>固定</w:t>
      </w:r>
      <w:r>
        <w:rPr>
          <w:rFonts w:ascii="Times New Roman" w:eastAsia="楷体_GB2312" w:hAnsi="Times New Roman"/>
          <w:sz w:val="21"/>
          <w:szCs w:val="21"/>
        </w:rPr>
        <w:t>）</w:t>
      </w:r>
      <w:r>
        <w:rPr>
          <w:rFonts w:ascii="Times New Roman" w:eastAsia="楷体_GB2312" w:hAnsi="Times New Roman" w:hint="eastAsia"/>
          <w:sz w:val="21"/>
          <w:szCs w:val="21"/>
        </w:rPr>
        <w:t>部分旋紧在瓶口上。在使用时，把帽用螺纹向内旋拧使得安置在盖内部的尖端刺破膜，此时，产品通过预置的导管取出，所述导管穿过盖罩伸进去，而不把它取出和与瓶子分开”</w:t>
      </w:r>
      <w:r>
        <w:rPr>
          <w:rFonts w:ascii="Times New Roman" w:eastAsia="楷体_GB2312" w:hAnsi="Times New Roman"/>
          <w:sz w:val="21"/>
          <w:szCs w:val="21"/>
        </w:rPr>
        <w:t>（</w:t>
      </w:r>
      <w:r>
        <w:rPr>
          <w:rFonts w:ascii="Times New Roman" w:eastAsia="楷体_GB2312" w:hAnsi="Times New Roman" w:hint="eastAsia"/>
          <w:sz w:val="21"/>
          <w:szCs w:val="21"/>
        </w:rPr>
        <w:t>具体结构如下图所示</w:t>
      </w:r>
      <w:r>
        <w:rPr>
          <w:rFonts w:ascii="Times New Roman" w:eastAsia="楷体_GB2312" w:hAnsi="Times New Roman"/>
          <w:sz w:val="21"/>
          <w:szCs w:val="21"/>
        </w:rPr>
        <w:t>）</w:t>
      </w:r>
      <w:r>
        <w:rPr>
          <w:rFonts w:ascii="Times New Roman" w:eastAsia="楷体_GB2312" w:hAnsi="Times New Roman" w:hint="eastAsia"/>
          <w:sz w:val="21"/>
          <w:szCs w:val="21"/>
        </w:rPr>
        <w:t>。德国专利文献公开的技术方案与被控侵权</w:t>
      </w:r>
      <w:r>
        <w:rPr>
          <w:rFonts w:ascii="Times New Roman" w:eastAsia="楷体_GB2312" w:hAnsi="Times New Roman"/>
          <w:sz w:val="21"/>
          <w:szCs w:val="21"/>
        </w:rPr>
        <w:t>AD</w:t>
      </w:r>
      <w:r>
        <w:rPr>
          <w:rFonts w:ascii="Times New Roman" w:eastAsia="楷体_GB2312" w:hAnsi="Times New Roman" w:hint="eastAsia"/>
          <w:sz w:val="21"/>
          <w:szCs w:val="21"/>
        </w:rPr>
        <w:t>钙奶瓶盖采用的技术方案相同。可见，被控侵权瓶盖所采用的技术属于现有技术，故不构成对涉案专利技术的侵犯。</w:t>
      </w:r>
    </w:p>
    <w:p w:rsidR="00800760" w:rsidRDefault="00235733">
      <w:pPr>
        <w:pStyle w:val="12"/>
        <w:topLinePunct/>
        <w:spacing w:line="336" w:lineRule="auto"/>
        <w:ind w:firstLineChars="0" w:firstLine="0"/>
        <w:jc w:val="center"/>
        <w:rPr>
          <w:rFonts w:ascii="Times New Roman" w:hAnsi="Times New Roman"/>
        </w:rPr>
      </w:pPr>
      <w:r>
        <w:rPr>
          <w:rFonts w:ascii="Times New Roman" w:hAnsi="Times New Roman"/>
          <w:noProof/>
          <w:lang w:val="en-US"/>
        </w:rPr>
        <w:drawing>
          <wp:inline distT="0" distB="0" distL="0" distR="0">
            <wp:extent cx="2298065" cy="2878455"/>
            <wp:effectExtent l="0" t="0" r="6985" b="0"/>
            <wp:docPr id="2" name="图片 3" descr="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43"/>
                    <pic:cNvPicPr>
                      <a:picLocks noChangeAspect="1" noChangeArrowheads="1"/>
                    </pic:cNvPicPr>
                  </pic:nvPicPr>
                  <pic:blipFill>
                    <a:blip r:embed="rId21" cstate="print"/>
                    <a:srcRect l="13022"/>
                    <a:stretch>
                      <a:fillRect/>
                    </a:stretch>
                  </pic:blipFill>
                  <pic:spPr>
                    <a:xfrm>
                      <a:off x="0" y="0"/>
                      <a:ext cx="2298065" cy="287845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sz w:val="18"/>
          <w:szCs w:val="18"/>
        </w:rPr>
        <w:t>专利文献</w:t>
      </w:r>
      <w:r>
        <w:rPr>
          <w:rFonts w:eastAsia="黑体"/>
          <w:sz w:val="18"/>
          <w:szCs w:val="18"/>
        </w:rPr>
        <w:t>DE4323666A1</w:t>
      </w:r>
      <w:r>
        <w:rPr>
          <w:rFonts w:eastAsia="黑体"/>
          <w:sz w:val="18"/>
          <w:szCs w:val="18"/>
        </w:rPr>
        <w:t>附图</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专利文献是最常用作现有技术抗辩的证据类型之一，在判断现有技术抗辩是否成立时，重点需要核实如下内容</w:t>
      </w:r>
      <w:r>
        <w:rPr>
          <w:rFonts w:ascii="Times New Roman" w:eastAsia="楷体_GB2312" w:hAnsi="Times New Roman"/>
          <w:sz w:val="21"/>
          <w:szCs w:val="21"/>
        </w:rPr>
        <w:t>：</w:t>
      </w:r>
      <w:r>
        <w:rPr>
          <w:rFonts w:ascii="Times New Roman" w:eastAsia="楷体_GB2312" w:hAnsi="Times New Roman" w:hint="eastAsia"/>
          <w:sz w:val="21"/>
          <w:szCs w:val="21"/>
        </w:rPr>
        <w:t>①被请求人提交的现有技术证据的公开日是否在涉案专利的申请日之前，是否构成涉案专利的现有技术；②所述现有技术证据是否公开了与被控侵权技术方案完全或实质相同的技术特征。本案中，用于现有技术抗辩的德国专利文献</w:t>
      </w:r>
      <w:r>
        <w:rPr>
          <w:rFonts w:ascii="Times New Roman" w:eastAsia="楷体_GB2312" w:hAnsi="Times New Roman"/>
          <w:sz w:val="21"/>
          <w:szCs w:val="21"/>
        </w:rPr>
        <w:t>DE4323666A</w:t>
      </w:r>
      <w:r>
        <w:rPr>
          <w:rFonts w:ascii="Times New Roman" w:eastAsia="楷体_GB2312" w:hAnsi="Times New Roman" w:hint="eastAsia"/>
          <w:sz w:val="21"/>
          <w:szCs w:val="21"/>
        </w:rPr>
        <w:t>1</w:t>
      </w:r>
      <w:r>
        <w:rPr>
          <w:rFonts w:ascii="Times New Roman" w:eastAsia="楷体_GB2312" w:hAnsi="Times New Roman" w:hint="eastAsia"/>
          <w:sz w:val="21"/>
          <w:szCs w:val="21"/>
        </w:rPr>
        <w:t>的公开日为</w:t>
      </w:r>
      <w:r>
        <w:rPr>
          <w:rFonts w:ascii="Times New Roman" w:eastAsia="楷体_GB2312" w:hAnsi="Times New Roman"/>
          <w:sz w:val="21"/>
          <w:szCs w:val="21"/>
        </w:rPr>
        <w:t>1994</w:t>
      </w:r>
      <w:r>
        <w:rPr>
          <w:rFonts w:ascii="Times New Roman" w:eastAsia="楷体_GB2312" w:hAnsi="Times New Roman" w:hint="eastAsia"/>
          <w:sz w:val="21"/>
          <w:szCs w:val="21"/>
        </w:rPr>
        <w:t>年</w:t>
      </w:r>
      <w:r>
        <w:rPr>
          <w:rFonts w:ascii="Times New Roman" w:eastAsia="楷体_GB2312" w:hAnsi="Times New Roman"/>
          <w:sz w:val="21"/>
          <w:szCs w:val="21"/>
        </w:rPr>
        <w:t>1</w:t>
      </w:r>
      <w:r>
        <w:rPr>
          <w:rFonts w:ascii="Times New Roman" w:eastAsia="楷体_GB2312" w:hAnsi="Times New Roman" w:hint="eastAsia"/>
          <w:sz w:val="21"/>
          <w:szCs w:val="21"/>
        </w:rPr>
        <w:t>月</w:t>
      </w:r>
      <w:r>
        <w:rPr>
          <w:rFonts w:ascii="Times New Roman" w:eastAsia="楷体_GB2312" w:hAnsi="Times New Roman"/>
          <w:sz w:val="21"/>
          <w:szCs w:val="21"/>
        </w:rPr>
        <w:t>27</w:t>
      </w:r>
      <w:r>
        <w:rPr>
          <w:rFonts w:ascii="Times New Roman" w:eastAsia="楷体_GB2312" w:hAnsi="Times New Roman" w:hint="eastAsia"/>
          <w:sz w:val="21"/>
          <w:szCs w:val="21"/>
        </w:rPr>
        <w:t>日，早于涉案专利的申请日，构成涉案专利的现有技术；其中公开的瓶盖结构也与被控侵权的</w:t>
      </w:r>
      <w:r>
        <w:rPr>
          <w:rFonts w:ascii="Times New Roman" w:eastAsia="楷体_GB2312" w:hAnsi="Times New Roman"/>
          <w:sz w:val="21"/>
          <w:szCs w:val="21"/>
        </w:rPr>
        <w:t>AD</w:t>
      </w:r>
      <w:r>
        <w:rPr>
          <w:rFonts w:ascii="Times New Roman" w:eastAsia="楷体_GB2312" w:hAnsi="Times New Roman" w:hint="eastAsia"/>
          <w:sz w:val="21"/>
          <w:szCs w:val="21"/>
        </w:rPr>
        <w:t>钙奶瓶盖技术特征相同。因此，现有技术抗辩成立。</w:t>
      </w:r>
    </w:p>
    <w:p w:rsidR="00800760" w:rsidRDefault="00C22A7B">
      <w:pPr>
        <w:pStyle w:val="1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使用公开构成现有技术</w:t>
      </w:r>
    </w:p>
    <w:p w:rsidR="00800760" w:rsidRDefault="00235733">
      <w:pPr>
        <w:pStyle w:val="-11"/>
        <w:topLinePunct/>
        <w:spacing w:line="336" w:lineRule="auto"/>
        <w:ind w:firstLine="420"/>
        <w:rPr>
          <w:rFonts w:cs="MingLiU_HKSCS"/>
          <w:sz w:val="21"/>
          <w:szCs w:val="21"/>
          <w:lang w:eastAsia="zh-CN"/>
        </w:rPr>
      </w:pPr>
      <w:r>
        <w:rPr>
          <w:rFonts w:cs="MingLiU_HKSCS"/>
          <w:sz w:val="21"/>
          <w:szCs w:val="21"/>
          <w:lang w:eastAsia="zh-CN"/>
        </w:rPr>
        <w:t>使用而导致技术方案的公开，或者导致技术方案处于公众可以得知的状态</w:t>
      </w:r>
      <w:r>
        <w:rPr>
          <w:rFonts w:cs="MingLiU_HKSCS"/>
          <w:sz w:val="21"/>
          <w:szCs w:val="21"/>
          <w:lang w:eastAsia="zh-CN"/>
        </w:rPr>
        <w:t xml:space="preserve"> </w:t>
      </w:r>
      <w:r>
        <w:rPr>
          <w:rFonts w:cs="MingLiU_HKSCS"/>
          <w:sz w:val="21"/>
          <w:szCs w:val="21"/>
          <w:lang w:eastAsia="zh-CN"/>
        </w:rPr>
        <w:t>，这种公开方式称为使用公开。</w:t>
      </w:r>
    </w:p>
    <w:p w:rsidR="00800760" w:rsidRDefault="00235733">
      <w:pPr>
        <w:pStyle w:val="-11"/>
        <w:topLinePunct/>
        <w:spacing w:line="336" w:lineRule="auto"/>
        <w:ind w:firstLine="420"/>
        <w:rPr>
          <w:rFonts w:cs="MingLiU_HKSCS"/>
          <w:sz w:val="21"/>
          <w:szCs w:val="21"/>
          <w:lang w:eastAsia="zh-CN"/>
        </w:rPr>
      </w:pPr>
      <w:r>
        <w:rPr>
          <w:rFonts w:cs="MingLiU_HKSCS"/>
          <w:sz w:val="21"/>
          <w:szCs w:val="21"/>
          <w:lang w:eastAsia="zh-CN"/>
        </w:rPr>
        <w:t>使用公开的方式包括能够使公众得知其技术内容的制造、使用、销售、进口、交换、馈赠、演示、展出、招标投标等方式。只要通过上述方式使有关技术内容处于公众想得知就能够得知的状态，就构成使用公开，而不取决于是否有公众得知。但是</w:t>
      </w:r>
      <w:r>
        <w:rPr>
          <w:rFonts w:hint="eastAsia"/>
          <w:sz w:val="21"/>
          <w:szCs w:val="21"/>
          <w:lang w:eastAsia="zh-CN"/>
        </w:rPr>
        <w:t>，</w:t>
      </w:r>
      <w:r>
        <w:rPr>
          <w:rFonts w:cs="MingLiU_HKSCS"/>
          <w:sz w:val="21"/>
          <w:szCs w:val="21"/>
          <w:lang w:eastAsia="zh-CN"/>
        </w:rPr>
        <w:t>未给出任何有关技术内容的说明，以致所属技术领域的技术人员无法得知其结构和功能或者材料成分的产品展示，不属于使用公开。</w:t>
      </w:r>
    </w:p>
    <w:p w:rsidR="00800760" w:rsidRDefault="00235733">
      <w:pPr>
        <w:pStyle w:val="-11"/>
        <w:topLinePunct/>
        <w:spacing w:line="336" w:lineRule="auto"/>
        <w:ind w:firstLine="420"/>
        <w:rPr>
          <w:sz w:val="21"/>
          <w:szCs w:val="21"/>
          <w:lang w:eastAsia="zh-CN"/>
        </w:rPr>
      </w:pPr>
      <w:r>
        <w:rPr>
          <w:rFonts w:cs="MingLiU_HKSCS"/>
          <w:sz w:val="21"/>
          <w:szCs w:val="21"/>
          <w:lang w:eastAsia="zh-CN"/>
        </w:rPr>
        <w:t>如果使用公开的是一种产品</w:t>
      </w:r>
      <w:r>
        <w:rPr>
          <w:rFonts w:cs="MingLiU_HKSCS"/>
          <w:sz w:val="21"/>
          <w:szCs w:val="21"/>
          <w:lang w:eastAsia="zh-CN"/>
        </w:rPr>
        <w:t xml:space="preserve"> </w:t>
      </w:r>
      <w:r>
        <w:rPr>
          <w:rFonts w:cs="MingLiU_HKSCS"/>
          <w:sz w:val="21"/>
          <w:szCs w:val="21"/>
          <w:lang w:eastAsia="zh-CN"/>
        </w:rPr>
        <w:t>，即使所使用的产品或者装置需要经过破坏才能够得知其结构和功能，也仍然属于使用公开。此外，使用公开还包括放置在展台上、橱窗内公众可以阅读的信息资料及直观资料，例如招贴画、图纸、照片、样本、</w:t>
      </w:r>
      <w:r>
        <w:rPr>
          <w:sz w:val="21"/>
          <w:szCs w:val="21"/>
          <w:lang w:eastAsia="zh-CN"/>
        </w:rPr>
        <w:t>样品等。</w:t>
      </w:r>
    </w:p>
    <w:p w:rsidR="00800760" w:rsidRDefault="00235733">
      <w:pPr>
        <w:pStyle w:val="-11"/>
        <w:topLinePunct/>
        <w:spacing w:line="336" w:lineRule="auto"/>
        <w:ind w:firstLine="420"/>
        <w:rPr>
          <w:rFonts w:cs="MingLiU_HKSCS"/>
          <w:sz w:val="21"/>
          <w:szCs w:val="21"/>
          <w:lang w:eastAsia="zh-CN"/>
        </w:rPr>
      </w:pPr>
      <w:r>
        <w:rPr>
          <w:sz w:val="21"/>
          <w:szCs w:val="21"/>
          <w:lang w:eastAsia="zh-CN"/>
        </w:rPr>
        <w:t>使用公开是以公众能够得知该产品或者方法之日为公开</w:t>
      </w:r>
      <w:r>
        <w:rPr>
          <w:rFonts w:cs="MingLiU_HKSCS"/>
          <w:sz w:val="21"/>
          <w:szCs w:val="21"/>
          <w:lang w:eastAsia="zh-CN"/>
        </w:rPr>
        <w:t>日。</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当被控侵权人以专利申请日前已经有与专利权利要求相同的技术被公开使用为由进行现有技术抗辩时</w:t>
      </w:r>
      <w:r>
        <w:rPr>
          <w:rFonts w:ascii="Times New Roman" w:eastAsia="宋体" w:hAnsi="Times New Roman"/>
          <w:sz w:val="21"/>
          <w:szCs w:val="21"/>
        </w:rPr>
        <w:t>，</w:t>
      </w:r>
      <w:r>
        <w:rPr>
          <w:rFonts w:ascii="Times New Roman" w:eastAsia="宋体" w:hAnsi="Times New Roman" w:hint="eastAsia"/>
          <w:sz w:val="21"/>
          <w:szCs w:val="21"/>
        </w:rPr>
        <w:t>要注意考查使用公开证据链的完整性。使用公开证据链一般包括下述部分</w:t>
      </w:r>
      <w:r>
        <w:rPr>
          <w:rFonts w:ascii="Times New Roman" w:eastAsia="宋体" w:hAnsi="Times New Roman"/>
          <w:sz w:val="21"/>
          <w:szCs w:val="21"/>
        </w:rPr>
        <w:t>：</w:t>
      </w:r>
      <w:r>
        <w:rPr>
          <w:rFonts w:ascii="Times New Roman" w:eastAsia="宋体" w:hAnsi="Times New Roman" w:hint="eastAsia"/>
          <w:sz w:val="21"/>
          <w:szCs w:val="21"/>
        </w:rPr>
        <w:t>涉案专利申请日之前使用公开事实存在；使用公开的产品</w:t>
      </w:r>
      <w:r>
        <w:rPr>
          <w:rFonts w:ascii="Times New Roman" w:eastAsia="宋体" w:hAnsi="Times New Roman"/>
          <w:sz w:val="21"/>
          <w:szCs w:val="21"/>
        </w:rPr>
        <w:t>（</w:t>
      </w:r>
      <w:r>
        <w:rPr>
          <w:rFonts w:ascii="Times New Roman" w:eastAsia="宋体" w:hAnsi="Times New Roman" w:hint="eastAsia"/>
          <w:sz w:val="21"/>
          <w:szCs w:val="21"/>
        </w:rPr>
        <w:t>方法</w:t>
      </w:r>
      <w:r>
        <w:rPr>
          <w:rFonts w:ascii="Times New Roman" w:eastAsia="宋体" w:hAnsi="Times New Roman"/>
          <w:sz w:val="21"/>
          <w:szCs w:val="21"/>
        </w:rPr>
        <w:t>）</w:t>
      </w:r>
      <w:r>
        <w:rPr>
          <w:rFonts w:ascii="Times New Roman" w:eastAsia="宋体" w:hAnsi="Times New Roman" w:hint="eastAsia"/>
          <w:sz w:val="21"/>
          <w:szCs w:val="21"/>
        </w:rPr>
        <w:t>与专利侵权纠纷处理时保存的产品</w:t>
      </w:r>
      <w:r>
        <w:rPr>
          <w:rFonts w:ascii="Times New Roman" w:eastAsia="宋体" w:hAnsi="Times New Roman"/>
          <w:sz w:val="21"/>
          <w:szCs w:val="21"/>
        </w:rPr>
        <w:t>（</w:t>
      </w:r>
      <w:r>
        <w:rPr>
          <w:rFonts w:ascii="Times New Roman" w:eastAsia="宋体" w:hAnsi="Times New Roman" w:hint="eastAsia"/>
          <w:sz w:val="21"/>
          <w:szCs w:val="21"/>
        </w:rPr>
        <w:t>方法</w:t>
      </w:r>
      <w:r>
        <w:rPr>
          <w:rFonts w:ascii="Times New Roman" w:eastAsia="宋体" w:hAnsi="Times New Roman"/>
          <w:sz w:val="21"/>
          <w:szCs w:val="21"/>
        </w:rPr>
        <w:t>）</w:t>
      </w:r>
      <w:r>
        <w:rPr>
          <w:rFonts w:ascii="Times New Roman" w:eastAsia="宋体" w:hAnsi="Times New Roman" w:hint="eastAsia"/>
          <w:sz w:val="21"/>
          <w:szCs w:val="21"/>
        </w:rPr>
        <w:t>具有一致性；专利侵权纠纷处理时保存的产品</w:t>
      </w:r>
      <w:r>
        <w:rPr>
          <w:rFonts w:ascii="Times New Roman" w:eastAsia="宋体" w:hAnsi="Times New Roman"/>
          <w:sz w:val="21"/>
          <w:szCs w:val="21"/>
        </w:rPr>
        <w:t>（</w:t>
      </w:r>
      <w:r>
        <w:rPr>
          <w:rFonts w:ascii="Times New Roman" w:eastAsia="宋体" w:hAnsi="Times New Roman" w:hint="eastAsia"/>
          <w:sz w:val="21"/>
          <w:szCs w:val="21"/>
        </w:rPr>
        <w:t>方法</w:t>
      </w:r>
      <w:r>
        <w:rPr>
          <w:rFonts w:ascii="Times New Roman" w:eastAsia="宋体" w:hAnsi="Times New Roman"/>
          <w:sz w:val="21"/>
          <w:szCs w:val="21"/>
        </w:rPr>
        <w:t>）</w:t>
      </w:r>
      <w:r>
        <w:rPr>
          <w:rFonts w:ascii="Times New Roman" w:eastAsia="宋体" w:hAnsi="Times New Roman" w:hint="eastAsia"/>
          <w:sz w:val="21"/>
          <w:szCs w:val="21"/>
        </w:rPr>
        <w:t>与被控侵权产品</w:t>
      </w:r>
      <w:r>
        <w:rPr>
          <w:rFonts w:ascii="Times New Roman" w:eastAsia="宋体" w:hAnsi="Times New Roman"/>
          <w:sz w:val="21"/>
          <w:szCs w:val="21"/>
        </w:rPr>
        <w:t>（</w:t>
      </w:r>
      <w:r>
        <w:rPr>
          <w:rFonts w:ascii="Times New Roman" w:eastAsia="宋体" w:hAnsi="Times New Roman" w:hint="eastAsia"/>
          <w:sz w:val="21"/>
          <w:szCs w:val="21"/>
        </w:rPr>
        <w:t>方法</w:t>
      </w:r>
      <w:r>
        <w:rPr>
          <w:rFonts w:ascii="Times New Roman" w:eastAsia="宋体" w:hAnsi="Times New Roman"/>
          <w:sz w:val="21"/>
          <w:szCs w:val="21"/>
        </w:rPr>
        <w:t>）</w:t>
      </w:r>
      <w:r>
        <w:rPr>
          <w:rFonts w:ascii="Times New Roman" w:eastAsia="宋体" w:hAnsi="Times New Roman" w:hint="eastAsia"/>
          <w:sz w:val="21"/>
          <w:szCs w:val="21"/>
        </w:rPr>
        <w:t>相同或实质相同。</w:t>
      </w:r>
    </w:p>
    <w:p w:rsidR="00800760" w:rsidRDefault="00235733">
      <w:pPr>
        <w:pStyle w:val="af6"/>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w:t>
      </w:r>
      <w:r>
        <w:rPr>
          <w:rFonts w:ascii="Times New Roman" w:hAnsi="Times New Roman" w:hint="eastAsia"/>
          <w:color w:val="000000"/>
        </w:rPr>
        <w:t>45</w:t>
      </w:r>
      <w:r>
        <w:rPr>
          <w:rFonts w:ascii="Times New Roman" w:hAnsi="Times New Roman" w:hint="eastAsia"/>
          <w:color w:val="000000"/>
        </w:rPr>
        <w:t>】</w:t>
      </w:r>
    </w:p>
    <w:p w:rsidR="00800760" w:rsidRDefault="00235733">
      <w:pPr>
        <w:pStyle w:val="1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某侵权纠纷案中，某地方知识产权局在认定被请求人以使用公开为由进行现有技术抗辩是否成立时，重点确定了如下事项</w:t>
      </w:r>
      <w:r>
        <w:rPr>
          <w:rFonts w:ascii="Times New Roman" w:eastAsia="楷体_GB2312" w:hAnsi="Times New Roman"/>
          <w:sz w:val="21"/>
          <w:szCs w:val="21"/>
        </w:rPr>
        <w:t>：</w:t>
      </w:r>
      <w:r>
        <w:rPr>
          <w:rFonts w:ascii="Times New Roman" w:eastAsia="楷体_GB2312" w:hAnsi="Times New Roman" w:hint="eastAsia"/>
          <w:sz w:val="21"/>
          <w:szCs w:val="21"/>
        </w:rPr>
        <w:t>根据对账单、定作合同、银行转账凭证、收款收据等证据认定塑料容器成型机在涉案专利申请日之前已经存在销售事实；根据产品商标、产品型号、证人证言等认定上述销售产品在案件审理时仍然存在，并在相关证据能够予以采信的情况下，将被控侵权产品与该现有技术进行技术特征的比对；经过比对，认定被控侵权产品与上述销售产品技术方案相同。在对上述证据构成的证据链进行确认后，认定现有技术抗辩成立。</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非公有技术构成现有技术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现有技术抗辩中的现有技术范围既包括进入公有领域、公众可以自由使用的技术</w:t>
      </w:r>
      <w:r>
        <w:rPr>
          <w:rFonts w:ascii="Times New Roman" w:eastAsia="宋体" w:hAnsi="Times New Roman"/>
          <w:sz w:val="21"/>
          <w:szCs w:val="21"/>
        </w:rPr>
        <w:t>，</w:t>
      </w:r>
      <w:r>
        <w:rPr>
          <w:rFonts w:ascii="Times New Roman" w:eastAsia="宋体" w:hAnsi="Times New Roman" w:hint="eastAsia"/>
          <w:sz w:val="21"/>
          <w:szCs w:val="21"/>
        </w:rPr>
        <w:t>也包括尚处于他人专利权保护范围内的非公有技术</w:t>
      </w:r>
      <w:r>
        <w:rPr>
          <w:rFonts w:ascii="Times New Roman" w:eastAsia="宋体" w:hAnsi="Times New Roman"/>
          <w:sz w:val="21"/>
          <w:szCs w:val="21"/>
        </w:rPr>
        <w:t>，</w:t>
      </w:r>
      <w:r>
        <w:rPr>
          <w:rFonts w:ascii="Times New Roman" w:eastAsia="宋体" w:hAnsi="Times New Roman" w:hint="eastAsia"/>
          <w:sz w:val="21"/>
          <w:szCs w:val="21"/>
        </w:rPr>
        <w:t>甚至还包括专利权人拥有的其他专利技术</w:t>
      </w:r>
      <w:r>
        <w:rPr>
          <w:rFonts w:ascii="Times New Roman" w:eastAsia="宋体" w:hAnsi="Times New Roman"/>
          <w:sz w:val="21"/>
          <w:szCs w:val="21"/>
        </w:rPr>
        <w:t>，</w:t>
      </w:r>
      <w:r>
        <w:rPr>
          <w:rFonts w:ascii="Times New Roman" w:eastAsia="宋体" w:hAnsi="Times New Roman" w:hint="eastAsia"/>
          <w:sz w:val="21"/>
          <w:szCs w:val="21"/>
        </w:rPr>
        <w:t>只要该技术在涉案专利申请日之前为公众所得知</w:t>
      </w:r>
      <w:r>
        <w:rPr>
          <w:rFonts w:ascii="Times New Roman" w:eastAsia="宋体" w:hAnsi="Times New Roman"/>
          <w:sz w:val="21"/>
          <w:szCs w:val="21"/>
        </w:rPr>
        <w:t>，</w:t>
      </w:r>
      <w:r>
        <w:rPr>
          <w:rFonts w:ascii="Times New Roman" w:eastAsia="宋体" w:hAnsi="Times New Roman" w:hint="eastAsia"/>
          <w:sz w:val="21"/>
          <w:szCs w:val="21"/>
        </w:rPr>
        <w:t>属于《专利法》规定的现有技术即可。</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不能被援引进行现有技术抗辩的技术类型</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被控侵权人援引以下技术类型作为现有技术抗辩的现有技术时，管理专利工作的部门不应予以支持。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在先申请在后公开的中国发明或实用新型专利</w:t>
      </w:r>
      <w:r w:rsidR="00235733">
        <w:rPr>
          <w:rFonts w:ascii="Times New Roman" w:eastAsia="宋体" w:hAnsi="Times New Roman"/>
          <w:sz w:val="21"/>
          <w:szCs w:val="21"/>
        </w:rPr>
        <w:t>/</w:t>
      </w:r>
      <w:r w:rsidR="00235733">
        <w:rPr>
          <w:rFonts w:ascii="Times New Roman" w:eastAsia="宋体" w:hAnsi="Times New Roman" w:hint="eastAsia"/>
          <w:sz w:val="21"/>
          <w:szCs w:val="21"/>
        </w:rPr>
        <w:t>专利申请</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所称“在先申请在后公开的中国发明或实用新型专利</w:t>
      </w:r>
      <w:r>
        <w:rPr>
          <w:rFonts w:ascii="Times New Roman" w:eastAsia="宋体" w:hAnsi="Times New Roman"/>
          <w:sz w:val="21"/>
          <w:szCs w:val="21"/>
        </w:rPr>
        <w:t>/</w:t>
      </w:r>
      <w:r>
        <w:rPr>
          <w:rFonts w:ascii="Times New Roman" w:eastAsia="宋体" w:hAnsi="Times New Roman" w:hint="eastAsia"/>
          <w:sz w:val="21"/>
          <w:szCs w:val="21"/>
        </w:rPr>
        <w:t>专利申请”，是指在涉案专利申请日前向国家知识产权局提出申请，且在涉案专利申请日之后公布的中国发明或实用新型专利或专利申请。由于该专利</w:t>
      </w:r>
      <w:r>
        <w:rPr>
          <w:rFonts w:ascii="Times New Roman" w:eastAsia="宋体" w:hAnsi="Times New Roman"/>
          <w:sz w:val="21"/>
          <w:szCs w:val="21"/>
        </w:rPr>
        <w:t>/</w:t>
      </w:r>
      <w:r>
        <w:rPr>
          <w:rFonts w:ascii="Times New Roman" w:eastAsia="宋体" w:hAnsi="Times New Roman" w:hint="eastAsia"/>
          <w:sz w:val="21"/>
          <w:szCs w:val="21"/>
        </w:rPr>
        <w:t>专利申请在涉案专利申请日时尚未公开，不构成涉案专利的现有技术，因此，在专利侵权纠纷处理中，不得援引进行现有技术抗辩。</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享受新颖性宽限期的技术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根据《专利法》第二十四条的规定，申请专利的发明创造在申请日以前</w:t>
      </w:r>
      <w:r>
        <w:rPr>
          <w:rFonts w:ascii="Times New Roman" w:eastAsia="宋体" w:hAnsi="Times New Roman" w:cs="Times New Roman"/>
          <w:sz w:val="21"/>
          <w:szCs w:val="21"/>
        </w:rPr>
        <w:t>6</w:t>
      </w:r>
      <w:r>
        <w:rPr>
          <w:rFonts w:ascii="Times New Roman" w:eastAsia="宋体" w:hAnsi="Times New Roman" w:hint="eastAsia"/>
          <w:sz w:val="21"/>
          <w:szCs w:val="21"/>
        </w:rPr>
        <w:t>个月内，有下列情况之一的，不丧失新颖性</w:t>
      </w:r>
      <w:r>
        <w:rPr>
          <w:rFonts w:ascii="Times New Roman" w:eastAsia="宋体" w:hAnsi="Times New Roman"/>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a.</w:t>
      </w:r>
      <w:r>
        <w:rPr>
          <w:rFonts w:ascii="Times New Roman" w:eastAsia="宋体" w:hAnsi="Times New Roman" w:hint="eastAsia"/>
          <w:sz w:val="21"/>
          <w:szCs w:val="21"/>
        </w:rPr>
        <w:t>在国家出现紧急状态或者非常情况时，为公共利益目的首次公开的；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hint="eastAsia"/>
          <w:sz w:val="21"/>
          <w:szCs w:val="21"/>
        </w:rPr>
        <w:t>b.</w:t>
      </w:r>
      <w:r>
        <w:rPr>
          <w:rFonts w:ascii="Times New Roman" w:eastAsia="宋体" w:hAnsi="Times New Roman" w:hint="eastAsia"/>
          <w:sz w:val="21"/>
          <w:szCs w:val="21"/>
        </w:rPr>
        <w:t>在中国政府主办或者承认的国际展览会上首次展出的；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hint="eastAsia"/>
          <w:sz w:val="21"/>
          <w:szCs w:val="21"/>
        </w:rPr>
        <w:t>c.</w:t>
      </w:r>
      <w:r>
        <w:rPr>
          <w:rFonts w:ascii="Times New Roman" w:eastAsia="宋体" w:hAnsi="Times New Roman" w:hint="eastAsia"/>
          <w:sz w:val="21"/>
          <w:szCs w:val="21"/>
        </w:rPr>
        <w:t>在规定的学术会议或者技术会议上首次发表的；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hint="eastAsia"/>
          <w:sz w:val="21"/>
          <w:szCs w:val="21"/>
        </w:rPr>
        <w:t>d</w:t>
      </w:r>
      <w:r>
        <w:rPr>
          <w:rFonts w:ascii="Times New Roman" w:eastAsia="宋体" w:hAnsi="Times New Roman" w:cs="Times New Roman"/>
          <w:sz w:val="21"/>
          <w:szCs w:val="21"/>
        </w:rPr>
        <w:t>.</w:t>
      </w:r>
      <w:r>
        <w:rPr>
          <w:rFonts w:ascii="Times New Roman" w:eastAsia="宋体" w:hAnsi="Times New Roman" w:hint="eastAsia"/>
          <w:sz w:val="21"/>
          <w:szCs w:val="21"/>
        </w:rPr>
        <w:t>他人未经申请人同意而泄露其内容的。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享受新颖性宽限期的技术，虽然在涉案专利申请日之前为公众所得知，但并不影响随后提出的专利申请的新颖性。同样，在专利侵权纠纷处理中，也不能依据这样的技术对以该享有宽限期的专利为基础提出的专利侵权进行现有技术抗辩。</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应当注意，如果在首次展出或发表至专利申请日前</w:t>
      </w:r>
      <w:r>
        <w:rPr>
          <w:rFonts w:ascii="Times New Roman" w:eastAsia="宋体" w:hAnsi="Times New Roman" w:cs="Times New Roman"/>
          <w:spacing w:val="2"/>
          <w:sz w:val="21"/>
          <w:szCs w:val="21"/>
        </w:rPr>
        <w:t>6</w:t>
      </w:r>
      <w:r>
        <w:rPr>
          <w:rFonts w:ascii="Times New Roman" w:eastAsia="宋体" w:hAnsi="Times New Roman" w:hint="eastAsia"/>
          <w:spacing w:val="2"/>
          <w:sz w:val="21"/>
          <w:szCs w:val="21"/>
        </w:rPr>
        <w:t>个月内，有任何人，包括发明人或者申请人以不同于上述四种情况的方式再次展出或者发表与专利同样的发明创造的，则该再次展出或发表的技术构成现有技术。</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保密技术</w:t>
      </w:r>
    </w:p>
    <w:p w:rsidR="00800760" w:rsidRDefault="00235733">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hint="eastAsia"/>
          <w:sz w:val="21"/>
          <w:szCs w:val="21"/>
        </w:rPr>
        <w:t>在涉案专利申请日之前就已经存在的保密技术不能适用于现有技术抗辩。所称保密技术，是处于保密状态的技术内容。所称保密状态，不仅包括受保密规定或保密协议约束的情形，还包括社会观念或者商业习惯上认为应该承担保密义务的情形，即默契保密的情形。如果负有保密义务的人违反规定、</w:t>
      </w:r>
      <w:r>
        <w:rPr>
          <w:rFonts w:ascii="Times New Roman" w:eastAsia="宋体" w:hAnsi="Times New Roman" w:hint="eastAsia"/>
          <w:spacing w:val="2"/>
          <w:sz w:val="21"/>
          <w:szCs w:val="21"/>
        </w:rPr>
        <w:t>约定或默契泄密，导致技术内容公开，使公众能够得知这些技术，这些技术也就</w:t>
      </w:r>
      <w:r>
        <w:rPr>
          <w:rFonts w:ascii="Times New Roman" w:eastAsia="宋体" w:hAnsi="Times New Roman" w:hint="eastAsia"/>
          <w:sz w:val="21"/>
          <w:szCs w:val="21"/>
        </w:rPr>
        <w:t>构成了现有技术的一部分</w:t>
      </w:r>
      <w:r>
        <w:rPr>
          <w:rFonts w:ascii="Times New Roman" w:eastAsia="宋体" w:hAnsi="Times New Roman" w:hint="eastAsia"/>
          <w:spacing w:val="2"/>
          <w:sz w:val="21"/>
          <w:szCs w:val="21"/>
        </w:rPr>
        <w:t>。</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r w:rsidR="00235733">
        <w:rPr>
          <w:rFonts w:hint="eastAsia"/>
          <w:color w:val="000000"/>
        </w:rPr>
        <w:t xml:space="preserve">3. </w:t>
      </w:r>
      <w:r>
        <w:rPr>
          <w:color w:val="000000"/>
        </w:rPr>
        <w:fldChar w:fldCharType="end"/>
      </w:r>
      <w:r w:rsidR="00235733">
        <w:rPr>
          <w:rFonts w:hint="eastAsia"/>
          <w:color w:val="000000"/>
        </w:rPr>
        <w:t>现有技术抗辩的适用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现有技术抗辩时，存在三项技术</w:t>
      </w:r>
      <w:r>
        <w:rPr>
          <w:rFonts w:ascii="Times New Roman" w:eastAsia="宋体" w:hAnsi="Times New Roman"/>
          <w:sz w:val="21"/>
          <w:szCs w:val="21"/>
        </w:rPr>
        <w:t>：</w:t>
      </w:r>
      <w:r>
        <w:rPr>
          <w:rFonts w:ascii="Times New Roman" w:eastAsia="宋体" w:hAnsi="Times New Roman" w:hint="eastAsia"/>
          <w:sz w:val="21"/>
          <w:szCs w:val="21"/>
        </w:rPr>
        <w:t>涉案专利权利要求、被控侵权技术方案、援引用于抗辩的现有技术。适用现有技术抗辩，应当在专利权利要求的引导下，将被控侵权技术方案与现有技术进行对比。</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现有技术抗辩的适用条件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适用现有技术抗辩时，原则上应当首先将被控侵权技术方案与涉案专利权利要求进行对比，在被控侵权技术方案落入了涉案专利的保护范围，构成侵权的情况下才能适用现有技术抗辩。当对被控侵权技术方案是否构成侵权存在争议，同时又可以认定被控侵权技术方案与现有技术相同或实质相同时，可以不对是否侵权得出结论，直接认定现有技术抗辩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被控侵权技术方案对涉案专利权利要求构成侵权的情形，既可以是相同侵权，也可以是等同侵权。</w:t>
      </w:r>
    </w:p>
    <w:p w:rsidR="00800760" w:rsidRDefault="00235733">
      <w:pPr>
        <w:pStyle w:val="af6"/>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w:t>
      </w:r>
      <w:r>
        <w:rPr>
          <w:rFonts w:ascii="Times New Roman" w:hAnsi="Times New Roman" w:hint="eastAsia"/>
          <w:color w:val="000000"/>
          <w:lang w:val="en-US"/>
        </w:rPr>
        <w:t>46</w:t>
      </w:r>
      <w:r>
        <w:rPr>
          <w:rFonts w:ascii="Times New Roman" w:hAnsi="Times New Roman" w:hint="eastAsia"/>
          <w:color w:val="000000"/>
        </w:rPr>
        <w:t>】</w:t>
      </w:r>
    </w:p>
    <w:p w:rsidR="00800760" w:rsidRDefault="00235733">
      <w:pPr>
        <w:pStyle w:val="1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涉案专利权利要求具有</w:t>
      </w:r>
      <w:r>
        <w:rPr>
          <w:rFonts w:ascii="Times New Roman" w:eastAsia="楷体_GB2312" w:hAnsi="Times New Roman"/>
          <w:sz w:val="21"/>
          <w:szCs w:val="21"/>
        </w:rPr>
        <w:t>a</w:t>
      </w:r>
      <w:r>
        <w:rPr>
          <w:rFonts w:ascii="Times New Roman" w:eastAsia="楷体_GB2312" w:hAnsi="Times New Roman" w:hint="eastAsia"/>
          <w:sz w:val="21"/>
          <w:szCs w:val="21"/>
        </w:rPr>
        <w:t>、</w:t>
      </w:r>
      <w:r>
        <w:rPr>
          <w:rFonts w:ascii="Times New Roman" w:eastAsia="楷体_GB2312" w:hAnsi="Times New Roman"/>
          <w:sz w:val="21"/>
          <w:szCs w:val="21"/>
        </w:rPr>
        <w:t>b</w:t>
      </w:r>
      <w:r>
        <w:rPr>
          <w:rFonts w:ascii="Times New Roman" w:eastAsia="楷体_GB2312" w:hAnsi="Times New Roman" w:hint="eastAsia"/>
          <w:sz w:val="21"/>
          <w:szCs w:val="21"/>
        </w:rPr>
        <w:t>、</w:t>
      </w:r>
      <w:r>
        <w:rPr>
          <w:rFonts w:ascii="Times New Roman" w:eastAsia="楷体_GB2312" w:hAnsi="Times New Roman"/>
          <w:sz w:val="21"/>
          <w:szCs w:val="21"/>
        </w:rPr>
        <w:t>c</w:t>
      </w:r>
      <w:r>
        <w:rPr>
          <w:rFonts w:ascii="Times New Roman" w:eastAsia="楷体_GB2312" w:hAnsi="Times New Roman" w:hint="eastAsia"/>
          <w:sz w:val="21"/>
          <w:szCs w:val="21"/>
        </w:rPr>
        <w:t>、</w:t>
      </w:r>
      <w:r>
        <w:rPr>
          <w:rFonts w:ascii="Times New Roman" w:eastAsia="楷体_GB2312" w:hAnsi="Times New Roman"/>
          <w:sz w:val="21"/>
          <w:szCs w:val="21"/>
        </w:rPr>
        <w:t>d</w:t>
      </w:r>
      <w:r>
        <w:rPr>
          <w:rFonts w:ascii="Times New Roman" w:eastAsia="楷体_GB2312" w:hAnsi="Times New Roman" w:hint="eastAsia"/>
          <w:sz w:val="21"/>
          <w:szCs w:val="21"/>
        </w:rPr>
        <w:t>四个技术特征，被控侵权产品具备</w:t>
      </w:r>
      <w:r>
        <w:rPr>
          <w:rFonts w:ascii="Times New Roman" w:eastAsia="楷体_GB2312" w:hAnsi="Times New Roman"/>
          <w:sz w:val="21"/>
          <w:szCs w:val="21"/>
        </w:rPr>
        <w:t>a</w:t>
      </w:r>
      <w:r>
        <w:rPr>
          <w:rFonts w:ascii="Times New Roman" w:eastAsia="楷体_GB2312" w:hAnsi="Times New Roman" w:hint="eastAsia"/>
          <w:sz w:val="21"/>
          <w:szCs w:val="21"/>
        </w:rPr>
        <w:t>、</w:t>
      </w:r>
      <w:r>
        <w:rPr>
          <w:rFonts w:ascii="Times New Roman" w:eastAsia="楷体_GB2312" w:hAnsi="Times New Roman"/>
          <w:sz w:val="21"/>
          <w:szCs w:val="21"/>
        </w:rPr>
        <w:t>b</w:t>
      </w:r>
      <w:r>
        <w:rPr>
          <w:rFonts w:ascii="Times New Roman" w:eastAsia="楷体_GB2312" w:hAnsi="Times New Roman" w:hint="eastAsia"/>
          <w:sz w:val="21"/>
          <w:szCs w:val="21"/>
        </w:rPr>
        <w:t>、</w:t>
      </w:r>
      <w:r>
        <w:rPr>
          <w:rFonts w:ascii="Times New Roman" w:eastAsia="楷体_GB2312" w:hAnsi="Times New Roman"/>
          <w:sz w:val="21"/>
          <w:szCs w:val="21"/>
        </w:rPr>
        <w:t>c</w:t>
      </w:r>
      <w:r>
        <w:rPr>
          <w:rFonts w:ascii="Times New Roman" w:eastAsia="楷体_GB2312" w:hAnsi="Times New Roman" w:hint="eastAsia"/>
          <w:sz w:val="21"/>
          <w:szCs w:val="21"/>
        </w:rPr>
        <w:t>、</w:t>
      </w:r>
      <w:r>
        <w:rPr>
          <w:rFonts w:ascii="Times New Roman" w:eastAsia="楷体_GB2312" w:hAnsi="Times New Roman"/>
          <w:sz w:val="21"/>
          <w:szCs w:val="21"/>
        </w:rPr>
        <w:t>D</w:t>
      </w:r>
      <w:r>
        <w:rPr>
          <w:rFonts w:ascii="Times New Roman" w:eastAsia="楷体_GB2312" w:hAnsi="Times New Roman" w:hint="eastAsia"/>
          <w:sz w:val="21"/>
          <w:szCs w:val="21"/>
        </w:rPr>
        <w:t>四个技术特征。</w:t>
      </w:r>
    </w:p>
    <w:p w:rsidR="00800760" w:rsidRDefault="00235733">
      <w:pPr>
        <w:pStyle w:val="1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当对于特征</w:t>
      </w:r>
      <w:r>
        <w:rPr>
          <w:rFonts w:ascii="Times New Roman" w:eastAsia="楷体_GB2312" w:hAnsi="Times New Roman"/>
          <w:sz w:val="21"/>
          <w:szCs w:val="21"/>
        </w:rPr>
        <w:t>d</w:t>
      </w:r>
      <w:r>
        <w:rPr>
          <w:rFonts w:ascii="Times New Roman" w:eastAsia="楷体_GB2312" w:hAnsi="Times New Roman" w:hint="eastAsia"/>
          <w:sz w:val="21"/>
          <w:szCs w:val="21"/>
        </w:rPr>
        <w:t>与</w:t>
      </w:r>
      <w:r>
        <w:rPr>
          <w:rFonts w:ascii="Times New Roman" w:eastAsia="楷体_GB2312" w:hAnsi="Times New Roman"/>
          <w:sz w:val="21"/>
          <w:szCs w:val="21"/>
        </w:rPr>
        <w:t>D</w:t>
      </w:r>
      <w:r>
        <w:rPr>
          <w:rFonts w:ascii="Times New Roman" w:eastAsia="楷体_GB2312" w:hAnsi="Times New Roman" w:hint="eastAsia"/>
          <w:sz w:val="21"/>
          <w:szCs w:val="21"/>
        </w:rPr>
        <w:t>是否构成等同不存在争议时，应先对被控侵权产品是否落入涉案专利权保护范围作出认定。如果</w:t>
      </w:r>
      <w:r>
        <w:rPr>
          <w:rFonts w:ascii="Times New Roman" w:eastAsia="楷体_GB2312" w:hAnsi="Times New Roman"/>
          <w:sz w:val="21"/>
          <w:szCs w:val="21"/>
        </w:rPr>
        <w:t>d</w:t>
      </w:r>
      <w:r>
        <w:rPr>
          <w:rFonts w:ascii="Times New Roman" w:eastAsia="楷体_GB2312" w:hAnsi="Times New Roman" w:hint="eastAsia"/>
          <w:sz w:val="21"/>
          <w:szCs w:val="21"/>
        </w:rPr>
        <w:t>与</w:t>
      </w:r>
      <w:r>
        <w:rPr>
          <w:rFonts w:ascii="Times New Roman" w:eastAsia="楷体_GB2312" w:hAnsi="Times New Roman"/>
          <w:sz w:val="21"/>
          <w:szCs w:val="21"/>
        </w:rPr>
        <w:t>D</w:t>
      </w:r>
      <w:r>
        <w:rPr>
          <w:rFonts w:ascii="Times New Roman" w:eastAsia="楷体_GB2312" w:hAnsi="Times New Roman" w:hint="eastAsia"/>
          <w:sz w:val="21"/>
          <w:szCs w:val="21"/>
        </w:rPr>
        <w:t>不构成等同，直接得出不侵权的结论；如果</w:t>
      </w:r>
      <w:r>
        <w:rPr>
          <w:rFonts w:ascii="Times New Roman" w:eastAsia="楷体_GB2312" w:hAnsi="Times New Roman"/>
          <w:sz w:val="21"/>
          <w:szCs w:val="21"/>
        </w:rPr>
        <w:t>d</w:t>
      </w:r>
      <w:r>
        <w:rPr>
          <w:rFonts w:ascii="Times New Roman" w:eastAsia="楷体_GB2312" w:hAnsi="Times New Roman" w:hint="eastAsia"/>
          <w:sz w:val="21"/>
          <w:szCs w:val="21"/>
        </w:rPr>
        <w:t>与</w:t>
      </w:r>
      <w:r>
        <w:rPr>
          <w:rFonts w:ascii="Times New Roman" w:eastAsia="楷体_GB2312" w:hAnsi="Times New Roman"/>
          <w:sz w:val="21"/>
          <w:szCs w:val="21"/>
        </w:rPr>
        <w:t>D</w:t>
      </w:r>
      <w:r>
        <w:rPr>
          <w:rFonts w:ascii="Times New Roman" w:eastAsia="楷体_GB2312" w:hAnsi="Times New Roman" w:hint="eastAsia"/>
          <w:sz w:val="21"/>
          <w:szCs w:val="21"/>
        </w:rPr>
        <w:t>构成等同，则将被控侵权产品与现有技术公开的产品进行对比，判断现有技术抗辩是否成立。</w:t>
      </w:r>
    </w:p>
    <w:p w:rsidR="00800760" w:rsidRDefault="00235733">
      <w:pPr>
        <w:pStyle w:val="1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当对于特征</w:t>
      </w:r>
      <w:r>
        <w:rPr>
          <w:rFonts w:ascii="Times New Roman" w:eastAsia="楷体_GB2312" w:hAnsi="Times New Roman"/>
          <w:sz w:val="21"/>
          <w:szCs w:val="21"/>
        </w:rPr>
        <w:t>d</w:t>
      </w:r>
      <w:r>
        <w:rPr>
          <w:rFonts w:ascii="Times New Roman" w:eastAsia="楷体_GB2312" w:hAnsi="Times New Roman" w:hint="eastAsia"/>
          <w:sz w:val="21"/>
          <w:szCs w:val="21"/>
        </w:rPr>
        <w:t>与</w:t>
      </w:r>
      <w:r>
        <w:rPr>
          <w:rFonts w:ascii="Times New Roman" w:eastAsia="楷体_GB2312" w:hAnsi="Times New Roman"/>
          <w:sz w:val="21"/>
          <w:szCs w:val="21"/>
        </w:rPr>
        <w:t>D</w:t>
      </w:r>
      <w:r>
        <w:rPr>
          <w:rFonts w:ascii="Times New Roman" w:eastAsia="楷体_GB2312" w:hAnsi="Times New Roman" w:hint="eastAsia"/>
          <w:sz w:val="21"/>
          <w:szCs w:val="21"/>
        </w:rPr>
        <w:t>是否构成等同存在争议时，可以同时将现有技术公开的产品与被控侵权产品进行对比。如果二者相同或实质相同，则直接认定现有技术抗辩成立；如果对于二者是否相同或实质相同也存在争议，仍然需要先对特征</w:t>
      </w:r>
      <w:r>
        <w:rPr>
          <w:rFonts w:ascii="Times New Roman" w:eastAsia="楷体_GB2312" w:hAnsi="Times New Roman"/>
          <w:sz w:val="21"/>
          <w:szCs w:val="21"/>
        </w:rPr>
        <w:t>d</w:t>
      </w:r>
      <w:r>
        <w:rPr>
          <w:rFonts w:ascii="Times New Roman" w:eastAsia="楷体_GB2312" w:hAnsi="Times New Roman" w:hint="eastAsia"/>
          <w:sz w:val="21"/>
          <w:szCs w:val="21"/>
        </w:rPr>
        <w:t>与</w:t>
      </w:r>
      <w:r>
        <w:rPr>
          <w:rFonts w:ascii="Times New Roman" w:eastAsia="楷体_GB2312" w:hAnsi="Times New Roman"/>
          <w:sz w:val="21"/>
          <w:szCs w:val="21"/>
        </w:rPr>
        <w:t>D</w:t>
      </w:r>
      <w:r>
        <w:rPr>
          <w:rFonts w:ascii="Times New Roman" w:eastAsia="楷体_GB2312" w:hAnsi="Times New Roman" w:hint="eastAsia"/>
          <w:sz w:val="21"/>
          <w:szCs w:val="21"/>
        </w:rPr>
        <w:t>是否构成等同得出结论，之后再认定现有技术抗辩是否成立。</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现有技术抗辩成立的判断标准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将被控侵权技术方案与现有技术对比</w:t>
      </w:r>
      <w:r>
        <w:rPr>
          <w:rFonts w:ascii="Times New Roman" w:eastAsia="宋体" w:hAnsi="Times New Roman"/>
          <w:sz w:val="21"/>
          <w:szCs w:val="21"/>
        </w:rPr>
        <w:t>，</w:t>
      </w:r>
      <w:r>
        <w:rPr>
          <w:rFonts w:ascii="Times New Roman" w:eastAsia="宋体" w:hAnsi="Times New Roman" w:hint="eastAsia"/>
          <w:sz w:val="21"/>
          <w:szCs w:val="21"/>
        </w:rPr>
        <w:t>如果被控侵权技术方案与现有技术相同或实质相同</w:t>
      </w:r>
      <w:r>
        <w:rPr>
          <w:rFonts w:ascii="Times New Roman" w:eastAsia="宋体" w:hAnsi="Times New Roman"/>
          <w:sz w:val="21"/>
          <w:szCs w:val="21"/>
        </w:rPr>
        <w:t>，</w:t>
      </w:r>
      <w:r>
        <w:rPr>
          <w:rFonts w:ascii="Times New Roman" w:eastAsia="宋体" w:hAnsi="Times New Roman" w:hint="eastAsia"/>
          <w:sz w:val="21"/>
          <w:szCs w:val="21"/>
        </w:rPr>
        <w:t>则现有技术抗辩成立。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被控侵权技术方案与现有技术相同，是指被控侵权技术方案与现有技术完全相同。被控侵权技术方案与现有技术实质相同，是指对现有技术中的技术特征进行惯用手段的直接置换后，与被控侵权技术方案相同。</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被控侵权技术方案与现有技术对比时，只需要考虑被控侵权技术方案中与涉案专利权利要求相关的技术特征，无需将被控侵权技术方案中与涉案专利权利要求无关的技术特征与现有技术进行对比。</w:t>
      </w:r>
    </w:p>
    <w:p w:rsidR="00800760" w:rsidRDefault="00235733">
      <w:pPr>
        <w:pStyle w:val="af6"/>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w:t>
      </w:r>
      <w:r>
        <w:rPr>
          <w:rFonts w:ascii="Times New Roman" w:hAnsi="Times New Roman" w:hint="eastAsia"/>
          <w:color w:val="000000"/>
          <w:lang w:val="en-US"/>
        </w:rPr>
        <w:t>47</w:t>
      </w:r>
      <w:r>
        <w:rPr>
          <w:rFonts w:ascii="Times New Roman" w:hAnsi="Times New Roman" w:hint="eastAsia"/>
          <w:color w:val="000000"/>
        </w:rPr>
        <w:t>】</w:t>
      </w:r>
    </w:p>
    <w:p w:rsidR="00800760" w:rsidRDefault="00235733">
      <w:pPr>
        <w:pStyle w:val="1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纠纷案中，构成现有技术的某专利申请公开了一种用作建筑内模构件的模盒，其与涉案专利的模壳构件、被控侵权产品的叠合箱均为用于空心楼盖的构件，三者属于相同的技术主题。被控侵权产品与某专利申请公开的技术方案存在以下差别</w:t>
      </w:r>
      <w:r>
        <w:rPr>
          <w:rFonts w:ascii="Times New Roman" w:eastAsia="楷体_GB2312" w:hAnsi="Times New Roman"/>
          <w:sz w:val="21"/>
          <w:szCs w:val="21"/>
        </w:rPr>
        <w:t>：</w:t>
      </w:r>
      <w:r>
        <w:rPr>
          <w:rFonts w:ascii="Times New Roman" w:eastAsia="楷体_GB2312" w:hAnsi="Times New Roman" w:hint="eastAsia"/>
          <w:sz w:val="21"/>
          <w:szCs w:val="21"/>
        </w:rPr>
        <w:t>前者侧壁上方扣合的是上盒，而后者侧壁上方扣合的是模盒。二者的侧壁以及二者的上盒与上模盒作用均相同。因此，被控侵权产品使用的技术方案与某专利申请公开的现有技术方案并无实质性差异，现有技术抗辩成立。</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适用现有技术抗辩的注意事项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在适用现有技术抗辩时，需要注意以下事项。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单独对比</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适用现有技术抗辩，只能将被控侵权技术方案与一份现有技术作单独对比，不得将多份现有技术组合与被控侵权技术方案进行对比。</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逐一对比</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在被控侵权人提出多份现有技术进行抗辩的情况下，应当将被控侵权技术方案与多份现有技术逐一进行对比，只要被控侵权技术方案与其中一份现有技术构成相同或实质相同，现有技术抗辩即成立。</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一般不得结合公知常识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在现有技术抗辩中，应当对比被控侵权技术方案与现有技术是否相同或实质相同，因此，除惯用手段的直接置换外，一般不得将被控侵权技术方案与现有技术和公知常识的结合进行对比。</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不考查“更接近”</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现有技术抗辩不以被控侵权技术方案更接近于现有技术为成立要件，不需要考查被控侵权技术方案更接近于涉案专利权利要求还是更接近现有技术。</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不得对比现有技术与涉案专利权利要求。</w:t>
      </w:r>
    </w:p>
    <w:p w:rsidR="00800760" w:rsidRDefault="00235733">
      <w:pPr>
        <w:pStyle w:val="12"/>
        <w:topLinePunct/>
        <w:spacing w:line="336" w:lineRule="auto"/>
        <w:ind w:firstLine="420"/>
        <w:rPr>
          <w:rFonts w:ascii="Times New Roman" w:eastAsia="宋体" w:hAnsi="Times New Roman"/>
        </w:rPr>
      </w:pPr>
      <w:r>
        <w:rPr>
          <w:rFonts w:ascii="Times New Roman" w:eastAsia="宋体" w:hAnsi="Times New Roman" w:hint="eastAsia"/>
          <w:sz w:val="21"/>
          <w:szCs w:val="21"/>
        </w:rPr>
        <w:t>现有技术抗辩中，不得将现有技术与涉案专利权利要求进行对比，得出现有技术与涉案专利权利要求相同或实质相同、涉案专利权利要求不具备新颖性或创造性从而侵权不成立的结论。</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r w:rsidR="00235733">
        <w:rPr>
          <w:rFonts w:ascii="Times New Roman" w:hAnsi="Times New Roman" w:hint="eastAsia"/>
          <w:color w:val="000000"/>
          <w:lang w:val="en-US"/>
        </w:rPr>
        <w:t>（二）</w:t>
      </w:r>
      <w:r>
        <w:rPr>
          <w:rFonts w:ascii="Times New Roman" w:hAnsi="Times New Roman"/>
          <w:color w:val="000000"/>
        </w:rPr>
        <w:fldChar w:fldCharType="end"/>
      </w:r>
      <w:r w:rsidR="00235733">
        <w:rPr>
          <w:rFonts w:ascii="Times New Roman" w:hAnsi="Times New Roman" w:hint="eastAsia"/>
          <w:color w:val="000000"/>
        </w:rPr>
        <w:t>不以生产经营为目的的抗辩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根据《专利法》第十一条的规定，只有在为生产经营目的的前提下，未经许可实施专利的行为才构成侵犯专利权。不以生产经营为目的，能够作为专利侵权的抗辩事由。</w:t>
      </w:r>
    </w:p>
    <w:p w:rsidR="00800760" w:rsidRDefault="00235733">
      <w:pPr>
        <w:pStyle w:val="12"/>
        <w:spacing w:line="336" w:lineRule="auto"/>
        <w:ind w:firstLine="420"/>
        <w:rPr>
          <w:rFonts w:ascii="Times New Roman" w:hAnsi="Times New Roman"/>
        </w:rPr>
      </w:pPr>
      <w:r>
        <w:rPr>
          <w:rFonts w:ascii="Times New Roman" w:eastAsia="宋体" w:hAnsi="Times New Roman" w:hint="eastAsia"/>
          <w:sz w:val="21"/>
          <w:szCs w:val="21"/>
        </w:rPr>
        <w:t>关于不以生产经营为目的的认定，参见本指南第三章第三节第三部分“不以生产经营为目的”中相关内容。</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3 \* GB4</w:instrText>
      </w:r>
      <w:r>
        <w:rPr>
          <w:rFonts w:ascii="Times New Roman" w:hAnsi="Times New Roman"/>
          <w:color w:val="000000"/>
        </w:rPr>
        <w:fldChar w:fldCharType="separate"/>
      </w:r>
      <w:bookmarkStart w:id="1943" w:name="_Toc28593363"/>
      <w:r w:rsidR="00235733">
        <w:rPr>
          <w:rFonts w:ascii="Times New Roman" w:hAnsi="Times New Roman" w:hint="eastAsia"/>
          <w:color w:val="000000"/>
          <w:lang w:val="en-US"/>
        </w:rPr>
        <w:t>（三）</w:t>
      </w:r>
      <w:r>
        <w:rPr>
          <w:rFonts w:ascii="Times New Roman" w:hAnsi="Times New Roman"/>
          <w:color w:val="000000"/>
        </w:rPr>
        <w:fldChar w:fldCharType="end"/>
      </w:r>
      <w:r w:rsidR="00235733">
        <w:rPr>
          <w:rFonts w:ascii="Times New Roman" w:hAnsi="Times New Roman" w:hint="eastAsia"/>
          <w:color w:val="000000"/>
        </w:rPr>
        <w:t>权利用尽抗辩</w:t>
      </w:r>
      <w:bookmarkEnd w:id="1943"/>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权利用尽，是指根据《专利法》第七十五条第（一）项的规定，任何单位、个人购买了专利权人或经专利权人许可的单位、个人售出的专利产品或依照专利方法直接获得的产品后，应当享有自由处置其购买的产品的权利，此后，无论购买者以何种方式使用、许诺销售、销售、进口该产品，均不构成侵犯该专利权人的专利权。权利用尽抗辩是为保证商品的自由流通，维护正常的市场秩序。</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1944" w:name="_Toc28593364"/>
      <w:r w:rsidR="00235733">
        <w:rPr>
          <w:rFonts w:hint="eastAsia"/>
          <w:color w:val="000000"/>
        </w:rPr>
        <w:t xml:space="preserve">1. </w:t>
      </w:r>
      <w:r>
        <w:rPr>
          <w:color w:val="000000"/>
        </w:rPr>
        <w:fldChar w:fldCharType="end"/>
      </w:r>
      <w:r w:rsidR="00235733">
        <w:rPr>
          <w:rFonts w:hint="eastAsia"/>
          <w:color w:val="000000"/>
        </w:rPr>
        <w:t>权利用尽抗辩的注意事项</w:t>
      </w:r>
      <w:bookmarkEnd w:id="1944"/>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权利用尽抗辩中</w:t>
      </w:r>
      <w:r>
        <w:rPr>
          <w:rFonts w:ascii="Times New Roman" w:eastAsia="宋体" w:hAnsi="Times New Roman"/>
          <w:sz w:val="21"/>
          <w:szCs w:val="21"/>
        </w:rPr>
        <w:t>，</w:t>
      </w:r>
      <w:r>
        <w:rPr>
          <w:rFonts w:ascii="Times New Roman" w:eastAsia="宋体" w:hAnsi="Times New Roman" w:hint="eastAsia"/>
          <w:sz w:val="21"/>
          <w:szCs w:val="21"/>
        </w:rPr>
        <w:t>需要注意以下几个问题</w:t>
      </w:r>
      <w:r>
        <w:rPr>
          <w:rFonts w:ascii="Times New Roman" w:eastAsia="宋体" w:hAnsi="Times New Roman"/>
          <w:sz w:val="21"/>
          <w:szCs w:val="21"/>
        </w:rPr>
        <w:t>：</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权利用尽抗辩的产品初始来源应该合法</w:t>
      </w:r>
      <w:r w:rsidR="00235733">
        <w:rPr>
          <w:rFonts w:ascii="Times New Roman" w:eastAsia="宋体" w:hAnsi="Times New Roman"/>
          <w:sz w:val="21"/>
          <w:szCs w:val="21"/>
        </w:rPr>
        <w:t>，</w:t>
      </w:r>
      <w:r w:rsidR="00235733">
        <w:rPr>
          <w:rFonts w:ascii="Times New Roman" w:eastAsia="宋体" w:hAnsi="Times New Roman" w:hint="eastAsia"/>
          <w:sz w:val="21"/>
          <w:szCs w:val="21"/>
        </w:rPr>
        <w:t>即基于专利权人或者其许可人的售出。非法出售的产品</w:t>
      </w:r>
      <w:r w:rsidR="00235733">
        <w:rPr>
          <w:rFonts w:ascii="Times New Roman" w:eastAsia="宋体" w:hAnsi="Times New Roman"/>
          <w:sz w:val="21"/>
          <w:szCs w:val="21"/>
        </w:rPr>
        <w:t>，</w:t>
      </w:r>
      <w:r w:rsidR="00235733">
        <w:rPr>
          <w:rFonts w:ascii="Times New Roman" w:eastAsia="宋体" w:hAnsi="Times New Roman" w:hint="eastAsia"/>
          <w:sz w:val="21"/>
          <w:szCs w:val="21"/>
        </w:rPr>
        <w:t>例如其他人未经许可生产的专利产品</w:t>
      </w:r>
      <w:r w:rsidR="00235733">
        <w:rPr>
          <w:rFonts w:ascii="Times New Roman" w:eastAsia="宋体" w:hAnsi="Times New Roman"/>
          <w:sz w:val="21"/>
          <w:szCs w:val="21"/>
        </w:rPr>
        <w:t>，</w:t>
      </w:r>
      <w:r w:rsidR="00235733">
        <w:rPr>
          <w:rFonts w:ascii="Times New Roman" w:eastAsia="宋体" w:hAnsi="Times New Roman" w:hint="eastAsia"/>
          <w:sz w:val="21"/>
          <w:szCs w:val="21"/>
        </w:rPr>
        <w:t>或者从专利权人及其被许可人处盗窃的专利产品</w:t>
      </w:r>
      <w:r w:rsidR="00235733">
        <w:rPr>
          <w:rFonts w:ascii="Times New Roman" w:eastAsia="宋体" w:hAnsi="Times New Roman"/>
          <w:sz w:val="21"/>
          <w:szCs w:val="21"/>
        </w:rPr>
        <w:t>，</w:t>
      </w:r>
      <w:r w:rsidR="00235733">
        <w:rPr>
          <w:rFonts w:ascii="Times New Roman" w:eastAsia="宋体" w:hAnsi="Times New Roman" w:hint="eastAsia"/>
          <w:sz w:val="21"/>
          <w:szCs w:val="21"/>
        </w:rPr>
        <w:t>即便第三人通过正常途径购买获得</w:t>
      </w:r>
      <w:r w:rsidR="00235733">
        <w:rPr>
          <w:rFonts w:ascii="Times New Roman" w:eastAsia="宋体" w:hAnsi="Times New Roman"/>
          <w:sz w:val="21"/>
          <w:szCs w:val="21"/>
        </w:rPr>
        <w:t>，</w:t>
      </w:r>
      <w:r w:rsidR="00235733">
        <w:rPr>
          <w:rFonts w:ascii="Times New Roman" w:eastAsia="宋体" w:hAnsi="Times New Roman" w:hint="eastAsia"/>
          <w:sz w:val="21"/>
          <w:szCs w:val="21"/>
        </w:rPr>
        <w:t>也不能适用权利用尽抗辩。</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专利权人及其被许可人售出的产品的对象不限于不特定的社会公众。权利人向特定人出售专利产品的，在产品售出后也可以适用权利用尽抗辩。</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权利人出售专利产品并不以获得相关对价为条件。免费发放专利产品、赠送专利产品，也视为权利人出售专利产品，可以适用权利用尽抗辩。</w:t>
      </w:r>
    </w:p>
    <w:p w:rsidR="00800760" w:rsidRDefault="00C22A7B">
      <w:pPr>
        <w:pStyle w:val="22"/>
        <w:topLinePunct/>
        <w:spacing w:line="336" w:lineRule="auto"/>
        <w:ind w:firstLine="420"/>
        <w:rPr>
          <w:rFonts w:ascii="Times New Roman" w:eastAsia="宋体" w:hAnsi="Times New Roman"/>
          <w:spacing w:val="2"/>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在双方的合同交易中，只要权利人交付了专利产品，专利产品合法脱离权利人，就可以适用权利用尽抗辩。被交付人未按照合同约定给付价款，不影响商品的正常流转，可以适用权利用尽抗辩。</w:t>
      </w:r>
      <w:r w:rsidR="00235733">
        <w:rPr>
          <w:rFonts w:ascii="Times New Roman" w:eastAsia="宋体" w:hAnsi="Times New Roman" w:hint="eastAsia"/>
          <w:spacing w:val="2"/>
          <w:sz w:val="21"/>
          <w:szCs w:val="21"/>
        </w:rPr>
        <w:t>但如果权利人只实施了销售的准备行为或者许诺销售行为，则不能认定销售完成，不适用权利用尽抗辩。</w:t>
      </w:r>
    </w:p>
    <w:p w:rsidR="00800760" w:rsidRDefault="00C22A7B">
      <w:pPr>
        <w:pStyle w:val="22"/>
        <w:topLinePunct/>
        <w:spacing w:line="336" w:lineRule="auto"/>
        <w:ind w:firstLine="420"/>
        <w:rPr>
          <w:rFonts w:ascii="Times New Roman" w:eastAsia="宋体" w:hAnsi="Times New Roman"/>
          <w:spacing w:val="2"/>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5</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权利人在国内或国外售出专利产品时，对购买者提出了限制产品后续使用、销售、许诺销售等限制性条件，购买者违反了上述条件，仍然可以适用权利用尽抗辩，其行为不构成专利侵权。至于其行为</w:t>
      </w:r>
      <w:r w:rsidR="00235733">
        <w:rPr>
          <w:rFonts w:ascii="Times New Roman" w:eastAsia="宋体" w:hAnsi="Times New Roman" w:hint="eastAsia"/>
          <w:spacing w:val="2"/>
          <w:sz w:val="21"/>
          <w:szCs w:val="21"/>
        </w:rPr>
        <w:t>是否需要承担合同责任，作为限制条件的合同条款是否有效，不在管理专利工作的部门的处理权限之内。</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1945" w:name="_Toc28593365"/>
      <w:r w:rsidR="00235733">
        <w:rPr>
          <w:rFonts w:hint="eastAsia"/>
          <w:color w:val="000000"/>
        </w:rPr>
        <w:t xml:space="preserve">2. </w:t>
      </w:r>
      <w:r>
        <w:rPr>
          <w:color w:val="000000"/>
        </w:rPr>
        <w:fldChar w:fldCharType="end"/>
      </w:r>
      <w:r w:rsidR="00235733">
        <w:rPr>
          <w:rFonts w:hint="eastAsia"/>
          <w:color w:val="000000"/>
        </w:rPr>
        <w:t>专利权国内用尽和国际用尽</w:t>
      </w:r>
      <w:bookmarkEnd w:id="1945"/>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专利权利用尽包括两种情形</w:t>
      </w:r>
      <w:r>
        <w:rPr>
          <w:rFonts w:ascii="Times New Roman" w:eastAsia="宋体" w:hAnsi="Times New Roman"/>
          <w:sz w:val="21"/>
          <w:szCs w:val="21"/>
        </w:rPr>
        <w:t>：</w:t>
      </w:r>
      <w:r>
        <w:rPr>
          <w:rFonts w:ascii="Times New Roman" w:eastAsia="宋体" w:hAnsi="Times New Roman" w:hint="eastAsia"/>
          <w:sz w:val="21"/>
          <w:szCs w:val="21"/>
        </w:rPr>
        <w:t>专利权国内用尽和专利权国际用尽。</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权国内用尽，是指对于在我国获得的专利权而言，专利权人或者被许可人在我国境内出售专利产品或依照专利方法直接获得的产品后，购买者在我国境内使用、许诺销售、销售该产品，均不构成侵犯专利权的行为。</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权的国际用尽，又称平行进口，是指对于在我国获得的专利权而言，专利权人或者其被许可人在我国境外售出其专利产品或者依照专利方法直接取得的产品后，购买者将该产品进口到我国境内以及随后在我国境内使用、许诺销售、销售该产品，均不构成侵犯专利权的行为。</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对于专利权的国际用尽有如下情形需要注意</w:t>
      </w:r>
      <w:r>
        <w:rPr>
          <w:rFonts w:ascii="Times New Roman" w:eastAsia="宋体" w:hAnsi="Times New Roman"/>
          <w:sz w:val="21"/>
          <w:szCs w:val="21"/>
        </w:rPr>
        <w:t>：</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如果专利权人在本国获得专利权，无论是否在出口国获得专利权，如果进口的专利产品来源于专利权人或者其许可人在国外的公开销售，则可以适用权利用尽抗辩。如果进口的专利产品来源于专利权人或者其许可人以外的其他人在国外的公开销售，则不能适用权利用尽抗辩。</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在相关技术在本国和出口国都获得专利权，但专利权分属不同人的情况下，如果进口的专利产品来源于与本国专利权人或者其许可人没有关联的其他人在国外的公开销售，则不能适用权利用尽抗辩，该进口专利产品的行为构成侵犯国内权利人专利权的行为。</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4 \* GB4</w:instrText>
      </w:r>
      <w:r>
        <w:rPr>
          <w:rFonts w:ascii="Times New Roman" w:hAnsi="Times New Roman"/>
          <w:color w:val="000000"/>
        </w:rPr>
        <w:fldChar w:fldCharType="separate"/>
      </w:r>
      <w:bookmarkStart w:id="1946" w:name="_Toc28593366"/>
      <w:r w:rsidR="00235733">
        <w:rPr>
          <w:rFonts w:ascii="Times New Roman" w:hAnsi="Times New Roman" w:hint="eastAsia"/>
          <w:color w:val="000000"/>
          <w:lang w:val="en-US"/>
        </w:rPr>
        <w:t>（四）</w:t>
      </w:r>
      <w:r>
        <w:rPr>
          <w:rFonts w:ascii="Times New Roman" w:hAnsi="Times New Roman"/>
          <w:color w:val="000000"/>
        </w:rPr>
        <w:fldChar w:fldCharType="end"/>
      </w:r>
      <w:r w:rsidR="00235733">
        <w:rPr>
          <w:rFonts w:ascii="Times New Roman" w:hAnsi="Times New Roman" w:hint="eastAsia"/>
          <w:color w:val="000000"/>
        </w:rPr>
        <w:t>先用权抗辩</w:t>
      </w:r>
      <w:bookmarkEnd w:id="1946"/>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根据《专利法》第七十五条第（二）项的规定</w:t>
      </w:r>
      <w:r>
        <w:rPr>
          <w:rFonts w:ascii="Times New Roman" w:eastAsia="宋体" w:hAnsi="Times New Roman"/>
          <w:sz w:val="21"/>
          <w:szCs w:val="21"/>
        </w:rPr>
        <w:t>，</w:t>
      </w:r>
      <w:r>
        <w:rPr>
          <w:rFonts w:ascii="Times New Roman" w:eastAsia="宋体" w:hAnsi="Times New Roman" w:hint="eastAsia"/>
          <w:sz w:val="21"/>
          <w:szCs w:val="21"/>
        </w:rPr>
        <w:t>在专利申请人提出某项发明创造的专利申请之前</w:t>
      </w:r>
      <w:r>
        <w:rPr>
          <w:rFonts w:ascii="Times New Roman" w:eastAsia="宋体" w:hAnsi="Times New Roman"/>
          <w:sz w:val="21"/>
          <w:szCs w:val="21"/>
        </w:rPr>
        <w:t>，</w:t>
      </w:r>
      <w:r>
        <w:rPr>
          <w:rFonts w:ascii="Times New Roman" w:eastAsia="宋体" w:hAnsi="Times New Roman" w:hint="eastAsia"/>
          <w:sz w:val="21"/>
          <w:szCs w:val="21"/>
        </w:rPr>
        <w:t>如果他人已经制造了相同的产品、使用了相同的方法或者已经作好了制造专利产品、使用专利方法的必要准备</w:t>
      </w:r>
      <w:r>
        <w:rPr>
          <w:rFonts w:ascii="Times New Roman" w:eastAsia="宋体" w:hAnsi="Times New Roman"/>
          <w:sz w:val="21"/>
          <w:szCs w:val="21"/>
        </w:rPr>
        <w:t>，</w:t>
      </w:r>
      <w:r>
        <w:rPr>
          <w:rFonts w:ascii="Times New Roman" w:eastAsia="宋体" w:hAnsi="Times New Roman" w:hint="eastAsia"/>
          <w:sz w:val="21"/>
          <w:szCs w:val="21"/>
        </w:rPr>
        <w:t>则在该发明创造被授予专利权后</w:t>
      </w:r>
      <w:r>
        <w:rPr>
          <w:rFonts w:ascii="Times New Roman" w:eastAsia="宋体" w:hAnsi="Times New Roman"/>
          <w:sz w:val="21"/>
          <w:szCs w:val="21"/>
        </w:rPr>
        <w:t>，</w:t>
      </w:r>
      <w:r>
        <w:rPr>
          <w:rFonts w:ascii="Times New Roman" w:eastAsia="宋体" w:hAnsi="Times New Roman" w:hint="eastAsia"/>
          <w:sz w:val="21"/>
          <w:szCs w:val="21"/>
        </w:rPr>
        <w:t>他人仍有权继续在原有的范围内制造或者使用该项发明创造</w:t>
      </w:r>
      <w:r>
        <w:rPr>
          <w:rFonts w:ascii="Times New Roman" w:eastAsia="宋体" w:hAnsi="Times New Roman"/>
          <w:sz w:val="21"/>
          <w:szCs w:val="21"/>
        </w:rPr>
        <w:t>，</w:t>
      </w:r>
      <w:r>
        <w:rPr>
          <w:rFonts w:ascii="Times New Roman" w:eastAsia="宋体" w:hAnsi="Times New Roman" w:hint="eastAsia"/>
          <w:sz w:val="21"/>
          <w:szCs w:val="21"/>
        </w:rPr>
        <w:t>其制造和使用行为不被视为侵犯专利权。</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适用先用权抗辩应当具备如下条件。</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1947" w:name="_Toc28593367"/>
      <w:r w:rsidR="00235733">
        <w:rPr>
          <w:rFonts w:hint="eastAsia"/>
          <w:color w:val="000000"/>
        </w:rPr>
        <w:t xml:space="preserve">1. </w:t>
      </w:r>
      <w:r>
        <w:rPr>
          <w:color w:val="000000"/>
        </w:rPr>
        <w:fldChar w:fldCharType="end"/>
      </w:r>
      <w:r w:rsidR="00235733">
        <w:rPr>
          <w:rFonts w:hint="eastAsia"/>
          <w:color w:val="000000"/>
        </w:rPr>
        <w:t>取得先用权的行为条件</w:t>
      </w:r>
      <w:bookmarkEnd w:id="1947"/>
    </w:p>
    <w:p w:rsidR="00800760" w:rsidRDefault="00235733">
      <w:pPr>
        <w:pStyle w:val="22"/>
        <w:topLinePunct/>
        <w:spacing w:line="336" w:lineRule="auto"/>
        <w:ind w:firstLine="420"/>
        <w:rPr>
          <w:rFonts w:ascii="Times New Roman" w:hAnsi="Times New Roman"/>
        </w:rPr>
      </w:pPr>
      <w:r>
        <w:rPr>
          <w:rFonts w:ascii="Times New Roman" w:eastAsia="宋体" w:hAnsi="Times New Roman" w:hint="eastAsia"/>
          <w:sz w:val="21"/>
          <w:szCs w:val="21"/>
        </w:rPr>
        <w:t>对于产品专利权而言</w:t>
      </w:r>
      <w:r>
        <w:rPr>
          <w:rFonts w:ascii="Times New Roman" w:eastAsia="宋体" w:hAnsi="Times New Roman"/>
          <w:sz w:val="21"/>
          <w:szCs w:val="21"/>
        </w:rPr>
        <w:t>，</w:t>
      </w:r>
      <w:r>
        <w:rPr>
          <w:rFonts w:ascii="Times New Roman" w:eastAsia="宋体" w:hAnsi="Times New Roman" w:hint="eastAsia"/>
          <w:sz w:val="21"/>
          <w:szCs w:val="21"/>
        </w:rPr>
        <w:t>能够产生先用权的行为只包括在专利申请日之前已经制造相同产品或者已经作好制造的必要准备</w:t>
      </w:r>
      <w:r>
        <w:rPr>
          <w:rFonts w:ascii="Times New Roman" w:eastAsia="宋体" w:hAnsi="Times New Roman"/>
          <w:sz w:val="21"/>
          <w:szCs w:val="21"/>
        </w:rPr>
        <w:t>，</w:t>
      </w:r>
      <w:r>
        <w:rPr>
          <w:rFonts w:ascii="Times New Roman" w:eastAsia="宋体" w:hAnsi="Times New Roman" w:hint="eastAsia"/>
          <w:sz w:val="21"/>
          <w:szCs w:val="21"/>
        </w:rPr>
        <w:t>不包括使用、许诺销售、销售、进口相同产品的行为；对于方法专利权而言</w:t>
      </w:r>
      <w:r>
        <w:rPr>
          <w:rFonts w:ascii="Times New Roman" w:eastAsia="宋体" w:hAnsi="Times New Roman"/>
          <w:sz w:val="21"/>
          <w:szCs w:val="21"/>
        </w:rPr>
        <w:t>，</w:t>
      </w:r>
      <w:r>
        <w:rPr>
          <w:rFonts w:ascii="Times New Roman" w:eastAsia="宋体" w:hAnsi="Times New Roman" w:hint="eastAsia"/>
          <w:sz w:val="21"/>
          <w:szCs w:val="21"/>
        </w:rPr>
        <w:t>能够产生先用权的行为只包括在专利申请日之前已经使用相同方法或者已经作好使用专利方法的必要准备</w:t>
      </w:r>
      <w:r>
        <w:rPr>
          <w:rFonts w:ascii="Times New Roman" w:eastAsia="宋体" w:hAnsi="Times New Roman"/>
          <w:sz w:val="21"/>
          <w:szCs w:val="21"/>
        </w:rPr>
        <w:t>，</w:t>
      </w:r>
      <w:r>
        <w:rPr>
          <w:rFonts w:ascii="Times New Roman" w:eastAsia="宋体" w:hAnsi="Times New Roman" w:hint="eastAsia"/>
          <w:sz w:val="21"/>
          <w:szCs w:val="21"/>
        </w:rPr>
        <w:t>不包括使用、许诺销售、销售、进口依照该专利方法直接获得的产品的行为。</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作好必要准备”要求准备工作是为实施该发明创造而进行的技术性准备工作。一般性准备工作，例如购买地皮、装设水电、进行市场分析、配备管理人员等不能认为是作好了实施该项发明创造的必要准备。技术性准备工作，一般指已经完成</w:t>
      </w:r>
      <w:r>
        <w:rPr>
          <w:rFonts w:ascii="Times New Roman" w:eastAsia="宋体" w:hAnsi="Times New Roman"/>
          <w:sz w:val="21"/>
          <w:szCs w:val="21"/>
        </w:rPr>
        <w:t>实施发明创造所必需的</w:t>
      </w:r>
      <w:r>
        <w:rPr>
          <w:rFonts w:ascii="Times New Roman" w:eastAsia="宋体" w:hAnsi="Times New Roman" w:hint="eastAsia"/>
          <w:sz w:val="21"/>
          <w:szCs w:val="21"/>
        </w:rPr>
        <w:t>主要技术图纸、工艺文件，或者已经制造、购买</w:t>
      </w:r>
      <w:r>
        <w:rPr>
          <w:rFonts w:ascii="Times New Roman" w:eastAsia="宋体" w:hAnsi="Times New Roman"/>
          <w:sz w:val="21"/>
          <w:szCs w:val="21"/>
        </w:rPr>
        <w:t>实施发明创造所必需的</w:t>
      </w:r>
      <w:r>
        <w:rPr>
          <w:rFonts w:ascii="Times New Roman" w:eastAsia="宋体" w:hAnsi="Times New Roman" w:hint="eastAsia"/>
          <w:sz w:val="21"/>
          <w:szCs w:val="21"/>
        </w:rPr>
        <w:t>主要设备、原材料。</w:t>
      </w:r>
    </w:p>
    <w:bookmarkStart w:id="1948" w:name="tiao_15_kuan_3"/>
    <w:bookmarkStart w:id="1949" w:name="tiao_15_kuan_2_xiang_2"/>
    <w:bookmarkStart w:id="1950" w:name="tiao_15_kuan_4"/>
    <w:bookmarkStart w:id="1951" w:name="tiao_15_kuan_2_xiang_1"/>
    <w:bookmarkStart w:id="1952" w:name="tiao_15_kuan_2"/>
    <w:bookmarkEnd w:id="1948"/>
    <w:bookmarkEnd w:id="1949"/>
    <w:bookmarkEnd w:id="1950"/>
    <w:bookmarkEnd w:id="1951"/>
    <w:bookmarkEnd w:id="1952"/>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1953" w:name="_Toc28593368"/>
      <w:r w:rsidR="00235733">
        <w:rPr>
          <w:rFonts w:hint="eastAsia"/>
          <w:color w:val="000000"/>
        </w:rPr>
        <w:t xml:space="preserve">2. </w:t>
      </w:r>
      <w:r>
        <w:rPr>
          <w:color w:val="000000"/>
        </w:rPr>
        <w:fldChar w:fldCharType="end"/>
      </w:r>
      <w:r w:rsidR="00235733">
        <w:rPr>
          <w:rFonts w:hint="eastAsia"/>
          <w:color w:val="000000"/>
        </w:rPr>
        <w:t>先用权的信息来源</w:t>
      </w:r>
      <w:bookmarkEnd w:id="1953"/>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先用权人实施发明创造的信息来源必须是先用权人自己独立研究开发出来或者通过合法途径获得的。先用权的信息来源包括如下途径</w:t>
      </w:r>
      <w:r>
        <w:rPr>
          <w:rFonts w:ascii="Times New Roman" w:eastAsia="宋体" w:hAnsi="Times New Roman"/>
          <w:sz w:val="21"/>
          <w:szCs w:val="21"/>
        </w:rPr>
        <w:t>：</w:t>
      </w:r>
      <w:r>
        <w:rPr>
          <w:rFonts w:ascii="Times New Roman" w:eastAsia="宋体" w:hAnsi="Times New Roman" w:hint="eastAsia"/>
          <w:sz w:val="21"/>
          <w:szCs w:val="21"/>
        </w:rPr>
        <w:t>①先用权人自己在发明创造申请专利前就已经通过独立研发获得发明创造的内容；②在《专利法》第二十四条规定的新颖性宽限期内，一项发明创造的发明人在中国政府主办或者承认的国际展览会上展出了其发明创造，或者在规定级别的学术会议上发表了其发明创造，或者在国家出现紧急状态或非常情况时为公共利益目的首次公开其发明创造，先用权人直接或间接从公开的信息中获知该发明创造的内容；③专利权人在申请专利之前，在无附加任何保密义务的前提下，将发明创造的内容告诉了先用权人。</w:t>
      </w:r>
    </w:p>
    <w:p w:rsidR="00800760" w:rsidRDefault="00235733">
      <w:pPr>
        <w:pStyle w:val="22"/>
        <w:tabs>
          <w:tab w:val="left" w:pos="2977"/>
        </w:tabs>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先用权人非法获得发明创造的内容，实施先用行为的，不能主张先用权抗辩。非法获得的来源既包括通过非法途径从后来申请专利的人那里获得，也包括通过非法途径从他人那里获得。非法获得的方式既包括以盗窃、利诱、胁迫或者其他不正当手段从他人那里获知有关发明创造，也包括获知者在合法获得信息后，违背相关保密、不予实施的约定实施发明创造的情形。</w:t>
      </w:r>
      <w:r>
        <w:rPr>
          <w:rFonts w:ascii="Times New Roman" w:eastAsia="宋体" w:hAnsi="Times New Roman"/>
          <w:sz w:val="21"/>
          <w:szCs w:val="21"/>
        </w:rPr>
        <w:t>被</w:t>
      </w:r>
      <w:r>
        <w:rPr>
          <w:rFonts w:ascii="Times New Roman" w:eastAsia="宋体" w:hAnsi="Times New Roman" w:hint="eastAsia"/>
          <w:sz w:val="21"/>
          <w:szCs w:val="21"/>
        </w:rPr>
        <w:t>控</w:t>
      </w:r>
      <w:r>
        <w:rPr>
          <w:rFonts w:ascii="Times New Roman" w:eastAsia="宋体" w:hAnsi="Times New Roman"/>
          <w:sz w:val="21"/>
          <w:szCs w:val="21"/>
        </w:rPr>
        <w:t>侵权人以非法获得的技术或者设计主张先用权抗辩的，</w:t>
      </w:r>
      <w:r>
        <w:rPr>
          <w:rFonts w:ascii="Times New Roman" w:eastAsia="宋体" w:hAnsi="Times New Roman" w:hint="eastAsia"/>
          <w:sz w:val="21"/>
          <w:szCs w:val="21"/>
        </w:rPr>
        <w:t>管理专利工作的部门</w:t>
      </w:r>
      <w:r>
        <w:rPr>
          <w:rFonts w:ascii="Times New Roman" w:eastAsia="宋体" w:hAnsi="Times New Roman"/>
          <w:sz w:val="21"/>
          <w:szCs w:val="21"/>
        </w:rPr>
        <w:t>不予支持。</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bookmarkStart w:id="1954" w:name="_Toc28593369"/>
      <w:r w:rsidR="00235733">
        <w:rPr>
          <w:rFonts w:hint="eastAsia"/>
          <w:color w:val="000000"/>
        </w:rPr>
        <w:t xml:space="preserve">3. </w:t>
      </w:r>
      <w:r>
        <w:rPr>
          <w:color w:val="000000"/>
        </w:rPr>
        <w:fldChar w:fldCharType="end"/>
      </w:r>
      <w:r w:rsidR="00235733">
        <w:rPr>
          <w:rFonts w:hint="eastAsia"/>
          <w:color w:val="000000"/>
        </w:rPr>
        <w:t>先用权的范围</w:t>
      </w:r>
      <w:bookmarkEnd w:id="1954"/>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先用权人必须在原有范围内制造、使用发明创造才能适用先用权抗辩。“原有范围”，包括专利申请日前已经具有的生产规模以及利用已有的生产设备或者根据已有的生产准备可以达到的生产规模。在申请日前实际生产规模小于可以达到的生产规模的情况下，先用权人可以将实际生产规模扩大到可以达到的生产规模。当先用权人实施专利的行为超出了原有范围时，在原有范围之内的实施行为不视为侵犯专利权的行为，超出原有范围的部分实施行为属于侵犯专利权的行为。</w:t>
      </w:r>
    </w:p>
    <w:p w:rsidR="00800760" w:rsidRDefault="00C22A7B">
      <w:pPr>
        <w:pStyle w:val="5"/>
        <w:spacing w:before="120"/>
        <w:rPr>
          <w:color w:val="000000"/>
        </w:rPr>
      </w:pPr>
      <w:r>
        <w:rPr>
          <w:color w:val="000000"/>
        </w:rPr>
        <w:fldChar w:fldCharType="begin"/>
      </w:r>
      <w:r w:rsidR="00235733">
        <w:rPr>
          <w:color w:val="000000"/>
        </w:rPr>
        <w:instrText>= 4 \* GB1</w:instrText>
      </w:r>
      <w:r>
        <w:rPr>
          <w:color w:val="000000"/>
        </w:rPr>
        <w:fldChar w:fldCharType="separate"/>
      </w:r>
      <w:bookmarkStart w:id="1955" w:name="_Toc28593370"/>
      <w:r w:rsidR="00235733">
        <w:rPr>
          <w:rFonts w:hint="eastAsia"/>
          <w:color w:val="000000"/>
        </w:rPr>
        <w:t xml:space="preserve">4. </w:t>
      </w:r>
      <w:r>
        <w:rPr>
          <w:color w:val="000000"/>
        </w:rPr>
        <w:fldChar w:fldCharType="end"/>
      </w:r>
      <w:r w:rsidR="00235733">
        <w:rPr>
          <w:rFonts w:hint="eastAsia"/>
          <w:color w:val="000000"/>
        </w:rPr>
        <w:t>允许先用权人实施的行为</w:t>
      </w:r>
      <w:bookmarkEnd w:id="1955"/>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先用权人在原有范围内继续实施的行为，对产品专利权而言，包括制造、使用相同产品，还包括许诺销售、销售制造出来的产品；对方法专利权而言，包括使用相同方法，还包括销售、许诺销售、使用依照专利方法直接获得的产品。</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值得注意的是，虽然《专利法》第七十五条第（二）项规定取得先用权的行为和先用权人实施专利的行为都采用“制造、使用”这一术语，但二者应该具有不同的含义。对于先用权人实施专利的行为，如果仅限于“制造、使用”专利产品，而制造出来的产品不能销售，先用权制度将形同虚设。因此，先用权人继续实施专利的行为应该扩展到销售、许诺销售，但是不应该包括进口专利产品或者依照专利方法直接获得的产品，因为进口产品的行为与先用权人的先用行为并无关联。此外，先用权人</w:t>
      </w:r>
      <w:r>
        <w:rPr>
          <w:rFonts w:ascii="Times New Roman" w:eastAsia="宋体" w:hAnsi="Times New Roman" w:hint="eastAsia"/>
          <w:spacing w:val="-2"/>
          <w:sz w:val="21"/>
          <w:szCs w:val="21"/>
        </w:rPr>
        <w:t>不能许可他人实施有关专利，也不能单独转让先用权；先用权只能连同先用权人的企业一起转让和继承。</w:t>
      </w:r>
      <w:r>
        <w:rPr>
          <w:rFonts w:ascii="Times New Roman" w:eastAsia="宋体" w:hAnsi="Times New Roman"/>
          <w:sz w:val="21"/>
          <w:szCs w:val="21"/>
        </w:rPr>
        <w:t>先用权人在专利申请日后将其已经实施或作好实施必要准备的技术或设计转让或者许可他人实</w:t>
      </w:r>
      <w:r>
        <w:rPr>
          <w:rFonts w:asciiTheme="minorEastAsia" w:eastAsiaTheme="minorEastAsia" w:hAnsiTheme="minorEastAsia"/>
          <w:sz w:val="21"/>
          <w:szCs w:val="21"/>
        </w:rPr>
        <w:t>施，被</w:t>
      </w:r>
      <w:r>
        <w:rPr>
          <w:rFonts w:asciiTheme="minorEastAsia" w:eastAsiaTheme="minorEastAsia" w:hAnsiTheme="minorEastAsia" w:hint="eastAsia"/>
          <w:sz w:val="21"/>
          <w:szCs w:val="21"/>
        </w:rPr>
        <w:t>控</w:t>
      </w:r>
      <w:r>
        <w:rPr>
          <w:rFonts w:asciiTheme="minorEastAsia" w:eastAsiaTheme="minorEastAsia" w:hAnsiTheme="minorEastAsia"/>
          <w:sz w:val="21"/>
          <w:szCs w:val="21"/>
        </w:rPr>
        <w:t>侵</w:t>
      </w:r>
      <w:r>
        <w:rPr>
          <w:rFonts w:ascii="Times New Roman" w:eastAsia="宋体" w:hAnsi="Times New Roman"/>
          <w:sz w:val="21"/>
          <w:szCs w:val="21"/>
        </w:rPr>
        <w:t>权人</w:t>
      </w:r>
      <w:r>
        <w:rPr>
          <w:rFonts w:ascii="Times New Roman" w:eastAsia="宋体" w:hAnsi="Times New Roman" w:hint="eastAsia"/>
          <w:sz w:val="21"/>
          <w:szCs w:val="21"/>
        </w:rPr>
        <w:t>不可</w:t>
      </w:r>
      <w:r>
        <w:rPr>
          <w:rFonts w:ascii="Times New Roman" w:eastAsia="宋体" w:hAnsi="Times New Roman"/>
          <w:sz w:val="21"/>
          <w:szCs w:val="21"/>
        </w:rPr>
        <w:t>主张该实施行为属于在原有范围内继续实施，但该技术或设计与原有企业一并转让或者继承的除外。</w:t>
      </w:r>
      <w:r>
        <w:rPr>
          <w:rFonts w:ascii="Times New Roman" w:eastAsia="宋体" w:hAnsi="Times New Roman" w:hint="eastAsia"/>
          <w:sz w:val="21"/>
          <w:szCs w:val="21"/>
        </w:rPr>
        <w:t>当先用技术在申请日之前已经使用公开，构成涉案专利的现有技术时，先用权人既可以主张先用权抗辩，也可以主张现有技术抗辩，非先用权人只能主张现有技术抗辩。</w:t>
      </w:r>
    </w:p>
    <w:p w:rsidR="00800760" w:rsidRDefault="00235733">
      <w:pPr>
        <w:pStyle w:val="af6"/>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-4</w:t>
      </w:r>
      <w:r>
        <w:rPr>
          <w:rFonts w:ascii="Times New Roman" w:hAnsi="Times New Roman" w:hint="eastAsia"/>
          <w:color w:val="000000"/>
          <w:lang w:val="en-US"/>
        </w:rPr>
        <w:t>8</w:t>
      </w:r>
      <w:r>
        <w:rPr>
          <w:rFonts w:ascii="Times New Roman" w:hAnsi="Times New Roman" w:hint="eastAsia"/>
          <w:color w:val="000000"/>
        </w:rPr>
        <w:t>】</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公民甲于</w:t>
      </w:r>
      <w:r>
        <w:rPr>
          <w:rFonts w:ascii="Times New Roman" w:eastAsia="楷体_GB2312" w:hAnsi="Times New Roman"/>
          <w:sz w:val="21"/>
          <w:szCs w:val="21"/>
        </w:rPr>
        <w:t>1998</w:t>
      </w:r>
      <w:r>
        <w:rPr>
          <w:rFonts w:ascii="Times New Roman" w:eastAsia="楷体_GB2312" w:hAnsi="Times New Roman" w:hint="eastAsia"/>
          <w:sz w:val="21"/>
          <w:szCs w:val="21"/>
        </w:rPr>
        <w:t>年</w:t>
      </w:r>
      <w:r>
        <w:rPr>
          <w:rFonts w:ascii="Times New Roman" w:eastAsia="楷体_GB2312" w:hAnsi="Times New Roman"/>
          <w:sz w:val="21"/>
          <w:szCs w:val="21"/>
        </w:rPr>
        <w:t>12</w:t>
      </w:r>
      <w:r>
        <w:rPr>
          <w:rFonts w:ascii="Times New Roman" w:eastAsia="楷体_GB2312" w:hAnsi="Times New Roman" w:hint="eastAsia"/>
          <w:sz w:val="21"/>
          <w:szCs w:val="21"/>
        </w:rPr>
        <w:t>月</w:t>
      </w:r>
      <w:r>
        <w:rPr>
          <w:rFonts w:ascii="Times New Roman" w:eastAsia="楷体_GB2312" w:hAnsi="Times New Roman"/>
          <w:sz w:val="21"/>
          <w:szCs w:val="21"/>
        </w:rPr>
        <w:t>8</w:t>
      </w:r>
      <w:r>
        <w:rPr>
          <w:rFonts w:ascii="Times New Roman" w:eastAsia="楷体_GB2312" w:hAnsi="Times New Roman" w:hint="eastAsia"/>
          <w:sz w:val="21"/>
          <w:szCs w:val="21"/>
        </w:rPr>
        <w:t>日向国家知识产权局提交名称为“挡土墙的成形方法”的发明专利申请，并于</w:t>
      </w:r>
      <w:r>
        <w:rPr>
          <w:rFonts w:ascii="Times New Roman" w:eastAsia="楷体_GB2312" w:hAnsi="Times New Roman"/>
          <w:sz w:val="21"/>
          <w:szCs w:val="21"/>
        </w:rPr>
        <w:t>2001</w:t>
      </w:r>
      <w:r>
        <w:rPr>
          <w:rFonts w:ascii="Times New Roman" w:eastAsia="楷体_GB2312" w:hAnsi="Times New Roman" w:hint="eastAsia"/>
          <w:sz w:val="21"/>
          <w:szCs w:val="21"/>
        </w:rPr>
        <w:t>年</w:t>
      </w:r>
      <w:r>
        <w:rPr>
          <w:rFonts w:ascii="Times New Roman" w:eastAsia="楷体_GB2312" w:hAnsi="Times New Roman"/>
          <w:sz w:val="21"/>
          <w:szCs w:val="21"/>
        </w:rPr>
        <w:t>4</w:t>
      </w:r>
      <w:r>
        <w:rPr>
          <w:rFonts w:ascii="Times New Roman" w:eastAsia="楷体_GB2312" w:hAnsi="Times New Roman" w:hint="eastAsia"/>
          <w:sz w:val="21"/>
          <w:szCs w:val="21"/>
        </w:rPr>
        <w:t>月</w:t>
      </w:r>
      <w:r>
        <w:rPr>
          <w:rFonts w:ascii="Times New Roman" w:eastAsia="楷体_GB2312" w:hAnsi="Times New Roman"/>
          <w:sz w:val="21"/>
          <w:szCs w:val="21"/>
        </w:rPr>
        <w:t>4</w:t>
      </w:r>
      <w:r>
        <w:rPr>
          <w:rFonts w:ascii="Times New Roman" w:eastAsia="楷体_GB2312" w:hAnsi="Times New Roman" w:hint="eastAsia"/>
          <w:sz w:val="21"/>
          <w:szCs w:val="21"/>
        </w:rPr>
        <w:t>日获得授权。专利申请公开日是</w:t>
      </w:r>
      <w:r>
        <w:rPr>
          <w:rFonts w:ascii="Times New Roman" w:eastAsia="楷体_GB2312" w:hAnsi="Times New Roman"/>
          <w:sz w:val="21"/>
          <w:szCs w:val="21"/>
        </w:rPr>
        <w:t>1999</w:t>
      </w:r>
      <w:r>
        <w:rPr>
          <w:rFonts w:ascii="Times New Roman" w:eastAsia="楷体_GB2312" w:hAnsi="Times New Roman" w:hint="eastAsia"/>
          <w:sz w:val="21"/>
          <w:szCs w:val="21"/>
        </w:rPr>
        <w:t>年</w:t>
      </w:r>
      <w:r>
        <w:rPr>
          <w:rFonts w:ascii="Times New Roman" w:eastAsia="楷体_GB2312" w:hAnsi="Times New Roman"/>
          <w:sz w:val="21"/>
          <w:szCs w:val="21"/>
        </w:rPr>
        <w:t>6</w:t>
      </w:r>
      <w:r>
        <w:rPr>
          <w:rFonts w:ascii="Times New Roman" w:eastAsia="楷体_GB2312" w:hAnsi="Times New Roman" w:hint="eastAsia"/>
          <w:sz w:val="21"/>
          <w:szCs w:val="21"/>
        </w:rPr>
        <w:t>月</w:t>
      </w:r>
      <w:r>
        <w:rPr>
          <w:rFonts w:ascii="Times New Roman" w:eastAsia="楷体_GB2312" w:hAnsi="Times New Roman"/>
          <w:sz w:val="21"/>
          <w:szCs w:val="21"/>
        </w:rPr>
        <w:t>16</w:t>
      </w:r>
      <w:r>
        <w:rPr>
          <w:rFonts w:ascii="Times New Roman" w:eastAsia="楷体_GB2312" w:hAnsi="Times New Roman" w:hint="eastAsia"/>
          <w:sz w:val="21"/>
          <w:szCs w:val="21"/>
        </w:rPr>
        <w:t>日。</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2001</w:t>
      </w:r>
      <w:r>
        <w:rPr>
          <w:rFonts w:ascii="Times New Roman" w:eastAsia="楷体_GB2312" w:hAnsi="Times New Roman" w:hint="eastAsia"/>
          <w:sz w:val="21"/>
          <w:szCs w:val="21"/>
        </w:rPr>
        <w:t>年</w:t>
      </w:r>
      <w:r>
        <w:rPr>
          <w:rFonts w:ascii="Times New Roman" w:eastAsia="楷体_GB2312" w:hAnsi="Times New Roman"/>
          <w:sz w:val="21"/>
          <w:szCs w:val="21"/>
        </w:rPr>
        <w:t>12</w:t>
      </w:r>
      <w:r>
        <w:rPr>
          <w:rFonts w:ascii="Times New Roman" w:eastAsia="楷体_GB2312" w:hAnsi="Times New Roman" w:hint="eastAsia"/>
          <w:sz w:val="21"/>
          <w:szCs w:val="21"/>
        </w:rPr>
        <w:t>月</w:t>
      </w:r>
      <w:r>
        <w:rPr>
          <w:rFonts w:ascii="Times New Roman" w:eastAsia="楷体_GB2312" w:hAnsi="Times New Roman"/>
          <w:sz w:val="21"/>
          <w:szCs w:val="21"/>
        </w:rPr>
        <w:t>21</w:t>
      </w:r>
      <w:r>
        <w:rPr>
          <w:rFonts w:ascii="Times New Roman" w:eastAsia="楷体_GB2312" w:hAnsi="Times New Roman" w:hint="eastAsia"/>
          <w:sz w:val="21"/>
          <w:szCs w:val="21"/>
        </w:rPr>
        <w:t>日，某开发公司</w:t>
      </w:r>
      <w:r>
        <w:rPr>
          <w:rFonts w:ascii="Times New Roman" w:eastAsia="楷体_GB2312" w:hAnsi="Times New Roman" w:hint="eastAsia"/>
          <w:sz w:val="21"/>
          <w:szCs w:val="21"/>
        </w:rPr>
        <w:t>A</w:t>
      </w:r>
      <w:r>
        <w:rPr>
          <w:rFonts w:ascii="Times New Roman" w:eastAsia="楷体_GB2312" w:hAnsi="Times New Roman" w:hint="eastAsia"/>
          <w:sz w:val="21"/>
          <w:szCs w:val="21"/>
        </w:rPr>
        <w:t>与某建筑院</w:t>
      </w:r>
      <w:r>
        <w:rPr>
          <w:rFonts w:ascii="Times New Roman" w:eastAsia="楷体_GB2312" w:hAnsi="Times New Roman" w:hint="eastAsia"/>
          <w:sz w:val="21"/>
          <w:szCs w:val="21"/>
        </w:rPr>
        <w:t>B</w:t>
      </w:r>
      <w:r>
        <w:rPr>
          <w:rFonts w:ascii="Times New Roman" w:eastAsia="楷体_GB2312" w:hAnsi="Times New Roman" w:hint="eastAsia"/>
          <w:sz w:val="21"/>
          <w:szCs w:val="21"/>
        </w:rPr>
        <w:t>签订合同，约定由建筑院</w:t>
      </w:r>
      <w:r>
        <w:rPr>
          <w:rFonts w:ascii="Times New Roman" w:eastAsia="楷体_GB2312" w:hAnsi="Times New Roman" w:hint="eastAsia"/>
          <w:sz w:val="21"/>
          <w:szCs w:val="21"/>
        </w:rPr>
        <w:t>B</w:t>
      </w:r>
      <w:r>
        <w:rPr>
          <w:rFonts w:ascii="Times New Roman" w:eastAsia="楷体_GB2312" w:hAnsi="Times New Roman" w:hint="eastAsia"/>
          <w:sz w:val="21"/>
          <w:szCs w:val="21"/>
        </w:rPr>
        <w:t>为开发公司</w:t>
      </w:r>
      <w:r>
        <w:rPr>
          <w:rFonts w:ascii="Times New Roman" w:eastAsia="楷体_GB2312" w:hAnsi="Times New Roman" w:hint="eastAsia"/>
          <w:sz w:val="21"/>
          <w:szCs w:val="21"/>
        </w:rPr>
        <w:t>A</w:t>
      </w:r>
      <w:r>
        <w:rPr>
          <w:rFonts w:ascii="Times New Roman" w:eastAsia="楷体_GB2312" w:hAnsi="Times New Roman" w:hint="eastAsia"/>
          <w:sz w:val="21"/>
          <w:szCs w:val="21"/>
        </w:rPr>
        <w:t>设计某商住楼基坑支护工程图纸。</w:t>
      </w:r>
      <w:r>
        <w:rPr>
          <w:rFonts w:ascii="Times New Roman" w:eastAsia="楷体_GB2312" w:hAnsi="Times New Roman"/>
          <w:sz w:val="21"/>
          <w:szCs w:val="21"/>
        </w:rPr>
        <w:t>2002</w:t>
      </w:r>
      <w:r>
        <w:rPr>
          <w:rFonts w:ascii="Times New Roman" w:eastAsia="楷体_GB2312" w:hAnsi="Times New Roman" w:hint="eastAsia"/>
          <w:sz w:val="21"/>
          <w:szCs w:val="21"/>
        </w:rPr>
        <w:t>年</w:t>
      </w:r>
      <w:r>
        <w:rPr>
          <w:rFonts w:ascii="Times New Roman" w:eastAsia="楷体_GB2312" w:hAnsi="Times New Roman"/>
          <w:sz w:val="21"/>
          <w:szCs w:val="21"/>
        </w:rPr>
        <w:t>2</w:t>
      </w:r>
      <w:r>
        <w:rPr>
          <w:rFonts w:ascii="Times New Roman" w:eastAsia="楷体_GB2312" w:hAnsi="Times New Roman" w:hint="eastAsia"/>
          <w:sz w:val="21"/>
          <w:szCs w:val="21"/>
        </w:rPr>
        <w:t>月</w:t>
      </w:r>
      <w:r>
        <w:rPr>
          <w:rFonts w:ascii="Times New Roman" w:eastAsia="楷体_GB2312" w:hAnsi="Times New Roman"/>
          <w:sz w:val="21"/>
          <w:szCs w:val="21"/>
        </w:rPr>
        <w:t>3</w:t>
      </w:r>
      <w:r>
        <w:rPr>
          <w:rFonts w:ascii="Times New Roman" w:eastAsia="楷体_GB2312" w:hAnsi="Times New Roman" w:hint="eastAsia"/>
          <w:sz w:val="21"/>
          <w:szCs w:val="21"/>
        </w:rPr>
        <w:t>日，开发公司</w:t>
      </w:r>
      <w:r>
        <w:rPr>
          <w:rFonts w:ascii="Times New Roman" w:eastAsia="楷体_GB2312" w:hAnsi="Times New Roman" w:hint="eastAsia"/>
          <w:sz w:val="21"/>
          <w:szCs w:val="21"/>
        </w:rPr>
        <w:t>A</w:t>
      </w:r>
      <w:r>
        <w:rPr>
          <w:rFonts w:ascii="Times New Roman" w:eastAsia="楷体_GB2312" w:hAnsi="Times New Roman" w:hint="eastAsia"/>
          <w:sz w:val="21"/>
          <w:szCs w:val="21"/>
        </w:rPr>
        <w:t>与某工程公司</w:t>
      </w:r>
      <w:r>
        <w:rPr>
          <w:rFonts w:ascii="Times New Roman" w:eastAsia="楷体_GB2312" w:hAnsi="Times New Roman" w:hint="eastAsia"/>
          <w:sz w:val="21"/>
          <w:szCs w:val="21"/>
        </w:rPr>
        <w:t>C</w:t>
      </w:r>
      <w:r>
        <w:rPr>
          <w:rFonts w:ascii="Times New Roman" w:eastAsia="楷体_GB2312" w:hAnsi="Times New Roman" w:hint="eastAsia"/>
          <w:sz w:val="21"/>
          <w:szCs w:val="21"/>
        </w:rPr>
        <w:t>签订施工协议书，约定由工程公司</w:t>
      </w:r>
      <w:r>
        <w:rPr>
          <w:rFonts w:ascii="Times New Roman" w:eastAsia="楷体_GB2312" w:hAnsi="Times New Roman" w:hint="eastAsia"/>
          <w:sz w:val="21"/>
          <w:szCs w:val="21"/>
        </w:rPr>
        <w:t>C</w:t>
      </w:r>
      <w:r>
        <w:rPr>
          <w:rFonts w:ascii="Times New Roman" w:eastAsia="楷体_GB2312" w:hAnsi="Times New Roman" w:hint="eastAsia"/>
          <w:sz w:val="21"/>
          <w:szCs w:val="21"/>
        </w:rPr>
        <w:t>承担该商住楼基坑喷锚支护工程的施工工程。上述设计及施工使用的技术方案覆盖了</w:t>
      </w:r>
      <w:r>
        <w:rPr>
          <w:rFonts w:ascii="Times New Roman" w:eastAsia="楷体_GB2312" w:hAnsi="Times New Roman" w:cs="Calibri" w:hint="eastAsia"/>
          <w:sz w:val="21"/>
          <w:szCs w:val="21"/>
        </w:rPr>
        <w:t>甲</w:t>
      </w:r>
      <w:r>
        <w:rPr>
          <w:rFonts w:ascii="Times New Roman" w:eastAsia="楷体_GB2312" w:hAnsi="Times New Roman" w:hint="eastAsia"/>
          <w:sz w:val="21"/>
          <w:szCs w:val="21"/>
        </w:rPr>
        <w:t>“挡土墙的成形方法”发明专利独立权利要求的全部技术特征。</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在侵权纠纷处理中，开发公司</w:t>
      </w:r>
      <w:r>
        <w:rPr>
          <w:rFonts w:ascii="Times New Roman" w:eastAsia="楷体_GB2312" w:hAnsi="Times New Roman" w:hint="eastAsia"/>
          <w:sz w:val="21"/>
          <w:szCs w:val="21"/>
        </w:rPr>
        <w:t>A</w:t>
      </w:r>
      <w:r>
        <w:rPr>
          <w:rFonts w:ascii="Times New Roman" w:eastAsia="楷体_GB2312" w:hAnsi="Times New Roman" w:hint="eastAsia"/>
          <w:sz w:val="21"/>
          <w:szCs w:val="21"/>
        </w:rPr>
        <w:t>主张其对涉案专利享有先用权。经核实，</w:t>
      </w:r>
      <w:r>
        <w:rPr>
          <w:rFonts w:ascii="Times New Roman" w:eastAsia="楷体_GB2312" w:hAnsi="Times New Roman"/>
          <w:sz w:val="21"/>
          <w:szCs w:val="21"/>
        </w:rPr>
        <w:t>1998</w:t>
      </w:r>
      <w:r>
        <w:rPr>
          <w:rFonts w:ascii="Times New Roman" w:eastAsia="楷体_GB2312" w:hAnsi="Times New Roman" w:hint="eastAsia"/>
          <w:sz w:val="21"/>
          <w:szCs w:val="21"/>
        </w:rPr>
        <w:t>年</w:t>
      </w:r>
      <w:r>
        <w:rPr>
          <w:rFonts w:ascii="Times New Roman" w:eastAsia="楷体_GB2312" w:hAnsi="Times New Roman"/>
          <w:sz w:val="21"/>
          <w:szCs w:val="21"/>
        </w:rPr>
        <w:t>10</w:t>
      </w:r>
      <w:r>
        <w:rPr>
          <w:rFonts w:ascii="Times New Roman" w:eastAsia="楷体_GB2312" w:hAnsi="Times New Roman" w:hint="eastAsia"/>
          <w:sz w:val="21"/>
          <w:szCs w:val="21"/>
        </w:rPr>
        <w:t>月</w:t>
      </w:r>
      <w:r>
        <w:rPr>
          <w:rFonts w:ascii="Times New Roman" w:eastAsia="楷体_GB2312" w:hAnsi="Times New Roman"/>
          <w:sz w:val="21"/>
          <w:szCs w:val="21"/>
        </w:rPr>
        <w:t>20</w:t>
      </w:r>
      <w:r>
        <w:rPr>
          <w:rFonts w:ascii="Times New Roman" w:eastAsia="楷体_GB2312" w:hAnsi="Times New Roman" w:hint="eastAsia"/>
          <w:sz w:val="21"/>
          <w:szCs w:val="21"/>
        </w:rPr>
        <w:t>日，某房产公司</w:t>
      </w:r>
      <w:r>
        <w:rPr>
          <w:rFonts w:ascii="Times New Roman" w:eastAsia="楷体_GB2312" w:hAnsi="Times New Roman" w:hint="eastAsia"/>
          <w:sz w:val="21"/>
          <w:szCs w:val="21"/>
        </w:rPr>
        <w:t>D</w:t>
      </w:r>
      <w:r>
        <w:rPr>
          <w:rFonts w:ascii="Times New Roman" w:eastAsia="楷体_GB2312" w:hAnsi="Times New Roman" w:hint="eastAsia"/>
          <w:sz w:val="21"/>
          <w:szCs w:val="21"/>
        </w:rPr>
        <w:t>建设的综合大楼基坑支护工程开工。工程由房产公司</w:t>
      </w:r>
      <w:r>
        <w:rPr>
          <w:rFonts w:ascii="Times New Roman" w:eastAsia="楷体_GB2312" w:hAnsi="Times New Roman" w:hint="eastAsia"/>
          <w:sz w:val="21"/>
          <w:szCs w:val="21"/>
        </w:rPr>
        <w:t>D</w:t>
      </w:r>
      <w:r>
        <w:rPr>
          <w:rFonts w:ascii="Times New Roman" w:eastAsia="楷体_GB2312" w:hAnsi="Times New Roman" w:hint="eastAsia"/>
          <w:sz w:val="21"/>
          <w:szCs w:val="21"/>
        </w:rPr>
        <w:t>委托建筑院</w:t>
      </w:r>
      <w:r>
        <w:rPr>
          <w:rFonts w:ascii="Times New Roman" w:eastAsia="楷体_GB2312" w:hAnsi="Times New Roman" w:hint="eastAsia"/>
          <w:sz w:val="21"/>
          <w:szCs w:val="21"/>
        </w:rPr>
        <w:t>B</w:t>
      </w:r>
      <w:r>
        <w:rPr>
          <w:rFonts w:ascii="Times New Roman" w:eastAsia="楷体_GB2312" w:hAnsi="Times New Roman" w:hint="eastAsia"/>
          <w:sz w:val="21"/>
          <w:szCs w:val="21"/>
        </w:rPr>
        <w:t>负责施工设计，工程设计方案于</w:t>
      </w:r>
      <w:r>
        <w:rPr>
          <w:rFonts w:ascii="Times New Roman" w:eastAsia="楷体_GB2312" w:hAnsi="Times New Roman"/>
          <w:sz w:val="21"/>
          <w:szCs w:val="21"/>
        </w:rPr>
        <w:t>1998</w:t>
      </w:r>
      <w:r>
        <w:rPr>
          <w:rFonts w:ascii="Times New Roman" w:eastAsia="楷体_GB2312" w:hAnsi="Times New Roman" w:hint="eastAsia"/>
          <w:sz w:val="21"/>
          <w:szCs w:val="21"/>
        </w:rPr>
        <w:t>年</w:t>
      </w:r>
      <w:r>
        <w:rPr>
          <w:rFonts w:ascii="Times New Roman" w:eastAsia="楷体_GB2312" w:hAnsi="Times New Roman"/>
          <w:sz w:val="21"/>
          <w:szCs w:val="21"/>
        </w:rPr>
        <w:t>8</w:t>
      </w:r>
      <w:r>
        <w:rPr>
          <w:rFonts w:ascii="Times New Roman" w:eastAsia="楷体_GB2312" w:hAnsi="Times New Roman" w:hint="eastAsia"/>
          <w:sz w:val="21"/>
          <w:szCs w:val="21"/>
        </w:rPr>
        <w:t>月</w:t>
      </w:r>
      <w:r>
        <w:rPr>
          <w:rFonts w:ascii="Times New Roman" w:eastAsia="楷体_GB2312" w:hAnsi="Times New Roman"/>
          <w:sz w:val="21"/>
          <w:szCs w:val="21"/>
        </w:rPr>
        <w:t>18</w:t>
      </w:r>
      <w:r>
        <w:rPr>
          <w:rFonts w:ascii="Times New Roman" w:eastAsia="楷体_GB2312" w:hAnsi="Times New Roman" w:hint="eastAsia"/>
          <w:sz w:val="21"/>
          <w:szCs w:val="21"/>
        </w:rPr>
        <w:t>日完成，工程施工方亦为某工程公司</w:t>
      </w:r>
      <w:r>
        <w:rPr>
          <w:rFonts w:ascii="Times New Roman" w:eastAsia="楷体_GB2312" w:hAnsi="Times New Roman" w:hint="eastAsia"/>
          <w:sz w:val="21"/>
          <w:szCs w:val="21"/>
        </w:rPr>
        <w:t>C</w:t>
      </w:r>
      <w:r>
        <w:rPr>
          <w:rFonts w:ascii="Times New Roman" w:eastAsia="楷体_GB2312" w:hAnsi="Times New Roman" w:hint="eastAsia"/>
          <w:sz w:val="21"/>
          <w:szCs w:val="21"/>
        </w:rPr>
        <w:t>。该工程的设计及施工所使用的技术方案亦覆盖了甲发明专利独立权利要求的全部技术特征。</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本案的争议点在于，开发公司</w:t>
      </w:r>
      <w:r>
        <w:rPr>
          <w:rFonts w:ascii="Times New Roman" w:eastAsia="楷体_GB2312" w:hAnsi="Times New Roman" w:hint="eastAsia"/>
          <w:sz w:val="21"/>
          <w:szCs w:val="21"/>
        </w:rPr>
        <w:t>A</w:t>
      </w:r>
      <w:r>
        <w:rPr>
          <w:rFonts w:ascii="Times New Roman" w:eastAsia="楷体_GB2312" w:hAnsi="Times New Roman" w:hint="eastAsia"/>
          <w:sz w:val="21"/>
          <w:szCs w:val="21"/>
        </w:rPr>
        <w:t>主张先用权抗辩是否成立。</w:t>
      </w:r>
    </w:p>
    <w:p w:rsidR="00800760" w:rsidRDefault="00235733">
      <w:pPr>
        <w:pStyle w:val="2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本案商住楼基坑工程使用的方法与综合大楼基坑工程相同，且二者的技术方案均与涉案专利方法相同。因综合大楼基坑工程在该专利申请日前已完成设计审批并开始施工，根据《专利法》第七十五条第</w:t>
      </w:r>
      <w:r>
        <w:rPr>
          <w:rFonts w:ascii="Times New Roman" w:eastAsia="楷体_GB2312" w:hAnsi="Times New Roman"/>
          <w:sz w:val="21"/>
          <w:szCs w:val="21"/>
        </w:rPr>
        <w:t>（</w:t>
      </w:r>
      <w:r>
        <w:rPr>
          <w:rFonts w:ascii="Times New Roman" w:eastAsia="楷体_GB2312" w:hAnsi="Times New Roman" w:hint="eastAsia"/>
          <w:sz w:val="21"/>
          <w:szCs w:val="21"/>
        </w:rPr>
        <w:t>二</w:t>
      </w:r>
      <w:r>
        <w:rPr>
          <w:rFonts w:ascii="Times New Roman" w:eastAsia="楷体_GB2312" w:hAnsi="Times New Roman"/>
          <w:sz w:val="21"/>
          <w:szCs w:val="21"/>
        </w:rPr>
        <w:t>）</w:t>
      </w:r>
      <w:r>
        <w:rPr>
          <w:rFonts w:ascii="Times New Roman" w:eastAsia="楷体_GB2312" w:hAnsi="Times New Roman" w:hint="eastAsia"/>
          <w:sz w:val="21"/>
          <w:szCs w:val="21"/>
        </w:rPr>
        <w:t>项的规定，应认定建筑院</w:t>
      </w:r>
      <w:r>
        <w:rPr>
          <w:rFonts w:ascii="Times New Roman" w:eastAsia="楷体_GB2312" w:hAnsi="Times New Roman" w:cs="Calibri" w:hint="eastAsia"/>
          <w:sz w:val="21"/>
          <w:szCs w:val="21"/>
        </w:rPr>
        <w:t>B</w:t>
      </w:r>
      <w:r>
        <w:rPr>
          <w:rFonts w:ascii="Times New Roman" w:eastAsia="楷体_GB2312" w:hAnsi="Times New Roman" w:hint="eastAsia"/>
          <w:sz w:val="21"/>
          <w:szCs w:val="21"/>
        </w:rPr>
        <w:t>在综合大楼基坑工程设计方案中使用专利方法属于在先使用，且是在原有范围内继续使用，不视为侵犯专利权。虽然本案商住楼基坑工程的开发商开发公司</w:t>
      </w:r>
      <w:r>
        <w:rPr>
          <w:rFonts w:ascii="Times New Roman" w:eastAsia="楷体_GB2312" w:hAnsi="Times New Roman" w:hint="eastAsia"/>
          <w:sz w:val="21"/>
          <w:szCs w:val="21"/>
        </w:rPr>
        <w:t>A</w:t>
      </w:r>
      <w:r>
        <w:rPr>
          <w:rFonts w:ascii="Times New Roman" w:eastAsia="楷体_GB2312" w:hAnsi="Times New Roman" w:hint="eastAsia"/>
          <w:sz w:val="21"/>
          <w:szCs w:val="21"/>
        </w:rPr>
        <w:t>与综合大楼基坑工程的发展商房产公司</w:t>
      </w:r>
      <w:r>
        <w:rPr>
          <w:rFonts w:ascii="Times New Roman" w:eastAsia="楷体_GB2312" w:hAnsi="Times New Roman" w:hint="eastAsia"/>
          <w:sz w:val="21"/>
          <w:szCs w:val="21"/>
        </w:rPr>
        <w:t>D</w:t>
      </w:r>
      <w:r>
        <w:rPr>
          <w:rFonts w:ascii="Times New Roman" w:eastAsia="楷体_GB2312" w:hAnsi="Times New Roman" w:hint="eastAsia"/>
          <w:sz w:val="21"/>
          <w:szCs w:val="21"/>
        </w:rPr>
        <w:t>不同，但工程设计方和施工方完全相同，故开发公司</w:t>
      </w:r>
      <w:r>
        <w:rPr>
          <w:rFonts w:ascii="Times New Roman" w:eastAsia="楷体_GB2312" w:hAnsi="Times New Roman" w:hint="eastAsia"/>
          <w:sz w:val="21"/>
          <w:szCs w:val="21"/>
        </w:rPr>
        <w:t>A</w:t>
      </w:r>
      <w:r>
        <w:rPr>
          <w:rFonts w:ascii="Times New Roman" w:eastAsia="楷体_GB2312" w:hAnsi="Times New Roman" w:hint="eastAsia"/>
          <w:sz w:val="21"/>
          <w:szCs w:val="21"/>
        </w:rPr>
        <w:t>按照设计单位设计的方案委托施工不构成侵犯专利权。</w:t>
      </w:r>
    </w:p>
    <w:p w:rsidR="00800760" w:rsidRDefault="00235733">
      <w:pPr>
        <w:pStyle w:val="af6"/>
        <w:spacing w:before="120"/>
        <w:ind w:firstLine="420"/>
        <w:rPr>
          <w:rFonts w:ascii="Times New Roman" w:hAnsi="Times New Roman"/>
          <w:color w:val="000000"/>
        </w:rPr>
      </w:pPr>
      <w:r>
        <w:rPr>
          <w:rFonts w:ascii="Times New Roman" w:hAnsi="Times New Roman" w:hint="eastAsia"/>
          <w:color w:val="000000"/>
        </w:rPr>
        <w:t>【案例</w:t>
      </w:r>
      <w:r>
        <w:rPr>
          <w:rFonts w:ascii="Times New Roman" w:hAnsi="Times New Roman" w:hint="eastAsia"/>
          <w:color w:val="000000"/>
          <w:lang w:val="en-US"/>
        </w:rPr>
        <w:t>3</w:t>
      </w:r>
      <w:r>
        <w:rPr>
          <w:rFonts w:ascii="Times New Roman" w:hAnsi="Times New Roman"/>
          <w:color w:val="000000"/>
        </w:rPr>
        <w:t>-</w:t>
      </w:r>
      <w:r>
        <w:rPr>
          <w:rFonts w:ascii="Times New Roman" w:hAnsi="Times New Roman" w:hint="eastAsia"/>
          <w:color w:val="000000"/>
          <w:lang w:val="en-US"/>
        </w:rPr>
        <w:t>4</w:t>
      </w:r>
      <w:r>
        <w:rPr>
          <w:rFonts w:ascii="Times New Roman" w:hAnsi="Times New Roman"/>
          <w:color w:val="000000"/>
        </w:rPr>
        <w:t>-4</w:t>
      </w:r>
      <w:r>
        <w:rPr>
          <w:rFonts w:ascii="Times New Roman" w:hAnsi="Times New Roman" w:hint="eastAsia"/>
          <w:color w:val="000000"/>
          <w:lang w:val="en-US"/>
        </w:rPr>
        <w:t>9</w:t>
      </w:r>
      <w:r>
        <w:rPr>
          <w:rFonts w:ascii="Times New Roman" w:hAnsi="Times New Roman" w:hint="eastAsia"/>
          <w:color w:val="000000"/>
        </w:rPr>
        <w:t>】</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A</w:t>
      </w:r>
      <w:r>
        <w:rPr>
          <w:rFonts w:ascii="Times New Roman" w:eastAsia="楷体_GB2312" w:hAnsi="Times New Roman" w:hint="eastAsia"/>
          <w:sz w:val="21"/>
          <w:szCs w:val="21"/>
        </w:rPr>
        <w:t>公司于</w:t>
      </w:r>
      <w:r>
        <w:rPr>
          <w:rFonts w:ascii="Times New Roman" w:eastAsia="楷体_GB2312" w:hAnsi="Times New Roman"/>
          <w:sz w:val="21"/>
          <w:szCs w:val="21"/>
        </w:rPr>
        <w:t>2004</w:t>
      </w:r>
      <w:r>
        <w:rPr>
          <w:rFonts w:ascii="Times New Roman" w:eastAsia="楷体_GB2312" w:hAnsi="Times New Roman" w:hint="eastAsia"/>
          <w:sz w:val="21"/>
          <w:szCs w:val="21"/>
        </w:rPr>
        <w:t>年</w:t>
      </w:r>
      <w:r>
        <w:rPr>
          <w:rFonts w:ascii="Times New Roman" w:eastAsia="楷体_GB2312" w:hAnsi="Times New Roman"/>
          <w:sz w:val="21"/>
          <w:szCs w:val="21"/>
        </w:rPr>
        <w:t>4</w:t>
      </w:r>
      <w:r>
        <w:rPr>
          <w:rFonts w:ascii="Times New Roman" w:eastAsia="楷体_GB2312" w:hAnsi="Times New Roman" w:hint="eastAsia"/>
          <w:sz w:val="21"/>
          <w:szCs w:val="21"/>
        </w:rPr>
        <w:t>月</w:t>
      </w:r>
      <w:r>
        <w:rPr>
          <w:rFonts w:ascii="Times New Roman" w:eastAsia="楷体_GB2312" w:hAnsi="Times New Roman"/>
          <w:sz w:val="21"/>
          <w:szCs w:val="21"/>
        </w:rPr>
        <w:t>28</w:t>
      </w:r>
      <w:r>
        <w:rPr>
          <w:rFonts w:ascii="Times New Roman" w:eastAsia="楷体_GB2312" w:hAnsi="Times New Roman" w:hint="eastAsia"/>
          <w:sz w:val="21"/>
          <w:szCs w:val="21"/>
        </w:rPr>
        <w:t>日向国家知识产权局提交名称为“一种作为超白抛光瓷砖原料的球土及其生产方法”的发明专利申请，并于</w:t>
      </w:r>
      <w:r>
        <w:rPr>
          <w:rFonts w:ascii="Times New Roman" w:eastAsia="楷体_GB2312" w:hAnsi="Times New Roman"/>
          <w:sz w:val="21"/>
          <w:szCs w:val="21"/>
        </w:rPr>
        <w:t>2006</w:t>
      </w:r>
      <w:r>
        <w:rPr>
          <w:rFonts w:ascii="Times New Roman" w:eastAsia="楷体_GB2312" w:hAnsi="Times New Roman" w:hint="eastAsia"/>
          <w:sz w:val="21"/>
          <w:szCs w:val="21"/>
        </w:rPr>
        <w:t>年</w:t>
      </w:r>
      <w:r>
        <w:rPr>
          <w:rFonts w:ascii="Times New Roman" w:eastAsia="楷体_GB2312" w:hAnsi="Times New Roman"/>
          <w:sz w:val="21"/>
          <w:szCs w:val="21"/>
        </w:rPr>
        <w:t>1</w:t>
      </w:r>
      <w:r>
        <w:rPr>
          <w:rFonts w:ascii="Times New Roman" w:eastAsia="楷体_GB2312" w:hAnsi="Times New Roman" w:hint="eastAsia"/>
          <w:sz w:val="21"/>
          <w:szCs w:val="21"/>
        </w:rPr>
        <w:t>月</w:t>
      </w:r>
      <w:r>
        <w:rPr>
          <w:rFonts w:ascii="Times New Roman" w:eastAsia="楷体_GB2312" w:hAnsi="Times New Roman"/>
          <w:sz w:val="21"/>
          <w:szCs w:val="21"/>
        </w:rPr>
        <w:t>25</w:t>
      </w:r>
      <w:r>
        <w:rPr>
          <w:rFonts w:ascii="Times New Roman" w:eastAsia="楷体_GB2312" w:hAnsi="Times New Roman" w:hint="eastAsia"/>
          <w:sz w:val="21"/>
          <w:szCs w:val="21"/>
        </w:rPr>
        <w:t>日获得授权。该专利的权利要求</w:t>
      </w:r>
      <w:r>
        <w:rPr>
          <w:rFonts w:ascii="Times New Roman" w:eastAsia="楷体_GB2312" w:hAnsi="Times New Roman"/>
          <w:sz w:val="21"/>
          <w:szCs w:val="21"/>
        </w:rPr>
        <w:t>1</w:t>
      </w:r>
      <w:r>
        <w:rPr>
          <w:rFonts w:ascii="Times New Roman" w:eastAsia="楷体_GB2312" w:hAnsi="Times New Roman" w:hint="eastAsia"/>
          <w:sz w:val="21"/>
          <w:szCs w:val="21"/>
        </w:rPr>
        <w:t>为</w:t>
      </w:r>
      <w:r>
        <w:rPr>
          <w:rFonts w:ascii="Times New Roman" w:eastAsia="楷体_GB2312" w:hAnsi="Times New Roman"/>
          <w:sz w:val="21"/>
          <w:szCs w:val="21"/>
        </w:rPr>
        <w:t>：</w:t>
      </w:r>
      <w:r>
        <w:rPr>
          <w:rFonts w:ascii="Times New Roman" w:eastAsia="楷体_GB2312" w:hAnsi="Times New Roman" w:hint="eastAsia"/>
          <w:sz w:val="21"/>
          <w:szCs w:val="21"/>
        </w:rPr>
        <w:t>“一种作为超白抛光瓷砖原料的球土，该球土包含有如下原料</w:t>
      </w:r>
      <w:r>
        <w:rPr>
          <w:rFonts w:ascii="Times New Roman" w:eastAsia="楷体_GB2312" w:hAnsi="Times New Roman"/>
          <w:sz w:val="21"/>
          <w:szCs w:val="21"/>
        </w:rPr>
        <w:t>：</w:t>
      </w:r>
      <w:r>
        <w:rPr>
          <w:rFonts w:ascii="Times New Roman" w:eastAsia="楷体_GB2312" w:hAnsi="Times New Roman" w:hint="eastAsia"/>
          <w:sz w:val="21"/>
          <w:szCs w:val="21"/>
        </w:rPr>
        <w:t>高岭土、二次黏土、水、稀释剂及絮凝剂；以球土的总重量计，其中</w:t>
      </w:r>
      <w:r>
        <w:rPr>
          <w:rFonts w:ascii="Times New Roman" w:eastAsia="楷体_GB2312" w:hAnsi="Times New Roman"/>
          <w:sz w:val="21"/>
          <w:szCs w:val="21"/>
        </w:rPr>
        <w:t>：</w:t>
      </w:r>
      <w:r>
        <w:rPr>
          <w:rFonts w:ascii="Times New Roman" w:eastAsia="楷体_GB2312" w:hAnsi="Times New Roman" w:hint="eastAsia"/>
          <w:sz w:val="21"/>
          <w:szCs w:val="21"/>
        </w:rPr>
        <w:t>高岭土含量为</w:t>
      </w:r>
      <w:r>
        <w:rPr>
          <w:rFonts w:ascii="Times New Roman" w:eastAsia="楷体_GB2312" w:hAnsi="Times New Roman"/>
          <w:sz w:val="21"/>
          <w:szCs w:val="21"/>
        </w:rPr>
        <w:t>14%</w:t>
      </w:r>
      <w:r>
        <w:rPr>
          <w:rFonts w:ascii="Times New Roman" w:eastAsia="楷体_GB2312" w:hAnsi="Times New Roman"/>
          <w:sz w:val="21"/>
          <w:szCs w:val="21"/>
        </w:rPr>
        <w:t>～</w:t>
      </w:r>
      <w:r>
        <w:rPr>
          <w:rFonts w:ascii="Times New Roman" w:eastAsia="楷体_GB2312" w:hAnsi="Times New Roman"/>
          <w:sz w:val="21"/>
          <w:szCs w:val="21"/>
        </w:rPr>
        <w:t>63%</w:t>
      </w:r>
      <w:r>
        <w:rPr>
          <w:rFonts w:ascii="Times New Roman" w:eastAsia="楷体_GB2312" w:hAnsi="Times New Roman" w:hint="eastAsia"/>
          <w:sz w:val="21"/>
          <w:szCs w:val="21"/>
        </w:rPr>
        <w:t>，二次黏土含量为</w:t>
      </w:r>
      <w:r>
        <w:rPr>
          <w:rFonts w:ascii="Times New Roman" w:eastAsia="楷体_GB2312" w:hAnsi="Times New Roman"/>
          <w:sz w:val="21"/>
          <w:szCs w:val="21"/>
        </w:rPr>
        <w:t>7%</w:t>
      </w:r>
      <w:r>
        <w:rPr>
          <w:rFonts w:ascii="Times New Roman" w:eastAsia="楷体_GB2312" w:hAnsi="Times New Roman"/>
          <w:sz w:val="21"/>
          <w:szCs w:val="21"/>
        </w:rPr>
        <w:t>～</w:t>
      </w:r>
      <w:r>
        <w:rPr>
          <w:rFonts w:ascii="Times New Roman" w:eastAsia="楷体_GB2312" w:hAnsi="Times New Roman"/>
          <w:sz w:val="21"/>
          <w:szCs w:val="21"/>
        </w:rPr>
        <w:t>56%</w:t>
      </w:r>
      <w:r>
        <w:rPr>
          <w:rFonts w:ascii="Times New Roman" w:eastAsia="楷体_GB2312" w:hAnsi="Times New Roman" w:hint="eastAsia"/>
          <w:sz w:val="21"/>
          <w:szCs w:val="21"/>
        </w:rPr>
        <w:t>，稀释剂的含量为</w:t>
      </w:r>
      <w:r>
        <w:rPr>
          <w:rFonts w:ascii="Times New Roman" w:eastAsia="楷体_GB2312" w:hAnsi="Times New Roman"/>
          <w:sz w:val="21"/>
          <w:szCs w:val="21"/>
        </w:rPr>
        <w:t>0.01%</w:t>
      </w:r>
      <w:r>
        <w:rPr>
          <w:rFonts w:ascii="Times New Roman" w:eastAsia="楷体_GB2312" w:hAnsi="Times New Roman"/>
          <w:sz w:val="21"/>
          <w:szCs w:val="21"/>
        </w:rPr>
        <w:t>～</w:t>
      </w:r>
      <w:r>
        <w:rPr>
          <w:rFonts w:ascii="Times New Roman" w:eastAsia="楷体_GB2312" w:hAnsi="Times New Roman"/>
          <w:sz w:val="21"/>
          <w:szCs w:val="21"/>
        </w:rPr>
        <w:t>2%</w:t>
      </w:r>
      <w:r>
        <w:rPr>
          <w:rFonts w:ascii="Times New Roman" w:eastAsia="楷体_GB2312" w:hAnsi="Times New Roman"/>
          <w:sz w:val="21"/>
          <w:szCs w:val="21"/>
        </w:rPr>
        <w:t>，</w:t>
      </w:r>
      <w:r>
        <w:rPr>
          <w:rFonts w:ascii="Times New Roman" w:eastAsia="楷体_GB2312" w:hAnsi="Times New Roman" w:hint="eastAsia"/>
          <w:sz w:val="21"/>
          <w:szCs w:val="21"/>
        </w:rPr>
        <w:t>絮凝剂的含量为</w:t>
      </w:r>
      <w:r>
        <w:rPr>
          <w:rFonts w:ascii="Times New Roman" w:eastAsia="楷体_GB2312" w:hAnsi="Times New Roman"/>
          <w:sz w:val="21"/>
          <w:szCs w:val="21"/>
        </w:rPr>
        <w:t>0.01%</w:t>
      </w:r>
      <w:r>
        <w:rPr>
          <w:rFonts w:ascii="Times New Roman" w:eastAsia="楷体_GB2312" w:hAnsi="Times New Roman"/>
          <w:sz w:val="21"/>
          <w:szCs w:val="21"/>
        </w:rPr>
        <w:t>～</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hint="eastAsia"/>
          <w:sz w:val="21"/>
          <w:szCs w:val="21"/>
        </w:rPr>
        <w:t>水为</w:t>
      </w:r>
      <w:r>
        <w:rPr>
          <w:rFonts w:ascii="Times New Roman" w:eastAsia="楷体_GB2312" w:hAnsi="Times New Roman"/>
          <w:sz w:val="21"/>
          <w:szCs w:val="21"/>
        </w:rPr>
        <w:t>22%</w:t>
      </w:r>
      <w:r>
        <w:rPr>
          <w:rFonts w:ascii="Times New Roman" w:eastAsia="楷体_GB2312" w:hAnsi="Times New Roman"/>
          <w:sz w:val="21"/>
          <w:szCs w:val="21"/>
        </w:rPr>
        <w:t>～</w:t>
      </w:r>
      <w:r>
        <w:rPr>
          <w:rFonts w:ascii="Times New Roman" w:eastAsia="楷体_GB2312" w:hAnsi="Times New Roman"/>
          <w:sz w:val="21"/>
          <w:szCs w:val="21"/>
        </w:rPr>
        <w:t>32%</w:t>
      </w:r>
      <w:r>
        <w:rPr>
          <w:rFonts w:ascii="Times New Roman" w:eastAsia="楷体_GB2312" w:hAnsi="Times New Roman" w:hint="eastAsia"/>
          <w:sz w:val="21"/>
          <w:szCs w:val="21"/>
        </w:rPr>
        <w:t>。”权利要求</w:t>
      </w:r>
      <w:r>
        <w:rPr>
          <w:rFonts w:ascii="Times New Roman" w:eastAsia="楷体_GB2312" w:hAnsi="Times New Roman"/>
          <w:sz w:val="21"/>
          <w:szCs w:val="21"/>
        </w:rPr>
        <w:t>4</w:t>
      </w:r>
      <w:r>
        <w:rPr>
          <w:rFonts w:ascii="Times New Roman" w:eastAsia="楷体_GB2312" w:hAnsi="Times New Roman" w:hint="eastAsia"/>
          <w:sz w:val="21"/>
          <w:szCs w:val="21"/>
        </w:rPr>
        <w:t>为方法专利。</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w:t>
      </w:r>
      <w:r>
        <w:rPr>
          <w:rFonts w:ascii="Times New Roman" w:eastAsia="楷体_GB2312" w:hAnsi="Times New Roman"/>
          <w:sz w:val="21"/>
          <w:szCs w:val="21"/>
        </w:rPr>
        <w:t>B</w:t>
      </w:r>
      <w:r>
        <w:rPr>
          <w:rFonts w:ascii="Times New Roman" w:eastAsia="楷体_GB2312" w:hAnsi="Times New Roman" w:hint="eastAsia"/>
          <w:sz w:val="21"/>
          <w:szCs w:val="21"/>
        </w:rPr>
        <w:t>公司成立于</w:t>
      </w:r>
      <w:r>
        <w:rPr>
          <w:rFonts w:ascii="Times New Roman" w:eastAsia="楷体_GB2312" w:hAnsi="Times New Roman"/>
          <w:sz w:val="21"/>
          <w:szCs w:val="21"/>
        </w:rPr>
        <w:t>2003</w:t>
      </w:r>
      <w:r>
        <w:rPr>
          <w:rFonts w:ascii="Times New Roman" w:eastAsia="楷体_GB2312" w:hAnsi="Times New Roman" w:hint="eastAsia"/>
          <w:sz w:val="21"/>
          <w:szCs w:val="21"/>
        </w:rPr>
        <w:t>年</w:t>
      </w:r>
      <w:r>
        <w:rPr>
          <w:rFonts w:ascii="Times New Roman" w:eastAsia="楷体_GB2312" w:hAnsi="Times New Roman"/>
          <w:sz w:val="21"/>
          <w:szCs w:val="21"/>
        </w:rPr>
        <w:t>1</w:t>
      </w:r>
      <w:r>
        <w:rPr>
          <w:rFonts w:ascii="Times New Roman" w:eastAsia="楷体_GB2312" w:hAnsi="Times New Roman" w:hint="eastAsia"/>
          <w:sz w:val="21"/>
          <w:szCs w:val="21"/>
        </w:rPr>
        <w:t>月</w:t>
      </w:r>
      <w:r>
        <w:rPr>
          <w:rFonts w:ascii="Times New Roman" w:eastAsia="楷体_GB2312" w:hAnsi="Times New Roman"/>
          <w:sz w:val="21"/>
          <w:szCs w:val="21"/>
        </w:rPr>
        <w:t>23</w:t>
      </w:r>
      <w:r>
        <w:rPr>
          <w:rFonts w:ascii="Times New Roman" w:eastAsia="楷体_GB2312" w:hAnsi="Times New Roman" w:hint="eastAsia"/>
          <w:sz w:val="21"/>
          <w:szCs w:val="21"/>
        </w:rPr>
        <w:t>日。</w:t>
      </w:r>
      <w:r>
        <w:rPr>
          <w:rFonts w:ascii="Times New Roman" w:eastAsia="楷体_GB2312" w:hAnsi="Times New Roman"/>
          <w:sz w:val="21"/>
          <w:szCs w:val="21"/>
        </w:rPr>
        <w:t>B</w:t>
      </w:r>
      <w:r>
        <w:rPr>
          <w:rFonts w:ascii="Times New Roman" w:eastAsia="楷体_GB2312" w:hAnsi="Times New Roman" w:hint="eastAsia"/>
          <w:sz w:val="21"/>
          <w:szCs w:val="21"/>
        </w:rPr>
        <w:t>公司认可，其生产的</w:t>
      </w:r>
      <w:r>
        <w:rPr>
          <w:rFonts w:ascii="Times New Roman" w:eastAsia="楷体_GB2312" w:hAnsi="Times New Roman"/>
          <w:sz w:val="21"/>
          <w:szCs w:val="21"/>
        </w:rPr>
        <w:t>SD-2</w:t>
      </w:r>
      <w:r>
        <w:rPr>
          <w:rFonts w:ascii="Times New Roman" w:eastAsia="楷体_GB2312" w:hAnsi="Times New Roman" w:hint="eastAsia"/>
          <w:sz w:val="21"/>
          <w:szCs w:val="21"/>
        </w:rPr>
        <w:t>、</w:t>
      </w:r>
      <w:r>
        <w:rPr>
          <w:rFonts w:ascii="Times New Roman" w:eastAsia="楷体_GB2312" w:hAnsi="Times New Roman"/>
          <w:sz w:val="21"/>
          <w:szCs w:val="21"/>
        </w:rPr>
        <w:t>SD-3</w:t>
      </w:r>
      <w:r>
        <w:rPr>
          <w:rFonts w:ascii="Times New Roman" w:eastAsia="楷体_GB2312" w:hAnsi="Times New Roman" w:hint="eastAsia"/>
          <w:sz w:val="21"/>
          <w:szCs w:val="21"/>
        </w:rPr>
        <w:t>、</w:t>
      </w:r>
      <w:r>
        <w:rPr>
          <w:rFonts w:ascii="Times New Roman" w:eastAsia="楷体_GB2312" w:hAnsi="Times New Roman"/>
          <w:sz w:val="21"/>
          <w:szCs w:val="21"/>
        </w:rPr>
        <w:t>SR-3</w:t>
      </w:r>
      <w:r>
        <w:rPr>
          <w:rFonts w:ascii="Times New Roman" w:eastAsia="楷体_GB2312" w:hAnsi="Times New Roman" w:hint="eastAsia"/>
          <w:sz w:val="21"/>
          <w:szCs w:val="21"/>
        </w:rPr>
        <w:t>三款产品的配比与涉案专利的权利要求</w:t>
      </w:r>
      <w:r>
        <w:rPr>
          <w:rFonts w:ascii="Times New Roman" w:eastAsia="楷体_GB2312" w:hAnsi="Times New Roman"/>
          <w:sz w:val="21"/>
          <w:szCs w:val="21"/>
        </w:rPr>
        <w:t>1</w:t>
      </w:r>
      <w:r>
        <w:rPr>
          <w:rFonts w:ascii="Times New Roman" w:eastAsia="楷体_GB2312" w:hAnsi="Times New Roman" w:hint="eastAsia"/>
          <w:sz w:val="21"/>
          <w:szCs w:val="21"/>
        </w:rPr>
        <w:t>相同，</w:t>
      </w:r>
      <w:r>
        <w:rPr>
          <w:rFonts w:ascii="Times New Roman" w:eastAsia="楷体_GB2312" w:hAnsi="Times New Roman"/>
          <w:sz w:val="21"/>
          <w:szCs w:val="21"/>
        </w:rPr>
        <w:t>SD-188</w:t>
      </w:r>
      <w:r>
        <w:rPr>
          <w:rFonts w:ascii="Times New Roman" w:eastAsia="楷体_GB2312" w:hAnsi="Times New Roman" w:hint="eastAsia"/>
          <w:sz w:val="21"/>
          <w:szCs w:val="21"/>
        </w:rPr>
        <w:t>、</w:t>
      </w:r>
      <w:r>
        <w:rPr>
          <w:rFonts w:ascii="Times New Roman" w:eastAsia="楷体_GB2312" w:hAnsi="Times New Roman"/>
          <w:sz w:val="21"/>
          <w:szCs w:val="21"/>
        </w:rPr>
        <w:t>SD-2</w:t>
      </w:r>
      <w:r>
        <w:rPr>
          <w:rFonts w:ascii="Times New Roman" w:eastAsia="楷体_GB2312" w:hAnsi="Times New Roman" w:hint="eastAsia"/>
          <w:sz w:val="21"/>
          <w:szCs w:val="21"/>
        </w:rPr>
        <w:t>、</w:t>
      </w:r>
      <w:r>
        <w:rPr>
          <w:rFonts w:ascii="Times New Roman" w:eastAsia="楷体_GB2312" w:hAnsi="Times New Roman"/>
          <w:sz w:val="21"/>
          <w:szCs w:val="21"/>
        </w:rPr>
        <w:t>SD-3</w:t>
      </w:r>
      <w:r>
        <w:rPr>
          <w:rFonts w:ascii="Times New Roman" w:eastAsia="楷体_GB2312" w:hAnsi="Times New Roman" w:hint="eastAsia"/>
          <w:sz w:val="21"/>
          <w:szCs w:val="21"/>
        </w:rPr>
        <w:t>、</w:t>
      </w:r>
      <w:r>
        <w:rPr>
          <w:rFonts w:ascii="Times New Roman" w:eastAsia="楷体_GB2312" w:hAnsi="Times New Roman"/>
          <w:sz w:val="21"/>
          <w:szCs w:val="21"/>
        </w:rPr>
        <w:t>SR-3</w:t>
      </w:r>
      <w:r>
        <w:rPr>
          <w:rFonts w:ascii="Times New Roman" w:eastAsia="楷体_GB2312" w:hAnsi="Times New Roman" w:hint="eastAsia"/>
          <w:sz w:val="21"/>
          <w:szCs w:val="21"/>
        </w:rPr>
        <w:t>四款产品的生产方法与涉案专利的权利要求</w:t>
      </w:r>
      <w:r>
        <w:rPr>
          <w:rFonts w:ascii="Times New Roman" w:eastAsia="楷体_GB2312" w:hAnsi="Times New Roman"/>
          <w:sz w:val="21"/>
          <w:szCs w:val="21"/>
        </w:rPr>
        <w:t>4</w:t>
      </w:r>
      <w:r>
        <w:rPr>
          <w:rFonts w:ascii="Times New Roman" w:eastAsia="楷体_GB2312" w:hAnsi="Times New Roman" w:hint="eastAsia"/>
          <w:sz w:val="21"/>
          <w:szCs w:val="21"/>
        </w:rPr>
        <w:t>相同。</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侵权纠纷处理过程中，</w:t>
      </w:r>
      <w:r>
        <w:rPr>
          <w:rFonts w:ascii="Times New Roman" w:eastAsia="楷体_GB2312" w:hAnsi="Times New Roman"/>
          <w:sz w:val="21"/>
          <w:szCs w:val="21"/>
        </w:rPr>
        <w:t>B</w:t>
      </w:r>
      <w:r>
        <w:rPr>
          <w:rFonts w:ascii="Times New Roman" w:eastAsia="楷体_GB2312" w:hAnsi="Times New Roman" w:hint="eastAsia"/>
          <w:sz w:val="21"/>
          <w:szCs w:val="21"/>
        </w:rPr>
        <w:t>公司提交了其申请</w:t>
      </w:r>
      <w:r>
        <w:rPr>
          <w:rFonts w:ascii="Times New Roman" w:eastAsia="楷体_GB2312" w:hAnsi="Times New Roman"/>
          <w:sz w:val="21"/>
          <w:szCs w:val="21"/>
        </w:rPr>
        <w:t>ISO9001</w:t>
      </w:r>
      <w:r>
        <w:rPr>
          <w:rFonts w:ascii="Times New Roman" w:eastAsia="楷体_GB2312" w:hAnsi="Times New Roman"/>
          <w:sz w:val="21"/>
          <w:szCs w:val="21"/>
        </w:rPr>
        <w:t>：</w:t>
      </w:r>
      <w:r>
        <w:rPr>
          <w:rFonts w:ascii="Times New Roman" w:eastAsia="楷体_GB2312" w:hAnsi="Times New Roman"/>
          <w:sz w:val="21"/>
          <w:szCs w:val="21"/>
        </w:rPr>
        <w:t>2000</w:t>
      </w:r>
      <w:r>
        <w:rPr>
          <w:rFonts w:ascii="Times New Roman" w:eastAsia="楷体_GB2312" w:hAnsi="Times New Roman" w:hint="eastAsia"/>
          <w:sz w:val="21"/>
          <w:szCs w:val="21"/>
        </w:rPr>
        <w:t>标准时所提交的部分文件，其中《配方作业指导书》记载了</w:t>
      </w:r>
      <w:r>
        <w:rPr>
          <w:rFonts w:ascii="Times New Roman" w:eastAsia="楷体_GB2312" w:hAnsi="Times New Roman"/>
          <w:sz w:val="21"/>
          <w:szCs w:val="21"/>
        </w:rPr>
        <w:t>SD-188</w:t>
      </w:r>
      <w:r>
        <w:rPr>
          <w:rFonts w:ascii="Times New Roman" w:eastAsia="楷体_GB2312" w:hAnsi="Times New Roman" w:hint="eastAsia"/>
          <w:sz w:val="21"/>
          <w:szCs w:val="21"/>
        </w:rPr>
        <w:t>、</w:t>
      </w:r>
      <w:r>
        <w:rPr>
          <w:rFonts w:ascii="Times New Roman" w:eastAsia="楷体_GB2312" w:hAnsi="Times New Roman"/>
          <w:sz w:val="21"/>
          <w:szCs w:val="21"/>
        </w:rPr>
        <w:t>SD-2</w:t>
      </w:r>
      <w:r>
        <w:rPr>
          <w:rFonts w:ascii="Times New Roman" w:eastAsia="楷体_GB2312" w:hAnsi="Times New Roman" w:hint="eastAsia"/>
          <w:sz w:val="21"/>
          <w:szCs w:val="21"/>
        </w:rPr>
        <w:t>、</w:t>
      </w:r>
      <w:r>
        <w:rPr>
          <w:rFonts w:ascii="Times New Roman" w:eastAsia="楷体_GB2312" w:hAnsi="Times New Roman"/>
          <w:sz w:val="21"/>
          <w:szCs w:val="21"/>
        </w:rPr>
        <w:t>SD-3</w:t>
      </w:r>
      <w:r>
        <w:rPr>
          <w:rFonts w:ascii="Times New Roman" w:eastAsia="楷体_GB2312" w:hAnsi="Times New Roman" w:hint="eastAsia"/>
          <w:sz w:val="21"/>
          <w:szCs w:val="21"/>
        </w:rPr>
        <w:t>三种产品的</w:t>
      </w:r>
      <w:r>
        <w:rPr>
          <w:rFonts w:ascii="Times New Roman" w:eastAsia="楷体_GB2312" w:hAnsi="Times New Roman"/>
          <w:sz w:val="21"/>
          <w:szCs w:val="21"/>
        </w:rPr>
        <w:t>1. 0</w:t>
      </w:r>
      <w:r>
        <w:rPr>
          <w:rFonts w:ascii="Times New Roman" w:eastAsia="楷体_GB2312" w:hAnsi="Times New Roman" w:hint="eastAsia"/>
          <w:sz w:val="21"/>
          <w:szCs w:val="21"/>
        </w:rPr>
        <w:t>版本和其他版本的配方</w:t>
      </w:r>
      <w:r>
        <w:rPr>
          <w:rFonts w:ascii="Times New Roman" w:eastAsia="楷体_GB2312" w:hAnsi="Times New Roman"/>
          <w:sz w:val="21"/>
          <w:szCs w:val="21"/>
        </w:rPr>
        <w:t>，</w:t>
      </w:r>
      <w:r>
        <w:rPr>
          <w:rFonts w:ascii="Times New Roman" w:eastAsia="楷体_GB2312" w:hAnsi="Times New Roman" w:hint="eastAsia"/>
          <w:sz w:val="21"/>
          <w:szCs w:val="21"/>
        </w:rPr>
        <w:t>其他版本与</w:t>
      </w:r>
      <w:r>
        <w:rPr>
          <w:rFonts w:ascii="Times New Roman" w:eastAsia="楷体_GB2312" w:hAnsi="Times New Roman"/>
          <w:sz w:val="21"/>
          <w:szCs w:val="21"/>
        </w:rPr>
        <w:t>1. 0</w:t>
      </w:r>
      <w:r>
        <w:rPr>
          <w:rFonts w:ascii="Times New Roman" w:eastAsia="楷体_GB2312" w:hAnsi="Times New Roman" w:hint="eastAsia"/>
          <w:sz w:val="21"/>
          <w:szCs w:val="21"/>
        </w:rPr>
        <w:t>版本相比</w:t>
      </w:r>
      <w:r>
        <w:rPr>
          <w:rFonts w:ascii="Times New Roman" w:eastAsia="楷体_GB2312" w:hAnsi="Times New Roman"/>
          <w:sz w:val="21"/>
          <w:szCs w:val="21"/>
        </w:rPr>
        <w:t>，</w:t>
      </w:r>
      <w:r>
        <w:rPr>
          <w:rFonts w:ascii="Times New Roman" w:eastAsia="楷体_GB2312" w:hAnsi="Times New Roman" w:hint="eastAsia"/>
          <w:sz w:val="21"/>
          <w:szCs w:val="21"/>
        </w:rPr>
        <w:t>成分相同</w:t>
      </w:r>
      <w:r>
        <w:rPr>
          <w:rFonts w:ascii="Times New Roman" w:eastAsia="楷体_GB2312" w:hAnsi="Times New Roman"/>
          <w:sz w:val="21"/>
          <w:szCs w:val="21"/>
        </w:rPr>
        <w:t>，</w:t>
      </w:r>
      <w:r>
        <w:rPr>
          <w:rFonts w:ascii="Times New Roman" w:eastAsia="楷体_GB2312" w:hAnsi="Times New Roman" w:hint="eastAsia"/>
          <w:sz w:val="21"/>
          <w:szCs w:val="21"/>
        </w:rPr>
        <w:t>但黑、白浆比例，水玻璃的加入量有细微差别。</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B</w:t>
      </w:r>
      <w:r>
        <w:rPr>
          <w:rFonts w:ascii="Times New Roman" w:eastAsia="楷体_GB2312" w:hAnsi="Times New Roman" w:hint="eastAsia"/>
          <w:sz w:val="21"/>
          <w:szCs w:val="21"/>
        </w:rPr>
        <w:t>公司主张，其对本案所涉四款产品及其制造方法享有先用权，并提交了相关票据和合同。这些票据和合同证实，</w:t>
      </w:r>
      <w:r>
        <w:rPr>
          <w:rFonts w:ascii="Times New Roman" w:eastAsia="楷体_GB2312" w:hAnsi="Times New Roman"/>
          <w:sz w:val="21"/>
          <w:szCs w:val="21"/>
        </w:rPr>
        <w:t>B</w:t>
      </w:r>
      <w:r>
        <w:rPr>
          <w:rFonts w:ascii="Times New Roman" w:eastAsia="楷体_GB2312" w:hAnsi="Times New Roman" w:hint="eastAsia"/>
          <w:sz w:val="21"/>
          <w:szCs w:val="21"/>
        </w:rPr>
        <w:t>公司从</w:t>
      </w:r>
      <w:r>
        <w:rPr>
          <w:rFonts w:ascii="Times New Roman" w:eastAsia="楷体_GB2312" w:hAnsi="Times New Roman"/>
          <w:sz w:val="21"/>
          <w:szCs w:val="21"/>
        </w:rPr>
        <w:t>2003</w:t>
      </w:r>
      <w:r>
        <w:rPr>
          <w:rFonts w:ascii="Times New Roman" w:eastAsia="楷体_GB2312" w:hAnsi="Times New Roman" w:hint="eastAsia"/>
          <w:sz w:val="21"/>
          <w:szCs w:val="21"/>
        </w:rPr>
        <w:t>年</w:t>
      </w:r>
      <w:r>
        <w:rPr>
          <w:rFonts w:ascii="Times New Roman" w:eastAsia="楷体_GB2312" w:hAnsi="Times New Roman"/>
          <w:sz w:val="21"/>
          <w:szCs w:val="21"/>
        </w:rPr>
        <w:t>3</w:t>
      </w:r>
      <w:r>
        <w:rPr>
          <w:rFonts w:ascii="Times New Roman" w:eastAsia="楷体_GB2312" w:hAnsi="Times New Roman" w:hint="eastAsia"/>
          <w:sz w:val="21"/>
          <w:szCs w:val="21"/>
        </w:rPr>
        <w:t>月起陆续购买了振动筛、装载机、压滤机等设备，从</w:t>
      </w:r>
      <w:r>
        <w:rPr>
          <w:rFonts w:ascii="Times New Roman" w:eastAsia="楷体_GB2312" w:hAnsi="Times New Roman"/>
          <w:sz w:val="21"/>
          <w:szCs w:val="21"/>
        </w:rPr>
        <w:t>2003</w:t>
      </w:r>
      <w:r>
        <w:rPr>
          <w:rFonts w:ascii="Times New Roman" w:eastAsia="楷体_GB2312" w:hAnsi="Times New Roman" w:hint="eastAsia"/>
          <w:sz w:val="21"/>
          <w:szCs w:val="21"/>
        </w:rPr>
        <w:t>年</w:t>
      </w:r>
      <w:r>
        <w:rPr>
          <w:rFonts w:ascii="Times New Roman" w:eastAsia="楷体_GB2312" w:hAnsi="Times New Roman"/>
          <w:sz w:val="21"/>
          <w:szCs w:val="21"/>
        </w:rPr>
        <w:t>5</w:t>
      </w:r>
      <w:r>
        <w:rPr>
          <w:rFonts w:ascii="Times New Roman" w:eastAsia="楷体_GB2312" w:hAnsi="Times New Roman" w:hint="eastAsia"/>
          <w:sz w:val="21"/>
          <w:szCs w:val="21"/>
        </w:rPr>
        <w:t>月起开始购买高岭土、水玻璃、磁泥、黑泥等原料。双方均确认高岭土就是白浆，二次黏土是黑浆，常规稀释剂包括水玻璃、三聚磷酸钠、焦磷酸钠、纯碱等，常规絮凝剂包括氯化镁、氯化钙等。</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本案的争议点在于：根据被请求人实施的上述行为，能否主张先用权抗辩。</w:t>
      </w:r>
    </w:p>
    <w:p w:rsidR="00800760" w:rsidRDefault="00235733">
      <w:pPr>
        <w:pStyle w:val="2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2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由于</w:t>
      </w:r>
      <w:r>
        <w:rPr>
          <w:rFonts w:ascii="Times New Roman" w:eastAsia="楷体_GB2312" w:hAnsi="Times New Roman"/>
          <w:sz w:val="21"/>
          <w:szCs w:val="21"/>
        </w:rPr>
        <w:t>B</w:t>
      </w:r>
      <w:r>
        <w:rPr>
          <w:rFonts w:ascii="Times New Roman" w:eastAsia="楷体_GB2312" w:hAnsi="Times New Roman" w:hint="eastAsia"/>
          <w:sz w:val="21"/>
          <w:szCs w:val="21"/>
        </w:rPr>
        <w:t>公司记载有配方的申请认证文件的形成时间早于涉案专利申请日，且</w:t>
      </w:r>
      <w:r>
        <w:rPr>
          <w:rFonts w:ascii="Times New Roman" w:eastAsia="楷体_GB2312" w:hAnsi="Times New Roman"/>
          <w:sz w:val="21"/>
          <w:szCs w:val="21"/>
        </w:rPr>
        <w:t>B</w:t>
      </w:r>
      <w:r>
        <w:rPr>
          <w:rFonts w:ascii="Times New Roman" w:eastAsia="楷体_GB2312" w:hAnsi="Times New Roman" w:hint="eastAsia"/>
          <w:sz w:val="21"/>
          <w:szCs w:val="21"/>
        </w:rPr>
        <w:t>公司在专利申请日前已经开始制造相同产品，已经作好扩大规模制造的必要准备，故其对涉案专利产品享有先用权；尽管</w:t>
      </w:r>
      <w:r>
        <w:rPr>
          <w:rFonts w:ascii="Times New Roman" w:eastAsia="楷体_GB2312" w:hAnsi="Times New Roman"/>
          <w:sz w:val="21"/>
          <w:szCs w:val="21"/>
        </w:rPr>
        <w:t>B</w:t>
      </w:r>
      <w:r>
        <w:rPr>
          <w:rFonts w:ascii="Times New Roman" w:eastAsia="楷体_GB2312" w:hAnsi="Times New Roman" w:hint="eastAsia"/>
          <w:sz w:val="21"/>
          <w:szCs w:val="21"/>
        </w:rPr>
        <w:t>公司未提供证据证明其在专利申请日前制造、销售了</w:t>
      </w:r>
      <w:r>
        <w:rPr>
          <w:rFonts w:ascii="Times New Roman" w:eastAsia="楷体_GB2312" w:hAnsi="Times New Roman"/>
          <w:sz w:val="21"/>
          <w:szCs w:val="21"/>
        </w:rPr>
        <w:t>SR-3</w:t>
      </w:r>
      <w:r>
        <w:rPr>
          <w:rFonts w:ascii="Times New Roman" w:eastAsia="楷体_GB2312" w:hAnsi="Times New Roman" w:hint="eastAsia"/>
          <w:sz w:val="21"/>
          <w:szCs w:val="21"/>
        </w:rPr>
        <w:t>型号产品，但</w:t>
      </w:r>
      <w:r>
        <w:rPr>
          <w:rFonts w:ascii="Times New Roman" w:eastAsia="楷体_GB2312" w:hAnsi="Times New Roman"/>
          <w:sz w:val="21"/>
          <w:szCs w:val="21"/>
        </w:rPr>
        <w:t>SR-3</w:t>
      </w:r>
      <w:r>
        <w:rPr>
          <w:rFonts w:ascii="Times New Roman" w:eastAsia="楷体_GB2312" w:hAnsi="Times New Roman" w:hint="eastAsia"/>
          <w:sz w:val="21"/>
          <w:szCs w:val="21"/>
        </w:rPr>
        <w:t>型号产品与</w:t>
      </w:r>
      <w:r>
        <w:rPr>
          <w:rFonts w:ascii="Times New Roman" w:eastAsia="楷体_GB2312" w:hAnsi="Times New Roman"/>
          <w:sz w:val="21"/>
          <w:szCs w:val="21"/>
        </w:rPr>
        <w:t>SD-188</w:t>
      </w:r>
      <w:r>
        <w:rPr>
          <w:rFonts w:ascii="Times New Roman" w:eastAsia="楷体_GB2312" w:hAnsi="Times New Roman" w:hint="eastAsia"/>
          <w:sz w:val="21"/>
          <w:szCs w:val="21"/>
        </w:rPr>
        <w:t>、</w:t>
      </w:r>
      <w:r>
        <w:rPr>
          <w:rFonts w:ascii="Times New Roman" w:eastAsia="楷体_GB2312" w:hAnsi="Times New Roman"/>
          <w:sz w:val="21"/>
          <w:szCs w:val="21"/>
        </w:rPr>
        <w:t>SD-2</w:t>
      </w:r>
      <w:r>
        <w:rPr>
          <w:rFonts w:ascii="Times New Roman" w:eastAsia="楷体_GB2312" w:hAnsi="Times New Roman" w:hint="eastAsia"/>
          <w:sz w:val="21"/>
          <w:szCs w:val="21"/>
        </w:rPr>
        <w:t>、</w:t>
      </w:r>
      <w:r>
        <w:rPr>
          <w:rFonts w:ascii="Times New Roman" w:eastAsia="楷体_GB2312" w:hAnsi="Times New Roman"/>
          <w:sz w:val="21"/>
          <w:szCs w:val="21"/>
        </w:rPr>
        <w:t>SD-3</w:t>
      </w:r>
      <w:r>
        <w:rPr>
          <w:rFonts w:ascii="Times New Roman" w:eastAsia="楷体_GB2312" w:hAnsi="Times New Roman" w:hint="eastAsia"/>
          <w:sz w:val="21"/>
          <w:szCs w:val="21"/>
        </w:rPr>
        <w:t>三种型号产品的成分完全相同，仅仅加入的絮凝剂与稀释剂的比例不同，且该比例的差异均在涉案专利权利要求</w:t>
      </w:r>
      <w:r>
        <w:rPr>
          <w:rFonts w:ascii="Times New Roman" w:eastAsia="楷体_GB2312" w:hAnsi="Times New Roman"/>
          <w:sz w:val="21"/>
          <w:szCs w:val="21"/>
        </w:rPr>
        <w:t>1</w:t>
      </w:r>
      <w:r>
        <w:rPr>
          <w:rFonts w:ascii="Times New Roman" w:eastAsia="楷体_GB2312" w:hAnsi="Times New Roman" w:hint="eastAsia"/>
          <w:sz w:val="21"/>
          <w:szCs w:val="21"/>
        </w:rPr>
        <w:t>的范围之内，与其他型号产品的技术特征并无实质差别，因此，</w:t>
      </w:r>
      <w:r>
        <w:rPr>
          <w:rFonts w:ascii="Times New Roman" w:eastAsia="楷体_GB2312" w:hAnsi="Times New Roman"/>
          <w:sz w:val="21"/>
          <w:szCs w:val="21"/>
        </w:rPr>
        <w:t>B</w:t>
      </w:r>
      <w:r>
        <w:rPr>
          <w:rFonts w:ascii="Times New Roman" w:eastAsia="楷体_GB2312" w:hAnsi="Times New Roman" w:hint="eastAsia"/>
          <w:sz w:val="21"/>
          <w:szCs w:val="21"/>
        </w:rPr>
        <w:t>公司生产、销售</w:t>
      </w:r>
      <w:r>
        <w:rPr>
          <w:rFonts w:ascii="Times New Roman" w:eastAsia="楷体_GB2312" w:hAnsi="Times New Roman"/>
          <w:sz w:val="21"/>
          <w:szCs w:val="21"/>
        </w:rPr>
        <w:t>SR-3</w:t>
      </w:r>
      <w:r>
        <w:rPr>
          <w:rFonts w:ascii="Times New Roman" w:eastAsia="楷体_GB2312" w:hAnsi="Times New Roman" w:hint="eastAsia"/>
          <w:sz w:val="21"/>
          <w:szCs w:val="21"/>
        </w:rPr>
        <w:t>型号产品的行为属于行使先用权的行为，不构成侵权。</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5 \* GB4</w:instrText>
      </w:r>
      <w:r>
        <w:rPr>
          <w:rFonts w:ascii="Times New Roman" w:hAnsi="Times New Roman"/>
          <w:color w:val="000000"/>
        </w:rPr>
        <w:fldChar w:fldCharType="separate"/>
      </w:r>
      <w:bookmarkStart w:id="1956" w:name="_Toc28593371"/>
      <w:r w:rsidR="00235733">
        <w:rPr>
          <w:rFonts w:ascii="Times New Roman" w:hAnsi="Times New Roman" w:hint="eastAsia"/>
          <w:color w:val="000000"/>
          <w:lang w:val="en-US"/>
        </w:rPr>
        <w:t>（五）</w:t>
      </w:r>
      <w:r>
        <w:rPr>
          <w:rFonts w:ascii="Times New Roman" w:hAnsi="Times New Roman"/>
          <w:color w:val="000000"/>
        </w:rPr>
        <w:fldChar w:fldCharType="end"/>
      </w:r>
      <w:r w:rsidR="00235733">
        <w:rPr>
          <w:rFonts w:ascii="Times New Roman" w:hAnsi="Times New Roman" w:hint="eastAsia"/>
          <w:color w:val="000000"/>
        </w:rPr>
        <w:t>临时过境抗辩</w:t>
      </w:r>
      <w:bookmarkEnd w:id="1956"/>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根据《专利法》第七十五条第（三）项的规定</w:t>
      </w:r>
      <w:r>
        <w:rPr>
          <w:rFonts w:ascii="Times New Roman" w:eastAsia="宋体" w:hAnsi="Times New Roman"/>
          <w:sz w:val="21"/>
          <w:szCs w:val="21"/>
        </w:rPr>
        <w:t>，</w:t>
      </w:r>
      <w:r>
        <w:rPr>
          <w:rFonts w:ascii="Times New Roman" w:eastAsia="宋体" w:hAnsi="Times New Roman" w:hint="eastAsia"/>
          <w:sz w:val="21"/>
          <w:szCs w:val="21"/>
        </w:rPr>
        <w:t>临时通过中国领陆、领水、领空的外国运输工具</w:t>
      </w:r>
      <w:r>
        <w:rPr>
          <w:rFonts w:ascii="Times New Roman" w:eastAsia="宋体" w:hAnsi="Times New Roman"/>
          <w:sz w:val="21"/>
          <w:szCs w:val="21"/>
        </w:rPr>
        <w:t>，</w:t>
      </w:r>
      <w:r>
        <w:rPr>
          <w:rFonts w:ascii="Times New Roman" w:eastAsia="宋体" w:hAnsi="Times New Roman" w:hint="eastAsia"/>
          <w:sz w:val="21"/>
          <w:szCs w:val="21"/>
        </w:rPr>
        <w:t>为运输工具自身需要而在其装置或者设备中使用有关专利的</w:t>
      </w:r>
      <w:r>
        <w:rPr>
          <w:rFonts w:ascii="Times New Roman" w:eastAsia="宋体" w:hAnsi="Times New Roman"/>
          <w:sz w:val="21"/>
          <w:szCs w:val="21"/>
        </w:rPr>
        <w:t>，</w:t>
      </w:r>
      <w:r>
        <w:rPr>
          <w:rFonts w:ascii="Times New Roman" w:eastAsia="宋体" w:hAnsi="Times New Roman" w:hint="eastAsia"/>
          <w:sz w:val="21"/>
          <w:szCs w:val="21"/>
        </w:rPr>
        <w:t>依照其所属国同中国签订的协议或者共同参加的国际条约</w:t>
      </w:r>
      <w:r>
        <w:rPr>
          <w:rFonts w:ascii="Times New Roman" w:eastAsia="宋体" w:hAnsi="Times New Roman"/>
          <w:sz w:val="21"/>
          <w:szCs w:val="21"/>
        </w:rPr>
        <w:t>，</w:t>
      </w:r>
      <w:r>
        <w:rPr>
          <w:rFonts w:ascii="Times New Roman" w:eastAsia="宋体" w:hAnsi="Times New Roman" w:hint="eastAsia"/>
          <w:sz w:val="21"/>
          <w:szCs w:val="21"/>
        </w:rPr>
        <w:t>或者依照互惠原则</w:t>
      </w:r>
      <w:r>
        <w:rPr>
          <w:rFonts w:ascii="Times New Roman" w:eastAsia="宋体" w:hAnsi="Times New Roman"/>
          <w:sz w:val="21"/>
          <w:szCs w:val="21"/>
        </w:rPr>
        <w:t>，</w:t>
      </w:r>
      <w:r>
        <w:rPr>
          <w:rFonts w:ascii="Times New Roman" w:eastAsia="宋体" w:hAnsi="Times New Roman" w:hint="eastAsia"/>
          <w:sz w:val="21"/>
          <w:szCs w:val="21"/>
        </w:rPr>
        <w:t>不视为侵犯专利权。</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对于临时过境抗辩而言，需要具备如下条件：</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1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1</w:t>
      </w:r>
      <w:r w:rsidR="00C22A7B">
        <w:rPr>
          <w:rFonts w:ascii="Times New Roman" w:eastAsia="宋体" w:hAnsi="Times New Roman"/>
          <w:sz w:val="21"/>
          <w:szCs w:val="21"/>
        </w:rPr>
        <w:fldChar w:fldCharType="end"/>
      </w:r>
      <w:r>
        <w:rPr>
          <w:rFonts w:ascii="Times New Roman" w:eastAsia="宋体" w:hAnsi="Times New Roman" w:hint="eastAsia"/>
          <w:sz w:val="21"/>
          <w:szCs w:val="21"/>
        </w:rPr>
        <w:t>）临时过境抗辩仅适用于临时或者偶然通过中国领陆、领水、领空的运输工具。临时或者偶然通过的情形可以是定期航班、躲避风暴、机械故障、紧急迫降、船舶失事等。临时过境抗辩不适用于长期在我国停留的运输工具。</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2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2</w:t>
      </w:r>
      <w:r w:rsidR="00C22A7B">
        <w:rPr>
          <w:rFonts w:ascii="Times New Roman" w:eastAsia="宋体" w:hAnsi="Times New Roman"/>
          <w:sz w:val="21"/>
          <w:szCs w:val="21"/>
        </w:rPr>
        <w:fldChar w:fldCharType="end"/>
      </w:r>
      <w:r>
        <w:rPr>
          <w:rFonts w:ascii="Times New Roman" w:eastAsia="宋体" w:hAnsi="Times New Roman" w:hint="eastAsia"/>
          <w:sz w:val="21"/>
          <w:szCs w:val="21"/>
        </w:rPr>
        <w:t>）临时过境抗辩仅适用于外国的运输工具，本国运输工具不能适用该抗辩。区分运输工具是外国的还是本国的，以运输工具注册地为准。</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3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3</w:t>
      </w:r>
      <w:r w:rsidR="00C22A7B">
        <w:rPr>
          <w:rFonts w:ascii="Times New Roman" w:eastAsia="宋体" w:hAnsi="Times New Roman"/>
          <w:sz w:val="21"/>
          <w:szCs w:val="21"/>
        </w:rPr>
        <w:fldChar w:fldCharType="end"/>
      </w:r>
      <w:r>
        <w:rPr>
          <w:rFonts w:ascii="Times New Roman" w:eastAsia="宋体" w:hAnsi="Times New Roman" w:hint="eastAsia"/>
          <w:sz w:val="21"/>
          <w:szCs w:val="21"/>
        </w:rPr>
        <w:t>）临时过境抗辩仅限于为运输工具自身的需要而使用相关专利，一般包括交通工具装置和设备中使用相关专利，例如，交通工具零部件，或者导航仪、雷达等航行附件。在交通工具上制造、许诺销售、销售相关专利产品，均不能主张临时过境抗辩。</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4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4</w:t>
      </w:r>
      <w:r w:rsidR="00C22A7B">
        <w:rPr>
          <w:rFonts w:ascii="Times New Roman" w:eastAsia="宋体" w:hAnsi="Times New Roman"/>
          <w:sz w:val="21"/>
          <w:szCs w:val="21"/>
        </w:rPr>
        <w:fldChar w:fldCharType="end"/>
      </w:r>
      <w:r>
        <w:rPr>
          <w:rFonts w:ascii="Times New Roman" w:eastAsia="宋体" w:hAnsi="Times New Roman" w:hint="eastAsia"/>
          <w:sz w:val="21"/>
          <w:szCs w:val="21"/>
        </w:rPr>
        <w:t>）临时过境抗辩要求所属国与中国签订了协议或共同参加国际条约或存在互惠原则。在上述协议、国际条约、互惠原则均不存在的情况下，不能主张临时过境抗辩。</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6 \* GB4</w:instrText>
      </w:r>
      <w:r>
        <w:rPr>
          <w:rFonts w:ascii="Times New Roman" w:hAnsi="Times New Roman"/>
          <w:color w:val="000000"/>
        </w:rPr>
        <w:fldChar w:fldCharType="separate"/>
      </w:r>
      <w:bookmarkStart w:id="1957" w:name="_Toc28593372"/>
      <w:r w:rsidR="00235733">
        <w:rPr>
          <w:rFonts w:ascii="Times New Roman" w:hAnsi="Times New Roman" w:hint="eastAsia"/>
          <w:color w:val="000000"/>
          <w:lang w:val="en-US"/>
        </w:rPr>
        <w:t>（六）</w:t>
      </w:r>
      <w:r>
        <w:rPr>
          <w:rFonts w:ascii="Times New Roman" w:hAnsi="Times New Roman"/>
          <w:color w:val="000000"/>
        </w:rPr>
        <w:fldChar w:fldCharType="end"/>
      </w:r>
      <w:r w:rsidR="00235733">
        <w:rPr>
          <w:rFonts w:ascii="Times New Roman" w:hAnsi="Times New Roman" w:hint="eastAsia"/>
          <w:color w:val="000000"/>
        </w:rPr>
        <w:t>专为科学研究和实验抗辩</w:t>
      </w:r>
      <w:bookmarkEnd w:id="1957"/>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根据《专利法》第七十五条第（四）项规定</w:t>
      </w:r>
      <w:r>
        <w:rPr>
          <w:rFonts w:ascii="Times New Roman" w:eastAsia="宋体" w:hAnsi="Times New Roman"/>
          <w:sz w:val="21"/>
          <w:szCs w:val="21"/>
        </w:rPr>
        <w:t>，</w:t>
      </w:r>
      <w:r>
        <w:rPr>
          <w:rFonts w:ascii="Times New Roman" w:eastAsia="宋体" w:hAnsi="Times New Roman" w:hint="eastAsia"/>
          <w:sz w:val="21"/>
          <w:szCs w:val="21"/>
        </w:rPr>
        <w:t>专为科学研究和实验目的而使用有关专利的</w:t>
      </w:r>
      <w:r>
        <w:rPr>
          <w:rFonts w:ascii="Times New Roman" w:eastAsia="宋体" w:hAnsi="Times New Roman"/>
          <w:sz w:val="21"/>
          <w:szCs w:val="21"/>
        </w:rPr>
        <w:t>，</w:t>
      </w:r>
      <w:r>
        <w:rPr>
          <w:rFonts w:ascii="Times New Roman" w:eastAsia="宋体" w:hAnsi="Times New Roman" w:hint="eastAsia"/>
          <w:sz w:val="21"/>
          <w:szCs w:val="21"/>
        </w:rPr>
        <w:t>不视为侵犯专利权。专为科学研究和实验，是指针对获得专利的技术本身进行科学研究和实验，一般包括</w:t>
      </w:r>
      <w:r>
        <w:rPr>
          <w:rFonts w:ascii="Times New Roman" w:eastAsia="宋体" w:hAnsi="Times New Roman"/>
          <w:sz w:val="21"/>
          <w:szCs w:val="21"/>
        </w:rPr>
        <w:t>：</w:t>
      </w:r>
      <w:r>
        <w:rPr>
          <w:rFonts w:ascii="Times New Roman" w:eastAsia="宋体" w:hAnsi="Times New Roman" w:hint="eastAsia"/>
          <w:sz w:val="21"/>
          <w:szCs w:val="21"/>
        </w:rPr>
        <w:t>研究专利技术能达到的实际效果；研究专利技术保护范围内的最佳实施方式；对专利技术进行改进；为在专利保护期限届满后实施该技术等。在科学研究和实验过程中，制造、使用他人专利技术，如果其目的不是研究、改进他人专利技术，结果与专利技术没有直接关系，则不能适用专为科学研究和实验抗辩，其行为构成侵犯专利权。</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为科学研究和实验使用有关专利的行为不仅包括研究者制造、使用专利产品或者使用专利方法的行为，也包括进口专利产品的行为，但是不包括销售、许诺销售专利产品以及依据专利方法直接获得的产品的行为。在研究者进行完科学研究和实验后，不得销售该专利产品，否则构成侵犯专利权。</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7 \* GB4</w:instrText>
      </w:r>
      <w:r>
        <w:rPr>
          <w:rFonts w:ascii="Times New Roman" w:hAnsi="Times New Roman"/>
          <w:color w:val="000000"/>
        </w:rPr>
        <w:fldChar w:fldCharType="separate"/>
      </w:r>
      <w:bookmarkStart w:id="1958" w:name="_Toc28593373"/>
      <w:r w:rsidR="00235733">
        <w:rPr>
          <w:rFonts w:ascii="Times New Roman" w:hAnsi="Times New Roman" w:hint="eastAsia"/>
          <w:color w:val="000000"/>
          <w:lang w:val="en-US"/>
        </w:rPr>
        <w:t>（七）</w:t>
      </w:r>
      <w:r>
        <w:rPr>
          <w:rFonts w:ascii="Times New Roman" w:hAnsi="Times New Roman"/>
          <w:color w:val="000000"/>
        </w:rPr>
        <w:fldChar w:fldCharType="end"/>
      </w:r>
      <w:r w:rsidR="00235733">
        <w:rPr>
          <w:rFonts w:ascii="Times New Roman" w:hAnsi="Times New Roman" w:hint="eastAsia"/>
          <w:color w:val="000000"/>
        </w:rPr>
        <w:t>药品和医疗器械行政审批抗辩</w:t>
      </w:r>
      <w:bookmarkEnd w:id="1958"/>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根据《专利法》第七十五条第（五）项的规定</w:t>
      </w:r>
      <w:r>
        <w:rPr>
          <w:rFonts w:ascii="Times New Roman" w:eastAsia="宋体" w:hAnsi="Times New Roman"/>
          <w:sz w:val="21"/>
          <w:szCs w:val="21"/>
        </w:rPr>
        <w:t>，</w:t>
      </w:r>
      <w:r>
        <w:rPr>
          <w:rFonts w:ascii="Times New Roman" w:eastAsia="宋体" w:hAnsi="Times New Roman" w:hint="eastAsia"/>
          <w:sz w:val="21"/>
          <w:szCs w:val="21"/>
        </w:rPr>
        <w:t>为提供行政审批所需的信息</w:t>
      </w:r>
      <w:r>
        <w:rPr>
          <w:rFonts w:ascii="Times New Roman" w:eastAsia="宋体" w:hAnsi="Times New Roman"/>
          <w:sz w:val="21"/>
          <w:szCs w:val="21"/>
        </w:rPr>
        <w:t>，</w:t>
      </w:r>
      <w:r>
        <w:rPr>
          <w:rFonts w:ascii="Times New Roman" w:eastAsia="宋体" w:hAnsi="Times New Roman" w:hint="eastAsia"/>
          <w:sz w:val="21"/>
          <w:szCs w:val="21"/>
        </w:rPr>
        <w:t>制造、使用、进口专利药品或者专利医疗器械的</w:t>
      </w:r>
      <w:r>
        <w:rPr>
          <w:rFonts w:ascii="Times New Roman" w:eastAsia="宋体" w:hAnsi="Times New Roman"/>
          <w:sz w:val="21"/>
          <w:szCs w:val="21"/>
        </w:rPr>
        <w:t>，</w:t>
      </w:r>
      <w:r>
        <w:rPr>
          <w:rFonts w:ascii="Times New Roman" w:eastAsia="宋体" w:hAnsi="Times New Roman" w:hint="eastAsia"/>
          <w:sz w:val="21"/>
          <w:szCs w:val="21"/>
        </w:rPr>
        <w:t>以及专门为其制造、进口专利药品或者专利医疗器械的</w:t>
      </w:r>
      <w:r>
        <w:rPr>
          <w:rFonts w:ascii="Times New Roman" w:eastAsia="宋体" w:hAnsi="Times New Roman"/>
          <w:sz w:val="21"/>
          <w:szCs w:val="21"/>
        </w:rPr>
        <w:t>，</w:t>
      </w:r>
      <w:r>
        <w:rPr>
          <w:rFonts w:ascii="Times New Roman" w:eastAsia="宋体" w:hAnsi="Times New Roman" w:hint="eastAsia"/>
          <w:sz w:val="21"/>
          <w:szCs w:val="21"/>
        </w:rPr>
        <w:t>不视为侵犯专利权。该项规定的立法目的在于克服医药上市审批制度对仿制药品和医疗器械在专利权期限届满后上市造成的延迟，从而避免变相延长相关药品和医疗器械专利的保护期。</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适用专利药品和医疗器械行政审批抗辩要注意如下问题</w:t>
      </w:r>
      <w:r>
        <w:rPr>
          <w:rFonts w:ascii="Times New Roman" w:eastAsia="宋体" w:hAnsi="Times New Roman"/>
          <w:sz w:val="21"/>
          <w:szCs w:val="21"/>
        </w:rPr>
        <w:t>：</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cs="Times New Roman"/>
          <w:sz w:val="21"/>
          <w:szCs w:val="21"/>
        </w:rPr>
        <w:t>1</w:t>
      </w:r>
      <w:r>
        <w:rPr>
          <w:rFonts w:ascii="Times New Roman" w:eastAsia="宋体" w:hAnsi="Times New Roman" w:hint="eastAsia"/>
          <w:sz w:val="21"/>
          <w:szCs w:val="21"/>
        </w:rPr>
        <w:t>）制造、使用、进口专利药品或者医疗器械的目的只能是行政审批。其他目的，例如在获得行政审批时，囤积专利药品待专利过期后进行销售等，不能主张行政审批抗辩。如果制造、进口专利药品或医疗器械的数量远超过行政审批所需，或者在获得行政审批通过后，仍制造、使用、进口专利药品或医疗器械，不能主张行政审批抗辩。</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cs="Times New Roman" w:hint="eastAsia"/>
          <w:sz w:val="21"/>
          <w:szCs w:val="21"/>
        </w:rPr>
        <w:t>2</w:t>
      </w:r>
      <w:r>
        <w:rPr>
          <w:rFonts w:ascii="Times New Roman" w:eastAsia="宋体" w:hAnsi="Times New Roman" w:hint="eastAsia"/>
          <w:sz w:val="21"/>
          <w:szCs w:val="21"/>
        </w:rPr>
        <w:t>）为提供行政审批所需的信息，实施的药品专利不仅包括药品本身的专利，还包括药品的活性成分专利、药品的制备方法专利、药品活性成分的制备方法专利；实施的医疗器械专利不仅包括医疗器械本身的专利，还包括医疗器械专用零部件的专利和医疗器械使用方法的专利。</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cs="Times New Roman" w:hint="eastAsia"/>
          <w:sz w:val="21"/>
          <w:szCs w:val="21"/>
        </w:rPr>
        <w:t>3</w:t>
      </w:r>
      <w:r>
        <w:rPr>
          <w:rFonts w:ascii="Times New Roman" w:eastAsia="宋体" w:hAnsi="Times New Roman" w:hint="eastAsia"/>
          <w:sz w:val="21"/>
          <w:szCs w:val="21"/>
        </w:rPr>
        <w:t>）药品和医疗器械行政审批抗辩仅适用于制造、使用、进口三种行为，许诺销售和销售不适用行政审批抗辩。</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cs="Times New Roman" w:hint="eastAsia"/>
          <w:sz w:val="21"/>
          <w:szCs w:val="21"/>
        </w:rPr>
        <w:t>4</w:t>
      </w:r>
      <w:r>
        <w:rPr>
          <w:rFonts w:ascii="Times New Roman" w:eastAsia="宋体" w:hAnsi="Times New Roman" w:hint="eastAsia"/>
          <w:sz w:val="21"/>
          <w:szCs w:val="21"/>
        </w:rPr>
        <w:t>）提供行政审批，既包括向我国药品管理行政机关提供信息，也包括向外国药品管理行政机关提供信息。</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w:t>
      </w:r>
      <w:r>
        <w:rPr>
          <w:rFonts w:ascii="Times New Roman" w:hAnsi="Times New Roman" w:hint="eastAsia"/>
          <w:color w:val="000000"/>
          <w:lang w:val="en-US"/>
        </w:rPr>
        <w:t>八</w:t>
      </w:r>
      <w:r>
        <w:rPr>
          <w:rFonts w:ascii="Times New Roman" w:hAnsi="Times New Roman" w:hint="eastAsia"/>
          <w:color w:val="000000"/>
        </w:rPr>
        <w:t>）注意事项</w:t>
      </w:r>
    </w:p>
    <w:p w:rsidR="00800760" w:rsidRDefault="00235733">
      <w:pPr>
        <w:spacing w:before="240"/>
      </w:pPr>
      <w:r>
        <w:rPr>
          <w:rFonts w:hint="eastAsia"/>
        </w:rPr>
        <w:t>在专利侵权抗辩中，还存在一些特殊的侵权抗辩情形，如</w:t>
      </w:r>
      <w:r>
        <w:rPr>
          <w:rFonts w:hint="eastAsia"/>
          <w:color w:val="000000"/>
        </w:rPr>
        <w:t>中药专利的侵权抗辩、</w:t>
      </w:r>
      <w:r>
        <w:rPr>
          <w:rFonts w:hint="eastAsia"/>
          <w:color w:val="000000"/>
          <w:lang w:val="en-US"/>
        </w:rPr>
        <w:t>标准必要专利的侵权抗辩。以下就这两种侵权抗辩需要注意的事项进行说明。</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1.</w:t>
      </w:r>
      <w:r>
        <w:rPr>
          <w:rFonts w:ascii="Times New Roman" w:hAnsi="Times New Roman" w:hint="eastAsia"/>
          <w:color w:val="000000"/>
        </w:rPr>
        <w:t>中药专利侵权抗辩</w:t>
      </w:r>
    </w:p>
    <w:p w:rsidR="00800760" w:rsidRDefault="00235733">
      <w:pPr>
        <w:topLinePunct/>
        <w:rPr>
          <w:rFonts w:eastAsia="楷体_GB2312" w:cs="MingLiU_HKSCS"/>
          <w:color w:val="000000" w:themeColor="text1"/>
          <w:szCs w:val="21"/>
          <w:lang w:val="zh-CN"/>
        </w:rPr>
      </w:pPr>
      <w:r>
        <w:rPr>
          <w:rFonts w:cs="MingLiU_HKSCS" w:hint="eastAsia"/>
          <w:color w:val="000000" w:themeColor="text1"/>
          <w:szCs w:val="21"/>
          <w:lang w:val="zh-CN"/>
        </w:rPr>
        <w:t>被控侵权人有证据证明其实施的技术属于现有技术的，不构成侵权。在比对被诉侵权技术方案与现有技术时，应重点考虑药味种类、比例差别是否导致疗效差异等因素。</w:t>
      </w:r>
    </w:p>
    <w:p w:rsidR="00800760" w:rsidRDefault="00235733" w:rsidP="00C22A7B">
      <w:pPr>
        <w:keepNext/>
        <w:topLinePunct/>
        <w:spacing w:beforeLines="50"/>
        <w:rPr>
          <w:rFonts w:eastAsia="黑体" w:cs="MingLiU_HKSCS"/>
          <w:color w:val="000000" w:themeColor="text1"/>
          <w:szCs w:val="21"/>
          <w:lang w:val="zh-CN"/>
        </w:rPr>
      </w:pPr>
      <w:r>
        <w:rPr>
          <w:rFonts w:eastAsia="黑体" w:cs="MingLiU_HKSCS" w:hint="eastAsia"/>
          <w:color w:val="000000" w:themeColor="text1"/>
          <w:szCs w:val="21"/>
          <w:lang w:val="zh-CN"/>
        </w:rPr>
        <w:t>【案例</w:t>
      </w:r>
      <w:r>
        <w:rPr>
          <w:rFonts w:eastAsia="黑体" w:cs="MingLiU_HKSCS" w:hint="eastAsia"/>
          <w:color w:val="000000" w:themeColor="text1"/>
          <w:szCs w:val="21"/>
        </w:rPr>
        <w:t>3</w:t>
      </w:r>
      <w:r>
        <w:rPr>
          <w:rFonts w:eastAsia="黑体" w:cs="MingLiU_HKSCS"/>
          <w:color w:val="000000" w:themeColor="text1"/>
          <w:szCs w:val="21"/>
          <w:lang w:val="zh-CN"/>
        </w:rPr>
        <w:t>-</w:t>
      </w:r>
      <w:r>
        <w:rPr>
          <w:rFonts w:eastAsia="黑体" w:cs="MingLiU_HKSCS" w:hint="eastAsia"/>
          <w:color w:val="000000" w:themeColor="text1"/>
          <w:szCs w:val="21"/>
        </w:rPr>
        <w:t>4</w:t>
      </w:r>
      <w:r>
        <w:rPr>
          <w:rFonts w:eastAsia="黑体" w:cs="MingLiU_HKSCS"/>
          <w:color w:val="000000" w:themeColor="text1"/>
          <w:szCs w:val="21"/>
          <w:lang w:val="zh-CN"/>
        </w:rPr>
        <w:t>-</w:t>
      </w:r>
      <w:r>
        <w:rPr>
          <w:rFonts w:eastAsia="黑体" w:cs="MingLiU_HKSCS" w:hint="eastAsia"/>
          <w:color w:val="000000" w:themeColor="text1"/>
          <w:szCs w:val="21"/>
          <w:lang w:val="zh-CN"/>
        </w:rPr>
        <w:t>50</w:t>
      </w:r>
      <w:r>
        <w:rPr>
          <w:rFonts w:eastAsia="黑体" w:cs="MingLiU_HKSCS" w:hint="eastAsia"/>
          <w:color w:val="000000" w:themeColor="text1"/>
          <w:szCs w:val="21"/>
          <w:lang w:val="zh-CN"/>
        </w:rPr>
        <w:t>】</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某案，其授权公告的权利要求</w:t>
      </w:r>
      <w:r>
        <w:rPr>
          <w:rFonts w:eastAsia="楷体_GB2312" w:cs="MingLiU_HKSCS"/>
          <w:color w:val="000000" w:themeColor="text1"/>
          <w:szCs w:val="21"/>
          <w:lang w:val="zh-CN"/>
        </w:rPr>
        <w:t>1</w:t>
      </w:r>
      <w:r>
        <w:rPr>
          <w:rFonts w:eastAsia="楷体_GB2312" w:cs="MingLiU_HKSCS" w:hint="eastAsia"/>
          <w:color w:val="000000" w:themeColor="text1"/>
          <w:szCs w:val="21"/>
          <w:lang w:val="zh-CN"/>
        </w:rPr>
        <w:t>为</w:t>
      </w:r>
      <w:r>
        <w:rPr>
          <w:rFonts w:eastAsia="楷体_GB2312" w:cs="MingLiU_HKSCS"/>
          <w:color w:val="000000" w:themeColor="text1"/>
          <w:szCs w:val="21"/>
          <w:lang w:val="zh-CN"/>
        </w:rPr>
        <w:t>：</w:t>
      </w:r>
      <w:r>
        <w:rPr>
          <w:rFonts w:eastAsia="楷体_GB2312" w:cs="MingLiU_HKSCS" w:hint="eastAsia"/>
          <w:color w:val="000000" w:themeColor="text1"/>
          <w:szCs w:val="21"/>
          <w:lang w:val="zh-CN"/>
        </w:rPr>
        <w:t>“一种治疗头痛的药物，其特征是它由下列的原料制成的，各药味的重量配比如下：当归</w:t>
      </w:r>
      <w:r>
        <w:rPr>
          <w:rFonts w:eastAsia="楷体_GB2312" w:cs="MingLiU_HKSCS" w:hint="eastAsia"/>
          <w:color w:val="000000" w:themeColor="text1"/>
          <w:szCs w:val="21"/>
          <w:lang w:val="zh-CN"/>
        </w:rPr>
        <w:t>4</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9%</w:t>
      </w:r>
      <w:r>
        <w:rPr>
          <w:rFonts w:eastAsia="楷体_GB2312" w:cs="MingLiU_HKSCS" w:hint="eastAsia"/>
          <w:color w:val="000000" w:themeColor="text1"/>
          <w:szCs w:val="21"/>
          <w:lang w:val="zh-CN"/>
        </w:rPr>
        <w:t>，川芎</w:t>
      </w:r>
      <w:r>
        <w:rPr>
          <w:rFonts w:eastAsia="楷体_GB2312" w:cs="MingLiU_HKSCS" w:hint="eastAsia"/>
          <w:color w:val="000000" w:themeColor="text1"/>
          <w:szCs w:val="21"/>
          <w:lang w:val="zh-CN"/>
        </w:rPr>
        <w:t>4</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9</w:t>
      </w:r>
      <w:r>
        <w:rPr>
          <w:rFonts w:eastAsia="楷体_GB2312" w:cs="MingLiU_HKSCS" w:hint="eastAsia"/>
          <w:color w:val="000000" w:themeColor="text1"/>
          <w:szCs w:val="21"/>
          <w:lang w:val="zh-CN"/>
        </w:rPr>
        <w:t>％，白芍</w:t>
      </w:r>
      <w:r>
        <w:rPr>
          <w:rFonts w:eastAsia="楷体_GB2312" w:cs="MingLiU_HKSCS" w:hint="eastAsia"/>
          <w:color w:val="000000" w:themeColor="text1"/>
          <w:szCs w:val="21"/>
          <w:lang w:val="zh-CN"/>
        </w:rPr>
        <w:t>2</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8</w:t>
      </w:r>
      <w:r>
        <w:rPr>
          <w:rFonts w:eastAsia="楷体_GB2312" w:cs="MingLiU_HKSCS" w:hint="eastAsia"/>
          <w:color w:val="000000" w:themeColor="text1"/>
          <w:szCs w:val="21"/>
          <w:lang w:val="zh-CN"/>
        </w:rPr>
        <w:t>％，熟地</w:t>
      </w:r>
      <w:r>
        <w:rPr>
          <w:rFonts w:eastAsia="楷体_GB2312" w:cs="MingLiU_HKSCS" w:hint="eastAsia"/>
          <w:color w:val="000000" w:themeColor="text1"/>
          <w:szCs w:val="21"/>
          <w:lang w:val="zh-CN"/>
        </w:rPr>
        <w:t>2</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8</w:t>
      </w:r>
      <w:r>
        <w:rPr>
          <w:rFonts w:eastAsia="楷体_GB2312" w:cs="MingLiU_HKSCS" w:hint="eastAsia"/>
          <w:color w:val="000000" w:themeColor="text1"/>
          <w:szCs w:val="21"/>
          <w:lang w:val="zh-CN"/>
        </w:rPr>
        <w:t>％，勾藤</w:t>
      </w:r>
      <w:r>
        <w:rPr>
          <w:rFonts w:eastAsia="楷体_GB2312" w:cs="MingLiU_HKSCS" w:hint="eastAsia"/>
          <w:color w:val="000000" w:themeColor="text1"/>
          <w:szCs w:val="21"/>
          <w:lang w:val="zh-CN"/>
        </w:rPr>
        <w:t>10</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15</w:t>
      </w:r>
      <w:r>
        <w:rPr>
          <w:rFonts w:eastAsia="楷体_GB2312" w:cs="MingLiU_HKSCS" w:hint="eastAsia"/>
          <w:color w:val="000000" w:themeColor="text1"/>
          <w:szCs w:val="21"/>
          <w:lang w:val="zh-CN"/>
        </w:rPr>
        <w:t>％，鸡血藤</w:t>
      </w:r>
      <w:r>
        <w:rPr>
          <w:rFonts w:eastAsia="楷体_GB2312" w:cs="MingLiU_HKSCS" w:hint="eastAsia"/>
          <w:color w:val="000000" w:themeColor="text1"/>
          <w:szCs w:val="21"/>
          <w:lang w:val="zh-CN"/>
        </w:rPr>
        <w:t>10</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15</w:t>
      </w:r>
      <w:r>
        <w:rPr>
          <w:rFonts w:eastAsia="楷体_GB2312" w:cs="MingLiU_HKSCS" w:hint="eastAsia"/>
          <w:color w:val="000000" w:themeColor="text1"/>
          <w:szCs w:val="21"/>
          <w:lang w:val="zh-CN"/>
        </w:rPr>
        <w:t>％，夏枯草</w:t>
      </w:r>
      <w:r>
        <w:rPr>
          <w:rFonts w:eastAsia="楷体_GB2312" w:cs="MingLiU_HKSCS" w:hint="eastAsia"/>
          <w:color w:val="000000" w:themeColor="text1"/>
          <w:szCs w:val="21"/>
          <w:lang w:val="zh-CN"/>
        </w:rPr>
        <w:t>10</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15</w:t>
      </w:r>
      <w:r>
        <w:rPr>
          <w:rFonts w:eastAsia="楷体_GB2312" w:cs="MingLiU_HKSCS" w:hint="eastAsia"/>
          <w:color w:val="000000" w:themeColor="text1"/>
          <w:szCs w:val="21"/>
          <w:lang w:val="zh-CN"/>
        </w:rPr>
        <w:t>％，决明子</w:t>
      </w:r>
      <w:r>
        <w:rPr>
          <w:rFonts w:eastAsia="楷体_GB2312" w:cs="MingLiU_HKSCS" w:hint="eastAsia"/>
          <w:color w:val="000000" w:themeColor="text1"/>
          <w:szCs w:val="21"/>
          <w:lang w:val="zh-CN"/>
        </w:rPr>
        <w:t>10</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15</w:t>
      </w:r>
      <w:r>
        <w:rPr>
          <w:rFonts w:eastAsia="楷体_GB2312" w:cs="MingLiU_HKSCS" w:hint="eastAsia"/>
          <w:color w:val="000000" w:themeColor="text1"/>
          <w:szCs w:val="21"/>
          <w:lang w:val="zh-CN"/>
        </w:rPr>
        <w:t>％，珍珠母</w:t>
      </w:r>
      <w:r>
        <w:rPr>
          <w:rFonts w:eastAsia="楷体_GB2312" w:cs="MingLiU_HKSCS" w:hint="eastAsia"/>
          <w:color w:val="000000" w:themeColor="text1"/>
          <w:szCs w:val="21"/>
          <w:lang w:val="zh-CN"/>
        </w:rPr>
        <w:t>10</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15</w:t>
      </w:r>
      <w:r>
        <w:rPr>
          <w:rFonts w:eastAsia="楷体_GB2312" w:cs="MingLiU_HKSCS" w:hint="eastAsia"/>
          <w:color w:val="000000" w:themeColor="text1"/>
          <w:szCs w:val="21"/>
          <w:lang w:val="zh-CN"/>
        </w:rPr>
        <w:t>％，元胡</w:t>
      </w:r>
      <w:r>
        <w:rPr>
          <w:rFonts w:eastAsia="楷体_GB2312" w:cs="MingLiU_HKSCS" w:hint="eastAsia"/>
          <w:color w:val="000000" w:themeColor="text1"/>
          <w:szCs w:val="21"/>
          <w:lang w:val="zh-CN"/>
        </w:rPr>
        <w:t>4</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9</w:t>
      </w:r>
      <w:r>
        <w:rPr>
          <w:rFonts w:eastAsia="楷体_GB2312" w:cs="MingLiU_HKSCS" w:hint="eastAsia"/>
          <w:color w:val="000000" w:themeColor="text1"/>
          <w:szCs w:val="21"/>
          <w:lang w:val="zh-CN"/>
        </w:rPr>
        <w:t>％，细辛</w:t>
      </w:r>
      <w:r>
        <w:rPr>
          <w:rFonts w:eastAsia="楷体_GB2312" w:cs="MingLiU_HKSCS" w:hint="eastAsia"/>
          <w:color w:val="000000" w:themeColor="text1"/>
          <w:szCs w:val="21"/>
          <w:lang w:val="zh-CN"/>
        </w:rPr>
        <w:t>0.5</w:t>
      </w:r>
      <w:r>
        <w:rPr>
          <w:rFonts w:eastAsia="楷体_GB2312" w:cs="MingLiU_HKSCS" w:hint="eastAsia"/>
          <w:color w:val="000000" w:themeColor="text1"/>
          <w:szCs w:val="21"/>
          <w:lang w:val="zh-CN"/>
        </w:rPr>
        <w:t>～</w:t>
      </w:r>
      <w:r>
        <w:rPr>
          <w:rFonts w:eastAsia="楷体_GB2312" w:cs="MingLiU_HKSCS" w:hint="eastAsia"/>
          <w:color w:val="000000" w:themeColor="text1"/>
          <w:szCs w:val="21"/>
          <w:lang w:val="zh-CN"/>
        </w:rPr>
        <w:t>2</w:t>
      </w:r>
      <w:r>
        <w:rPr>
          <w:rFonts w:eastAsia="楷体_GB2312" w:cs="MingLiU_HKSCS" w:hint="eastAsia"/>
          <w:color w:val="000000" w:themeColor="text1"/>
          <w:szCs w:val="21"/>
          <w:lang w:val="zh-CN"/>
        </w:rPr>
        <w:t>％。”涉案专利为专利权人公司主要产品“养血清脑颗粒”的配方，该配方与现有技术公开的“头痛</w:t>
      </w:r>
      <w:r>
        <w:rPr>
          <w:rFonts w:eastAsia="楷体_GB2312" w:cs="MingLiU_HKSCS" w:hint="eastAsia"/>
          <w:color w:val="000000" w:themeColor="text1"/>
          <w:szCs w:val="21"/>
          <w:lang w:val="zh-CN"/>
        </w:rPr>
        <w:t>II</w:t>
      </w:r>
      <w:r>
        <w:rPr>
          <w:rFonts w:eastAsia="楷体_GB2312" w:cs="MingLiU_HKSCS" w:hint="eastAsia"/>
          <w:color w:val="000000" w:themeColor="text1"/>
          <w:szCs w:val="21"/>
          <w:lang w:val="zh-CN"/>
        </w:rPr>
        <w:t>”配方组成相同，但是用量配比不同。被控侵权产品</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为一种养血清脑颗粒，与涉案专利配方的组分和用量配比完全相同。</w:t>
      </w:r>
    </w:p>
    <w:p w:rsidR="00800760" w:rsidRDefault="00235733">
      <w:pPr>
        <w:topLinePunct/>
        <w:rPr>
          <w:rFonts w:eastAsia="华文隶书" w:cs="MingLiU_HKSCS"/>
          <w:color w:val="000000" w:themeColor="text1"/>
          <w:szCs w:val="21"/>
          <w:lang w:val="zh-CN"/>
        </w:rPr>
      </w:pPr>
      <w:r>
        <w:rPr>
          <w:rFonts w:eastAsia="华文隶书" w:cs="MingLiU_HKSCS" w:hint="eastAsia"/>
          <w:color w:val="000000" w:themeColor="text1"/>
          <w:szCs w:val="21"/>
          <w:lang w:val="zh-CN"/>
        </w:rPr>
        <w:t>分析与评述：</w:t>
      </w:r>
    </w:p>
    <w:p w:rsidR="00800760" w:rsidRDefault="00235733">
      <w:pPr>
        <w:topLinePunct/>
        <w:rPr>
          <w:szCs w:val="21"/>
        </w:rPr>
      </w:pPr>
      <w:r>
        <w:rPr>
          <w:rFonts w:eastAsia="楷体_GB2312" w:cs="MingLiU_HKSCS" w:hint="eastAsia"/>
          <w:color w:val="000000" w:themeColor="text1"/>
          <w:szCs w:val="21"/>
          <w:lang w:val="zh-CN"/>
        </w:rPr>
        <w:t>本案争议焦点在于涉案专利技术方案与现有技术“头痛</w:t>
      </w:r>
      <w:r>
        <w:rPr>
          <w:rFonts w:eastAsia="楷体_GB2312" w:cs="MingLiU_HKSCS" w:hint="eastAsia"/>
          <w:color w:val="000000" w:themeColor="text1"/>
          <w:szCs w:val="21"/>
          <w:lang w:val="zh-CN"/>
        </w:rPr>
        <w:t>II</w:t>
      </w:r>
      <w:r>
        <w:rPr>
          <w:rFonts w:eastAsia="楷体_GB2312" w:cs="MingLiU_HKSCS" w:hint="eastAsia"/>
          <w:color w:val="000000" w:themeColor="text1"/>
          <w:szCs w:val="21"/>
          <w:lang w:val="zh-CN"/>
        </w:rPr>
        <w:t>”配方是否等同。由于专利权人提交了实验证据证明涉案专利配方中的“君药”当归和川芎用量的改变直接导致功效发生变化，即涉案专利配方与现有技术配方在功效上存在实质性差别，因此专利中药配方不属于与现有技术等同的技术方案。</w:t>
      </w:r>
    </w:p>
    <w:p w:rsidR="00800760" w:rsidRDefault="00235733">
      <w:pPr>
        <w:pStyle w:val="4"/>
        <w:spacing w:before="240"/>
        <w:ind w:firstLine="444"/>
        <w:rPr>
          <w:color w:val="000000"/>
          <w:lang w:val="en-US"/>
        </w:rPr>
      </w:pPr>
      <w:r>
        <w:rPr>
          <w:rFonts w:ascii="Times New Roman" w:hAnsi="Times New Roman" w:hint="eastAsia"/>
          <w:color w:val="000000"/>
        </w:rPr>
        <w:t xml:space="preserve">2. </w:t>
      </w:r>
      <w:r>
        <w:rPr>
          <w:rFonts w:ascii="Times New Roman" w:hAnsi="Times New Roman" w:hint="eastAsia"/>
          <w:color w:val="000000"/>
          <w:lang w:val="en-US"/>
        </w:rPr>
        <w:t>标准必要专利的侵权抗辩</w:t>
      </w:r>
    </w:p>
    <w:p w:rsidR="00800760" w:rsidRDefault="00235733">
      <w:pPr>
        <w:rPr>
          <w:lang w:val="en-US"/>
        </w:rPr>
      </w:pPr>
      <w:r>
        <w:rPr>
          <w:lang w:val="en-US"/>
        </w:rPr>
        <w:t>标准必要专利，是指实施标准必不可少的专利。标准必要专利具有不可或缺性，即在实施相关标准时，无法避免地使用到这些专利。在</w:t>
      </w:r>
      <w:r>
        <w:rPr>
          <w:rFonts w:hint="eastAsia"/>
          <w:lang w:val="en-US"/>
        </w:rPr>
        <w:t>进行</w:t>
      </w:r>
      <w:r>
        <w:rPr>
          <w:lang w:val="en-US"/>
        </w:rPr>
        <w:t>标准必要专利的侵权</w:t>
      </w:r>
      <w:r>
        <w:rPr>
          <w:rFonts w:hint="eastAsia"/>
          <w:lang w:val="en-US"/>
        </w:rPr>
        <w:t>判定</w:t>
      </w:r>
      <w:r>
        <w:rPr>
          <w:lang w:val="en-US"/>
        </w:rPr>
        <w:t>时，应充分考虑其特殊性，即专利的不可或缺性和对标准实施的必要性。</w:t>
      </w:r>
    </w:p>
    <w:p w:rsidR="00800760" w:rsidRDefault="00235733">
      <w:pPr>
        <w:rPr>
          <w:lang w:val="en-US"/>
        </w:rPr>
      </w:pPr>
      <w:r>
        <w:rPr>
          <w:rFonts w:hint="eastAsia"/>
          <w:lang w:val="en-US"/>
        </w:rPr>
        <w:t>标准必要专利在技术标准制定过程中被纳入标准体系，其专利权人通常需向标准制定组织承诺以公平、合理、无歧视（</w:t>
      </w:r>
      <w:r>
        <w:rPr>
          <w:rFonts w:hint="eastAsia"/>
          <w:lang w:val="en-US"/>
        </w:rPr>
        <w:t>FRAND</w:t>
      </w:r>
      <w:r>
        <w:rPr>
          <w:rFonts w:hint="eastAsia"/>
          <w:lang w:val="en-US"/>
        </w:rPr>
        <w:t>）原则许可他人实施该专利。这种制度设计既保障了专利权人的合法权益，又避免了专利权滥用对技术推广和市场竞争造成的阻碍。标准实施方在采用相关技术标准时，需通过协商或法定程序获取专利许可，否则可能构成侵权行为。</w:t>
      </w:r>
    </w:p>
    <w:p w:rsidR="00800760" w:rsidRDefault="00235733">
      <w:pPr>
        <w:rPr>
          <w:lang w:val="en-US"/>
        </w:rPr>
      </w:pPr>
      <w:r>
        <w:rPr>
          <w:rFonts w:hint="eastAsia"/>
          <w:lang w:val="en-US"/>
        </w:rPr>
        <w:t>涉及</w:t>
      </w:r>
      <w:r>
        <w:rPr>
          <w:rFonts w:hint="eastAsia"/>
          <w:color w:val="000000"/>
          <w:lang w:val="en-US"/>
        </w:rPr>
        <w:t>标准必要专利的侵权抗辩参照《涉标准必要专利行政调解和裁决指引（试行）》中的相关规定执行。</w:t>
      </w:r>
    </w:p>
    <w:p w:rsidR="00800760" w:rsidRDefault="00235733" w:rsidP="00C22A7B">
      <w:pPr>
        <w:keepNext/>
        <w:spacing w:beforeLines="50"/>
        <w:rPr>
          <w:rFonts w:eastAsia="黑体" w:cs="MingLiU_HKSCS"/>
          <w:color w:val="000000" w:themeColor="text1"/>
          <w:szCs w:val="21"/>
          <w:lang w:val="zh-CN"/>
        </w:rPr>
      </w:pPr>
      <w:r>
        <w:rPr>
          <w:rFonts w:eastAsia="黑体" w:cs="MingLiU_HKSCS" w:hint="eastAsia"/>
          <w:color w:val="000000" w:themeColor="text1"/>
          <w:szCs w:val="21"/>
          <w:lang w:val="zh-CN"/>
        </w:rPr>
        <w:t>【案例</w:t>
      </w:r>
      <w:r>
        <w:rPr>
          <w:rFonts w:eastAsia="黑体" w:cs="MingLiU_HKSCS" w:hint="eastAsia"/>
          <w:color w:val="000000" w:themeColor="text1"/>
          <w:szCs w:val="21"/>
        </w:rPr>
        <w:t>3</w:t>
      </w:r>
      <w:r>
        <w:rPr>
          <w:rFonts w:eastAsia="黑体" w:cs="MingLiU_HKSCS"/>
          <w:color w:val="000000" w:themeColor="text1"/>
          <w:szCs w:val="21"/>
          <w:lang w:val="zh-CN"/>
        </w:rPr>
        <w:t>-</w:t>
      </w:r>
      <w:r>
        <w:rPr>
          <w:rFonts w:eastAsia="黑体" w:cs="MingLiU_HKSCS" w:hint="eastAsia"/>
          <w:color w:val="000000" w:themeColor="text1"/>
          <w:szCs w:val="21"/>
        </w:rPr>
        <w:t>4</w:t>
      </w:r>
      <w:r>
        <w:rPr>
          <w:rFonts w:eastAsia="黑体" w:cs="MingLiU_HKSCS"/>
          <w:color w:val="000000" w:themeColor="text1"/>
          <w:szCs w:val="21"/>
          <w:lang w:val="zh-CN"/>
        </w:rPr>
        <w:t>-</w:t>
      </w:r>
      <w:r>
        <w:rPr>
          <w:rFonts w:eastAsia="黑体" w:cs="MingLiU_HKSCS" w:hint="eastAsia"/>
          <w:color w:val="000000" w:themeColor="text1"/>
          <w:szCs w:val="21"/>
          <w:lang w:val="zh-CN"/>
        </w:rPr>
        <w:t>51</w:t>
      </w:r>
      <w:r>
        <w:rPr>
          <w:rFonts w:eastAsia="黑体" w:cs="MingLiU_HKSCS" w:hint="eastAsia"/>
          <w:color w:val="000000" w:themeColor="text1"/>
          <w:szCs w:val="21"/>
          <w:lang w:val="zh-CN"/>
        </w:rPr>
        <w:t>】</w:t>
      </w:r>
    </w:p>
    <w:p w:rsidR="00800760" w:rsidRDefault="00235733">
      <w:pPr>
        <w:topLinePunct/>
        <w:rPr>
          <w:rFonts w:eastAsia="楷体_GB2312" w:cs="MingLiU_HKSCS"/>
          <w:color w:val="000000" w:themeColor="text1"/>
          <w:szCs w:val="21"/>
          <w:lang w:val="zh-CN"/>
        </w:rPr>
      </w:pPr>
      <w:r>
        <w:rPr>
          <w:rFonts w:eastAsia="楷体_GB2312" w:cs="MingLiU_HKSCS" w:hint="eastAsia"/>
          <w:color w:val="000000" w:themeColor="text1"/>
          <w:szCs w:val="21"/>
          <w:lang w:val="zh-CN"/>
        </w:rPr>
        <w:t>某通信企业参与</w:t>
      </w:r>
      <w:r>
        <w:rPr>
          <w:rFonts w:eastAsia="楷体_GB2312" w:cs="MingLiU_HKSCS" w:hint="eastAsia"/>
          <w:color w:val="000000" w:themeColor="text1"/>
          <w:szCs w:val="21"/>
          <w:lang w:val="zh-CN"/>
        </w:rPr>
        <w:t>3GPP</w:t>
      </w:r>
      <w:r>
        <w:rPr>
          <w:rFonts w:eastAsia="楷体_GB2312" w:cs="MingLiU_HKSCS" w:hint="eastAsia"/>
          <w:color w:val="000000" w:themeColor="text1"/>
          <w:szCs w:val="21"/>
          <w:lang w:val="zh-CN"/>
        </w:rPr>
        <w:t>移动通信标准制定期间，根据标准组织知识产权政策，声明其发明专利为标准必要专利，并承诺遵循公平、合理、无歧视（</w:t>
      </w:r>
      <w:r>
        <w:rPr>
          <w:rFonts w:eastAsia="楷体_GB2312" w:cs="MingLiU_HKSCS" w:hint="eastAsia"/>
          <w:color w:val="000000" w:themeColor="text1"/>
          <w:szCs w:val="21"/>
          <w:lang w:val="zh-CN"/>
        </w:rPr>
        <w:t>FRAND</w:t>
      </w:r>
      <w:r>
        <w:rPr>
          <w:rFonts w:eastAsia="楷体_GB2312" w:cs="MingLiU_HKSCS" w:hint="eastAsia"/>
          <w:color w:val="000000" w:themeColor="text1"/>
          <w:szCs w:val="21"/>
          <w:lang w:val="zh-CN"/>
        </w:rPr>
        <w:t>）原则进行许可。该专利涉及标准中必选的发送控制信令装置，实施该标准不可避免将落入专利保护范围。</w:t>
      </w:r>
      <w:r>
        <w:rPr>
          <w:rFonts w:eastAsia="楷体_GB2312" w:cs="MingLiU_HKSCS" w:hint="eastAsia"/>
          <w:color w:val="000000" w:themeColor="text1"/>
          <w:szCs w:val="21"/>
          <w:lang w:val="zh-CN"/>
        </w:rPr>
        <w:t>A</w:t>
      </w:r>
      <w:r>
        <w:rPr>
          <w:rFonts w:eastAsia="楷体_GB2312" w:cs="MingLiU_HKSCS" w:hint="eastAsia"/>
          <w:color w:val="000000" w:themeColor="text1"/>
          <w:szCs w:val="21"/>
          <w:lang w:val="zh-CN"/>
        </w:rPr>
        <w:t>公司未经专利权人许可，以生产经营为目的制造、销售采用该技术方案的装置，并主张，其使用该专利是执行国际通信标准的必要行为，不构成专利侵权；专利权人专利权人在标准制定中明知专利将被纳入标准而未拒绝，应视为默示许可。</w:t>
      </w:r>
    </w:p>
    <w:p w:rsidR="00800760" w:rsidRDefault="00235733">
      <w:pPr>
        <w:topLinePunct/>
        <w:rPr>
          <w:rFonts w:eastAsia="华文隶书" w:cs="MingLiU_HKSCS"/>
          <w:color w:val="000000" w:themeColor="text1"/>
          <w:szCs w:val="21"/>
          <w:lang w:val="zh-CN"/>
        </w:rPr>
      </w:pPr>
      <w:r>
        <w:rPr>
          <w:rFonts w:eastAsia="华文隶书" w:cs="MingLiU_HKSCS" w:hint="eastAsia"/>
          <w:color w:val="000000" w:themeColor="text1"/>
          <w:szCs w:val="21"/>
          <w:lang w:val="zh-CN"/>
        </w:rPr>
        <w:t>分析与评述：</w:t>
      </w:r>
    </w:p>
    <w:p w:rsidR="00800760" w:rsidRDefault="00235733" w:rsidP="000B2495">
      <w:pPr>
        <w:topLinePunct/>
      </w:pPr>
      <w:r>
        <w:rPr>
          <w:rFonts w:eastAsia="楷体_GB2312" w:cs="MingLiU_HKSCS" w:hint="eastAsia"/>
          <w:color w:val="000000" w:themeColor="text1"/>
          <w:szCs w:val="21"/>
          <w:lang w:val="zh-CN"/>
        </w:rPr>
        <w:t>将专利技术转化成国际标准并不意味着专利技术进入公有领域，允许他人可以未经许可自由使用。被请求人虽然是按照国际标准制造和销售该装置，但其实施专利的行为没有经得专利权人的许可，构成侵犯专利权。</w:t>
      </w:r>
    </w:p>
    <w:p w:rsidR="00800760" w:rsidRDefault="00235733">
      <w:pPr>
        <w:pStyle w:val="2"/>
        <w:ind w:firstLineChars="0" w:firstLine="0"/>
        <w:rPr>
          <w:rFonts w:ascii="Times New Roman" w:hAnsi="Times New Roman"/>
          <w:color w:val="000000"/>
        </w:rPr>
      </w:pPr>
      <w:bookmarkStart w:id="1959" w:name="_Toc5563"/>
      <w:bookmarkStart w:id="1960" w:name="_Toc30247"/>
      <w:bookmarkStart w:id="1961" w:name="_Toc27351"/>
      <w:bookmarkStart w:id="1962" w:name="_Toc4496"/>
      <w:bookmarkStart w:id="1963" w:name="_Toc28983"/>
      <w:bookmarkStart w:id="1964" w:name="_Toc15784"/>
      <w:bookmarkStart w:id="1965" w:name="_Toc28193"/>
      <w:bookmarkStart w:id="1966" w:name="_Toc5249"/>
      <w:bookmarkStart w:id="1967" w:name="_Toc19949"/>
      <w:bookmarkStart w:id="1968" w:name="_Toc6950"/>
      <w:bookmarkStart w:id="1969" w:name="_Toc9163"/>
      <w:bookmarkStart w:id="1970" w:name="_Toc24843"/>
      <w:bookmarkStart w:id="1971" w:name="_Toc26794"/>
      <w:bookmarkStart w:id="1972" w:name="_Toc4907"/>
      <w:bookmarkStart w:id="1973" w:name="_Toc16431"/>
      <w:bookmarkStart w:id="1974" w:name="_Toc28593374"/>
      <w:bookmarkStart w:id="1975" w:name="_Toc17589"/>
      <w:bookmarkStart w:id="1976" w:name="_Toc8189"/>
      <w:bookmarkStart w:id="1977" w:name="_Toc9950"/>
      <w:bookmarkStart w:id="1978" w:name="_Toc32443"/>
      <w:bookmarkStart w:id="1979" w:name="_Toc6849"/>
      <w:bookmarkStart w:id="1980" w:name="_Toc28908"/>
      <w:bookmarkStart w:id="1981" w:name="_Toc3471"/>
      <w:bookmarkStart w:id="1982" w:name="_Toc22446"/>
      <w:bookmarkStart w:id="1983" w:name="_Toc16922"/>
      <w:bookmarkStart w:id="1984" w:name="_Toc22333"/>
      <w:bookmarkStart w:id="1985" w:name="_Toc21024"/>
      <w:bookmarkStart w:id="1986" w:name="_Toc26516"/>
      <w:bookmarkStart w:id="1987" w:name="_Toc25545"/>
      <w:bookmarkStart w:id="1988" w:name="_Toc21378"/>
      <w:bookmarkStart w:id="1989" w:name="_Toc17743"/>
      <w:bookmarkStart w:id="1990" w:name="_Toc4374"/>
      <w:bookmarkStart w:id="1991" w:name="_Toc2618"/>
      <w:bookmarkStart w:id="1992" w:name="_Toc229114375"/>
      <w:bookmarkStart w:id="1993" w:name="_Toc7882"/>
      <w:bookmarkStart w:id="1994" w:name="_Toc17288"/>
      <w:bookmarkStart w:id="1995" w:name="_Toc19774"/>
      <w:bookmarkStart w:id="1996" w:name="_Toc4027"/>
      <w:bookmarkStart w:id="1997" w:name="_Toc1502"/>
      <w:bookmarkStart w:id="1998" w:name="_Toc22148"/>
      <w:bookmarkStart w:id="1999" w:name="_Toc28691"/>
      <w:bookmarkStart w:id="2000" w:name="_Toc4965"/>
      <w:bookmarkStart w:id="2001" w:name="_Toc28769"/>
      <w:bookmarkStart w:id="2002" w:name="_Toc217908630"/>
      <w:bookmarkStart w:id="2003" w:name="_Toc9979"/>
      <w:bookmarkStart w:id="2004" w:name="_Toc229225471"/>
      <w:bookmarkStart w:id="2005" w:name="OLE_LINK1"/>
      <w:r>
        <w:rPr>
          <w:rFonts w:ascii="Times New Roman" w:hAnsi="Times New Roman" w:hint="eastAsia"/>
          <w:color w:val="000000"/>
        </w:rPr>
        <w:t>第</w:t>
      </w:r>
      <w:r>
        <w:rPr>
          <w:rFonts w:ascii="Times New Roman" w:hAnsi="Times New Roman" w:hint="eastAsia"/>
          <w:color w:val="000000"/>
          <w:lang w:val="en-US"/>
        </w:rPr>
        <w:t>五</w:t>
      </w:r>
      <w:r>
        <w:rPr>
          <w:rFonts w:ascii="Times New Roman" w:hAnsi="Times New Roman" w:hint="eastAsia"/>
          <w:color w:val="000000"/>
        </w:rPr>
        <w:t>节　外观设计专利侵权判定</w:t>
      </w:r>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p>
    <w:bookmarkEnd w:id="2005"/>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根据《专利法》第二条第四款的规定，外观设计是指对产品的整体或者局部的形状、图案或者其结合以及色彩与形状、图案的结合所作出的富有美感并适于工业应用的新设计。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在判定被控侵权产品是否侵犯外观设计专利权时，首先要对专利保护范围进行确定，然后再判断被控侵权产品外观设计是否落入专利权的保护范围。在此过程中，还要考虑被控侵权人的抗辩理由。</w:t>
      </w:r>
    </w:p>
    <w:p w:rsidR="00800760" w:rsidRDefault="00235733">
      <w:pPr>
        <w:pStyle w:val="3"/>
        <w:spacing w:before="240"/>
        <w:ind w:firstLine="444"/>
        <w:rPr>
          <w:rFonts w:ascii="Times New Roman" w:hAnsi="Times New Roman"/>
          <w:color w:val="000000"/>
        </w:rPr>
      </w:pPr>
      <w:bookmarkStart w:id="2006" w:name="_Toc8975"/>
      <w:bookmarkStart w:id="2007" w:name="_Toc10821"/>
      <w:bookmarkStart w:id="2008" w:name="_Toc9485"/>
      <w:bookmarkStart w:id="2009" w:name="_Toc20638"/>
      <w:bookmarkStart w:id="2010" w:name="_Toc17205"/>
      <w:bookmarkStart w:id="2011" w:name="_Toc24552"/>
      <w:bookmarkStart w:id="2012" w:name="_Toc1413"/>
      <w:bookmarkStart w:id="2013" w:name="_Toc3330"/>
      <w:bookmarkStart w:id="2014" w:name="_Toc3455"/>
      <w:bookmarkStart w:id="2015" w:name="_Toc29334"/>
      <w:bookmarkStart w:id="2016" w:name="_Toc21271"/>
      <w:bookmarkStart w:id="2017" w:name="_Toc15822"/>
      <w:bookmarkStart w:id="2018" w:name="_Toc13919"/>
      <w:bookmarkStart w:id="2019" w:name="_Toc23822"/>
      <w:bookmarkStart w:id="2020" w:name="_Toc12987"/>
      <w:bookmarkStart w:id="2021" w:name="_Toc15459"/>
      <w:bookmarkStart w:id="2022" w:name="_Toc31003"/>
      <w:bookmarkStart w:id="2023" w:name="_Toc2148"/>
      <w:bookmarkStart w:id="2024" w:name="_Toc9455"/>
      <w:bookmarkStart w:id="2025" w:name="_Toc4274"/>
      <w:bookmarkStart w:id="2026" w:name="_Toc21851"/>
      <w:bookmarkStart w:id="2027" w:name="_Toc13158"/>
      <w:bookmarkStart w:id="2028" w:name="_Toc19005"/>
      <w:bookmarkStart w:id="2029" w:name="_Toc229114376"/>
      <w:bookmarkStart w:id="2030" w:name="_Toc21458"/>
      <w:bookmarkStart w:id="2031" w:name="_Toc24841"/>
      <w:bookmarkStart w:id="2032" w:name="_Toc15427"/>
      <w:bookmarkStart w:id="2033" w:name="_Toc5111"/>
      <w:bookmarkStart w:id="2034" w:name="_Toc20033"/>
      <w:bookmarkStart w:id="2035" w:name="_Toc217908631"/>
      <w:bookmarkStart w:id="2036" w:name="_Toc7637"/>
      <w:bookmarkStart w:id="2037" w:name="_Toc21449"/>
      <w:bookmarkStart w:id="2038" w:name="_Toc360"/>
      <w:bookmarkStart w:id="2039" w:name="_Toc15111"/>
      <w:bookmarkStart w:id="2040" w:name="_Toc19961"/>
      <w:bookmarkStart w:id="2041" w:name="_Toc6370"/>
      <w:bookmarkStart w:id="2042" w:name="_Toc17455"/>
      <w:bookmarkStart w:id="2043" w:name="_Toc11941"/>
      <w:bookmarkStart w:id="2044" w:name="_Toc23625"/>
      <w:bookmarkStart w:id="2045" w:name="_Toc7764"/>
      <w:bookmarkStart w:id="2046" w:name="_Toc32270"/>
      <w:bookmarkStart w:id="2047" w:name="_Toc9932"/>
      <w:bookmarkStart w:id="2048" w:name="_Toc9564"/>
      <w:bookmarkStart w:id="2049" w:name="_Toc27644"/>
      <w:bookmarkStart w:id="2050" w:name="_Toc28593375"/>
      <w:bookmarkStart w:id="2051" w:name="_Toc229225472"/>
      <w:r>
        <w:rPr>
          <w:rFonts w:ascii="Times New Roman" w:hAnsi="Times New Roman" w:hint="eastAsia"/>
          <w:color w:val="000000"/>
        </w:rPr>
        <w:t>一、外观设计专利权保护范围的确定</w:t>
      </w:r>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《专利法》第六十四条第二款规定，外观设计专利权的保护范围以表示在图片或者照片中的该产品的外观设计为准，简要说明可以用于解释图片或者照片所表示的该产品的外观设计。</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bookmarkStart w:id="2052" w:name="_Toc28593376"/>
      <w:r w:rsidR="00235733">
        <w:rPr>
          <w:rFonts w:ascii="Times New Roman" w:hAnsi="Times New Roman" w:hint="eastAsia"/>
          <w:color w:val="000000"/>
          <w:lang w:val="en-US"/>
        </w:rPr>
        <w:t>（一）</w:t>
      </w:r>
      <w:r>
        <w:rPr>
          <w:rFonts w:ascii="Times New Roman" w:hAnsi="Times New Roman"/>
          <w:color w:val="000000"/>
        </w:rPr>
        <w:fldChar w:fldCharType="end"/>
      </w:r>
      <w:r w:rsidR="00235733">
        <w:rPr>
          <w:rFonts w:ascii="Times New Roman" w:hAnsi="Times New Roman" w:hint="eastAsia"/>
          <w:color w:val="000000"/>
        </w:rPr>
        <w:t>基本概念</w:t>
      </w:r>
      <w:bookmarkEnd w:id="2052"/>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确定外观设计专利权保护范围时会涉及外观设计专利的一些基本概念。</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2053" w:name="_Toc28593377"/>
      <w:r w:rsidR="00235733">
        <w:rPr>
          <w:rFonts w:hint="eastAsia"/>
          <w:color w:val="000000"/>
        </w:rPr>
        <w:t xml:space="preserve">1. </w:t>
      </w:r>
      <w:r>
        <w:rPr>
          <w:color w:val="000000"/>
        </w:rPr>
        <w:fldChar w:fldCharType="end"/>
      </w:r>
      <w:r w:rsidR="00235733">
        <w:rPr>
          <w:rFonts w:hint="eastAsia"/>
          <w:color w:val="000000"/>
        </w:rPr>
        <w:t>产品</w:t>
      </w:r>
      <w:bookmarkEnd w:id="2053"/>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外观设计专利是关于具体产品的外观设计</w:t>
      </w:r>
      <w:r>
        <w:rPr>
          <w:rFonts w:ascii="Times New Roman" w:eastAsia="宋体" w:hAnsi="Times New Roman"/>
          <w:sz w:val="21"/>
          <w:szCs w:val="21"/>
        </w:rPr>
        <w:t>，</w:t>
      </w:r>
      <w:r>
        <w:rPr>
          <w:rFonts w:ascii="Times New Roman" w:eastAsia="宋体" w:hAnsi="Times New Roman" w:hint="eastAsia"/>
          <w:sz w:val="21"/>
          <w:szCs w:val="21"/>
        </w:rPr>
        <w:t>其载体应当是产品</w:t>
      </w:r>
      <w:r>
        <w:rPr>
          <w:rFonts w:ascii="Times New Roman" w:eastAsia="宋体" w:hAnsi="Times New Roman"/>
          <w:sz w:val="21"/>
          <w:szCs w:val="21"/>
        </w:rPr>
        <w:t>，</w:t>
      </w:r>
      <w:r>
        <w:rPr>
          <w:rFonts w:ascii="Times New Roman" w:eastAsia="宋体" w:hAnsi="Times New Roman" w:hint="eastAsia"/>
          <w:sz w:val="21"/>
          <w:szCs w:val="21"/>
        </w:rPr>
        <w:t>并且应当是适于工业应用的产品。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农产品、畜产品、自然物以及不能重复生产的手工艺品不属于外观设计专利所称的产品；取决于特定地理条件、不能重复再现的固定建筑物或桥梁等也不属于外观设计专利所称的产品。不能在产品上形成相对独立的区域或者构成相对完整的设计单元的局部外观设计，不属于外观设计所保护的产品。从使用功能角度，外观设计产品分为最终产品和中间产品。最终产品是指供终端消费者直接使用的产品；中间产品是指半成品、零部件、生产材料等。从产品各组件关系角度，外观设计产品分为成套产品、组件产品和单件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成套产品，是指由两件以上</w:t>
      </w:r>
      <w:r>
        <w:rPr>
          <w:rFonts w:ascii="Times New Roman" w:eastAsia="宋体" w:hAnsi="Times New Roman"/>
          <w:sz w:val="21"/>
          <w:szCs w:val="21"/>
        </w:rPr>
        <w:t>（</w:t>
      </w:r>
      <w:r>
        <w:rPr>
          <w:rFonts w:ascii="Times New Roman" w:eastAsia="宋体" w:hAnsi="Times New Roman" w:hint="eastAsia"/>
          <w:sz w:val="21"/>
          <w:szCs w:val="21"/>
        </w:rPr>
        <w:t>含两件</w:t>
      </w:r>
      <w:r>
        <w:rPr>
          <w:rFonts w:ascii="Times New Roman" w:eastAsia="宋体" w:hAnsi="Times New Roman"/>
          <w:sz w:val="21"/>
          <w:szCs w:val="21"/>
        </w:rPr>
        <w:t>）</w:t>
      </w:r>
      <w:r>
        <w:rPr>
          <w:rFonts w:ascii="Times New Roman" w:eastAsia="宋体" w:hAnsi="Times New Roman" w:hint="eastAsia"/>
          <w:sz w:val="21"/>
          <w:szCs w:val="21"/>
        </w:rPr>
        <w:t>属于同一大类、各自独立的产品组成，各产品的设计构思相同，其中每一件产品具有独立的使用价值，而各件产品组合在一起又能体现出其组合使用价值的产品，例如由咖啡杯、咖啡壶、牛奶壶和糖罐组成的咖啡器具。</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组件产品，是指由多个构件相结合构成的一件产品。组件产品包括组装关系唯一的组件产品</w:t>
      </w:r>
      <w:r>
        <w:rPr>
          <w:rFonts w:ascii="Times New Roman" w:eastAsia="宋体" w:hAnsi="Times New Roman"/>
          <w:sz w:val="21"/>
          <w:szCs w:val="21"/>
        </w:rPr>
        <w:t>（</w:t>
      </w:r>
      <w:r>
        <w:rPr>
          <w:rFonts w:ascii="Times New Roman" w:eastAsia="宋体" w:hAnsi="Times New Roman" w:hint="eastAsia"/>
          <w:sz w:val="21"/>
          <w:szCs w:val="21"/>
        </w:rPr>
        <w:t>例如，由水壶和加热底座组成的电热开水壶组件产品</w:t>
      </w:r>
      <w:r>
        <w:rPr>
          <w:rFonts w:ascii="Times New Roman" w:eastAsia="宋体" w:hAnsi="Times New Roman"/>
          <w:sz w:val="21"/>
          <w:szCs w:val="21"/>
        </w:rPr>
        <w:t>）</w:t>
      </w:r>
      <w:r>
        <w:rPr>
          <w:rFonts w:ascii="Times New Roman" w:eastAsia="宋体" w:hAnsi="Times New Roman" w:hint="eastAsia"/>
          <w:sz w:val="21"/>
          <w:szCs w:val="21"/>
        </w:rPr>
        <w:t>、组装关系不唯一的组件产品</w:t>
      </w:r>
      <w:r>
        <w:rPr>
          <w:rFonts w:ascii="Times New Roman" w:eastAsia="宋体" w:hAnsi="Times New Roman"/>
          <w:sz w:val="21"/>
          <w:szCs w:val="21"/>
        </w:rPr>
        <w:t>（</w:t>
      </w:r>
      <w:r>
        <w:rPr>
          <w:rFonts w:ascii="Times New Roman" w:eastAsia="宋体" w:hAnsi="Times New Roman" w:hint="eastAsia"/>
          <w:sz w:val="21"/>
          <w:szCs w:val="21"/>
        </w:rPr>
        <w:t>例如插接组件玩具产品</w:t>
      </w:r>
      <w:r>
        <w:rPr>
          <w:rFonts w:ascii="Times New Roman" w:eastAsia="宋体" w:hAnsi="Times New Roman"/>
          <w:sz w:val="21"/>
          <w:szCs w:val="21"/>
        </w:rPr>
        <w:t>）</w:t>
      </w:r>
      <w:r>
        <w:rPr>
          <w:rFonts w:ascii="Times New Roman" w:eastAsia="宋体" w:hAnsi="Times New Roman" w:hint="eastAsia"/>
          <w:sz w:val="21"/>
          <w:szCs w:val="21"/>
        </w:rPr>
        <w:t>以及无组装关系的组件产品</w:t>
      </w:r>
      <w:r>
        <w:rPr>
          <w:rFonts w:ascii="Times New Roman" w:eastAsia="宋体" w:hAnsi="Times New Roman"/>
          <w:sz w:val="21"/>
          <w:szCs w:val="21"/>
        </w:rPr>
        <w:t>（</w:t>
      </w:r>
      <w:r>
        <w:rPr>
          <w:rFonts w:ascii="Times New Roman" w:eastAsia="宋体" w:hAnsi="Times New Roman" w:hint="eastAsia"/>
          <w:sz w:val="21"/>
          <w:szCs w:val="21"/>
        </w:rPr>
        <w:t>例如棋牌</w:t>
      </w:r>
      <w:r>
        <w:rPr>
          <w:rFonts w:ascii="Times New Roman" w:eastAsia="宋体" w:hAnsi="Times New Roman"/>
          <w:sz w:val="21"/>
          <w:szCs w:val="21"/>
        </w:rPr>
        <w:t>）</w:t>
      </w:r>
      <w:r>
        <w:rPr>
          <w:rFonts w:ascii="Times New Roman" w:eastAsia="宋体" w:hAnsi="Times New Roman" w:hint="eastAsia"/>
          <w:sz w:val="21"/>
          <w:szCs w:val="21"/>
        </w:rPr>
        <w:t>。</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2054" w:name="_Toc28593378"/>
      <w:r w:rsidR="00235733">
        <w:rPr>
          <w:rFonts w:hint="eastAsia"/>
          <w:color w:val="000000"/>
        </w:rPr>
        <w:t xml:space="preserve">2. </w:t>
      </w:r>
      <w:r>
        <w:rPr>
          <w:color w:val="000000"/>
        </w:rPr>
        <w:fldChar w:fldCharType="end"/>
      </w:r>
      <w:r w:rsidR="00235733">
        <w:rPr>
          <w:rFonts w:hint="eastAsia"/>
          <w:color w:val="000000"/>
        </w:rPr>
        <w:t>形状、图案、色彩</w:t>
      </w:r>
      <w:bookmarkEnd w:id="2054"/>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形状、图案和色彩是构成外观设计内容的三要素。外观设计内容只能是该三要素或其结合，包括形状、图案或者其结合以及色彩与形状、图案的结合。</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按照外观设计三要素的不同组合，可构成六种类型的外观设计</w:t>
      </w:r>
      <w:r>
        <w:rPr>
          <w:rFonts w:ascii="Times New Roman" w:eastAsia="宋体" w:hAnsi="Times New Roman"/>
          <w:spacing w:val="2"/>
          <w:sz w:val="21"/>
          <w:szCs w:val="21"/>
        </w:rPr>
        <w:t>：</w:t>
      </w:r>
      <w:r w:rsidR="00C22A7B">
        <w:rPr>
          <w:rFonts w:ascii="Times New Roman" w:eastAsia="宋体" w:hAnsi="Times New Roman"/>
          <w:spacing w:val="2"/>
          <w:sz w:val="21"/>
          <w:szCs w:val="21"/>
        </w:rPr>
        <w:fldChar w:fldCharType="begin"/>
      </w:r>
      <w:r>
        <w:rPr>
          <w:rFonts w:ascii="Times New Roman" w:eastAsia="宋体" w:hAnsi="Times New Roman"/>
          <w:spacing w:val="2"/>
          <w:sz w:val="21"/>
          <w:szCs w:val="21"/>
        </w:rPr>
        <w:instrText>= 1 \* GB2</w:instrText>
      </w:r>
      <w:r w:rsidR="00C22A7B">
        <w:rPr>
          <w:rFonts w:ascii="Times New Roman" w:eastAsia="宋体" w:hAnsi="Times New Roman"/>
          <w:spacing w:val="2"/>
          <w:sz w:val="21"/>
          <w:szCs w:val="21"/>
        </w:rPr>
        <w:fldChar w:fldCharType="separate"/>
      </w:r>
      <w:r>
        <w:rPr>
          <w:rFonts w:ascii="Times New Roman" w:eastAsia="宋体" w:hAnsi="Times New Roman" w:hint="eastAsia"/>
          <w:spacing w:val="2"/>
          <w:sz w:val="21"/>
          <w:szCs w:val="21"/>
          <w:lang w:val="en-US"/>
        </w:rPr>
        <w:t>（</w:t>
      </w:r>
      <w:r>
        <w:rPr>
          <w:rFonts w:ascii="Times New Roman" w:eastAsia="宋体" w:hAnsi="Times New Roman" w:hint="eastAsia"/>
          <w:spacing w:val="2"/>
          <w:sz w:val="21"/>
          <w:szCs w:val="21"/>
          <w:lang w:val="en-US"/>
        </w:rPr>
        <w:t>1</w:t>
      </w:r>
      <w:r>
        <w:rPr>
          <w:rFonts w:ascii="Times New Roman" w:eastAsia="宋体" w:hAnsi="Times New Roman" w:hint="eastAsia"/>
          <w:spacing w:val="2"/>
          <w:sz w:val="21"/>
          <w:szCs w:val="21"/>
          <w:lang w:val="en-US"/>
        </w:rPr>
        <w:t>）</w:t>
      </w:r>
      <w:r w:rsidR="00C22A7B">
        <w:rPr>
          <w:rFonts w:ascii="Times New Roman" w:eastAsia="宋体" w:hAnsi="Times New Roman"/>
          <w:spacing w:val="2"/>
          <w:sz w:val="21"/>
          <w:szCs w:val="21"/>
        </w:rPr>
        <w:fldChar w:fldCharType="end"/>
      </w:r>
      <w:r>
        <w:rPr>
          <w:rFonts w:ascii="Times New Roman" w:eastAsia="宋体" w:hAnsi="Times New Roman" w:hint="eastAsia"/>
          <w:spacing w:val="2"/>
          <w:sz w:val="21"/>
          <w:szCs w:val="21"/>
        </w:rPr>
        <w:t>单纯产品形状的外观设计；</w:t>
      </w:r>
      <w:r w:rsidR="00C22A7B">
        <w:rPr>
          <w:rFonts w:ascii="Times New Roman" w:eastAsia="宋体" w:hAnsi="Times New Roman"/>
          <w:spacing w:val="2"/>
          <w:sz w:val="21"/>
          <w:szCs w:val="21"/>
        </w:rPr>
        <w:fldChar w:fldCharType="begin"/>
      </w:r>
      <w:r>
        <w:rPr>
          <w:rFonts w:ascii="Times New Roman" w:eastAsia="宋体" w:hAnsi="Times New Roman"/>
          <w:spacing w:val="2"/>
          <w:sz w:val="21"/>
          <w:szCs w:val="21"/>
        </w:rPr>
        <w:instrText>= 2 \* GB2</w:instrText>
      </w:r>
      <w:r w:rsidR="00C22A7B">
        <w:rPr>
          <w:rFonts w:ascii="Times New Roman" w:eastAsia="宋体" w:hAnsi="Times New Roman"/>
          <w:spacing w:val="2"/>
          <w:sz w:val="21"/>
          <w:szCs w:val="21"/>
        </w:rPr>
        <w:fldChar w:fldCharType="separate"/>
      </w:r>
      <w:r>
        <w:rPr>
          <w:rFonts w:ascii="Times New Roman" w:eastAsia="宋体" w:hAnsi="Times New Roman" w:hint="eastAsia"/>
          <w:spacing w:val="2"/>
          <w:sz w:val="21"/>
          <w:szCs w:val="21"/>
          <w:lang w:val="en-US"/>
        </w:rPr>
        <w:t>（</w:t>
      </w:r>
      <w:r>
        <w:rPr>
          <w:rFonts w:ascii="Times New Roman" w:eastAsia="宋体" w:hAnsi="Times New Roman" w:hint="eastAsia"/>
          <w:spacing w:val="2"/>
          <w:sz w:val="21"/>
          <w:szCs w:val="21"/>
          <w:lang w:val="en-US"/>
        </w:rPr>
        <w:t>2</w:t>
      </w:r>
      <w:r>
        <w:rPr>
          <w:rFonts w:ascii="Times New Roman" w:eastAsia="宋体" w:hAnsi="Times New Roman" w:hint="eastAsia"/>
          <w:spacing w:val="2"/>
          <w:sz w:val="21"/>
          <w:szCs w:val="21"/>
          <w:lang w:val="en-US"/>
        </w:rPr>
        <w:t>）</w:t>
      </w:r>
      <w:r w:rsidR="00C22A7B">
        <w:rPr>
          <w:rFonts w:ascii="Times New Roman" w:eastAsia="宋体" w:hAnsi="Times New Roman"/>
          <w:spacing w:val="2"/>
          <w:sz w:val="21"/>
          <w:szCs w:val="21"/>
        </w:rPr>
        <w:fldChar w:fldCharType="end"/>
      </w:r>
      <w:r>
        <w:rPr>
          <w:rFonts w:ascii="Times New Roman" w:eastAsia="宋体" w:hAnsi="Times New Roman" w:hint="eastAsia"/>
          <w:spacing w:val="2"/>
          <w:sz w:val="21"/>
          <w:szCs w:val="21"/>
        </w:rPr>
        <w:t>单纯产品图案的外观设计；</w:t>
      </w:r>
      <w:r w:rsidR="00C22A7B">
        <w:rPr>
          <w:rFonts w:ascii="Times New Roman" w:eastAsia="宋体" w:hAnsi="Times New Roman"/>
          <w:spacing w:val="2"/>
          <w:sz w:val="21"/>
          <w:szCs w:val="21"/>
        </w:rPr>
        <w:fldChar w:fldCharType="begin"/>
      </w:r>
      <w:r>
        <w:rPr>
          <w:rFonts w:ascii="Times New Roman" w:eastAsia="宋体" w:hAnsi="Times New Roman"/>
          <w:spacing w:val="2"/>
          <w:sz w:val="21"/>
          <w:szCs w:val="21"/>
        </w:rPr>
        <w:instrText>= 3 \* GB2</w:instrText>
      </w:r>
      <w:r w:rsidR="00C22A7B">
        <w:rPr>
          <w:rFonts w:ascii="Times New Roman" w:eastAsia="宋体" w:hAnsi="Times New Roman"/>
          <w:spacing w:val="2"/>
          <w:sz w:val="21"/>
          <w:szCs w:val="21"/>
        </w:rPr>
        <w:fldChar w:fldCharType="separate"/>
      </w:r>
      <w:r>
        <w:rPr>
          <w:rFonts w:ascii="Times New Roman" w:eastAsia="宋体" w:hAnsi="Times New Roman" w:hint="eastAsia"/>
          <w:spacing w:val="2"/>
          <w:sz w:val="21"/>
          <w:szCs w:val="21"/>
          <w:lang w:val="en-US"/>
        </w:rPr>
        <w:t>（</w:t>
      </w:r>
      <w:r>
        <w:rPr>
          <w:rFonts w:ascii="Times New Roman" w:eastAsia="宋体" w:hAnsi="Times New Roman" w:hint="eastAsia"/>
          <w:spacing w:val="2"/>
          <w:sz w:val="21"/>
          <w:szCs w:val="21"/>
          <w:lang w:val="en-US"/>
        </w:rPr>
        <w:t>3</w:t>
      </w:r>
      <w:r>
        <w:rPr>
          <w:rFonts w:ascii="Times New Roman" w:eastAsia="宋体" w:hAnsi="Times New Roman" w:hint="eastAsia"/>
          <w:spacing w:val="2"/>
          <w:sz w:val="21"/>
          <w:szCs w:val="21"/>
          <w:lang w:val="en-US"/>
        </w:rPr>
        <w:t>）</w:t>
      </w:r>
      <w:r w:rsidR="00C22A7B">
        <w:rPr>
          <w:rFonts w:ascii="Times New Roman" w:eastAsia="宋体" w:hAnsi="Times New Roman"/>
          <w:spacing w:val="2"/>
          <w:sz w:val="21"/>
          <w:szCs w:val="21"/>
        </w:rPr>
        <w:fldChar w:fldCharType="end"/>
      </w:r>
      <w:r>
        <w:rPr>
          <w:rFonts w:ascii="Times New Roman" w:eastAsia="宋体" w:hAnsi="Times New Roman" w:hint="eastAsia"/>
          <w:spacing w:val="2"/>
          <w:sz w:val="21"/>
          <w:szCs w:val="21"/>
        </w:rPr>
        <w:t>产品形状和图案结合的外观设计；</w:t>
      </w:r>
      <w:r w:rsidR="00C22A7B">
        <w:rPr>
          <w:rFonts w:ascii="Times New Roman" w:eastAsia="宋体" w:hAnsi="Times New Roman"/>
          <w:spacing w:val="2"/>
          <w:sz w:val="21"/>
          <w:szCs w:val="21"/>
        </w:rPr>
        <w:fldChar w:fldCharType="begin"/>
      </w:r>
      <w:r>
        <w:rPr>
          <w:rFonts w:ascii="Times New Roman" w:eastAsia="宋体" w:hAnsi="Times New Roman"/>
          <w:spacing w:val="2"/>
          <w:sz w:val="21"/>
          <w:szCs w:val="21"/>
        </w:rPr>
        <w:instrText>= 4 \* GB2</w:instrText>
      </w:r>
      <w:r w:rsidR="00C22A7B">
        <w:rPr>
          <w:rFonts w:ascii="Times New Roman" w:eastAsia="宋体" w:hAnsi="Times New Roman"/>
          <w:spacing w:val="2"/>
          <w:sz w:val="21"/>
          <w:szCs w:val="21"/>
        </w:rPr>
        <w:fldChar w:fldCharType="separate"/>
      </w:r>
      <w:r>
        <w:rPr>
          <w:rFonts w:ascii="Times New Roman" w:eastAsia="宋体" w:hAnsi="Times New Roman" w:hint="eastAsia"/>
          <w:spacing w:val="2"/>
          <w:sz w:val="21"/>
          <w:szCs w:val="21"/>
          <w:lang w:val="en-US"/>
        </w:rPr>
        <w:t>（</w:t>
      </w:r>
      <w:r>
        <w:rPr>
          <w:rFonts w:ascii="Times New Roman" w:eastAsia="宋体" w:hAnsi="Times New Roman" w:hint="eastAsia"/>
          <w:spacing w:val="2"/>
          <w:sz w:val="21"/>
          <w:szCs w:val="21"/>
          <w:lang w:val="en-US"/>
        </w:rPr>
        <w:t>4</w:t>
      </w:r>
      <w:r>
        <w:rPr>
          <w:rFonts w:ascii="Times New Roman" w:eastAsia="宋体" w:hAnsi="Times New Roman" w:hint="eastAsia"/>
          <w:spacing w:val="2"/>
          <w:sz w:val="21"/>
          <w:szCs w:val="21"/>
          <w:lang w:val="en-US"/>
        </w:rPr>
        <w:t>）</w:t>
      </w:r>
      <w:r w:rsidR="00C22A7B">
        <w:rPr>
          <w:rFonts w:ascii="Times New Roman" w:eastAsia="宋体" w:hAnsi="Times New Roman"/>
          <w:spacing w:val="2"/>
          <w:sz w:val="21"/>
          <w:szCs w:val="21"/>
        </w:rPr>
        <w:fldChar w:fldCharType="end"/>
      </w:r>
      <w:r>
        <w:rPr>
          <w:rFonts w:ascii="Times New Roman" w:eastAsia="宋体" w:hAnsi="Times New Roman" w:hint="eastAsia"/>
          <w:spacing w:val="2"/>
          <w:sz w:val="21"/>
          <w:szCs w:val="21"/>
        </w:rPr>
        <w:t>产品的形状和色彩结合的外观设计；</w:t>
      </w:r>
      <w:r w:rsidR="00C22A7B">
        <w:rPr>
          <w:rFonts w:ascii="Times New Roman" w:eastAsia="宋体" w:hAnsi="Times New Roman"/>
          <w:spacing w:val="2"/>
          <w:sz w:val="21"/>
          <w:szCs w:val="21"/>
        </w:rPr>
        <w:fldChar w:fldCharType="begin"/>
      </w:r>
      <w:r>
        <w:rPr>
          <w:rFonts w:ascii="Times New Roman" w:eastAsia="宋体" w:hAnsi="Times New Roman"/>
          <w:spacing w:val="2"/>
          <w:sz w:val="21"/>
          <w:szCs w:val="21"/>
        </w:rPr>
        <w:instrText>= 5 \* GB2</w:instrText>
      </w:r>
      <w:r w:rsidR="00C22A7B">
        <w:rPr>
          <w:rFonts w:ascii="Times New Roman" w:eastAsia="宋体" w:hAnsi="Times New Roman"/>
          <w:spacing w:val="2"/>
          <w:sz w:val="21"/>
          <w:szCs w:val="21"/>
        </w:rPr>
        <w:fldChar w:fldCharType="separate"/>
      </w:r>
      <w:r>
        <w:rPr>
          <w:rFonts w:ascii="Times New Roman" w:eastAsia="宋体" w:hAnsi="Times New Roman" w:hint="eastAsia"/>
          <w:spacing w:val="2"/>
          <w:sz w:val="21"/>
          <w:szCs w:val="21"/>
          <w:lang w:val="en-US"/>
        </w:rPr>
        <w:t>（</w:t>
      </w:r>
      <w:r>
        <w:rPr>
          <w:rFonts w:ascii="Times New Roman" w:eastAsia="宋体" w:hAnsi="Times New Roman" w:hint="eastAsia"/>
          <w:spacing w:val="2"/>
          <w:sz w:val="21"/>
          <w:szCs w:val="21"/>
          <w:lang w:val="en-US"/>
        </w:rPr>
        <w:t>5</w:t>
      </w:r>
      <w:r>
        <w:rPr>
          <w:rFonts w:ascii="Times New Roman" w:eastAsia="宋体" w:hAnsi="Times New Roman" w:hint="eastAsia"/>
          <w:spacing w:val="2"/>
          <w:sz w:val="21"/>
          <w:szCs w:val="21"/>
          <w:lang w:val="en-US"/>
        </w:rPr>
        <w:t>）</w:t>
      </w:r>
      <w:r w:rsidR="00C22A7B">
        <w:rPr>
          <w:rFonts w:ascii="Times New Roman" w:eastAsia="宋体" w:hAnsi="Times New Roman"/>
          <w:spacing w:val="2"/>
          <w:sz w:val="21"/>
          <w:szCs w:val="21"/>
        </w:rPr>
        <w:fldChar w:fldCharType="end"/>
      </w:r>
      <w:r>
        <w:rPr>
          <w:rFonts w:ascii="Times New Roman" w:eastAsia="宋体" w:hAnsi="Times New Roman" w:hint="eastAsia"/>
          <w:spacing w:val="2"/>
          <w:sz w:val="21"/>
          <w:szCs w:val="21"/>
        </w:rPr>
        <w:t>产品的图案和色彩结合的外观设计；</w:t>
      </w:r>
      <w:r w:rsidR="00C22A7B">
        <w:rPr>
          <w:rFonts w:ascii="Times New Roman" w:eastAsia="宋体" w:hAnsi="Times New Roman"/>
          <w:spacing w:val="2"/>
          <w:sz w:val="21"/>
          <w:szCs w:val="21"/>
        </w:rPr>
        <w:fldChar w:fldCharType="begin"/>
      </w:r>
      <w:r>
        <w:rPr>
          <w:rFonts w:ascii="Times New Roman" w:eastAsia="宋体" w:hAnsi="Times New Roman"/>
          <w:spacing w:val="2"/>
          <w:sz w:val="21"/>
          <w:szCs w:val="21"/>
        </w:rPr>
        <w:instrText>= 6 \* GB2</w:instrText>
      </w:r>
      <w:r w:rsidR="00C22A7B">
        <w:rPr>
          <w:rFonts w:ascii="Times New Roman" w:eastAsia="宋体" w:hAnsi="Times New Roman"/>
          <w:spacing w:val="2"/>
          <w:sz w:val="21"/>
          <w:szCs w:val="21"/>
        </w:rPr>
        <w:fldChar w:fldCharType="separate"/>
      </w:r>
      <w:r>
        <w:rPr>
          <w:rFonts w:ascii="Times New Roman" w:eastAsia="宋体" w:hAnsi="Times New Roman" w:hint="eastAsia"/>
          <w:spacing w:val="2"/>
          <w:sz w:val="21"/>
          <w:szCs w:val="21"/>
          <w:lang w:val="en-US"/>
        </w:rPr>
        <w:t>（</w:t>
      </w:r>
      <w:r>
        <w:rPr>
          <w:rFonts w:ascii="Times New Roman" w:eastAsia="宋体" w:hAnsi="Times New Roman" w:hint="eastAsia"/>
          <w:spacing w:val="2"/>
          <w:sz w:val="21"/>
          <w:szCs w:val="21"/>
          <w:lang w:val="en-US"/>
        </w:rPr>
        <w:t>6</w:t>
      </w:r>
      <w:r>
        <w:rPr>
          <w:rFonts w:ascii="Times New Roman" w:eastAsia="宋体" w:hAnsi="Times New Roman" w:hint="eastAsia"/>
          <w:spacing w:val="2"/>
          <w:sz w:val="21"/>
          <w:szCs w:val="21"/>
          <w:lang w:val="en-US"/>
        </w:rPr>
        <w:t>）</w:t>
      </w:r>
      <w:r w:rsidR="00C22A7B">
        <w:rPr>
          <w:rFonts w:ascii="Times New Roman" w:eastAsia="宋体" w:hAnsi="Times New Roman"/>
          <w:spacing w:val="2"/>
          <w:sz w:val="21"/>
          <w:szCs w:val="21"/>
        </w:rPr>
        <w:fldChar w:fldCharType="end"/>
      </w:r>
      <w:r>
        <w:rPr>
          <w:rFonts w:ascii="Times New Roman" w:eastAsia="宋体" w:hAnsi="Times New Roman" w:hint="eastAsia"/>
          <w:spacing w:val="2"/>
          <w:sz w:val="21"/>
          <w:szCs w:val="21"/>
        </w:rPr>
        <w:t>产品的形状、图案和色彩三者结合的外观设计。</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形状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形状</w:t>
      </w:r>
      <w:r>
        <w:rPr>
          <w:rFonts w:ascii="Times New Roman" w:eastAsia="宋体" w:hAnsi="Times New Roman"/>
          <w:sz w:val="21"/>
          <w:szCs w:val="21"/>
        </w:rPr>
        <w:t>，</w:t>
      </w:r>
      <w:r>
        <w:rPr>
          <w:rFonts w:ascii="Times New Roman" w:eastAsia="宋体" w:hAnsi="Times New Roman" w:hint="eastAsia"/>
          <w:sz w:val="21"/>
          <w:szCs w:val="21"/>
        </w:rPr>
        <w:t>是指对产品造型的设计</w:t>
      </w:r>
      <w:r>
        <w:rPr>
          <w:rFonts w:ascii="Times New Roman" w:eastAsia="宋体" w:hAnsi="Times New Roman"/>
          <w:sz w:val="21"/>
          <w:szCs w:val="21"/>
        </w:rPr>
        <w:t>，</w:t>
      </w:r>
      <w:r>
        <w:rPr>
          <w:rFonts w:ascii="Times New Roman" w:eastAsia="宋体" w:hAnsi="Times New Roman" w:hint="eastAsia"/>
          <w:sz w:val="21"/>
          <w:szCs w:val="21"/>
        </w:rPr>
        <w:t>也就是指产品外部的点、线、面的移动、变化、组合而呈现的外表轮廓</w:t>
      </w:r>
      <w:r>
        <w:rPr>
          <w:rFonts w:ascii="Times New Roman" w:eastAsia="宋体" w:hAnsi="Times New Roman"/>
          <w:sz w:val="21"/>
          <w:szCs w:val="21"/>
        </w:rPr>
        <w:t>，</w:t>
      </w:r>
      <w:r>
        <w:rPr>
          <w:rFonts w:ascii="Times New Roman" w:eastAsia="宋体" w:hAnsi="Times New Roman" w:hint="eastAsia"/>
          <w:sz w:val="21"/>
          <w:szCs w:val="21"/>
        </w:rPr>
        <w:t>即对产品的结构、外形等同时进行设计、制造的结果。</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产品的形状应当是固定的，形状不能确定的液体、粉末、颗粒状物质等不能受到外观设计专利的保护。</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图案</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图案</w:t>
      </w:r>
      <w:r>
        <w:rPr>
          <w:rFonts w:ascii="Times New Roman" w:eastAsia="宋体" w:hAnsi="Times New Roman"/>
          <w:sz w:val="21"/>
          <w:szCs w:val="21"/>
        </w:rPr>
        <w:t>，</w:t>
      </w:r>
      <w:r>
        <w:rPr>
          <w:rFonts w:ascii="Times New Roman" w:eastAsia="宋体" w:hAnsi="Times New Roman" w:hint="eastAsia"/>
          <w:sz w:val="21"/>
          <w:szCs w:val="21"/>
        </w:rPr>
        <w:t>是指由任何线条、文字、符号、色块的排列或组合而在产品的表面构成的图形。图案可以通过绘图或其他能够体现设计者图案设计构思的手段制作。</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某些产品</w:t>
      </w:r>
      <w:r>
        <w:rPr>
          <w:rFonts w:ascii="Times New Roman" w:eastAsia="宋体" w:hAnsi="Times New Roman"/>
          <w:sz w:val="21"/>
          <w:szCs w:val="21"/>
        </w:rPr>
        <w:t>（</w:t>
      </w:r>
      <w:r>
        <w:rPr>
          <w:rFonts w:ascii="Times New Roman" w:eastAsia="宋体" w:hAnsi="Times New Roman" w:hint="eastAsia"/>
          <w:sz w:val="21"/>
          <w:szCs w:val="21"/>
        </w:rPr>
        <w:t>如浮雕设计</w:t>
      </w:r>
      <w:r>
        <w:rPr>
          <w:rFonts w:ascii="Times New Roman" w:eastAsia="宋体" w:hAnsi="Times New Roman"/>
          <w:sz w:val="21"/>
          <w:szCs w:val="21"/>
        </w:rPr>
        <w:t>）</w:t>
      </w:r>
      <w:r>
        <w:rPr>
          <w:rFonts w:ascii="Times New Roman" w:eastAsia="宋体" w:hAnsi="Times New Roman" w:hint="eastAsia"/>
          <w:sz w:val="21"/>
          <w:szCs w:val="21"/>
        </w:rPr>
        <w:t>表面，虽然为点、线、面的移动变化而形成的形状，但其形状变化不明显，更具强烈的图案效果，可视为图案。</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色彩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色彩，是指用于产品上的颜色或者颜色的组合。产品的色彩只有与形状或图案相结合才能构成外观设计。通常认为，色彩的搭配构成的是图案。</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bookmarkStart w:id="2055" w:name="_Toc28593379"/>
      <w:r w:rsidR="00235733">
        <w:rPr>
          <w:rFonts w:hint="eastAsia"/>
          <w:color w:val="000000"/>
        </w:rPr>
        <w:t xml:space="preserve">3. </w:t>
      </w:r>
      <w:r>
        <w:rPr>
          <w:color w:val="000000"/>
        </w:rPr>
        <w:fldChar w:fldCharType="end"/>
      </w:r>
      <w:r w:rsidR="00235733">
        <w:rPr>
          <w:rFonts w:hint="eastAsia"/>
          <w:color w:val="000000"/>
        </w:rPr>
        <w:t>图片或照片</w:t>
      </w:r>
      <w:bookmarkEnd w:id="2055"/>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专利文件中，外观设计图片或照片是确定外观设计保护范围的依据。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图片或照片显示了产品外观设计各面的设计内容，通常以六面正投影视图、立体图、展开图、剖视图、剖面图、放大图、变化状态图以及参考图表示。六面正投影视图包括主视图、左视图、右视图、后视图、俯视图和仰视图。参考图包括使用状态参考图、变化状态参考图、立体参考图、表示通电状态或操作部位的参考图等各种形式。</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外观设计视图的表现形式通常有绘制线条图、渲染图和照片等。</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绘制线条图、渲染图能够准确表达各视图的投影关系，可以避免照片正投影视图的透视变形现象，便于在视图内容上去除不纳入保护范围的细节，因而其视图所示内容能准确表达所保护的产品外观设计。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照片形式显示的视图，个别照片可能会存在透视变形或者各视图之间的对应关系存在偏差，甚至可能会出现明显不属于要求保护的产品外观设计的内容，比如产品阴影、对反光表面拍照产生的反光影像等。当存在这些情况时，应当注意区分和排除这些因素。</w:t>
      </w:r>
    </w:p>
    <w:p w:rsidR="00800760" w:rsidRDefault="00C22A7B">
      <w:pPr>
        <w:pStyle w:val="5"/>
        <w:spacing w:before="120"/>
        <w:rPr>
          <w:color w:val="000000"/>
        </w:rPr>
      </w:pPr>
      <w:r>
        <w:rPr>
          <w:color w:val="000000"/>
        </w:rPr>
        <w:fldChar w:fldCharType="begin"/>
      </w:r>
      <w:r w:rsidR="00235733">
        <w:rPr>
          <w:color w:val="000000"/>
        </w:rPr>
        <w:instrText>= 4 \* GB1</w:instrText>
      </w:r>
      <w:r>
        <w:rPr>
          <w:color w:val="000000"/>
        </w:rPr>
        <w:fldChar w:fldCharType="separate"/>
      </w:r>
      <w:bookmarkStart w:id="2056" w:name="_Toc28593380"/>
      <w:r w:rsidR="00235733">
        <w:rPr>
          <w:rFonts w:hint="eastAsia"/>
          <w:color w:val="000000"/>
        </w:rPr>
        <w:t xml:space="preserve">4. </w:t>
      </w:r>
      <w:r>
        <w:rPr>
          <w:color w:val="000000"/>
        </w:rPr>
        <w:fldChar w:fldCharType="end"/>
      </w:r>
      <w:r w:rsidR="00235733">
        <w:rPr>
          <w:rFonts w:hint="eastAsia"/>
          <w:color w:val="000000"/>
        </w:rPr>
        <w:t>简要说明</w:t>
      </w:r>
      <w:bookmarkEnd w:id="2056"/>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简要说明是对图片或者照片所表示产品的外观设计的解释和文字说明。</w:t>
      </w:r>
    </w:p>
    <w:p w:rsidR="00800760" w:rsidRDefault="00235733">
      <w:pPr>
        <w:pStyle w:val="12"/>
        <w:topLinePunct/>
        <w:spacing w:line="336" w:lineRule="auto"/>
        <w:ind w:firstLine="412"/>
        <w:rPr>
          <w:rFonts w:ascii="Times New Roman" w:eastAsia="宋体" w:hAnsi="Times New Roman"/>
          <w:spacing w:val="-2"/>
          <w:sz w:val="21"/>
          <w:szCs w:val="21"/>
        </w:rPr>
      </w:pPr>
      <w:r>
        <w:rPr>
          <w:rFonts w:ascii="Times New Roman" w:eastAsia="宋体" w:hAnsi="Times New Roman" w:hint="eastAsia"/>
          <w:spacing w:val="-2"/>
          <w:sz w:val="21"/>
          <w:szCs w:val="21"/>
        </w:rPr>
        <w:t>根据《专利法实施细则》第三十一条和《专利审查指南》的相关规定，外观设计的简要说明中明确了如下事项</w:t>
      </w:r>
      <w:r>
        <w:rPr>
          <w:rFonts w:ascii="Times New Roman" w:eastAsia="宋体" w:hAnsi="Times New Roman"/>
          <w:spacing w:val="-2"/>
          <w:sz w:val="21"/>
          <w:szCs w:val="21"/>
        </w:rPr>
        <w:t>：</w:t>
      </w:r>
      <w:r>
        <w:rPr>
          <w:rFonts w:ascii="Times New Roman" w:eastAsia="宋体" w:hAnsi="Times New Roman" w:hint="eastAsia"/>
          <w:spacing w:val="-2"/>
          <w:sz w:val="21"/>
          <w:szCs w:val="21"/>
        </w:rPr>
        <w:t>名称、用途、设计要点，指定一幅最能表明设计要点的图片或者照片。必要时，还包括如下事项</w:t>
      </w:r>
      <w:r>
        <w:rPr>
          <w:rFonts w:ascii="Times New Roman" w:eastAsia="宋体" w:hAnsi="Times New Roman"/>
          <w:spacing w:val="-2"/>
          <w:sz w:val="21"/>
          <w:szCs w:val="21"/>
        </w:rPr>
        <w:t>：</w:t>
      </w:r>
      <w:r>
        <w:rPr>
          <w:rFonts w:ascii="Times New Roman" w:eastAsia="宋体" w:hAnsi="Times New Roman" w:hint="eastAsia"/>
          <w:spacing w:val="-2"/>
          <w:sz w:val="21"/>
          <w:szCs w:val="21"/>
        </w:rPr>
        <w:t>省略视图和请求保护色彩的情况，指定相似外观设计的基本设计，花布、壁纸等纹样的连续方式情况，对特殊视觉效果</w:t>
      </w:r>
      <w:r>
        <w:rPr>
          <w:rFonts w:ascii="Times New Roman" w:eastAsia="宋体" w:hAnsi="Times New Roman"/>
          <w:spacing w:val="-2"/>
          <w:sz w:val="21"/>
          <w:szCs w:val="21"/>
        </w:rPr>
        <w:t>（</w:t>
      </w:r>
      <w:r>
        <w:rPr>
          <w:rFonts w:ascii="Times New Roman" w:eastAsia="宋体" w:hAnsi="Times New Roman" w:hint="eastAsia"/>
          <w:spacing w:val="-2"/>
          <w:sz w:val="21"/>
          <w:szCs w:val="21"/>
        </w:rPr>
        <w:t>例如透明</w:t>
      </w:r>
      <w:r>
        <w:rPr>
          <w:rFonts w:ascii="Times New Roman" w:eastAsia="宋体" w:hAnsi="Times New Roman"/>
          <w:spacing w:val="-2"/>
          <w:sz w:val="21"/>
          <w:szCs w:val="21"/>
        </w:rPr>
        <w:t>）</w:t>
      </w:r>
      <w:r>
        <w:rPr>
          <w:rFonts w:ascii="Times New Roman" w:eastAsia="宋体" w:hAnsi="Times New Roman" w:hint="eastAsia"/>
          <w:spacing w:val="-2"/>
          <w:sz w:val="21"/>
          <w:szCs w:val="21"/>
        </w:rPr>
        <w:t>材料的说明，细长物品的省略画法，成套产品各套件所对应的产品名称等。</w:t>
      </w:r>
    </w:p>
    <w:p w:rsidR="00800760" w:rsidRDefault="00C22A7B">
      <w:pPr>
        <w:pStyle w:val="5"/>
        <w:spacing w:before="120"/>
        <w:ind w:firstLine="422"/>
        <w:rPr>
          <w:color w:val="000000"/>
        </w:rPr>
      </w:pPr>
      <w:r>
        <w:rPr>
          <w:b/>
          <w:color w:val="000000"/>
        </w:rPr>
        <w:fldChar w:fldCharType="begin"/>
      </w:r>
      <w:r w:rsidR="00235733">
        <w:rPr>
          <w:b/>
          <w:color w:val="000000"/>
        </w:rPr>
        <w:instrText>= 5 \* GB1</w:instrText>
      </w:r>
      <w:r>
        <w:rPr>
          <w:b/>
          <w:color w:val="000000"/>
        </w:rPr>
        <w:fldChar w:fldCharType="separate"/>
      </w:r>
      <w:bookmarkStart w:id="2057" w:name="_Toc28593381"/>
      <w:r w:rsidR="00235733">
        <w:rPr>
          <w:rFonts w:hint="eastAsia"/>
          <w:b/>
          <w:color w:val="000000"/>
        </w:rPr>
        <w:t xml:space="preserve">5. </w:t>
      </w:r>
      <w:r>
        <w:rPr>
          <w:b/>
          <w:color w:val="000000"/>
        </w:rPr>
        <w:fldChar w:fldCharType="end"/>
      </w:r>
      <w:r w:rsidR="00235733">
        <w:rPr>
          <w:rFonts w:hint="eastAsia"/>
          <w:color w:val="000000"/>
        </w:rPr>
        <w:t>申请文本、授权公告文本或被无效宣告决定确定的专利文本</w:t>
      </w:r>
      <w:bookmarkEnd w:id="2057"/>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申请文本，是指外观设计专利申请人在提出专利申请时提交的文本。</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授权公告文本，是指外观设计专利申请经过初步审查，符合授权条件时，国家知识产权局授权公告该专利时的文本。</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被无效宣告决定确定的专利文本</w:t>
      </w:r>
      <w:r>
        <w:rPr>
          <w:rFonts w:ascii="Times New Roman" w:eastAsia="宋体" w:hAnsi="Times New Roman"/>
          <w:sz w:val="21"/>
          <w:szCs w:val="21"/>
        </w:rPr>
        <w:t>：</w:t>
      </w:r>
      <w:r>
        <w:rPr>
          <w:rFonts w:ascii="Times New Roman" w:eastAsia="宋体" w:hAnsi="Times New Roman" w:hint="eastAsia"/>
          <w:sz w:val="21"/>
          <w:szCs w:val="21"/>
        </w:rPr>
        <w:t>当一件外观设计专利包含有多项外观设计时</w:t>
      </w:r>
      <w:r>
        <w:rPr>
          <w:rFonts w:ascii="Times New Roman" w:eastAsia="宋体" w:hAnsi="Times New Roman"/>
          <w:sz w:val="21"/>
          <w:szCs w:val="21"/>
        </w:rPr>
        <w:t>（</w:t>
      </w:r>
      <w:r>
        <w:rPr>
          <w:rFonts w:ascii="Times New Roman" w:eastAsia="宋体" w:hAnsi="Times New Roman" w:hint="eastAsia"/>
          <w:sz w:val="21"/>
          <w:szCs w:val="21"/>
        </w:rPr>
        <w:t>例如，成套产品外观设计、相似外观设计</w:t>
      </w:r>
      <w:r>
        <w:rPr>
          <w:rFonts w:ascii="Times New Roman" w:eastAsia="宋体" w:hAnsi="Times New Roman"/>
          <w:sz w:val="21"/>
          <w:szCs w:val="21"/>
        </w:rPr>
        <w:t>）</w:t>
      </w:r>
      <w:r>
        <w:rPr>
          <w:rFonts w:ascii="Times New Roman" w:eastAsia="宋体" w:hAnsi="Times New Roman" w:hint="eastAsia"/>
          <w:sz w:val="21"/>
          <w:szCs w:val="21"/>
        </w:rPr>
        <w:t>，在无效宣告程序中，所述专利的部分项外观设计被宣告无效，在相关无效宣告请求审查决定</w:t>
      </w:r>
      <w:r>
        <w:rPr>
          <w:rFonts w:ascii="Times New Roman" w:eastAsia="宋体" w:hAnsi="Times New Roman"/>
          <w:sz w:val="21"/>
          <w:szCs w:val="21"/>
        </w:rPr>
        <w:t>（</w:t>
      </w:r>
      <w:r>
        <w:rPr>
          <w:rFonts w:ascii="Times New Roman" w:eastAsia="宋体" w:hAnsi="Times New Roman" w:hint="eastAsia"/>
          <w:sz w:val="21"/>
          <w:szCs w:val="21"/>
        </w:rPr>
        <w:t>以下简称“无效决定”</w:t>
      </w:r>
      <w:r>
        <w:rPr>
          <w:rFonts w:ascii="Times New Roman" w:eastAsia="宋体" w:hAnsi="Times New Roman"/>
          <w:sz w:val="21"/>
          <w:szCs w:val="21"/>
        </w:rPr>
        <w:t>）</w:t>
      </w:r>
      <w:r>
        <w:rPr>
          <w:rFonts w:ascii="Times New Roman" w:eastAsia="宋体" w:hAnsi="Times New Roman" w:hint="eastAsia"/>
          <w:sz w:val="21"/>
          <w:szCs w:val="21"/>
        </w:rPr>
        <w:t>生效后，该无效决定维持有效的外观设计专利文本称为“被无效宣告决定确定的专利文本”。</w:t>
      </w:r>
    </w:p>
    <w:p w:rsidR="00800760" w:rsidRDefault="00C22A7B">
      <w:pPr>
        <w:pStyle w:val="5"/>
        <w:spacing w:before="120"/>
        <w:rPr>
          <w:color w:val="000000"/>
        </w:rPr>
      </w:pPr>
      <w:r>
        <w:rPr>
          <w:color w:val="000000"/>
        </w:rPr>
        <w:fldChar w:fldCharType="begin"/>
      </w:r>
      <w:r w:rsidR="00235733">
        <w:rPr>
          <w:color w:val="000000"/>
        </w:rPr>
        <w:instrText>= 6 \* GB1</w:instrText>
      </w:r>
      <w:r>
        <w:rPr>
          <w:color w:val="000000"/>
        </w:rPr>
        <w:fldChar w:fldCharType="separate"/>
      </w:r>
      <w:bookmarkStart w:id="2058" w:name="_Toc28593382"/>
      <w:r w:rsidR="00235733">
        <w:rPr>
          <w:rFonts w:hint="eastAsia"/>
          <w:color w:val="000000"/>
        </w:rPr>
        <w:t xml:space="preserve">6. </w:t>
      </w:r>
      <w:r>
        <w:rPr>
          <w:color w:val="000000"/>
        </w:rPr>
        <w:fldChar w:fldCharType="end"/>
      </w:r>
      <w:r w:rsidR="00235733">
        <w:rPr>
          <w:rFonts w:hint="eastAsia"/>
          <w:color w:val="000000"/>
        </w:rPr>
        <w:t>设计要点</w:t>
      </w:r>
      <w:bookmarkEnd w:id="2058"/>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设计要点是专利权人在外观设计专利简要说明中声明的申请专利的外观设计相对于现有设计所作出的创新部分。</w:t>
      </w:r>
    </w:p>
    <w:p w:rsidR="00800760" w:rsidRDefault="00235733">
      <w:pPr>
        <w:pStyle w:val="5"/>
        <w:spacing w:before="120"/>
        <w:rPr>
          <w:color w:val="000000"/>
        </w:rPr>
      </w:pPr>
      <w:r>
        <w:rPr>
          <w:rFonts w:hint="eastAsia"/>
          <w:color w:val="000000"/>
        </w:rPr>
        <w:t>7.</w:t>
      </w:r>
      <w:r>
        <w:rPr>
          <w:rFonts w:hint="eastAsia"/>
          <w:color w:val="000000"/>
        </w:rPr>
        <w:t>局部外观设计</w:t>
      </w:r>
    </w:p>
    <w:p w:rsidR="00800760" w:rsidRDefault="00235733">
      <w:pPr>
        <w:pStyle w:val="12"/>
        <w:topLinePunct/>
        <w:spacing w:line="336" w:lineRule="auto"/>
        <w:ind w:firstLine="420"/>
        <w:rPr>
          <w:rFonts w:ascii="Times New Roman" w:eastAsia="宋体" w:hAnsi="Times New Roman"/>
          <w:sz w:val="21"/>
          <w:szCs w:val="21"/>
          <w:lang w:val="en-GB"/>
        </w:rPr>
      </w:pPr>
      <w:r>
        <w:rPr>
          <w:rFonts w:ascii="Times New Roman" w:eastAsia="宋体" w:hAnsi="Times New Roman" w:hint="eastAsia"/>
          <w:sz w:val="21"/>
          <w:szCs w:val="21"/>
          <w:lang w:val="en-GB"/>
        </w:rPr>
        <w:t>局部外观设计是指对产品的局部的形状、图案或者其结合以及色彩与形状、图案的结合所作出的富有美感并适于工业应用的新设计。</w:t>
      </w:r>
    </w:p>
    <w:p w:rsidR="00800760" w:rsidRDefault="00235733">
      <w:pPr>
        <w:pStyle w:val="12"/>
        <w:topLinePunct/>
        <w:spacing w:line="336" w:lineRule="auto"/>
        <w:ind w:firstLine="420"/>
        <w:rPr>
          <w:rFonts w:ascii="Times New Roman" w:eastAsia="宋体" w:hAnsi="Times New Roman"/>
        </w:rPr>
      </w:pPr>
      <w:r>
        <w:rPr>
          <w:rFonts w:ascii="Times New Roman" w:eastAsia="宋体" w:hAnsi="Times New Roman" w:hint="eastAsia"/>
          <w:sz w:val="21"/>
          <w:szCs w:val="21"/>
        </w:rPr>
        <w:t>局部外观设计应当在产品上形成相对独立的区域或者构成相对完整的设计单元。</w:t>
      </w:r>
    </w:p>
    <w:p w:rsidR="00800760" w:rsidRDefault="00C22A7B">
      <w:pPr>
        <w:pStyle w:val="4"/>
        <w:spacing w:before="240"/>
        <w:rPr>
          <w:rFonts w:ascii="Times New Roman" w:hAnsi="Times New Roman"/>
          <w:color w:val="000000"/>
        </w:rPr>
      </w:pPr>
      <w:r>
        <w:rPr>
          <w:rFonts w:ascii="Times New Roman" w:hAnsi="Times New Roman"/>
        </w:rPr>
        <w:fldChar w:fldCharType="begin"/>
      </w:r>
      <w:r w:rsidR="00235733">
        <w:rPr>
          <w:rFonts w:ascii="Times New Roman" w:hAnsi="Times New Roman"/>
        </w:rPr>
        <w:instrText>= 2 \* GB4</w:instrText>
      </w:r>
      <w:r>
        <w:rPr>
          <w:rFonts w:ascii="Times New Roman" w:hAnsi="Times New Roman"/>
        </w:rPr>
        <w:fldChar w:fldCharType="separate"/>
      </w:r>
      <w:bookmarkStart w:id="2059" w:name="_Toc28593383"/>
      <w:r w:rsidR="00235733">
        <w:rPr>
          <w:rFonts w:ascii="Times New Roman" w:hAnsi="Times New Roman" w:hint="eastAsia"/>
          <w:lang w:val="en-US"/>
        </w:rPr>
        <w:t>（二）</w:t>
      </w:r>
      <w:r>
        <w:rPr>
          <w:rFonts w:ascii="Times New Roman" w:hAnsi="Times New Roman"/>
        </w:rPr>
        <w:fldChar w:fldCharType="end"/>
      </w:r>
      <w:r w:rsidR="00235733">
        <w:rPr>
          <w:rFonts w:ascii="Times New Roman" w:hAnsi="Times New Roman" w:hint="eastAsia"/>
        </w:rPr>
        <w:t>保护范围的确定</w:t>
      </w:r>
      <w:bookmarkEnd w:id="2059"/>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根据《专利法》第六十四条第二款的规定，确定外观设计保护范围的基本依据是外观设计图片或照片，简要说明是对图片或照片的解释。</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2060" w:name="_Toc28593384"/>
      <w:r w:rsidR="00235733">
        <w:rPr>
          <w:rFonts w:hint="eastAsia"/>
          <w:color w:val="000000"/>
        </w:rPr>
        <w:t xml:space="preserve">1. </w:t>
      </w:r>
      <w:r>
        <w:rPr>
          <w:color w:val="000000"/>
        </w:rPr>
        <w:fldChar w:fldCharType="end"/>
      </w:r>
      <w:r w:rsidR="00235733">
        <w:rPr>
          <w:rFonts w:hint="eastAsia"/>
          <w:color w:val="000000"/>
        </w:rPr>
        <w:t>确定保护范围的基本规则</w:t>
      </w:r>
      <w:bookmarkEnd w:id="2060"/>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以图片或照片中的产品外观设计为准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外观设计专利权的保护范围以外观设计专利授权文本中的图片或者照片表示的外观设计为准，当事人提供的专利产品实物或照片仅能作为帮助理解外观设计的参考，不能作为确定外观设计保护范围的依据。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用以确定外观设计保护范围的图片或照片，应当以授权公告的文本为基础；如果有被生效法律文书确定的专利文本，则以该文本为基础。当专利公告</w:t>
      </w:r>
      <w:r>
        <w:rPr>
          <w:rFonts w:ascii="Times New Roman" w:eastAsia="宋体" w:hAnsi="Times New Roman"/>
          <w:sz w:val="21"/>
          <w:szCs w:val="21"/>
        </w:rPr>
        <w:t>（</w:t>
      </w:r>
      <w:r>
        <w:rPr>
          <w:rFonts w:ascii="Times New Roman" w:eastAsia="宋体" w:hAnsi="Times New Roman" w:hint="eastAsia"/>
          <w:sz w:val="21"/>
          <w:szCs w:val="21"/>
        </w:rPr>
        <w:t>包括专利授权公告与专利权部分无效公告</w:t>
      </w:r>
      <w:r>
        <w:rPr>
          <w:rFonts w:ascii="Times New Roman" w:eastAsia="宋体" w:hAnsi="Times New Roman"/>
          <w:sz w:val="21"/>
          <w:szCs w:val="21"/>
        </w:rPr>
        <w:t>）</w:t>
      </w:r>
      <w:r>
        <w:rPr>
          <w:rFonts w:ascii="Times New Roman" w:eastAsia="宋体" w:hAnsi="Times New Roman" w:hint="eastAsia"/>
          <w:sz w:val="21"/>
          <w:szCs w:val="21"/>
        </w:rPr>
        <w:t>所示图片或照片不清晰或出现色差时，可以该公告对应的申请文档记载的内容为准。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确定外观设计专利权的保护范围时，应以正投影视图、立体图、展开图、剖视图、剖面图、放大图以及变化状态图等确定外观设计的形状、图案或色彩内容</w:t>
      </w:r>
      <w:r>
        <w:rPr>
          <w:rFonts w:ascii="Times New Roman" w:eastAsia="宋体" w:hAnsi="Times New Roman"/>
          <w:sz w:val="21"/>
          <w:szCs w:val="21"/>
        </w:rPr>
        <w:t>（</w:t>
      </w:r>
      <w:r>
        <w:rPr>
          <w:rFonts w:ascii="Times New Roman" w:eastAsia="宋体" w:hAnsi="Times New Roman" w:hint="eastAsia"/>
          <w:sz w:val="21"/>
          <w:szCs w:val="21"/>
        </w:rPr>
        <w:t>剖视图、剖面图表达的内部结构除外</w:t>
      </w:r>
      <w:r>
        <w:rPr>
          <w:rFonts w:ascii="Times New Roman" w:eastAsia="宋体" w:hAnsi="Times New Roman"/>
          <w:sz w:val="21"/>
          <w:szCs w:val="21"/>
        </w:rPr>
        <w:t>）</w:t>
      </w:r>
      <w:r>
        <w:rPr>
          <w:rFonts w:ascii="Times New Roman" w:eastAsia="宋体" w:hAnsi="Times New Roman" w:hint="eastAsia"/>
          <w:sz w:val="21"/>
          <w:szCs w:val="21"/>
        </w:rPr>
        <w:t>，参考图通常表示产品用途、使用方法或者使用场所，从产品种类角度确定外观设计专利权的保护范围。参考图中包含的其他视图中未表示的内容应予排除，参考图与其他视图表示的内容有差异的，应以其他视图表示的内容为准。除参考图以外的其他视图用来确定外观设计专利的形状、图案或色彩。</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-1</w:t>
      </w:r>
      <w:r>
        <w:rPr>
          <w:rFonts w:ascii="Times New Roman" w:hAnsi="Times New Roman" w:hint="eastAsia"/>
        </w:rPr>
        <w:t>】门锁把手</w:t>
      </w:r>
    </w:p>
    <w:p w:rsidR="00800760" w:rsidRDefault="00235733">
      <w:pPr>
        <w:pStyle w:val="12"/>
        <w:topLinePunct/>
        <w:spacing w:line="336" w:lineRule="auto"/>
        <w:ind w:firstLineChars="0" w:firstLine="0"/>
        <w:jc w:val="center"/>
        <w:rPr>
          <w:rFonts w:ascii="Times New Roman" w:hAnsi="Times New Roman"/>
        </w:rPr>
      </w:pPr>
      <w:r>
        <w:rPr>
          <w:rFonts w:ascii="Times New Roman" w:hAnsi="Times New Roman"/>
          <w:noProof/>
          <w:lang w:val="en-US"/>
        </w:rPr>
        <w:drawing>
          <wp:inline distT="0" distB="0" distL="0" distR="0">
            <wp:extent cx="3857625" cy="2695575"/>
            <wp:effectExtent l="19050" t="0" r="9525" b="0"/>
            <wp:docPr id="1" name="图片 4" descr="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56"/>
                    <pic:cNvPicPr>
                      <a:picLocks noChangeAspect="1" noChangeArrowheads="1"/>
                    </pic:cNvPicPr>
                  </pic:nvPicPr>
                  <pic:blipFill>
                    <a:blip r:embed="rId22" cstate="print"/>
                    <a:srcRect/>
                    <a:stretch>
                      <a:fillRect/>
                    </a:stretch>
                  </pic:blipFill>
                  <pic:spPr>
                    <a:xfrm>
                      <a:off x="0" y="0"/>
                      <a:ext cx="3857625" cy="269557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涉案专利视图</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外观设计专利以六面正投影视图表示出门锁把手的形状设计，并通过使用状态参考图表示该门把手与门锁具体组装后的使用方式。在确定该外观设计的具体形状设计时，应以所述正投影视图为准，使用状态参考图示出的包括把手的门锁部分，不属于专利权的保护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简要说明用于解释图片或者照片所示产品外观设计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简要说明可以用于解释图片或者照片所表示的该产品的外观设计。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解释”，即指澄清、说明被解释对象自身包含的、隐含的内容，而非任意内容。简要说明对外观设计保护范围的解释，不能超出图片或照片表示的内容，比如仅在简要说明中描述而未在图片或照片中表示的形状、图案或色彩，在确定保护范围时不应予以考虑；简要说明所记载的内容与图片或者照片不一致时，应以图片或者照片为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简要说明的解释作用视其记载的具体内容而有所不同，可分为以下几种</w:t>
      </w:r>
      <w:r>
        <w:rPr>
          <w:rFonts w:ascii="Times New Roman" w:eastAsia="宋体" w:hAnsi="Times New Roman"/>
          <w:sz w:val="21"/>
          <w:szCs w:val="21"/>
        </w:rPr>
        <w:t>：</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限定性解释，例如当简要说明记载请求保护色彩时，图片或照片中显示的色彩应属于外观设计专利的保护范围；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补充性解释，例如当简要说明中记载因对称或者相同省略视图、平面产品图案纹样连续情况时，相应的记载内容补充了缺省视图表现的设计内容；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一般说明性解释，例如在简要说明中记载产品用途、设计要点时，其对外观设计专利涉及的产品种类、判断视觉瞩目点等可能会产生影响；</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为便于专利审批、公开等行政行为的相关说明，例如指定相似外观设计的基本设计、指定一幅最能表明设计要点的图片或照片。</w:t>
      </w:r>
    </w:p>
    <w:p w:rsidR="00800760" w:rsidRDefault="00235733">
      <w:pPr>
        <w:pStyle w:val="af6"/>
        <w:spacing w:before="120"/>
        <w:ind w:firstLine="420"/>
        <w:rPr>
          <w:rFonts w:ascii="Times New Roman" w:hAnsi="Times New Roman"/>
        </w:rPr>
      </w:pPr>
      <w:bookmarkStart w:id="2061" w:name="_Toc23893"/>
      <w:bookmarkStart w:id="2062" w:name="_Toc6443"/>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-2</w:t>
      </w:r>
      <w:r>
        <w:rPr>
          <w:rFonts w:ascii="Times New Roman" w:hAnsi="Times New Roman" w:hint="eastAsia"/>
        </w:rPr>
        <w:t>】婴幼儿浴帽</w:t>
      </w:r>
      <w:bookmarkEnd w:id="2061"/>
      <w:bookmarkEnd w:id="2062"/>
    </w:p>
    <w:p w:rsidR="00800760" w:rsidRDefault="00235733">
      <w:pPr>
        <w:pStyle w:val="12"/>
        <w:topLinePunct/>
        <w:spacing w:line="336" w:lineRule="auto"/>
        <w:ind w:firstLineChars="0" w:firstLine="0"/>
        <w:jc w:val="center"/>
        <w:rPr>
          <w:rFonts w:ascii="Times New Roman" w:eastAsia="楷体_GB2312" w:hAnsi="Times New Roman"/>
          <w:sz w:val="21"/>
          <w:szCs w:val="21"/>
        </w:rPr>
      </w:pPr>
      <w:r>
        <w:rPr>
          <w:rFonts w:ascii="Times New Roman" w:eastAsia="楷体_GB2312" w:hAnsi="Times New Roman"/>
          <w:noProof/>
          <w:sz w:val="21"/>
          <w:szCs w:val="21"/>
          <w:lang w:val="en-US"/>
        </w:rPr>
        <w:drawing>
          <wp:inline distT="0" distB="0" distL="0" distR="0">
            <wp:extent cx="3352800" cy="1666875"/>
            <wp:effectExtent l="19050" t="0" r="0" b="0"/>
            <wp:docPr id="5" name="图片 5" descr="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7"/>
                    <pic:cNvPicPr>
                      <a:picLocks noChangeAspect="1" noChangeArrowheads="1"/>
                    </pic:cNvPicPr>
                  </pic:nvPicPr>
                  <pic:blipFill>
                    <a:blip r:embed="rId23" cstate="print"/>
                    <a:srcRect/>
                    <a:stretch>
                      <a:fillRect/>
                    </a:stretch>
                  </pic:blipFill>
                  <pic:spPr>
                    <a:xfrm>
                      <a:off x="0" y="0"/>
                      <a:ext cx="3352800" cy="166687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涉案专利视图</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该专利简要说明：产品名称是婴幼儿浴帽；用于婴幼儿洗浴时戴；设计要点在于主视图和后视图；主视图是最能表明设计要点的图片。该产品视为平面产品，省略其他视图。</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外观设计专利在简要说明中明确“本产品视为平面产品”。但从照片显示的阴影关系看，该产品外观设计是带沟槽状的立体产品，不是带类似沟槽状图案的平面设计，故应以视图所示立体形状设计为准确定该专利的保护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对外观设计作整体性理解</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在确定外观设计专利保护范围时</w:t>
      </w:r>
      <w:r>
        <w:rPr>
          <w:rFonts w:ascii="Times New Roman" w:eastAsia="宋体" w:hAnsi="Times New Roman"/>
          <w:sz w:val="21"/>
          <w:szCs w:val="21"/>
        </w:rPr>
        <w:t>，</w:t>
      </w:r>
      <w:r>
        <w:rPr>
          <w:rFonts w:ascii="Times New Roman" w:eastAsia="宋体" w:hAnsi="Times New Roman" w:hint="eastAsia"/>
          <w:sz w:val="21"/>
          <w:szCs w:val="21"/>
        </w:rPr>
        <w:t>应综合各视图确定外观设计的形状、图案或色彩</w:t>
      </w:r>
      <w:r>
        <w:rPr>
          <w:rFonts w:ascii="Times New Roman" w:eastAsia="宋体" w:hAnsi="Times New Roman"/>
          <w:sz w:val="21"/>
          <w:szCs w:val="21"/>
        </w:rPr>
        <w:t>，</w:t>
      </w:r>
      <w:r>
        <w:rPr>
          <w:rFonts w:ascii="Times New Roman" w:eastAsia="宋体" w:hAnsi="Times New Roman" w:hint="eastAsia"/>
          <w:sz w:val="21"/>
          <w:szCs w:val="21"/>
        </w:rPr>
        <w:t>以图片或照片表示的整体外观设计为基础确定保护范围。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既包含创新设计部分，也包含现有设计部分的，以其共同形成的整体作为确定保护范围的基础；对于立体产品应基于各视图，按读图规则还原的立体形状作为外观设计内容，不能孤立地分别以各视图显示的投影线条确定外观设计专利保护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外观设计的形状、图案、色彩三要素在确定外观设计专利的保护范围时处于并列关系，三者不存在任何从属关系。某一要素对外观设计整体视觉效果的影响程度，需要根据具体案件综合考虑各方面因素确定。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排除不受外观设计专利保护的内容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产品内部结构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一般消费者从图片或照片中不能观察到的产品内部结构</w:t>
      </w:r>
      <w:r>
        <w:rPr>
          <w:rFonts w:ascii="Times New Roman" w:eastAsia="宋体" w:hAnsi="Times New Roman"/>
          <w:sz w:val="21"/>
          <w:szCs w:val="21"/>
        </w:rPr>
        <w:t>，</w:t>
      </w:r>
      <w:r>
        <w:rPr>
          <w:rFonts w:ascii="Times New Roman" w:eastAsia="宋体" w:hAnsi="Times New Roman" w:hint="eastAsia"/>
          <w:sz w:val="21"/>
          <w:szCs w:val="21"/>
        </w:rPr>
        <w:t>不属于专利权的保护范围。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应当注意，对于零部件等中间产品，不应以其在最终产品中是否可见判断其可见部分。例如，门窗型材外观设计的判断以其截面的形状为准。作为最终产品的门窗，观察不到其截面形状，而作为型材一般消费者的门窗制作人员在使用中可观察到。因此，不能以门窗使用过程中不可见型材截面而认定截面不属于专利权保护的范围。</w:t>
      </w:r>
    </w:p>
    <w:p w:rsidR="00800760" w:rsidRDefault="00C22A7B">
      <w:pPr>
        <w:pStyle w:val="1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产品的功能效果</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外观设计中</w:t>
      </w:r>
      <w:r>
        <w:rPr>
          <w:rFonts w:ascii="Times New Roman" w:eastAsia="宋体" w:hAnsi="Times New Roman"/>
          <w:sz w:val="21"/>
          <w:szCs w:val="21"/>
        </w:rPr>
        <w:t>，</w:t>
      </w:r>
      <w:r>
        <w:rPr>
          <w:rFonts w:ascii="Times New Roman" w:eastAsia="宋体" w:hAnsi="Times New Roman" w:hint="eastAsia"/>
          <w:sz w:val="21"/>
          <w:szCs w:val="21"/>
        </w:rPr>
        <w:t>由产品技术功能唯一确定的设计内容不属于外观设计专利的保护范围。如果存在可供选择替换的外观设计的，则相关设计属于专利权保护的范围。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在确定外观设计专利保护范围时，不考虑产品技术功能所带来的差异。但是，如果技术功能的差异导致产品用途不相同，则应当考虑两个因素</w:t>
      </w:r>
      <w:r>
        <w:rPr>
          <w:rFonts w:ascii="Times New Roman" w:eastAsia="宋体" w:hAnsi="Times New Roman"/>
          <w:sz w:val="21"/>
          <w:szCs w:val="21"/>
        </w:rPr>
        <w:t>：</w:t>
      </w:r>
      <w:r>
        <w:rPr>
          <w:rFonts w:ascii="Times New Roman" w:eastAsia="宋体" w:hAnsi="Times New Roman" w:hint="eastAsia"/>
          <w:sz w:val="21"/>
          <w:szCs w:val="21"/>
        </w:rPr>
        <w:t>第一，产品种类是否相近；第二，一般消费者是否会在使用、购买产品时产生误认。</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字音、字义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外观设计中的文字和数字的字音、字义不属于外观设计专利保护的内容，在确定外观设计专利保护范围时，仅将其作为图案考虑。</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照片视图中明显不属于要求保护的外观设计的内容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拍摄照片视图时会完全再现产品的各个细节，因此在个别照片中可能会产生阴影、对反光表面拍照产生的反光影像，有些照片还显示有产品的内装物或者衬托物，这些明显不属于外观设计专利权保护的内容。另外，透视效果造成的明显偏差、各视图比例不一致等情形亦应当根据日常经验进行判断，其结论应当是能够毫无疑义直接得出的。</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-3</w:t>
      </w:r>
      <w:r>
        <w:rPr>
          <w:rFonts w:ascii="Times New Roman" w:hAnsi="Times New Roman" w:hint="eastAsia"/>
        </w:rPr>
        <w:t>】水龙头</w:t>
      </w:r>
    </w:p>
    <w:p w:rsidR="00800760" w:rsidRDefault="00235733">
      <w:pPr>
        <w:ind w:firstLine="360"/>
        <w:jc w:val="center"/>
        <w:rPr>
          <w:rFonts w:eastAsia="黑体"/>
          <w:sz w:val="18"/>
          <w:szCs w:val="18"/>
        </w:rPr>
      </w:pPr>
      <w:r>
        <w:rPr>
          <w:rFonts w:eastAsia="黑体"/>
          <w:noProof/>
          <w:sz w:val="18"/>
          <w:szCs w:val="18"/>
          <w:lang w:val="en-US"/>
        </w:rPr>
        <w:drawing>
          <wp:inline distT="0" distB="0" distL="0" distR="0">
            <wp:extent cx="3924300" cy="1476375"/>
            <wp:effectExtent l="19050" t="0" r="0" b="0"/>
            <wp:docPr id="7" name="图片 6" desc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58"/>
                    <pic:cNvPicPr>
                      <a:picLocks noChangeAspect="1" noChangeArrowheads="1"/>
                    </pic:cNvPicPr>
                  </pic:nvPicPr>
                  <pic:blipFill>
                    <a:blip r:embed="rId24" cstate="print"/>
                    <a:srcRect/>
                    <a:stretch>
                      <a:fillRect/>
                    </a:stretch>
                  </pic:blipFill>
                  <pic:spPr>
                    <a:xfrm>
                      <a:off x="0" y="0"/>
                      <a:ext cx="3924300" cy="147637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涉案专利视图</w:t>
      </w:r>
    </w:p>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keepNext/>
        <w:widowControl/>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外观设计以照片表示各面视图，其白色高光部分根据一般常识判断，有可能是光滑表面的反光影像或者图案。根据各视图的投影关系分析，该外观设计中的图案明显不对应，故在确定专利保护范围时，应将其作为不予保护的反光考虑。另外，在照片中，主视图、后视图、右视图顶面侧棱显示为弧形，但由于左视图中显示为直线，假如顶面是弧面，在各个视图中应当有顶面与侧面的相交线，因此根据各视图，顶面不可能是弧面，根据经验判断，主、后、右视图顶面弧形为透视所致，故判定产品顶部平直。</w:t>
      </w:r>
    </w:p>
    <w:p w:rsidR="00800760" w:rsidRDefault="00235733">
      <w:pPr>
        <w:pStyle w:val="af6"/>
        <w:spacing w:before="120"/>
        <w:ind w:firstLine="420"/>
        <w:rPr>
          <w:rFonts w:ascii="Times New Roman" w:hAnsi="Times New Roman"/>
        </w:rPr>
      </w:pPr>
      <w:bookmarkStart w:id="2063" w:name="_Toc7907"/>
      <w:bookmarkStart w:id="2064" w:name="_Toc15338"/>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-4</w:t>
      </w:r>
      <w:r>
        <w:rPr>
          <w:rFonts w:ascii="Times New Roman" w:hAnsi="Times New Roman" w:hint="eastAsia"/>
        </w:rPr>
        <w:t>】塑身裤</w:t>
      </w:r>
      <w:bookmarkEnd w:id="2063"/>
      <w:bookmarkEnd w:id="2064"/>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3019425" cy="1676400"/>
            <wp:effectExtent l="19050" t="0" r="9525" b="0"/>
            <wp:docPr id="69" name="图片 7" descr="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 descr="59"/>
                    <pic:cNvPicPr>
                      <a:picLocks noChangeAspect="1" noChangeArrowheads="1"/>
                    </pic:cNvPicPr>
                  </pic:nvPicPr>
                  <pic:blipFill>
                    <a:blip r:embed="rId25" cstate="print"/>
                    <a:srcRect/>
                    <a:stretch>
                      <a:fillRect/>
                    </a:stretch>
                  </pic:blipFill>
                  <pic:spPr>
                    <a:xfrm>
                      <a:off x="0" y="0"/>
                      <a:ext cx="3019425" cy="1676400"/>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涉案专利视图</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该外观设计专利通过衣模的支撑才能清楚地显示塑身裤的形状、图案，该衣模显然不属于塑身裤的组成部分，不属于专利权的保护范围。</w:t>
      </w:r>
    </w:p>
    <w:p w:rsidR="00800760" w:rsidRDefault="00235733">
      <w:pPr>
        <w:pStyle w:val="5"/>
        <w:spacing w:before="120"/>
        <w:rPr>
          <w:color w:val="000000"/>
          <w:highlight w:val="yellow"/>
        </w:rPr>
      </w:pPr>
      <w:r>
        <w:rPr>
          <w:rFonts w:hint="eastAsia"/>
          <w:color w:val="000000"/>
        </w:rPr>
        <w:t xml:space="preserve">2. </w:t>
      </w:r>
      <w:r>
        <w:rPr>
          <w:rFonts w:hint="eastAsia"/>
          <w:color w:val="000000"/>
        </w:rPr>
        <w:t>确定局部外观设计的保护范围</w:t>
      </w:r>
    </w:p>
    <w:p w:rsidR="00800760" w:rsidRDefault="00235733">
      <w:pPr>
        <w:pStyle w:val="12"/>
        <w:topLinePunct/>
        <w:spacing w:line="336" w:lineRule="auto"/>
        <w:ind w:firstLine="420"/>
        <w:rPr>
          <w:rFonts w:ascii="Times New Roman" w:eastAsia="宋体" w:hAnsi="Times New Roman"/>
          <w:sz w:val="21"/>
          <w:szCs w:val="21"/>
          <w:lang w:val="en-GB"/>
        </w:rPr>
      </w:pPr>
      <w:bookmarkStart w:id="2065" w:name="_Toc12859"/>
      <w:bookmarkStart w:id="2066" w:name="_Toc4735"/>
      <w:bookmarkStart w:id="2067" w:name="_Toc21184"/>
      <w:bookmarkStart w:id="2068" w:name="_Toc20805"/>
      <w:bookmarkStart w:id="2069" w:name="_Toc17869"/>
      <w:bookmarkStart w:id="2070" w:name="_Toc24470"/>
      <w:bookmarkStart w:id="2071" w:name="_Toc10067"/>
      <w:bookmarkStart w:id="2072" w:name="_Toc15570"/>
      <w:bookmarkStart w:id="2073" w:name="_Toc4184"/>
      <w:bookmarkStart w:id="2074" w:name="_Toc17606"/>
      <w:bookmarkStart w:id="2075" w:name="_Toc20122"/>
      <w:bookmarkStart w:id="2076" w:name="_Toc23696"/>
      <w:r>
        <w:rPr>
          <w:rFonts w:ascii="Times New Roman" w:eastAsia="宋体" w:hAnsi="Times New Roman" w:hint="eastAsia"/>
          <w:sz w:val="21"/>
          <w:szCs w:val="21"/>
          <w:lang w:val="en-GB"/>
        </w:rPr>
        <w:t>除上述确定保护范围的基本规则外，确定局部外观设计的保护范围还需要符合以下要求。</w:t>
      </w:r>
      <w:bookmarkEnd w:id="2065"/>
      <w:bookmarkEnd w:id="2066"/>
      <w:bookmarkEnd w:id="2067"/>
      <w:bookmarkEnd w:id="2068"/>
      <w:bookmarkEnd w:id="2069"/>
      <w:bookmarkEnd w:id="2070"/>
      <w:bookmarkEnd w:id="2071"/>
      <w:bookmarkEnd w:id="2072"/>
      <w:bookmarkEnd w:id="2073"/>
      <w:bookmarkEnd w:id="2074"/>
      <w:bookmarkEnd w:id="2075"/>
      <w:bookmarkEnd w:id="2076"/>
    </w:p>
    <w:p w:rsidR="00800760" w:rsidRDefault="00235733">
      <w:pPr>
        <w:pStyle w:val="12"/>
        <w:topLinePunct/>
        <w:spacing w:line="336" w:lineRule="auto"/>
        <w:ind w:firstLine="420"/>
        <w:rPr>
          <w:rFonts w:ascii="Times New Roman" w:eastAsia="宋体" w:hAnsi="Times New Roman"/>
          <w:sz w:val="21"/>
          <w:szCs w:val="21"/>
          <w:lang w:val="en-GB"/>
        </w:rPr>
      </w:pPr>
      <w:bookmarkStart w:id="2077" w:name="_Toc28742"/>
      <w:bookmarkStart w:id="2078" w:name="_Toc18819"/>
      <w:bookmarkStart w:id="2079" w:name="_Toc8557"/>
      <w:bookmarkStart w:id="2080" w:name="_Toc20281"/>
      <w:bookmarkStart w:id="2081" w:name="_Toc23682"/>
      <w:bookmarkStart w:id="2082" w:name="_Toc22679"/>
      <w:bookmarkStart w:id="2083" w:name="_Toc14381"/>
      <w:bookmarkStart w:id="2084" w:name="_Toc2533"/>
      <w:bookmarkStart w:id="2085" w:name="_Toc8240"/>
      <w:bookmarkStart w:id="2086" w:name="_Toc13509"/>
      <w:bookmarkStart w:id="2087" w:name="_Toc16260"/>
      <w:bookmarkStart w:id="2088" w:name="_Toc30964"/>
      <w:bookmarkStart w:id="2089" w:name="_Toc12995"/>
      <w:r>
        <w:rPr>
          <w:rFonts w:ascii="Times New Roman" w:eastAsia="宋体" w:hAnsi="Times New Roman" w:hint="eastAsia"/>
          <w:sz w:val="21"/>
          <w:szCs w:val="21"/>
          <w:lang w:val="en-GB"/>
        </w:rPr>
        <w:t>（</w:t>
      </w:r>
      <w:r>
        <w:rPr>
          <w:rFonts w:ascii="Times New Roman" w:eastAsia="宋体" w:hAnsi="Times New Roman"/>
          <w:sz w:val="21"/>
          <w:szCs w:val="21"/>
          <w:lang w:val="en-GB"/>
        </w:rPr>
        <w:t>1</w:t>
      </w:r>
      <w:r>
        <w:rPr>
          <w:rFonts w:ascii="Times New Roman" w:eastAsia="宋体" w:hAnsi="Times New Roman"/>
          <w:sz w:val="21"/>
          <w:szCs w:val="21"/>
          <w:lang w:val="en-GB"/>
        </w:rPr>
        <w:t>）以图片或照片中的产品外观设计为准</w:t>
      </w:r>
      <w:bookmarkEnd w:id="2077"/>
      <w:bookmarkEnd w:id="2078"/>
      <w:bookmarkEnd w:id="2079"/>
      <w:bookmarkEnd w:id="2080"/>
      <w:bookmarkEnd w:id="2081"/>
      <w:bookmarkEnd w:id="2082"/>
      <w:bookmarkEnd w:id="2083"/>
      <w:bookmarkEnd w:id="2084"/>
      <w:bookmarkEnd w:id="2085"/>
      <w:bookmarkEnd w:id="2086"/>
      <w:bookmarkEnd w:id="2087"/>
      <w:bookmarkEnd w:id="2088"/>
      <w:bookmarkEnd w:id="2089"/>
    </w:p>
    <w:p w:rsidR="00800760" w:rsidRDefault="00235733">
      <w:pPr>
        <w:pStyle w:val="12"/>
        <w:topLinePunct/>
        <w:spacing w:line="336" w:lineRule="auto"/>
        <w:ind w:firstLine="420"/>
        <w:rPr>
          <w:rFonts w:ascii="Times New Roman" w:eastAsia="宋体" w:hAnsi="Times New Roman"/>
          <w:sz w:val="21"/>
          <w:szCs w:val="21"/>
          <w:lang w:val="en-GB"/>
        </w:rPr>
      </w:pPr>
      <w:r>
        <w:rPr>
          <w:rFonts w:ascii="Times New Roman" w:eastAsia="宋体" w:hAnsi="Times New Roman" w:hint="eastAsia"/>
          <w:sz w:val="21"/>
          <w:szCs w:val="21"/>
          <w:lang w:val="en-GB"/>
        </w:rPr>
        <w:t>对于局部外观设计，应以要求保护部分的形状、图案、色彩为准，并考虑该部分在所示产品中的位置和比例关系。</w:t>
      </w:r>
    </w:p>
    <w:p w:rsidR="00800760" w:rsidRDefault="00235733">
      <w:pPr>
        <w:pStyle w:val="12"/>
        <w:topLinePunct/>
        <w:spacing w:line="336" w:lineRule="auto"/>
        <w:ind w:firstLine="420"/>
        <w:rPr>
          <w:rFonts w:ascii="Times New Roman" w:eastAsia="宋体" w:hAnsi="Times New Roman"/>
          <w:sz w:val="21"/>
          <w:szCs w:val="21"/>
          <w:lang w:val="en-GB"/>
        </w:rPr>
      </w:pPr>
      <w:r>
        <w:rPr>
          <w:rFonts w:ascii="Times New Roman" w:eastAsia="宋体" w:hAnsi="Times New Roman" w:hint="eastAsia"/>
          <w:sz w:val="21"/>
          <w:szCs w:val="21"/>
          <w:lang w:val="en-GB"/>
        </w:rPr>
        <w:t>对于局部外观设计，当用实线与虚线相结合的方式表明所需要保护的内容时，实线表示要求保护的部分，虚线表示其他部分；采用其他方式表明所需保护的内容时，例如，用单一颜色的半透明层覆盖其他部分或用点划线方式区分要求保护的部分与其他部分时，应根据简要说明确定要求保护的部分。</w:t>
      </w:r>
    </w:p>
    <w:p w:rsidR="00800760" w:rsidRDefault="00235733">
      <w:pPr>
        <w:pStyle w:val="af6"/>
        <w:spacing w:before="120"/>
        <w:ind w:firstLine="420"/>
        <w:rPr>
          <w:rFonts w:ascii="Times New Roman" w:hAnsi="Times New Roman"/>
          <w:lang w:val="en-GB"/>
        </w:rPr>
      </w:pPr>
      <w:bookmarkStart w:id="2090" w:name="_Toc21975"/>
      <w:bookmarkStart w:id="2091" w:name="_Toc23168"/>
      <w:bookmarkStart w:id="2092" w:name="_Toc11940"/>
      <w:bookmarkStart w:id="2093" w:name="_Toc13521"/>
      <w:bookmarkStart w:id="2094" w:name="_Toc1512"/>
      <w:bookmarkStart w:id="2095" w:name="_Toc13189"/>
      <w:bookmarkStart w:id="2096" w:name="_Toc14206"/>
      <w:bookmarkStart w:id="2097" w:name="_Toc14008"/>
      <w:bookmarkStart w:id="2098" w:name="_Toc30281"/>
      <w:bookmarkStart w:id="2099" w:name="_Toc32510"/>
      <w:bookmarkStart w:id="2100" w:name="_Toc25694"/>
      <w:r>
        <w:rPr>
          <w:rFonts w:ascii="Times New Roman" w:hAnsi="Times New Roman" w:hint="eastAsia"/>
        </w:rPr>
        <w:t>【案例</w:t>
      </w:r>
      <w:r>
        <w:rPr>
          <w:rFonts w:ascii="Times New Roman" w:hAnsi="Times New Roman" w:hint="eastAsia"/>
          <w:lang w:val="en-US"/>
        </w:rPr>
        <w:t>3</w:t>
      </w:r>
      <w:r>
        <w:rPr>
          <w:rFonts w:ascii="Times New Roman" w:hAnsi="Times New Roman"/>
          <w:lang w:val="en-GB"/>
        </w:rPr>
        <w:t>-</w:t>
      </w:r>
      <w:r>
        <w:rPr>
          <w:rFonts w:ascii="Times New Roman" w:hAnsi="Times New Roman" w:hint="eastAsia"/>
          <w:lang w:val="en-US"/>
        </w:rPr>
        <w:t>5</w:t>
      </w:r>
      <w:r>
        <w:rPr>
          <w:rFonts w:ascii="Times New Roman" w:hAnsi="Times New Roman"/>
          <w:lang w:val="en-GB"/>
        </w:rPr>
        <w:t>-5</w:t>
      </w:r>
      <w:r>
        <w:rPr>
          <w:rFonts w:ascii="Times New Roman" w:hAnsi="Times New Roman" w:hint="eastAsia"/>
        </w:rPr>
        <w:t>】椅座与椅背</w:t>
      </w:r>
      <w:bookmarkEnd w:id="2090"/>
      <w:bookmarkEnd w:id="2091"/>
      <w:bookmarkEnd w:id="2092"/>
      <w:bookmarkEnd w:id="2093"/>
      <w:bookmarkEnd w:id="2094"/>
      <w:bookmarkEnd w:id="2095"/>
      <w:bookmarkEnd w:id="2096"/>
      <w:bookmarkEnd w:id="2097"/>
      <w:bookmarkEnd w:id="2098"/>
      <w:bookmarkEnd w:id="2099"/>
      <w:bookmarkEnd w:id="2100"/>
    </w:p>
    <w:p w:rsidR="00800760" w:rsidRDefault="00235733">
      <w:pPr>
        <w:pStyle w:val="12"/>
        <w:topLinePunct/>
        <w:spacing w:line="336" w:lineRule="auto"/>
        <w:ind w:firstLine="640"/>
        <w:rPr>
          <w:rFonts w:ascii="Times New Roman" w:hAnsi="Times New Roman"/>
          <w:szCs w:val="21"/>
        </w:rPr>
      </w:pPr>
      <w:r>
        <w:rPr>
          <w:rFonts w:ascii="Times New Roman" w:hAnsi="Times New Roman"/>
          <w:noProof/>
          <w:szCs w:val="21"/>
          <w:lang w:val="en-US"/>
        </w:rPr>
        <w:drawing>
          <wp:inline distT="0" distB="0" distL="0" distR="0">
            <wp:extent cx="4800600" cy="3762375"/>
            <wp:effectExtent l="0" t="0" r="0" b="0"/>
            <wp:docPr id="7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
                    <pic:cNvPicPr>
                      <a:picLocks noChangeAspect="1" noChangeArrowheads="1"/>
                    </pic:cNvPicPr>
                  </pic:nvPicPr>
                  <pic:blipFill>
                    <a:blip r:embed="rId26" cstate="print"/>
                    <a:srcRect r="18158"/>
                    <a:stretch>
                      <a:fillRect/>
                    </a:stretch>
                  </pic:blipFill>
                  <pic:spPr>
                    <a:xfrm>
                      <a:off x="0" y="0"/>
                      <a:ext cx="4800600" cy="3762375"/>
                    </a:xfrm>
                    <a:prstGeom prst="rect">
                      <a:avLst/>
                    </a:prstGeom>
                    <a:noFill/>
                    <a:ln w="9525">
                      <a:noFill/>
                      <a:miter lim="800000"/>
                      <a:headEnd/>
                      <a:tailEnd/>
                    </a:ln>
                  </pic:spPr>
                </pic:pic>
              </a:graphicData>
            </a:graphic>
          </wp:inline>
        </w:drawing>
      </w:r>
    </w:p>
    <w:p w:rsidR="00800760" w:rsidRDefault="00235733">
      <w:pPr>
        <w:pStyle w:val="12"/>
        <w:topLinePunct/>
        <w:spacing w:line="336" w:lineRule="auto"/>
        <w:ind w:firstLine="420"/>
        <w:rPr>
          <w:rFonts w:ascii="Times New Roman" w:eastAsia="华文隶书" w:hAnsi="Times New Roman"/>
          <w:sz w:val="21"/>
          <w:szCs w:val="21"/>
        </w:rPr>
      </w:pPr>
      <w:bookmarkStart w:id="2101" w:name="_Toc21646"/>
      <w:bookmarkStart w:id="2102" w:name="_Toc18322"/>
      <w:bookmarkStart w:id="2103" w:name="_Toc26288"/>
      <w:bookmarkStart w:id="2104" w:name="_Toc27806"/>
      <w:bookmarkStart w:id="2105" w:name="_Toc20982"/>
      <w:bookmarkStart w:id="2106" w:name="_Toc10370"/>
      <w:bookmarkStart w:id="2107" w:name="_Toc14994"/>
      <w:bookmarkStart w:id="2108" w:name="_Toc18845"/>
      <w:bookmarkStart w:id="2109" w:name="_Toc27097"/>
      <w:bookmarkStart w:id="2110" w:name="_Toc29317"/>
      <w:bookmarkStart w:id="2111" w:name="_Toc3200"/>
      <w:bookmarkStart w:id="2112" w:name="_Toc27308"/>
      <w:bookmarkStart w:id="2113" w:name="_Toc26194"/>
      <w:bookmarkStart w:id="2114" w:name="_Toc18312"/>
      <w:r>
        <w:rPr>
          <w:rFonts w:ascii="Times New Roman" w:eastAsia="华文隶书" w:hAnsi="Times New Roman" w:hint="eastAsia"/>
          <w:sz w:val="21"/>
          <w:szCs w:val="21"/>
        </w:rPr>
        <w:t>分析与评述：</w:t>
      </w:r>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局部外观设计专利以六面正投影视图表示出椅座和椅背的形状设计，并通过实线与虚线相结合的方式表示椅子中需要保护和不需要保护的部分，即实线所描绘的椅座和椅背是需要保护的部分，虚线所描绘的椅脚是不需要保护的部分。在确定该局部外观设计的保护范围时，应以实线所描绘的部分为准，虚线部分只是描述外部环境，不属于专利权的保护范围。</w:t>
      </w:r>
    </w:p>
    <w:p w:rsidR="00800760" w:rsidRDefault="00235733">
      <w:pPr>
        <w:pStyle w:val="af6"/>
        <w:spacing w:before="120"/>
        <w:ind w:firstLine="420"/>
        <w:rPr>
          <w:rFonts w:ascii="Times New Roman" w:hAnsi="Times New Roman"/>
        </w:rPr>
      </w:pPr>
      <w:bookmarkStart w:id="2115" w:name="_Toc12679"/>
      <w:bookmarkStart w:id="2116" w:name="_Toc3363"/>
      <w:bookmarkStart w:id="2117" w:name="_Toc4420"/>
      <w:bookmarkStart w:id="2118" w:name="_Toc21688"/>
      <w:bookmarkStart w:id="2119" w:name="_Toc5783"/>
      <w:bookmarkStart w:id="2120" w:name="_Toc26297"/>
      <w:bookmarkStart w:id="2121" w:name="_Toc10398"/>
      <w:bookmarkStart w:id="2122" w:name="_Toc5058"/>
      <w:bookmarkStart w:id="2123" w:name="_Toc15253"/>
      <w:bookmarkStart w:id="2124" w:name="_Toc22716"/>
      <w:bookmarkStart w:id="2125" w:name="_Toc9752"/>
      <w:bookmarkStart w:id="2126" w:name="_Toc23962"/>
      <w:bookmarkStart w:id="2127" w:name="_Toc29475"/>
      <w:r>
        <w:rPr>
          <w:rFonts w:ascii="Times New Roman" w:hAnsi="Times New Roman" w:hint="eastAsia"/>
        </w:rPr>
        <w:t>【案例</w:t>
      </w:r>
      <w:r>
        <w:rPr>
          <w:rFonts w:ascii="Times New Roman" w:hAnsi="Times New Roman" w:hint="eastAsia"/>
          <w:lang w:val="en-US"/>
        </w:rPr>
        <w:t>3-5-6</w:t>
      </w:r>
      <w:r>
        <w:rPr>
          <w:rFonts w:ascii="Times New Roman" w:hAnsi="Times New Roman" w:hint="eastAsia"/>
        </w:rPr>
        <w:t>】汽车的后车身</w:t>
      </w:r>
      <w:bookmarkEnd w:id="2115"/>
      <w:bookmarkEnd w:id="2116"/>
      <w:bookmarkEnd w:id="2117"/>
      <w:bookmarkEnd w:id="2118"/>
      <w:bookmarkEnd w:id="2119"/>
      <w:bookmarkEnd w:id="2120"/>
      <w:bookmarkEnd w:id="2121"/>
      <w:bookmarkEnd w:id="2122"/>
      <w:bookmarkEnd w:id="2123"/>
      <w:bookmarkEnd w:id="2124"/>
      <w:bookmarkEnd w:id="2125"/>
      <w:bookmarkEnd w:id="2126"/>
      <w:bookmarkEnd w:id="2127"/>
    </w:p>
    <w:tbl>
      <w:tblPr>
        <w:tblW w:w="8439" w:type="dxa"/>
        <w:jc w:val="center"/>
        <w:tblLayout w:type="fixed"/>
        <w:tblLook w:val="04A0"/>
      </w:tblPr>
      <w:tblGrid>
        <w:gridCol w:w="2836"/>
        <w:gridCol w:w="2827"/>
        <w:gridCol w:w="2776"/>
      </w:tblGrid>
      <w:tr w:rsidR="00800760">
        <w:trPr>
          <w:trHeight w:val="1876"/>
          <w:jc w:val="center"/>
        </w:trPr>
        <w:tc>
          <w:tcPr>
            <w:tcW w:w="2836" w:type="dxa"/>
            <w:vAlign w:val="center"/>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hAnsi="Times New Roman"/>
                <w:noProof/>
                <w:szCs w:val="32"/>
                <w:lang w:val="en-US"/>
              </w:rPr>
              <w:drawing>
                <wp:inline distT="0" distB="0" distL="0" distR="0">
                  <wp:extent cx="1238250" cy="1019175"/>
                  <wp:effectExtent l="19050" t="0" r="0" b="0"/>
                  <wp:docPr id="1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5"/>
                          <pic:cNvPicPr>
                            <a:picLocks noChangeAspect="1" noChangeArrowheads="1"/>
                          </pic:cNvPicPr>
                        </pic:nvPicPr>
                        <pic:blipFill>
                          <a:blip r:embed="rId27" cstate="print"/>
                          <a:srcRect/>
                          <a:stretch>
                            <a:fillRect/>
                          </a:stretch>
                        </pic:blipFill>
                        <pic:spPr>
                          <a:xfrm>
                            <a:off x="0" y="0"/>
                            <a:ext cx="1238250" cy="1019175"/>
                          </a:xfrm>
                          <a:prstGeom prst="rect">
                            <a:avLst/>
                          </a:prstGeom>
                          <a:noFill/>
                          <a:ln w="9525">
                            <a:noFill/>
                            <a:miter lim="800000"/>
                            <a:headEnd/>
                            <a:tailEnd/>
                          </a:ln>
                        </pic:spPr>
                      </pic:pic>
                    </a:graphicData>
                  </a:graphic>
                </wp:inline>
              </w:drawing>
            </w:r>
          </w:p>
        </w:tc>
        <w:tc>
          <w:tcPr>
            <w:tcW w:w="2827" w:type="dxa"/>
            <w:vAlign w:val="center"/>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hAnsi="Times New Roman"/>
                <w:noProof/>
                <w:szCs w:val="32"/>
                <w:lang w:val="en-US"/>
              </w:rPr>
              <w:drawing>
                <wp:inline distT="0" distB="0" distL="0" distR="0">
                  <wp:extent cx="1276350" cy="1000125"/>
                  <wp:effectExtent l="19050" t="0" r="0" b="0"/>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noChangeArrowheads="1"/>
                          </pic:cNvPicPr>
                        </pic:nvPicPr>
                        <pic:blipFill>
                          <a:blip r:embed="rId28" cstate="print"/>
                          <a:srcRect/>
                          <a:stretch>
                            <a:fillRect/>
                          </a:stretch>
                        </pic:blipFill>
                        <pic:spPr>
                          <a:xfrm>
                            <a:off x="0" y="0"/>
                            <a:ext cx="1276350" cy="1000125"/>
                          </a:xfrm>
                          <a:prstGeom prst="rect">
                            <a:avLst/>
                          </a:prstGeom>
                          <a:noFill/>
                          <a:ln w="9525">
                            <a:noFill/>
                            <a:miter lim="800000"/>
                            <a:headEnd/>
                            <a:tailEnd/>
                          </a:ln>
                        </pic:spPr>
                      </pic:pic>
                    </a:graphicData>
                  </a:graphic>
                </wp:inline>
              </w:drawing>
            </w:r>
          </w:p>
        </w:tc>
        <w:tc>
          <w:tcPr>
            <w:tcW w:w="2776" w:type="dxa"/>
            <w:vAlign w:val="center"/>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hAnsi="Times New Roman"/>
                <w:noProof/>
                <w:szCs w:val="32"/>
                <w:lang w:val="en-US"/>
              </w:rPr>
              <w:drawing>
                <wp:inline distT="0" distB="0" distL="0" distR="0">
                  <wp:extent cx="1628775" cy="733425"/>
                  <wp:effectExtent l="19050" t="0" r="9525" b="0"/>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pic:cNvPicPr>
                            <a:picLocks noChangeAspect="1" noChangeArrowheads="1"/>
                          </pic:cNvPicPr>
                        </pic:nvPicPr>
                        <pic:blipFill>
                          <a:blip r:embed="rId29" cstate="print"/>
                          <a:srcRect/>
                          <a:stretch>
                            <a:fillRect/>
                          </a:stretch>
                        </pic:blipFill>
                        <pic:spPr>
                          <a:xfrm>
                            <a:off x="0" y="0"/>
                            <a:ext cx="1628775" cy="733425"/>
                          </a:xfrm>
                          <a:prstGeom prst="rect">
                            <a:avLst/>
                          </a:prstGeom>
                          <a:noFill/>
                          <a:ln w="9525">
                            <a:noFill/>
                            <a:miter lim="800000"/>
                            <a:headEnd/>
                            <a:tailEnd/>
                          </a:ln>
                        </pic:spPr>
                      </pic:pic>
                    </a:graphicData>
                  </a:graphic>
                </wp:inline>
              </w:drawing>
            </w:r>
          </w:p>
        </w:tc>
      </w:tr>
      <w:tr w:rsidR="00800760">
        <w:trPr>
          <w:trHeight w:val="311"/>
          <w:jc w:val="center"/>
        </w:trPr>
        <w:tc>
          <w:tcPr>
            <w:tcW w:w="2836" w:type="dxa"/>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eastAsia="黑体" w:hAnsi="Times New Roman" w:hint="eastAsia"/>
                <w:szCs w:val="32"/>
              </w:rPr>
              <w:t>主视图</w:t>
            </w:r>
          </w:p>
        </w:tc>
        <w:tc>
          <w:tcPr>
            <w:tcW w:w="2827" w:type="dxa"/>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eastAsia="黑体" w:hAnsi="Times New Roman" w:hint="eastAsia"/>
                <w:szCs w:val="32"/>
              </w:rPr>
              <w:t>后视图</w:t>
            </w:r>
          </w:p>
        </w:tc>
        <w:tc>
          <w:tcPr>
            <w:tcW w:w="2776" w:type="dxa"/>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eastAsia="黑体" w:hAnsi="Times New Roman" w:hint="eastAsia"/>
                <w:szCs w:val="32"/>
              </w:rPr>
              <w:t>俯视图</w:t>
            </w:r>
          </w:p>
        </w:tc>
      </w:tr>
      <w:tr w:rsidR="00800760">
        <w:trPr>
          <w:trHeight w:val="2022"/>
          <w:jc w:val="center"/>
        </w:trPr>
        <w:tc>
          <w:tcPr>
            <w:tcW w:w="2836" w:type="dxa"/>
          </w:tcPr>
          <w:p w:rsidR="00800760" w:rsidRDefault="00800760">
            <w:pPr>
              <w:pStyle w:val="22"/>
              <w:topLinePunct/>
              <w:spacing w:line="240" w:lineRule="auto"/>
              <w:ind w:firstLineChars="0" w:firstLine="0"/>
              <w:jc w:val="center"/>
              <w:rPr>
                <w:rFonts w:ascii="Times New Roman" w:hAnsi="Times New Roman"/>
                <w:szCs w:val="32"/>
              </w:rPr>
            </w:pPr>
          </w:p>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hAnsi="Times New Roman"/>
                <w:noProof/>
                <w:szCs w:val="32"/>
                <w:lang w:val="en-US"/>
              </w:rPr>
              <w:drawing>
                <wp:inline distT="0" distB="0" distL="0" distR="0">
                  <wp:extent cx="1657350" cy="561975"/>
                  <wp:effectExtent l="19050" t="0" r="0" b="0"/>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noChangeArrowheads="1"/>
                          </pic:cNvPicPr>
                        </pic:nvPicPr>
                        <pic:blipFill>
                          <a:blip r:embed="rId30" cstate="print"/>
                          <a:srcRect/>
                          <a:stretch>
                            <a:fillRect/>
                          </a:stretch>
                        </pic:blipFill>
                        <pic:spPr>
                          <a:xfrm>
                            <a:off x="0" y="0"/>
                            <a:ext cx="1657350" cy="561975"/>
                          </a:xfrm>
                          <a:prstGeom prst="rect">
                            <a:avLst/>
                          </a:prstGeom>
                          <a:noFill/>
                          <a:ln w="9525">
                            <a:noFill/>
                            <a:miter lim="800000"/>
                            <a:headEnd/>
                            <a:tailEnd/>
                          </a:ln>
                        </pic:spPr>
                      </pic:pic>
                    </a:graphicData>
                  </a:graphic>
                </wp:inline>
              </w:drawing>
            </w:r>
          </w:p>
        </w:tc>
        <w:tc>
          <w:tcPr>
            <w:tcW w:w="2827" w:type="dxa"/>
          </w:tcPr>
          <w:p w:rsidR="00800760" w:rsidRDefault="00800760">
            <w:pPr>
              <w:pStyle w:val="22"/>
              <w:topLinePunct/>
              <w:spacing w:line="240" w:lineRule="auto"/>
              <w:ind w:firstLineChars="0" w:firstLine="0"/>
              <w:jc w:val="center"/>
              <w:rPr>
                <w:rFonts w:ascii="Times New Roman" w:hAnsi="Times New Roman"/>
                <w:szCs w:val="32"/>
              </w:rPr>
            </w:pPr>
          </w:p>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hAnsi="Times New Roman"/>
                <w:noProof/>
                <w:szCs w:val="32"/>
                <w:lang w:val="en-US"/>
              </w:rPr>
              <w:drawing>
                <wp:inline distT="0" distB="0" distL="0" distR="0">
                  <wp:extent cx="1657350" cy="581025"/>
                  <wp:effectExtent l="19050" t="0" r="0" b="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noChangeArrowheads="1"/>
                          </pic:cNvPicPr>
                        </pic:nvPicPr>
                        <pic:blipFill>
                          <a:blip r:embed="rId31" cstate="print"/>
                          <a:srcRect/>
                          <a:stretch>
                            <a:fillRect/>
                          </a:stretch>
                        </pic:blipFill>
                        <pic:spPr>
                          <a:xfrm>
                            <a:off x="0" y="0"/>
                            <a:ext cx="1657350" cy="581025"/>
                          </a:xfrm>
                          <a:prstGeom prst="rect">
                            <a:avLst/>
                          </a:prstGeom>
                          <a:noFill/>
                          <a:ln w="9525">
                            <a:noFill/>
                            <a:miter lim="800000"/>
                            <a:headEnd/>
                            <a:tailEnd/>
                          </a:ln>
                        </pic:spPr>
                      </pic:pic>
                    </a:graphicData>
                  </a:graphic>
                </wp:inline>
              </w:drawing>
            </w:r>
          </w:p>
        </w:tc>
        <w:tc>
          <w:tcPr>
            <w:tcW w:w="2776" w:type="dxa"/>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hAnsi="Times New Roman"/>
                <w:noProof/>
                <w:szCs w:val="32"/>
                <w:lang w:val="en-US"/>
              </w:rPr>
              <w:drawing>
                <wp:inline distT="0" distB="0" distL="0" distR="0">
                  <wp:extent cx="1628775" cy="1000125"/>
                  <wp:effectExtent l="19050" t="0" r="9525" b="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pic:cNvPicPr>
                            <a:picLocks noChangeAspect="1" noChangeArrowheads="1"/>
                          </pic:cNvPicPr>
                        </pic:nvPicPr>
                        <pic:blipFill>
                          <a:blip r:embed="rId32" cstate="print"/>
                          <a:srcRect/>
                          <a:stretch>
                            <a:fillRect/>
                          </a:stretch>
                        </pic:blipFill>
                        <pic:spPr>
                          <a:xfrm>
                            <a:off x="0" y="0"/>
                            <a:ext cx="1628775" cy="1000125"/>
                          </a:xfrm>
                          <a:prstGeom prst="rect">
                            <a:avLst/>
                          </a:prstGeom>
                          <a:noFill/>
                          <a:ln w="9525">
                            <a:noFill/>
                            <a:miter lim="800000"/>
                            <a:headEnd/>
                            <a:tailEnd/>
                          </a:ln>
                        </pic:spPr>
                      </pic:pic>
                    </a:graphicData>
                  </a:graphic>
                </wp:inline>
              </w:drawing>
            </w:r>
          </w:p>
        </w:tc>
      </w:tr>
      <w:tr w:rsidR="00800760">
        <w:trPr>
          <w:trHeight w:val="311"/>
          <w:jc w:val="center"/>
        </w:trPr>
        <w:tc>
          <w:tcPr>
            <w:tcW w:w="2836" w:type="dxa"/>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eastAsia="黑体" w:hAnsi="Times New Roman" w:hint="eastAsia"/>
                <w:szCs w:val="32"/>
              </w:rPr>
              <w:t>左视图</w:t>
            </w:r>
          </w:p>
        </w:tc>
        <w:tc>
          <w:tcPr>
            <w:tcW w:w="2827" w:type="dxa"/>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eastAsia="黑体" w:hAnsi="Times New Roman" w:hint="eastAsia"/>
                <w:szCs w:val="32"/>
              </w:rPr>
              <w:t>右视图</w:t>
            </w:r>
          </w:p>
        </w:tc>
        <w:tc>
          <w:tcPr>
            <w:tcW w:w="2776" w:type="dxa"/>
          </w:tcPr>
          <w:p w:rsidR="00800760" w:rsidRDefault="00235733">
            <w:pPr>
              <w:pStyle w:val="22"/>
              <w:topLinePunct/>
              <w:spacing w:line="240" w:lineRule="auto"/>
              <w:ind w:firstLineChars="0" w:firstLine="0"/>
              <w:jc w:val="center"/>
              <w:rPr>
                <w:rFonts w:ascii="Times New Roman" w:eastAsia="黑体" w:hAnsi="Times New Roman"/>
                <w:szCs w:val="32"/>
              </w:rPr>
            </w:pPr>
            <w:r>
              <w:rPr>
                <w:rFonts w:ascii="Times New Roman" w:eastAsia="黑体" w:hAnsi="Times New Roman" w:hint="eastAsia"/>
                <w:szCs w:val="32"/>
              </w:rPr>
              <w:t>立体图</w:t>
            </w:r>
          </w:p>
        </w:tc>
      </w:tr>
    </w:tbl>
    <w:p w:rsidR="00800760" w:rsidRDefault="00235733">
      <w:pPr>
        <w:pStyle w:val="12"/>
        <w:topLinePunct/>
        <w:autoSpaceDE w:val="0"/>
        <w:spacing w:line="336" w:lineRule="auto"/>
        <w:ind w:firstLine="420"/>
        <w:rPr>
          <w:rFonts w:ascii="Times New Roman" w:eastAsia="华文隶书" w:hAnsi="Times New Roman"/>
          <w:sz w:val="21"/>
          <w:szCs w:val="21"/>
        </w:rPr>
      </w:pPr>
      <w:bookmarkStart w:id="2128" w:name="_Toc25415"/>
      <w:r>
        <w:rPr>
          <w:rFonts w:ascii="Times New Roman" w:eastAsia="华文隶书" w:hAnsi="Times New Roman" w:hint="eastAsia"/>
          <w:sz w:val="21"/>
          <w:szCs w:val="21"/>
        </w:rPr>
        <w:t>分析与评述：</w:t>
      </w:r>
      <w:bookmarkEnd w:id="2128"/>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w:t>
      </w:r>
      <w:r>
        <w:rPr>
          <w:rFonts w:ascii="Times New Roman" w:eastAsia="楷体_GB2312" w:hAnsi="Times New Roman"/>
          <w:sz w:val="21"/>
          <w:szCs w:val="21"/>
        </w:rPr>
        <w:t>局部</w:t>
      </w:r>
      <w:r>
        <w:rPr>
          <w:rFonts w:ascii="Times New Roman" w:eastAsia="楷体_GB2312" w:hAnsi="Times New Roman" w:hint="eastAsia"/>
          <w:sz w:val="21"/>
          <w:szCs w:val="21"/>
        </w:rPr>
        <w:t>外观设计专利以六面正投影视图表示出汽车后车身的形状设计，并通过采取单一颜色的半透明层覆盖不需要保护的部分，</w:t>
      </w:r>
      <w:r>
        <w:rPr>
          <w:rFonts w:ascii="Times New Roman" w:eastAsia="楷体_GB2312" w:hAnsi="Times New Roman"/>
          <w:sz w:val="21"/>
          <w:szCs w:val="21"/>
        </w:rPr>
        <w:t>即</w:t>
      </w:r>
      <w:r>
        <w:rPr>
          <w:rFonts w:ascii="Times New Roman" w:eastAsia="楷体_GB2312" w:hAnsi="Times New Roman" w:hint="eastAsia"/>
          <w:sz w:val="21"/>
          <w:szCs w:val="21"/>
        </w:rPr>
        <w:t>未覆盖的汽车后车身为保护的部分，覆盖的汽车其他部分为不保护的</w:t>
      </w:r>
      <w:r>
        <w:rPr>
          <w:rFonts w:ascii="Times New Roman" w:eastAsia="楷体_GB2312" w:hAnsi="Times New Roman"/>
          <w:sz w:val="21"/>
          <w:szCs w:val="21"/>
        </w:rPr>
        <w:t>部分</w:t>
      </w:r>
      <w:r>
        <w:rPr>
          <w:rFonts w:ascii="Times New Roman" w:eastAsia="楷体_GB2312" w:hAnsi="Times New Roman" w:hint="eastAsia"/>
          <w:sz w:val="21"/>
          <w:szCs w:val="21"/>
        </w:rPr>
        <w:t>。在确定该</w:t>
      </w:r>
      <w:r>
        <w:rPr>
          <w:rFonts w:ascii="Times New Roman" w:eastAsia="楷体_GB2312" w:hAnsi="Times New Roman"/>
          <w:sz w:val="21"/>
          <w:szCs w:val="21"/>
        </w:rPr>
        <w:t>局部</w:t>
      </w:r>
      <w:r>
        <w:rPr>
          <w:rFonts w:ascii="Times New Roman" w:eastAsia="楷体_GB2312" w:hAnsi="Times New Roman" w:hint="eastAsia"/>
          <w:sz w:val="21"/>
          <w:szCs w:val="21"/>
        </w:rPr>
        <w:t>外观设计的保护范围时，应以未覆盖的部分为准，覆盖部分只是描述外部环境，不属于专利权的保护范围。</w:t>
      </w:r>
    </w:p>
    <w:p w:rsidR="00800760" w:rsidRDefault="00235733">
      <w:pPr>
        <w:pStyle w:val="12"/>
        <w:topLinePunct/>
        <w:spacing w:line="336" w:lineRule="auto"/>
        <w:ind w:firstLine="420"/>
        <w:rPr>
          <w:rFonts w:ascii="Times New Roman" w:eastAsia="宋体" w:hAnsi="Times New Roman"/>
          <w:sz w:val="21"/>
          <w:szCs w:val="21"/>
          <w:lang w:val="en-GB"/>
        </w:rPr>
      </w:pPr>
      <w:r>
        <w:rPr>
          <w:rFonts w:ascii="Times New Roman" w:eastAsia="宋体" w:hAnsi="Times New Roman" w:hint="eastAsia"/>
          <w:sz w:val="21"/>
          <w:szCs w:val="21"/>
          <w:lang w:val="en-GB"/>
        </w:rPr>
        <w:t>（</w:t>
      </w:r>
      <w:r>
        <w:rPr>
          <w:rFonts w:ascii="Times New Roman" w:eastAsia="宋体" w:hAnsi="Times New Roman" w:hint="eastAsia"/>
          <w:sz w:val="21"/>
          <w:szCs w:val="21"/>
          <w:lang w:val="en-GB"/>
        </w:rPr>
        <w:t>2</w:t>
      </w:r>
      <w:r>
        <w:rPr>
          <w:rFonts w:ascii="Times New Roman" w:eastAsia="宋体" w:hAnsi="Times New Roman" w:hint="eastAsia"/>
          <w:sz w:val="21"/>
          <w:szCs w:val="21"/>
          <w:lang w:val="en-GB"/>
        </w:rPr>
        <w:t>）简要说明用于解释图片或者照片所示产品外观设计</w:t>
      </w:r>
    </w:p>
    <w:p w:rsidR="00800760" w:rsidRDefault="00235733">
      <w:pPr>
        <w:pStyle w:val="12"/>
        <w:topLinePunct/>
        <w:spacing w:line="336" w:lineRule="auto"/>
        <w:ind w:firstLine="420"/>
        <w:rPr>
          <w:rFonts w:ascii="Times New Roman" w:eastAsia="宋体" w:hAnsi="Times New Roman"/>
          <w:sz w:val="21"/>
          <w:szCs w:val="21"/>
          <w:lang w:val="en-GB"/>
        </w:rPr>
      </w:pPr>
      <w:r>
        <w:rPr>
          <w:rFonts w:ascii="Times New Roman" w:eastAsia="宋体" w:hAnsi="Times New Roman" w:hint="eastAsia"/>
          <w:sz w:val="21"/>
          <w:szCs w:val="21"/>
          <w:lang w:val="en-US"/>
        </w:rPr>
        <w:t>局部外观设计专利简要说明涉及对视图中要求保护的局部作出说明的，应结合该说明和视图确定要求保护的局部设计。</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2129" w:name="_Toc28593385"/>
      <w:r w:rsidR="00235733">
        <w:rPr>
          <w:rFonts w:hint="eastAsia"/>
          <w:color w:val="000000"/>
        </w:rPr>
        <w:t xml:space="preserve">3. </w:t>
      </w:r>
      <w:r>
        <w:rPr>
          <w:color w:val="000000"/>
        </w:rPr>
        <w:fldChar w:fldCharType="end"/>
      </w:r>
      <w:r w:rsidR="00235733">
        <w:rPr>
          <w:rFonts w:hint="eastAsia"/>
          <w:color w:val="000000"/>
        </w:rPr>
        <w:t>确定保护范围的几种典型情形</w:t>
      </w:r>
      <w:bookmarkEnd w:id="2129"/>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成套产品、组件产品、变化状态产品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成套产品的外观设计专利是符合法定条件的多件产品的多项外观设计作为一件专利获得专利权。构成成套产品的各项外观设计均有独立的权利保护范围。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组件产品的外观设计是一件产品的一项外观设计，即使包含有对多个构件分别单独表示的视图，在确定专利权保护范围时，也应将所有组件作为一个整体，共同限定专利权的保护范围。每个组件没有独立的权利保护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变化状态产品的外观设计是一件产品的一项外观设计，其包含有多个变化状态。在确定专利权保护范围时，应将视图显示的每个变化状态整体考虑，由其共同限定专利权的保护范围。每个变化状态没有独立的权利保护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简要说明中记载的请求保护色彩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专利法实施细则》第二十八条第一款的规定，如果一项外观设计专利在简要说明中注明要求保护色彩，则其色彩的搭配属于专利权的保护范围。否则，即使其视图中表示有色彩，其色彩设计也不属于专利权的保护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简要说明中记载的设计要点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简要说明中记载的设计要点被确定为专利外观设计相比现有设计的创新部分，且构成一般消费者视觉瞩目的设计内容，则相对于专利外观设计其他部分而言，其对外观设计的整体视觉效果更具有影响。如果简要说明中记载的设计要点并非专利外观设计相对于现有设计的创新部分，则简要说明中记载的设计要点不必然对整体视觉效果具有显著影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对外观设计整体视觉效果是否更具影响，不以是否在简要说明中声明为设计要点来确定。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简要说明中记载的产品名称和产品用途</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简要说明中记载的产品名称和产品用途是确定外观设计产品种类的依据。外观设计用于相同或相近种类是判断被控侵权产品是否落入外观设计专利保护范围的前提。外观设计图片或照片所表示的仅仅是产品的形态特征</w:t>
      </w:r>
      <w:r>
        <w:rPr>
          <w:rFonts w:ascii="Times New Roman" w:eastAsia="宋体" w:hAnsi="Times New Roman"/>
          <w:sz w:val="21"/>
          <w:szCs w:val="21"/>
        </w:rPr>
        <w:t>（</w:t>
      </w:r>
      <w:r>
        <w:rPr>
          <w:rFonts w:ascii="Times New Roman" w:eastAsia="宋体" w:hAnsi="Times New Roman" w:hint="eastAsia"/>
          <w:sz w:val="21"/>
          <w:szCs w:val="21"/>
        </w:rPr>
        <w:t>形状、图案、色彩</w:t>
      </w:r>
      <w:r>
        <w:rPr>
          <w:rFonts w:ascii="Times New Roman" w:eastAsia="宋体" w:hAnsi="Times New Roman"/>
          <w:sz w:val="21"/>
          <w:szCs w:val="21"/>
        </w:rPr>
        <w:t>）</w:t>
      </w:r>
      <w:r>
        <w:rPr>
          <w:rFonts w:ascii="Times New Roman" w:eastAsia="宋体" w:hAnsi="Times New Roman" w:hint="eastAsia"/>
          <w:sz w:val="21"/>
          <w:szCs w:val="21"/>
        </w:rPr>
        <w:t>，很多情况下不能由此确定产品种类</w:t>
      </w:r>
      <w:r>
        <w:rPr>
          <w:rFonts w:ascii="Times New Roman" w:eastAsia="宋体" w:hAnsi="Times New Roman"/>
          <w:sz w:val="21"/>
          <w:szCs w:val="21"/>
        </w:rPr>
        <w:t>（</w:t>
      </w:r>
      <w:r>
        <w:rPr>
          <w:rFonts w:ascii="Times New Roman" w:eastAsia="宋体" w:hAnsi="Times New Roman" w:hint="eastAsia"/>
          <w:sz w:val="21"/>
          <w:szCs w:val="21"/>
        </w:rPr>
        <w:t>例如，汽车与玩具汽车图片显示的外观设计有可能完全相同</w:t>
      </w:r>
      <w:r>
        <w:rPr>
          <w:rFonts w:ascii="Times New Roman" w:eastAsia="宋体" w:hAnsi="Times New Roman"/>
          <w:sz w:val="21"/>
          <w:szCs w:val="21"/>
        </w:rPr>
        <w:t>）</w:t>
      </w:r>
      <w:r>
        <w:rPr>
          <w:rFonts w:ascii="Times New Roman" w:eastAsia="宋体" w:hAnsi="Times New Roman" w:hint="eastAsia"/>
          <w:sz w:val="21"/>
          <w:szCs w:val="21"/>
        </w:rPr>
        <w:t>，简要说明中的产品名称和产品用途可以给出明确指引。</w:t>
      </w:r>
    </w:p>
    <w:p w:rsidR="00800760" w:rsidRDefault="00235733">
      <w:pPr>
        <w:pStyle w:val="af6"/>
        <w:spacing w:before="120"/>
        <w:ind w:firstLine="420"/>
        <w:rPr>
          <w:rFonts w:ascii="Times New Roman" w:hAnsi="Times New Roman"/>
        </w:rPr>
      </w:pPr>
      <w:bookmarkStart w:id="2130" w:name="_Toc27593"/>
      <w:bookmarkStart w:id="2131" w:name="_Toc6923"/>
      <w:bookmarkStart w:id="2132" w:name="_Toc5426"/>
      <w:bookmarkStart w:id="2133" w:name="_Toc25123"/>
      <w:bookmarkStart w:id="2134" w:name="_Toc27390"/>
      <w:bookmarkStart w:id="2135" w:name="_Toc12523"/>
      <w:bookmarkStart w:id="2136" w:name="_Toc28912"/>
      <w:bookmarkStart w:id="2137" w:name="_Toc12942"/>
      <w:bookmarkStart w:id="2138" w:name="_Toc1446"/>
      <w:bookmarkStart w:id="2139" w:name="_Toc6084"/>
      <w:bookmarkStart w:id="2140" w:name="_Toc3793"/>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lang w:val="en-US"/>
        </w:rPr>
        <w:t>7</w:t>
      </w:r>
      <w:r>
        <w:rPr>
          <w:rFonts w:ascii="Times New Roman" w:hAnsi="Times New Roman" w:hint="eastAsia"/>
        </w:rPr>
        <w:t>】风门</w:t>
      </w:r>
      <w:bookmarkEnd w:id="2130"/>
      <w:bookmarkEnd w:id="2131"/>
      <w:bookmarkEnd w:id="2132"/>
      <w:bookmarkEnd w:id="2133"/>
      <w:bookmarkEnd w:id="2134"/>
      <w:bookmarkEnd w:id="2135"/>
      <w:bookmarkEnd w:id="2136"/>
      <w:bookmarkEnd w:id="2137"/>
      <w:bookmarkEnd w:id="2138"/>
      <w:bookmarkEnd w:id="2139"/>
      <w:bookmarkEnd w:id="2140"/>
    </w:p>
    <w:p w:rsidR="00800760" w:rsidRDefault="00235733">
      <w:pPr>
        <w:pStyle w:val="12"/>
        <w:topLinePunct/>
        <w:spacing w:line="240" w:lineRule="auto"/>
        <w:ind w:firstLineChars="0" w:firstLine="0"/>
        <w:jc w:val="center"/>
        <w:rPr>
          <w:rFonts w:ascii="Times New Roman" w:eastAsia="宋体" w:hAnsi="Times New Roman"/>
          <w:sz w:val="21"/>
          <w:szCs w:val="21"/>
        </w:rPr>
      </w:pPr>
      <w:r>
        <w:rPr>
          <w:rFonts w:ascii="Times New Roman" w:eastAsia="宋体" w:hAnsi="Times New Roman"/>
          <w:noProof/>
          <w:sz w:val="21"/>
          <w:szCs w:val="21"/>
          <w:lang w:val="en-US"/>
        </w:rPr>
        <w:drawing>
          <wp:inline distT="0" distB="0" distL="0" distR="0">
            <wp:extent cx="3400425" cy="1000125"/>
            <wp:effectExtent l="19050" t="0" r="9525" b="0"/>
            <wp:docPr id="71" name="图片 8" descr="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8" descr="60-1"/>
                    <pic:cNvPicPr>
                      <a:picLocks noChangeAspect="1" noChangeArrowheads="1"/>
                    </pic:cNvPicPr>
                  </pic:nvPicPr>
                  <pic:blipFill>
                    <a:blip r:embed="rId33" cstate="print"/>
                    <a:srcRect/>
                    <a:stretch>
                      <a:fillRect/>
                    </a:stretch>
                  </pic:blipFill>
                  <pic:spPr>
                    <a:xfrm>
                      <a:off x="0" y="0"/>
                      <a:ext cx="3400425" cy="100012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涉案专利视图</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该外观设计简要说明中除明确了产品名称、最能表明设计要点的视图以及视图省略情况外，还明确该外观设计产品用于烤炉上。</w:t>
      </w:r>
    </w:p>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该外观设计专利仅凭照片视图、产品名称难以确定其用途。结合简要说明可知，该产品为烤炉零件，用在烤炉上。</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如果根据外观设计图片或照片即能够直接确定产品用途，则简要说明中记载的产品名称和产品用途仅起补充或辅助说明作用。当简要说明中记载的产品名称和产品用途与根据图片或照片所确定的产品名称和产品用途不一致或相矛盾时，应根据日常经验判断，结合其他专利信息加以确认。</w:t>
      </w:r>
    </w:p>
    <w:p w:rsidR="00800760" w:rsidRDefault="00235733">
      <w:pPr>
        <w:pStyle w:val="af6"/>
        <w:spacing w:before="120"/>
        <w:ind w:firstLine="420"/>
        <w:rPr>
          <w:rFonts w:ascii="Times New Roman" w:hAnsi="Times New Roman"/>
        </w:rPr>
      </w:pPr>
      <w:bookmarkStart w:id="2141" w:name="_Toc28277"/>
      <w:bookmarkStart w:id="2142" w:name="_Toc7871"/>
      <w:bookmarkStart w:id="2143" w:name="_Toc18785"/>
      <w:bookmarkStart w:id="2144" w:name="_Toc13922"/>
      <w:bookmarkStart w:id="2145" w:name="_Toc18934"/>
      <w:bookmarkStart w:id="2146" w:name="_Toc10498"/>
      <w:bookmarkStart w:id="2147" w:name="_Toc6089"/>
      <w:bookmarkStart w:id="2148" w:name="_Toc16756"/>
      <w:bookmarkStart w:id="2149" w:name="_Toc14053"/>
      <w:bookmarkStart w:id="2150" w:name="_Toc30044"/>
      <w:bookmarkStart w:id="2151" w:name="_Toc16119"/>
      <w:bookmarkStart w:id="2152" w:name="_Toc5042"/>
      <w:bookmarkStart w:id="2153" w:name="_Toc16245"/>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lang w:val="en-US"/>
        </w:rPr>
        <w:t>8</w:t>
      </w:r>
      <w:r>
        <w:rPr>
          <w:rFonts w:ascii="Times New Roman" w:hAnsi="Times New Roman" w:hint="eastAsia"/>
        </w:rPr>
        <w:t>】啤酒瓶</w:t>
      </w:r>
      <w:bookmarkEnd w:id="2141"/>
      <w:bookmarkEnd w:id="2142"/>
      <w:bookmarkEnd w:id="2143"/>
      <w:bookmarkEnd w:id="2144"/>
      <w:bookmarkEnd w:id="2145"/>
      <w:bookmarkEnd w:id="2146"/>
      <w:bookmarkEnd w:id="2147"/>
      <w:bookmarkEnd w:id="2148"/>
      <w:bookmarkEnd w:id="2149"/>
      <w:bookmarkEnd w:id="2150"/>
      <w:bookmarkEnd w:id="2151"/>
      <w:bookmarkEnd w:id="2152"/>
      <w:bookmarkEnd w:id="2153"/>
    </w:p>
    <w:p w:rsidR="00800760" w:rsidRDefault="00235733">
      <w:pPr>
        <w:pStyle w:val="12"/>
        <w:topLinePunct/>
        <w:spacing w:line="240" w:lineRule="auto"/>
        <w:ind w:firstLineChars="0" w:firstLine="0"/>
        <w:jc w:val="center"/>
        <w:rPr>
          <w:rFonts w:ascii="Times New Roman" w:eastAsia="宋体" w:hAnsi="Times New Roman"/>
        </w:rPr>
      </w:pPr>
      <w:r>
        <w:rPr>
          <w:rFonts w:ascii="Times New Roman" w:eastAsia="宋体" w:hAnsi="Times New Roman"/>
          <w:noProof/>
          <w:lang w:val="en-US"/>
        </w:rPr>
        <w:drawing>
          <wp:inline distT="0" distB="0" distL="0" distR="0">
            <wp:extent cx="4752975" cy="1628775"/>
            <wp:effectExtent l="19050" t="0" r="9525" b="0"/>
            <wp:docPr id="72" name="图片 9" descr="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9" descr="60-2"/>
                    <pic:cNvPicPr>
                      <a:picLocks noChangeAspect="1" noChangeArrowheads="1"/>
                    </pic:cNvPicPr>
                  </pic:nvPicPr>
                  <pic:blipFill>
                    <a:blip r:embed="rId34" cstate="print"/>
                    <a:srcRect/>
                    <a:stretch>
                      <a:fillRect/>
                    </a:stretch>
                  </pic:blipFill>
                  <pic:spPr>
                    <a:xfrm>
                      <a:off x="0" y="0"/>
                      <a:ext cx="4752975" cy="162877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涉案专利视图</w:t>
      </w:r>
    </w:p>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该外观设计专利产品名称为啤酒瓶，但其件</w:t>
      </w:r>
      <w:r>
        <w:rPr>
          <w:rFonts w:ascii="Times New Roman" w:eastAsia="楷体_GB2312" w:hAnsi="Times New Roman"/>
          <w:sz w:val="21"/>
          <w:szCs w:val="21"/>
        </w:rPr>
        <w:t>1</w:t>
      </w:r>
      <w:r>
        <w:rPr>
          <w:rFonts w:ascii="Times New Roman" w:eastAsia="楷体_GB2312" w:hAnsi="Times New Roman" w:hint="eastAsia"/>
          <w:sz w:val="21"/>
          <w:szCs w:val="21"/>
        </w:rPr>
        <w:t>至件</w:t>
      </w:r>
      <w:r>
        <w:rPr>
          <w:rFonts w:ascii="Times New Roman" w:eastAsia="楷体_GB2312" w:hAnsi="Times New Roman"/>
          <w:sz w:val="21"/>
          <w:szCs w:val="21"/>
        </w:rPr>
        <w:t>3</w:t>
      </w:r>
      <w:r>
        <w:rPr>
          <w:rFonts w:ascii="Times New Roman" w:eastAsia="楷体_GB2312" w:hAnsi="Times New Roman" w:hint="eastAsia"/>
          <w:sz w:val="21"/>
          <w:szCs w:val="21"/>
        </w:rPr>
        <w:t>的主视图显示为瓶贴，根据日常经验判断，瓶体属于惯常设计，并且显示了啤酒瓶的图片为使用状态参考图。根据各主视图，瓶贴应是涉案专利外观设计要求保护的内容，故应以各主视图显示的瓶贴的设计内容确定专利权的保护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5</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省略视图的情况</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简要说明中记载因与已经提交的视图相同或对称而省略的视图</w:t>
      </w:r>
      <w:r>
        <w:rPr>
          <w:rFonts w:ascii="Times New Roman" w:eastAsia="宋体" w:hAnsi="Times New Roman"/>
          <w:sz w:val="21"/>
          <w:szCs w:val="21"/>
        </w:rPr>
        <w:t>，</w:t>
      </w:r>
      <w:r>
        <w:rPr>
          <w:rFonts w:ascii="Times New Roman" w:eastAsia="宋体" w:hAnsi="Times New Roman" w:hint="eastAsia"/>
          <w:sz w:val="21"/>
          <w:szCs w:val="21"/>
        </w:rPr>
        <w:t>等同于提交了该视图。这种省略的视图对外观设计专利的保护范围具有限定作用。因使用中不可见而省略的视图</w:t>
      </w:r>
      <w:r>
        <w:rPr>
          <w:rFonts w:ascii="Times New Roman" w:eastAsia="宋体" w:hAnsi="Times New Roman"/>
          <w:sz w:val="21"/>
          <w:szCs w:val="21"/>
        </w:rPr>
        <w:t>（</w:t>
      </w:r>
      <w:r>
        <w:rPr>
          <w:rFonts w:ascii="Times New Roman" w:eastAsia="宋体" w:hAnsi="Times New Roman" w:hint="eastAsia"/>
          <w:sz w:val="21"/>
          <w:szCs w:val="21"/>
        </w:rPr>
        <w:t>例如，对于大型设备简要说明中会明确“省略仰视图”</w:t>
      </w:r>
      <w:r>
        <w:rPr>
          <w:rFonts w:ascii="Times New Roman" w:eastAsia="宋体" w:hAnsi="Times New Roman"/>
          <w:sz w:val="21"/>
          <w:szCs w:val="21"/>
        </w:rPr>
        <w:t>）</w:t>
      </w:r>
      <w:r>
        <w:rPr>
          <w:rFonts w:ascii="Times New Roman" w:eastAsia="宋体" w:hAnsi="Times New Roman" w:hint="eastAsia"/>
          <w:sz w:val="21"/>
          <w:szCs w:val="21"/>
        </w:rPr>
        <w:t>，对外观设计专利的保护范围没有影响。</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6</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平面产品图案纹样连续情况</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花布、壁纸等平面产品，如果简要说明中已明确图示图案纹样属于两方连续或者四方连续、无限定边界，当图片或照片仅表示有图案纹样视图时，不能仅以图片或照片所示的图案纹样作为外观设计保护内容，而应结合简要说明记载的连续方式，还原产品整体外观设计，确定专利权的保护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7</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简要说明中的其他说明</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对保护范围不产生影响的说明</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a</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指定最能表明设计要点的图片</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简要说明中指定的最能表明设计要点的图片或者照片，是申请人自主选择的仅用于出版专利公报的图片或者照片，不能据此认定该图片或者照片在确定保护范围时具有特殊地位，该指定对确定保护范围不具有任何影响。</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b</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指定相似外观设计的基本设计</w:t>
      </w:r>
    </w:p>
    <w:p w:rsidR="00800760" w:rsidRDefault="00235733">
      <w:pPr>
        <w:pStyle w:val="12"/>
        <w:topLinePunct/>
        <w:spacing w:line="336" w:lineRule="auto"/>
        <w:ind w:firstLine="420"/>
        <w:rPr>
          <w:rFonts w:ascii="Times New Roman" w:eastAsia="宋体" w:hAnsi="Times New Roman"/>
          <w:spacing w:val="4"/>
          <w:sz w:val="21"/>
          <w:szCs w:val="21"/>
        </w:rPr>
      </w:pPr>
      <w:r>
        <w:rPr>
          <w:rFonts w:ascii="Times New Roman" w:eastAsia="宋体" w:hAnsi="Times New Roman" w:hint="eastAsia"/>
          <w:sz w:val="21"/>
          <w:szCs w:val="21"/>
        </w:rPr>
        <w:t>当针对同一产品的多项相似外观设计提出一件外观设计专利申请时，根据《专利审查指南》的规定，应当在简要说明中指定其中一项作为基本设计。所指定的该项基本设计仅用于在申请阶段将其他各项外观设计与其分别对比是否相似，从而判断是否符合合案申请的条件。在确定外观专利保护范围时，所指</w:t>
      </w:r>
      <w:r>
        <w:rPr>
          <w:rFonts w:ascii="Times New Roman" w:eastAsia="宋体" w:hAnsi="Times New Roman" w:hint="eastAsia"/>
          <w:spacing w:val="4"/>
          <w:sz w:val="21"/>
          <w:szCs w:val="21"/>
        </w:rPr>
        <w:t>定的该项基本设计与其他各项外观设计法律地位完全相同，各项外观设计均具有独立的专利权保护范围。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对保护范围具有影响的其他说明</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实施细则》及《专利审查指南》对简要说明可写明的内容并非穷尽列举。根据需要，专利申请人还可以写入其他补充说明性内容，对图片或照片具体内容作进一步界定，相关界定会对专利权的保护范围产生影响。</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8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8</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视图之间存在矛盾或存在视图错误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如果外观设计专利视图存在错误</w:t>
      </w:r>
      <w:r>
        <w:rPr>
          <w:rFonts w:ascii="Times New Roman" w:eastAsia="宋体" w:hAnsi="Times New Roman"/>
          <w:sz w:val="21"/>
          <w:szCs w:val="21"/>
        </w:rPr>
        <w:t>，</w:t>
      </w:r>
      <w:r>
        <w:rPr>
          <w:rFonts w:ascii="Times New Roman" w:eastAsia="宋体" w:hAnsi="Times New Roman" w:hint="eastAsia"/>
          <w:sz w:val="21"/>
          <w:szCs w:val="21"/>
        </w:rPr>
        <w:t>各视图之间不对应或出现矛盾</w:t>
      </w:r>
      <w:r>
        <w:rPr>
          <w:rFonts w:ascii="Times New Roman" w:eastAsia="宋体" w:hAnsi="Times New Roman"/>
          <w:sz w:val="21"/>
          <w:szCs w:val="21"/>
        </w:rPr>
        <w:t>，</w:t>
      </w:r>
      <w:r>
        <w:rPr>
          <w:rFonts w:ascii="Times New Roman" w:eastAsia="宋体" w:hAnsi="Times New Roman" w:hint="eastAsia"/>
          <w:sz w:val="21"/>
          <w:szCs w:val="21"/>
        </w:rPr>
        <w:t>不能清楚显示产品的外观设计</w:t>
      </w:r>
      <w:r>
        <w:rPr>
          <w:rFonts w:ascii="Times New Roman" w:eastAsia="宋体" w:hAnsi="Times New Roman"/>
          <w:sz w:val="21"/>
          <w:szCs w:val="21"/>
        </w:rPr>
        <w:t>，</w:t>
      </w:r>
      <w:r>
        <w:rPr>
          <w:rFonts w:ascii="Times New Roman" w:eastAsia="宋体" w:hAnsi="Times New Roman" w:hint="eastAsia"/>
          <w:sz w:val="21"/>
          <w:szCs w:val="21"/>
        </w:rPr>
        <w:t>以致无法确定外观设计的保护范围</w:t>
      </w:r>
      <w:r>
        <w:rPr>
          <w:rFonts w:ascii="Times New Roman" w:eastAsia="宋体" w:hAnsi="Times New Roman"/>
          <w:sz w:val="21"/>
          <w:szCs w:val="21"/>
        </w:rPr>
        <w:t>，</w:t>
      </w:r>
      <w:r>
        <w:rPr>
          <w:rFonts w:ascii="Times New Roman" w:eastAsia="宋体" w:hAnsi="Times New Roman" w:hint="eastAsia"/>
          <w:sz w:val="21"/>
          <w:szCs w:val="21"/>
        </w:rPr>
        <w:t>管理专利工作的部门可以告知当事人通过专利无效宣告程序来确认涉案专利的有效性。当事人均不提起无效宣告请求的，管理专利工作的部门可以驳回权利人的侵权纠纷调处请求。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视图错误仅为明显笔误、局部细小瑕疵或者可以通过其他视图毫无疑义地确定专利保护对象的，则可依据视图显示的正确内容确认专利的保护范围。通常，下列情形不足以影响产品外观设计专利保护范围的确定</w:t>
      </w:r>
      <w:r>
        <w:rPr>
          <w:rFonts w:ascii="Times New Roman" w:eastAsia="宋体" w:hAnsi="Times New Roman"/>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sz w:val="21"/>
          <w:szCs w:val="21"/>
        </w:rPr>
        <w:t>a</w:t>
      </w:r>
      <w:r>
        <w:rPr>
          <w:rFonts w:ascii="Times New Roman" w:eastAsia="宋体" w:hAnsi="Times New Roman"/>
          <w:sz w:val="21"/>
          <w:szCs w:val="21"/>
        </w:rPr>
        <w:t>.</w:t>
      </w:r>
      <w:r>
        <w:rPr>
          <w:rFonts w:ascii="Times New Roman" w:eastAsia="宋体" w:hAnsi="Times New Roman" w:hint="eastAsia"/>
          <w:sz w:val="21"/>
          <w:szCs w:val="21"/>
        </w:rPr>
        <w:t>明显的视图名称错误；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sz w:val="21"/>
          <w:szCs w:val="21"/>
        </w:rPr>
        <w:t>b</w:t>
      </w:r>
      <w:r>
        <w:rPr>
          <w:rFonts w:ascii="Times New Roman" w:eastAsia="宋体" w:hAnsi="Times New Roman"/>
          <w:sz w:val="21"/>
          <w:szCs w:val="21"/>
        </w:rPr>
        <w:t>.</w:t>
      </w:r>
      <w:r>
        <w:rPr>
          <w:rFonts w:ascii="Times New Roman" w:eastAsia="宋体" w:hAnsi="Times New Roman" w:hint="eastAsia"/>
          <w:sz w:val="21"/>
          <w:szCs w:val="21"/>
        </w:rPr>
        <w:t>明显的视图方向错误；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sz w:val="21"/>
          <w:szCs w:val="21"/>
        </w:rPr>
        <w:t>c</w:t>
      </w:r>
      <w:r>
        <w:rPr>
          <w:rFonts w:ascii="Times New Roman" w:eastAsia="宋体" w:hAnsi="Times New Roman"/>
          <w:sz w:val="21"/>
          <w:szCs w:val="21"/>
        </w:rPr>
        <w:t>.</w:t>
      </w:r>
      <w:r>
        <w:rPr>
          <w:rFonts w:ascii="Times New Roman" w:eastAsia="宋体" w:hAnsi="Times New Roman" w:hint="eastAsia"/>
          <w:sz w:val="21"/>
          <w:szCs w:val="21"/>
        </w:rPr>
        <w:t>外观设计图片中的产品形状绘制线条包含阴影线、指示线、中心线、尺寸线、点划线、电脑三维建模中产生的多余线条等。</w:t>
      </w:r>
    </w:p>
    <w:p w:rsidR="00800760" w:rsidRDefault="00235733">
      <w:pPr>
        <w:pStyle w:val="3"/>
        <w:spacing w:before="240"/>
        <w:ind w:firstLine="444"/>
        <w:rPr>
          <w:rFonts w:ascii="Times New Roman" w:hAnsi="Times New Roman"/>
          <w:color w:val="000000"/>
        </w:rPr>
      </w:pPr>
      <w:bookmarkStart w:id="2154" w:name="_Toc3603"/>
      <w:bookmarkStart w:id="2155" w:name="_Toc23475"/>
      <w:bookmarkStart w:id="2156" w:name="_Toc2234"/>
      <w:bookmarkStart w:id="2157" w:name="_Toc28593386"/>
      <w:bookmarkStart w:id="2158" w:name="_Toc15226"/>
      <w:bookmarkStart w:id="2159" w:name="_Toc22241"/>
      <w:bookmarkStart w:id="2160" w:name="_Toc8205"/>
      <w:bookmarkStart w:id="2161" w:name="_Toc24409"/>
      <w:bookmarkStart w:id="2162" w:name="_Toc217908632"/>
      <w:bookmarkStart w:id="2163" w:name="_Toc14758"/>
      <w:bookmarkStart w:id="2164" w:name="_Toc29463"/>
      <w:bookmarkStart w:id="2165" w:name="_Toc14880"/>
      <w:bookmarkStart w:id="2166" w:name="_Toc1850"/>
      <w:bookmarkStart w:id="2167" w:name="_Toc9319"/>
      <w:bookmarkStart w:id="2168" w:name="_Toc7398"/>
      <w:bookmarkStart w:id="2169" w:name="_Toc15713"/>
      <w:bookmarkStart w:id="2170" w:name="_Toc28524"/>
      <w:bookmarkStart w:id="2171" w:name="_Toc3705"/>
      <w:bookmarkStart w:id="2172" w:name="_Toc31646"/>
      <w:bookmarkStart w:id="2173" w:name="_Toc24233"/>
      <w:bookmarkStart w:id="2174" w:name="_Toc9459"/>
      <w:bookmarkStart w:id="2175" w:name="_Toc1371"/>
      <w:bookmarkStart w:id="2176" w:name="_Toc5574"/>
      <w:bookmarkStart w:id="2177" w:name="_Toc16930"/>
      <w:bookmarkStart w:id="2178" w:name="_Toc17988"/>
      <w:bookmarkStart w:id="2179" w:name="_Toc6531"/>
      <w:bookmarkStart w:id="2180" w:name="_Toc20438"/>
      <w:bookmarkStart w:id="2181" w:name="_Toc16593"/>
      <w:bookmarkStart w:id="2182" w:name="_Toc6874"/>
      <w:bookmarkStart w:id="2183" w:name="_Toc12605"/>
      <w:bookmarkStart w:id="2184" w:name="_Toc19177"/>
      <w:bookmarkStart w:id="2185" w:name="_Toc16947"/>
      <w:bookmarkStart w:id="2186" w:name="_Toc17474"/>
      <w:bookmarkStart w:id="2187" w:name="_Toc19783"/>
      <w:bookmarkStart w:id="2188" w:name="_Toc3691"/>
      <w:bookmarkStart w:id="2189" w:name="_Toc9192"/>
      <w:bookmarkStart w:id="2190" w:name="_Toc2177"/>
      <w:bookmarkStart w:id="2191" w:name="_Toc4896"/>
      <w:bookmarkStart w:id="2192" w:name="_Toc6235"/>
      <w:bookmarkStart w:id="2193" w:name="_Toc13545"/>
      <w:bookmarkStart w:id="2194" w:name="_Toc2522"/>
      <w:bookmarkStart w:id="2195" w:name="_Toc30177"/>
      <w:bookmarkStart w:id="2196" w:name="_Toc13164"/>
      <w:bookmarkStart w:id="2197" w:name="_Toc229114377"/>
      <w:bookmarkStart w:id="2198" w:name="_Toc25014"/>
      <w:bookmarkStart w:id="2199" w:name="_Toc229225473"/>
      <w:r>
        <w:rPr>
          <w:rFonts w:ascii="Times New Roman" w:hAnsi="Times New Roman" w:hint="eastAsia"/>
          <w:color w:val="000000"/>
        </w:rPr>
        <w:t>二、外观设计专利侵权判定</w:t>
      </w:r>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专利侵权判定是判断被控侵权产品是否落入外观设计专利权保护范围的过程，应以该类产品一般消费者的视角进行判断。首先，判断被控侵权产品与外观设计专利产品是否属于相同或者相近种类产品。其次，确定涉案专利保护范围及被控侵权产品的外观设计，必要时通过对设计空间的分析，确定对外观设计整体视觉效果更具有影响的设计内容，通过整体观察、综合判断，判断二者形态</w:t>
      </w:r>
      <w:r>
        <w:rPr>
          <w:rFonts w:ascii="Times New Roman" w:eastAsia="宋体" w:hAnsi="Times New Roman"/>
          <w:sz w:val="21"/>
          <w:szCs w:val="21"/>
        </w:rPr>
        <w:t>（</w:t>
      </w:r>
      <w:r>
        <w:rPr>
          <w:rFonts w:ascii="Times New Roman" w:eastAsia="宋体" w:hAnsi="Times New Roman" w:hint="eastAsia"/>
          <w:sz w:val="21"/>
          <w:szCs w:val="21"/>
        </w:rPr>
        <w:t>形状、图案、色彩</w:t>
      </w:r>
      <w:r>
        <w:rPr>
          <w:rFonts w:ascii="Times New Roman" w:eastAsia="宋体" w:hAnsi="Times New Roman"/>
          <w:sz w:val="21"/>
          <w:szCs w:val="21"/>
        </w:rPr>
        <w:t>）</w:t>
      </w:r>
      <w:r>
        <w:rPr>
          <w:rFonts w:ascii="Times New Roman" w:eastAsia="宋体" w:hAnsi="Times New Roman" w:hint="eastAsia"/>
          <w:sz w:val="21"/>
          <w:szCs w:val="21"/>
        </w:rPr>
        <w:t>是否构成相同或者近似。如果二者属于相同或相近种类产品，并且在形态</w:t>
      </w:r>
      <w:r>
        <w:rPr>
          <w:rFonts w:ascii="Times New Roman" w:eastAsia="宋体" w:hAnsi="Times New Roman"/>
          <w:sz w:val="21"/>
          <w:szCs w:val="21"/>
        </w:rPr>
        <w:t>（</w:t>
      </w:r>
      <w:r>
        <w:rPr>
          <w:rFonts w:ascii="Times New Roman" w:eastAsia="宋体" w:hAnsi="Times New Roman" w:hint="eastAsia"/>
          <w:sz w:val="21"/>
          <w:szCs w:val="21"/>
        </w:rPr>
        <w:t>形状、图案、色彩</w:t>
      </w:r>
      <w:r>
        <w:rPr>
          <w:rFonts w:ascii="Times New Roman" w:eastAsia="宋体" w:hAnsi="Times New Roman"/>
          <w:sz w:val="21"/>
          <w:szCs w:val="21"/>
        </w:rPr>
        <w:t>）</w:t>
      </w:r>
      <w:r>
        <w:rPr>
          <w:rFonts w:ascii="Times New Roman" w:eastAsia="宋体" w:hAnsi="Times New Roman" w:hint="eastAsia"/>
          <w:sz w:val="21"/>
          <w:szCs w:val="21"/>
        </w:rPr>
        <w:t>上构成相同或近似，则二者属于相同或近似的外观设计，被控侵权产品落入专利权的保护范围，侵权成立。</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bookmarkStart w:id="2200" w:name="_Toc28593387"/>
      <w:r w:rsidR="00235733">
        <w:rPr>
          <w:rFonts w:ascii="Times New Roman" w:hAnsi="Times New Roman" w:hint="eastAsia"/>
          <w:color w:val="000000"/>
          <w:lang w:val="en-US"/>
        </w:rPr>
        <w:t>（一）</w:t>
      </w:r>
      <w:r>
        <w:rPr>
          <w:rFonts w:ascii="Times New Roman" w:hAnsi="Times New Roman"/>
          <w:color w:val="000000"/>
        </w:rPr>
        <w:fldChar w:fldCharType="end"/>
      </w:r>
      <w:r w:rsidR="00235733">
        <w:rPr>
          <w:rFonts w:ascii="Times New Roman" w:hAnsi="Times New Roman" w:hint="eastAsia"/>
          <w:color w:val="000000"/>
        </w:rPr>
        <w:t>判断主体</w:t>
      </w:r>
      <w:bookmarkEnd w:id="220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外观设计专利侵权判定的主体应当是外观设计专利相关种类产品的一般消费者。</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所称“一般消费者”，是一种法律上拟制的“人”，他不具有创新设计能力，不是现实生活中的某类具体人群，他会考虑涉案专利产品及其各部分零部件在产品的使用中对外观设计的影响。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不同种类产品具有不同的一般消费者。一般消费者应当具有如下的特点或能力</w:t>
      </w:r>
      <w:r>
        <w:rPr>
          <w:rFonts w:ascii="Times New Roman" w:eastAsia="宋体" w:hAnsi="Times New Roman"/>
          <w:sz w:val="21"/>
          <w:szCs w:val="21"/>
        </w:rPr>
        <w:t>：</w:t>
      </w:r>
    </w:p>
    <w:p w:rsidR="00800760" w:rsidRDefault="00235733">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hint="eastAsia"/>
          <w:sz w:val="21"/>
          <w:szCs w:val="21"/>
        </w:rPr>
        <w:t>（</w:t>
      </w:r>
      <w:r>
        <w:rPr>
          <w:rFonts w:ascii="Times New Roman" w:eastAsia="宋体" w:hAnsi="Times New Roman" w:cs="Times New Roman"/>
          <w:sz w:val="21"/>
          <w:szCs w:val="21"/>
        </w:rPr>
        <w:t>1</w:t>
      </w:r>
      <w:r>
        <w:rPr>
          <w:rFonts w:ascii="Times New Roman" w:eastAsia="宋体" w:hAnsi="Times New Roman" w:hint="eastAsia"/>
          <w:sz w:val="21"/>
          <w:szCs w:val="21"/>
        </w:rPr>
        <w:t>）</w:t>
      </w:r>
      <w:r>
        <w:rPr>
          <w:rFonts w:ascii="Times New Roman" w:eastAsia="宋体" w:hAnsi="Times New Roman" w:hint="eastAsia"/>
          <w:spacing w:val="-2"/>
          <w:sz w:val="21"/>
          <w:szCs w:val="21"/>
        </w:rPr>
        <w:t>对涉案专利申请日之前相同或相近种类产品及其外观设计具有常识性的了解</w:t>
      </w:r>
      <w:r>
        <w:rPr>
          <w:rFonts w:ascii="Times New Roman" w:eastAsia="宋体" w:hAnsi="Times New Roman"/>
          <w:spacing w:val="-2"/>
          <w:sz w:val="21"/>
          <w:szCs w:val="21"/>
        </w:rPr>
        <w:t>（</w:t>
      </w:r>
      <w:r>
        <w:rPr>
          <w:rFonts w:ascii="Times New Roman" w:eastAsia="宋体" w:hAnsi="Times New Roman" w:hint="eastAsia"/>
          <w:spacing w:val="-2"/>
          <w:sz w:val="21"/>
          <w:szCs w:val="21"/>
        </w:rPr>
        <w:t>包括惯常设计</w:t>
      </w:r>
      <w:r>
        <w:rPr>
          <w:rFonts w:ascii="Times New Roman" w:eastAsia="宋体" w:hAnsi="Times New Roman"/>
          <w:spacing w:val="-2"/>
          <w:sz w:val="21"/>
          <w:szCs w:val="21"/>
        </w:rPr>
        <w:t>）</w:t>
      </w:r>
      <w:r>
        <w:rPr>
          <w:rFonts w:ascii="Times New Roman" w:eastAsia="宋体" w:hAnsi="Times New Roman" w:hint="eastAsia"/>
          <w:spacing w:val="-2"/>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cs="Times New Roman" w:hint="eastAsia"/>
          <w:sz w:val="21"/>
          <w:szCs w:val="21"/>
        </w:rPr>
        <w:t>2</w:t>
      </w:r>
      <w:r>
        <w:rPr>
          <w:rFonts w:ascii="Times New Roman" w:eastAsia="宋体" w:hAnsi="Times New Roman" w:hint="eastAsia"/>
          <w:sz w:val="21"/>
          <w:szCs w:val="21"/>
        </w:rPr>
        <w:t>）对外观设计产品在形状、图案以及色彩上的区别具有一定的分辨力，但不会注意到产品的形状、图案以及色彩的微小变化；</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cs="Times New Roman" w:hint="eastAsia"/>
          <w:sz w:val="21"/>
          <w:szCs w:val="21"/>
        </w:rPr>
        <w:t>3</w:t>
      </w:r>
      <w:r>
        <w:rPr>
          <w:rFonts w:ascii="Times New Roman" w:eastAsia="宋体" w:hAnsi="Times New Roman" w:hint="eastAsia"/>
          <w:sz w:val="21"/>
          <w:szCs w:val="21"/>
        </w:rPr>
        <w:t>）能够获知相同或近似种类产品的现有设计。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一般消费者的能力，例如，“汽车发动机”的一般消费者，由于发动机属于汽车零部件，即中间产品，因此其一般消费者应当对发动机及其相近种类产品具有常识性了解，而不是对汽车等最终产品具有常识性了解，能够分辨汽车发动机的形状、图案和色彩，也能够获得发动机或其相近种类产品的现有设计。对于中间产品，其“一般消费者”应该考虑到该中间产品的使用、安装、应用特点，但不能将其认知能力上升到该类产品的设计人员的水平。</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bookmarkStart w:id="2201" w:name="_Toc28593388"/>
      <w:r w:rsidR="00235733">
        <w:rPr>
          <w:rFonts w:ascii="Times New Roman" w:hAnsi="Times New Roman" w:hint="eastAsia"/>
          <w:color w:val="000000"/>
          <w:lang w:val="en-US"/>
        </w:rPr>
        <w:t>（二）</w:t>
      </w:r>
      <w:r>
        <w:rPr>
          <w:rFonts w:ascii="Times New Roman" w:hAnsi="Times New Roman"/>
          <w:color w:val="000000"/>
        </w:rPr>
        <w:fldChar w:fldCharType="end"/>
      </w:r>
      <w:r w:rsidR="00235733">
        <w:rPr>
          <w:rFonts w:ascii="Times New Roman" w:hAnsi="Times New Roman" w:hint="eastAsia"/>
          <w:color w:val="000000"/>
        </w:rPr>
        <w:t>判断客体</w:t>
      </w:r>
      <w:bookmarkEnd w:id="2201"/>
    </w:p>
    <w:p w:rsidR="00800760" w:rsidRDefault="00235733">
      <w:pPr>
        <w:pStyle w:val="12"/>
        <w:topLinePunct/>
        <w:spacing w:before="120" w:line="336" w:lineRule="auto"/>
        <w:ind w:firstLine="420"/>
        <w:rPr>
          <w:rFonts w:eastAsia="宋体"/>
          <w:szCs w:val="21"/>
        </w:rPr>
      </w:pPr>
      <w:r>
        <w:rPr>
          <w:rFonts w:ascii="Times New Roman" w:eastAsia="宋体" w:hAnsi="Times New Roman" w:hint="eastAsia"/>
          <w:sz w:val="21"/>
          <w:szCs w:val="21"/>
        </w:rPr>
        <w:t>在外观设计专利侵权判定中，应将授权公告文本或者被无效宣告决定确定的专利文本中记载的涉案专利外观设计与被控侵权产品中的相关设计内容进行比较，对于局部外观设计，应当以涉案专利要求保护部分的形状、图案、色彩及该部分在所示产品中的位置和比例关系与被控侵权产品中的相关设计内容进行比较，涉案专利外观设计和被控侵权外观设计均为局部外观设计的，应当只比对局部外观设计，不对二者所属产品的整体设计进行比对，也不得将局部外观设计与整体外观设计进行比对，不得将当事人主张的涉案专利产品与被控侵权产品直接进行对比，但在确认当事人所称涉案专利产品确与涉案专利一致时，可以将该涉案专利产品作为参考。</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2202" w:name="_Toc28593389"/>
      <w:r w:rsidR="00235733">
        <w:rPr>
          <w:rFonts w:hint="eastAsia"/>
          <w:color w:val="000000"/>
        </w:rPr>
        <w:t xml:space="preserve">1. </w:t>
      </w:r>
      <w:r>
        <w:rPr>
          <w:color w:val="000000"/>
        </w:rPr>
        <w:fldChar w:fldCharType="end"/>
      </w:r>
      <w:r w:rsidR="00235733">
        <w:rPr>
          <w:rFonts w:hint="eastAsia"/>
          <w:color w:val="000000"/>
        </w:rPr>
        <w:t>涉案专利</w:t>
      </w:r>
      <w:bookmarkEnd w:id="2202"/>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涉案专利中包含多项外观设计的，例如相似外观设计专利和成套产品的外观设计专利，权利人应当明确其主张权利的具体外观设计。当权利人未明确时，管理专利工作的部门应当释明其可以选择其中一项或多项外观设计。</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2203" w:name="_Toc28593390"/>
      <w:r w:rsidR="00235733">
        <w:rPr>
          <w:rFonts w:hint="eastAsia"/>
          <w:color w:val="000000"/>
        </w:rPr>
        <w:t xml:space="preserve">2. </w:t>
      </w:r>
      <w:r>
        <w:rPr>
          <w:color w:val="000000"/>
        </w:rPr>
        <w:fldChar w:fldCharType="end"/>
      </w:r>
      <w:r w:rsidR="00235733">
        <w:rPr>
          <w:rFonts w:hint="eastAsia"/>
          <w:color w:val="000000"/>
        </w:rPr>
        <w:t>被控侵权产品</w:t>
      </w:r>
      <w:bookmarkEnd w:id="2203"/>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对于在相同或近似对比中被控侵权产品的对比内容，应当根据涉案专利本身及其保护内容进行确定。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如果涉案专利为零部件产品，则应当将被控侵权产品中的相应部分作为对比的内容。</w:t>
      </w:r>
    </w:p>
    <w:p w:rsidR="00800760" w:rsidRDefault="00235733">
      <w:pPr>
        <w:pStyle w:val="af6"/>
        <w:spacing w:before="120"/>
        <w:ind w:firstLine="420"/>
        <w:rPr>
          <w:rFonts w:ascii="Times New Roman" w:hAnsi="Times New Roman"/>
        </w:rPr>
      </w:pPr>
      <w:bookmarkStart w:id="2204" w:name="_Toc9910"/>
      <w:bookmarkStart w:id="2205" w:name="_Toc9929"/>
      <w:bookmarkStart w:id="2206" w:name="_Toc9845"/>
      <w:bookmarkStart w:id="2207" w:name="_Toc21883"/>
      <w:bookmarkStart w:id="2208" w:name="_Toc8764"/>
      <w:bookmarkStart w:id="2209" w:name="_Toc10413"/>
      <w:bookmarkStart w:id="2210" w:name="_Toc16872"/>
      <w:bookmarkStart w:id="2211" w:name="_Toc5118"/>
      <w:bookmarkStart w:id="2212" w:name="_Toc28817"/>
      <w:bookmarkStart w:id="2213" w:name="_Toc19562"/>
      <w:bookmarkStart w:id="2214" w:name="_Toc12187"/>
      <w:bookmarkStart w:id="2215" w:name="_Toc4662"/>
      <w:bookmarkStart w:id="2216" w:name="_Toc20899"/>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lang w:val="en-US"/>
        </w:rPr>
        <w:t>9</w:t>
      </w:r>
      <w:r>
        <w:rPr>
          <w:rFonts w:ascii="Times New Roman" w:hAnsi="Times New Roman" w:hint="eastAsia"/>
        </w:rPr>
        <w:t>】童车</w:t>
      </w:r>
      <w:bookmarkEnd w:id="2204"/>
      <w:bookmarkEnd w:id="2205"/>
      <w:bookmarkEnd w:id="2206"/>
      <w:bookmarkEnd w:id="2207"/>
      <w:bookmarkEnd w:id="2208"/>
      <w:bookmarkEnd w:id="2209"/>
      <w:bookmarkEnd w:id="2210"/>
      <w:bookmarkEnd w:id="2211"/>
      <w:bookmarkEnd w:id="2212"/>
      <w:bookmarkEnd w:id="2213"/>
      <w:bookmarkEnd w:id="2214"/>
      <w:bookmarkEnd w:id="2215"/>
      <w:bookmarkEnd w:id="2216"/>
    </w:p>
    <w:p w:rsidR="00800760" w:rsidRDefault="00235733">
      <w:pPr>
        <w:pStyle w:val="12"/>
        <w:topLinePunct/>
        <w:spacing w:line="336" w:lineRule="auto"/>
        <w:ind w:firstLineChars="0" w:firstLine="0"/>
        <w:jc w:val="center"/>
        <w:rPr>
          <w:rFonts w:ascii="Times New Roman" w:eastAsia="宋体" w:hAnsi="Times New Roman"/>
          <w:sz w:val="21"/>
          <w:szCs w:val="21"/>
        </w:rPr>
      </w:pPr>
      <w:r>
        <w:rPr>
          <w:rFonts w:ascii="Times New Roman" w:eastAsia="宋体" w:hAnsi="Times New Roman"/>
          <w:noProof/>
          <w:sz w:val="21"/>
          <w:szCs w:val="21"/>
          <w:lang w:val="en-US"/>
        </w:rPr>
        <w:drawing>
          <wp:inline distT="0" distB="0" distL="0" distR="0">
            <wp:extent cx="2029460" cy="2208530"/>
            <wp:effectExtent l="0" t="0" r="0" b="0"/>
            <wp:docPr id="73" name="图片 10" descr="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0" descr="64-1"/>
                    <pic:cNvPicPr>
                      <a:picLocks noChangeAspect="1" noChangeArrowheads="1"/>
                    </pic:cNvPicPr>
                  </pic:nvPicPr>
                  <pic:blipFill>
                    <a:blip r:embed="rId35" cstate="print"/>
                    <a:srcRect/>
                    <a:stretch>
                      <a:fillRect/>
                    </a:stretch>
                  </pic:blipFill>
                  <pic:spPr>
                    <a:xfrm>
                      <a:off x="0" y="0"/>
                      <a:ext cx="2041993" cy="2221904"/>
                    </a:xfrm>
                    <a:prstGeom prst="rect">
                      <a:avLst/>
                    </a:prstGeom>
                    <a:noFill/>
                    <a:ln w="9525">
                      <a:noFill/>
                      <a:miter lim="800000"/>
                      <a:headEnd/>
                      <a:tailEnd/>
                    </a:ln>
                  </pic:spPr>
                </pic:pic>
              </a:graphicData>
            </a:graphic>
          </wp:inline>
        </w:drawing>
      </w:r>
      <w:r>
        <w:rPr>
          <w:rFonts w:ascii="Times New Roman" w:hAnsi="Times New Roman" w:hint="eastAsia"/>
        </w:rPr>
        <w:t xml:space="preserve">　　</w:t>
      </w:r>
      <w:r>
        <w:rPr>
          <w:rFonts w:ascii="Times New Roman" w:eastAsia="宋体" w:hAnsi="Times New Roman"/>
          <w:noProof/>
          <w:sz w:val="21"/>
          <w:szCs w:val="21"/>
          <w:lang w:val="en-US"/>
        </w:rPr>
        <w:drawing>
          <wp:inline distT="0" distB="0" distL="0" distR="0">
            <wp:extent cx="2055495" cy="2172970"/>
            <wp:effectExtent l="0" t="0" r="0" b="0"/>
            <wp:docPr id="74" name="图片 11" descr="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1" descr="64-2"/>
                    <pic:cNvPicPr>
                      <a:picLocks noChangeAspect="1" noChangeArrowheads="1"/>
                    </pic:cNvPicPr>
                  </pic:nvPicPr>
                  <pic:blipFill>
                    <a:blip r:embed="rId36" cstate="print"/>
                    <a:srcRect/>
                    <a:stretch>
                      <a:fillRect/>
                    </a:stretch>
                  </pic:blipFill>
                  <pic:spPr>
                    <a:xfrm>
                      <a:off x="0" y="0"/>
                      <a:ext cx="2065843" cy="2183632"/>
                    </a:xfrm>
                    <a:prstGeom prst="rect">
                      <a:avLst/>
                    </a:prstGeom>
                    <a:noFill/>
                    <a:ln w="9525">
                      <a:noFill/>
                      <a:miter lim="800000"/>
                      <a:headEnd/>
                      <a:tailEnd/>
                    </a:ln>
                  </pic:spPr>
                </pic:pic>
              </a:graphicData>
            </a:graphic>
          </wp:inline>
        </w:drawing>
      </w:r>
    </w:p>
    <w:tbl>
      <w:tblPr>
        <w:tblW w:w="0" w:type="auto"/>
        <w:jc w:val="center"/>
        <w:tblLook w:val="04A0"/>
      </w:tblPr>
      <w:tblGrid>
        <w:gridCol w:w="3420"/>
        <w:gridCol w:w="4470"/>
      </w:tblGrid>
      <w:tr w:rsidR="00800760">
        <w:trPr>
          <w:jc w:val="center"/>
        </w:trPr>
        <w:tc>
          <w:tcPr>
            <w:tcW w:w="3420"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w:t>
            </w:r>
          </w:p>
        </w:tc>
        <w:tc>
          <w:tcPr>
            <w:tcW w:w="4470"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涉案专利为儿童手推车的车架外观设计，被控侵权产品为儿童手推车整体。在进行相同或近似的对比过程中，应当将被控侵权产品中的相应部分</w:t>
      </w:r>
      <w:r>
        <w:rPr>
          <w:rFonts w:ascii="Times New Roman" w:eastAsia="宋体" w:hAnsi="Times New Roman"/>
          <w:sz w:val="21"/>
          <w:szCs w:val="21"/>
        </w:rPr>
        <w:t>——</w:t>
      </w:r>
      <w:r>
        <w:rPr>
          <w:rFonts w:ascii="Times New Roman" w:eastAsia="楷体_GB2312" w:hAnsi="Times New Roman" w:hint="eastAsia"/>
          <w:sz w:val="21"/>
          <w:szCs w:val="21"/>
        </w:rPr>
        <w:t>车架与涉案专利进行对比。</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根据涉案专利要求保护的设计要素</w:t>
      </w:r>
      <w:r>
        <w:rPr>
          <w:rFonts w:ascii="Times New Roman" w:eastAsia="楷体_GB2312" w:hAnsi="Times New Roman"/>
          <w:sz w:val="21"/>
          <w:szCs w:val="21"/>
        </w:rPr>
        <w:t>（</w:t>
      </w:r>
      <w:r>
        <w:rPr>
          <w:rFonts w:ascii="Times New Roman" w:eastAsia="楷体_GB2312" w:hAnsi="Times New Roman" w:hint="eastAsia"/>
          <w:sz w:val="21"/>
          <w:szCs w:val="21"/>
        </w:rPr>
        <w:t>形状、图案、色彩</w:t>
      </w:r>
      <w:r>
        <w:rPr>
          <w:rFonts w:ascii="Times New Roman" w:eastAsia="楷体_GB2312" w:hAnsi="Times New Roman"/>
          <w:sz w:val="21"/>
          <w:szCs w:val="21"/>
        </w:rPr>
        <w:t>）</w:t>
      </w:r>
      <w:r>
        <w:rPr>
          <w:rFonts w:ascii="Times New Roman" w:eastAsia="楷体_GB2312" w:hAnsi="Times New Roman" w:hint="eastAsia"/>
          <w:sz w:val="21"/>
          <w:szCs w:val="21"/>
        </w:rPr>
        <w:t>，确定被控侵权产品的相应要素。例如，如果涉案专利是单纯形状的外观设计专利，则仅将被控侵权产品的形状与外观设计专利的形状进行对比；如果涉案专利是形状和图案结合的外观设计专利，未要求保护色彩，则将被控侵权产品的形状、图案要素与外观设计专利的形状、图案进行对比。</w:t>
      </w:r>
    </w:p>
    <w:p w:rsidR="00800760" w:rsidRDefault="00235733">
      <w:pPr>
        <w:pStyle w:val="af6"/>
        <w:spacing w:before="120"/>
        <w:ind w:firstLine="420"/>
        <w:rPr>
          <w:rFonts w:ascii="Times New Roman" w:hAnsi="Times New Roman"/>
        </w:rPr>
      </w:pPr>
      <w:bookmarkStart w:id="2217" w:name="_Toc1019"/>
      <w:bookmarkStart w:id="2218" w:name="_Toc11663"/>
      <w:bookmarkStart w:id="2219" w:name="_Toc17513"/>
      <w:bookmarkStart w:id="2220" w:name="_Toc29021"/>
      <w:bookmarkStart w:id="2221" w:name="_Toc29417"/>
      <w:bookmarkStart w:id="2222" w:name="_Toc21831"/>
      <w:bookmarkStart w:id="2223" w:name="_Toc11418"/>
      <w:bookmarkStart w:id="2224" w:name="_Toc28062"/>
      <w:bookmarkStart w:id="2225" w:name="_Toc20258"/>
      <w:bookmarkStart w:id="2226" w:name="_Toc6855"/>
      <w:bookmarkStart w:id="2227" w:name="_Toc12329"/>
      <w:bookmarkStart w:id="2228" w:name="_Toc5432"/>
      <w:bookmarkStart w:id="2229" w:name="_Toc23931"/>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lang w:val="en-US"/>
        </w:rPr>
        <w:t>10</w:t>
      </w:r>
      <w:r>
        <w:rPr>
          <w:rFonts w:ascii="Times New Roman" w:hAnsi="Times New Roman" w:hint="eastAsia"/>
        </w:rPr>
        <w:t>】玩具车</w:t>
      </w:r>
      <w:bookmarkEnd w:id="2217"/>
      <w:bookmarkEnd w:id="2218"/>
      <w:bookmarkEnd w:id="2219"/>
      <w:bookmarkEnd w:id="2220"/>
      <w:bookmarkEnd w:id="2221"/>
      <w:bookmarkEnd w:id="2222"/>
      <w:bookmarkEnd w:id="2223"/>
      <w:bookmarkEnd w:id="2224"/>
      <w:bookmarkEnd w:id="2225"/>
      <w:bookmarkEnd w:id="2226"/>
      <w:bookmarkEnd w:id="2227"/>
      <w:bookmarkEnd w:id="2228"/>
      <w:bookmarkEnd w:id="2229"/>
    </w:p>
    <w:tbl>
      <w:tblPr>
        <w:tblW w:w="0" w:type="auto"/>
        <w:tblInd w:w="1192" w:type="dxa"/>
        <w:tblLook w:val="04A0"/>
      </w:tblPr>
      <w:tblGrid>
        <w:gridCol w:w="3848"/>
        <w:gridCol w:w="3666"/>
      </w:tblGrid>
      <w:tr w:rsidR="00800760">
        <w:tc>
          <w:tcPr>
            <w:tcW w:w="3848" w:type="dxa"/>
          </w:tcPr>
          <w:p w:rsidR="00800760" w:rsidRDefault="00235733">
            <w:pPr>
              <w:pStyle w:val="12"/>
              <w:topLinePunct/>
              <w:spacing w:line="240" w:lineRule="auto"/>
              <w:ind w:firstLineChars="0" w:firstLine="0"/>
              <w:jc w:val="center"/>
              <w:rPr>
                <w:rFonts w:ascii="Times New Roman" w:eastAsia="宋体" w:hAnsi="Times New Roman"/>
                <w:sz w:val="15"/>
                <w:szCs w:val="15"/>
              </w:rPr>
            </w:pPr>
            <w:r>
              <w:rPr>
                <w:rFonts w:ascii="Times New Roman" w:eastAsia="宋体" w:hAnsi="Times New Roman"/>
                <w:noProof/>
                <w:sz w:val="15"/>
                <w:szCs w:val="15"/>
                <w:lang w:val="en-US"/>
              </w:rPr>
              <w:drawing>
                <wp:inline distT="0" distB="0" distL="0" distR="0">
                  <wp:extent cx="2162175" cy="1190625"/>
                  <wp:effectExtent l="19050" t="0" r="9525" b="0"/>
                  <wp:docPr id="75" name="图片 12" descr="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2" descr="64-3"/>
                          <pic:cNvPicPr>
                            <a:picLocks noChangeAspect="1" noChangeArrowheads="1"/>
                          </pic:cNvPicPr>
                        </pic:nvPicPr>
                        <pic:blipFill>
                          <a:blip r:embed="rId37" cstate="print"/>
                          <a:srcRect/>
                          <a:stretch>
                            <a:fillRect/>
                          </a:stretch>
                        </pic:blipFill>
                        <pic:spPr>
                          <a:xfrm>
                            <a:off x="0" y="0"/>
                            <a:ext cx="2162175" cy="1190625"/>
                          </a:xfrm>
                          <a:prstGeom prst="rect">
                            <a:avLst/>
                          </a:prstGeom>
                          <a:noFill/>
                          <a:ln w="9525">
                            <a:noFill/>
                            <a:miter lim="800000"/>
                            <a:headEnd/>
                            <a:tailEnd/>
                          </a:ln>
                        </pic:spPr>
                      </pic:pic>
                    </a:graphicData>
                  </a:graphic>
                </wp:inline>
              </w:drawing>
            </w:r>
          </w:p>
        </w:tc>
        <w:tc>
          <w:tcPr>
            <w:tcW w:w="3386" w:type="dxa"/>
          </w:tcPr>
          <w:p w:rsidR="00800760" w:rsidRDefault="00235733">
            <w:pPr>
              <w:pStyle w:val="12"/>
              <w:topLinePunct/>
              <w:spacing w:line="240" w:lineRule="auto"/>
              <w:ind w:firstLineChars="0" w:firstLine="0"/>
              <w:jc w:val="center"/>
              <w:rPr>
                <w:rFonts w:ascii="Times New Roman" w:eastAsia="宋体" w:hAnsi="Times New Roman"/>
                <w:sz w:val="15"/>
                <w:szCs w:val="15"/>
              </w:rPr>
            </w:pPr>
            <w:r>
              <w:rPr>
                <w:rFonts w:ascii="Times New Roman" w:eastAsia="宋体" w:hAnsi="Times New Roman"/>
                <w:noProof/>
                <w:sz w:val="15"/>
                <w:szCs w:val="15"/>
                <w:lang w:val="en-US"/>
              </w:rPr>
              <w:drawing>
                <wp:inline distT="0" distB="0" distL="0" distR="0">
                  <wp:extent cx="2162175" cy="1200150"/>
                  <wp:effectExtent l="19050" t="0" r="9525" b="0"/>
                  <wp:docPr id="77" name="图片 13" descr="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3" descr="64-4"/>
                          <pic:cNvPicPr>
                            <a:picLocks noChangeAspect="1" noChangeArrowheads="1"/>
                          </pic:cNvPicPr>
                        </pic:nvPicPr>
                        <pic:blipFill>
                          <a:blip r:embed="rId38" cstate="print"/>
                          <a:srcRect/>
                          <a:stretch>
                            <a:fillRect/>
                          </a:stretch>
                        </pic:blipFill>
                        <pic:spPr>
                          <a:xfrm>
                            <a:off x="0" y="0"/>
                            <a:ext cx="2162175" cy="1200150"/>
                          </a:xfrm>
                          <a:prstGeom prst="rect">
                            <a:avLst/>
                          </a:prstGeom>
                          <a:noFill/>
                          <a:ln w="9525">
                            <a:noFill/>
                            <a:miter lim="800000"/>
                            <a:headEnd/>
                            <a:tailEnd/>
                          </a:ln>
                        </pic:spPr>
                      </pic:pic>
                    </a:graphicData>
                  </a:graphic>
                </wp:inline>
              </w:drawing>
            </w:r>
          </w:p>
        </w:tc>
      </w:tr>
      <w:tr w:rsidR="00800760">
        <w:trPr>
          <w:trHeight w:val="80"/>
        </w:trPr>
        <w:tc>
          <w:tcPr>
            <w:tcW w:w="3848"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w:t>
            </w:r>
          </w:p>
        </w:tc>
        <w:tc>
          <w:tcPr>
            <w:tcW w:w="3386"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涉案专利仅是涉及形状的外观设计，无图案，未要求保护色彩；被控侵权产品虽然具有图案和色彩，但在进行相同或近似对比时，应当将被控侵权产品的形状与涉案专利的形状进行对比。</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被控侵权产品设计要素</w:t>
      </w:r>
      <w:r>
        <w:rPr>
          <w:rFonts w:ascii="Times New Roman" w:eastAsia="楷体_GB2312" w:hAnsi="Times New Roman"/>
          <w:sz w:val="21"/>
          <w:szCs w:val="21"/>
        </w:rPr>
        <w:t>（</w:t>
      </w:r>
      <w:r>
        <w:rPr>
          <w:rFonts w:ascii="Times New Roman" w:eastAsia="楷体_GB2312" w:hAnsi="Times New Roman" w:hint="eastAsia"/>
          <w:sz w:val="21"/>
          <w:szCs w:val="21"/>
        </w:rPr>
        <w:t>形状、图案、色彩</w:t>
      </w:r>
      <w:r>
        <w:rPr>
          <w:rFonts w:ascii="Times New Roman" w:eastAsia="楷体_GB2312" w:hAnsi="Times New Roman"/>
          <w:sz w:val="21"/>
          <w:szCs w:val="21"/>
        </w:rPr>
        <w:t>）</w:t>
      </w:r>
      <w:r>
        <w:rPr>
          <w:rFonts w:ascii="Times New Roman" w:eastAsia="楷体_GB2312" w:hAnsi="Times New Roman" w:hint="eastAsia"/>
          <w:sz w:val="21"/>
          <w:szCs w:val="21"/>
        </w:rPr>
        <w:t>少于涉案专利的，应将二者全部设计要素进行对比。</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rPr>
        <w:t>1</w:t>
      </w:r>
      <w:r>
        <w:rPr>
          <w:rFonts w:ascii="Times New Roman" w:hAnsi="Times New Roman" w:hint="eastAsia"/>
          <w:lang w:val="en-US"/>
        </w:rPr>
        <w:t>1</w:t>
      </w:r>
      <w:r>
        <w:rPr>
          <w:rFonts w:ascii="Times New Roman" w:hAnsi="Times New Roman" w:hint="eastAsia"/>
        </w:rPr>
        <w:t>】口服液包装瓶</w:t>
      </w:r>
    </w:p>
    <w:tbl>
      <w:tblPr>
        <w:tblW w:w="0" w:type="auto"/>
        <w:tblInd w:w="1606" w:type="dxa"/>
        <w:tblLook w:val="04A0"/>
      </w:tblPr>
      <w:tblGrid>
        <w:gridCol w:w="3208"/>
        <w:gridCol w:w="3232"/>
      </w:tblGrid>
      <w:tr w:rsidR="00800760">
        <w:tc>
          <w:tcPr>
            <w:tcW w:w="3208" w:type="dxa"/>
          </w:tcPr>
          <w:p w:rsidR="00800760" w:rsidRDefault="00235733">
            <w:pPr>
              <w:pStyle w:val="12"/>
              <w:topLinePunct/>
              <w:spacing w:line="240" w:lineRule="auto"/>
              <w:ind w:firstLineChars="0" w:firstLine="0"/>
              <w:jc w:val="center"/>
              <w:rPr>
                <w:rFonts w:ascii="Times New Roman" w:eastAsia="宋体" w:hAnsi="Times New Roman"/>
                <w:sz w:val="15"/>
                <w:szCs w:val="15"/>
              </w:rPr>
            </w:pPr>
            <w:r>
              <w:rPr>
                <w:rFonts w:ascii="Times New Roman" w:hAnsi="Times New Roman"/>
                <w:noProof/>
                <w:lang w:val="en-US"/>
              </w:rPr>
              <w:drawing>
                <wp:inline distT="0" distB="0" distL="0" distR="0">
                  <wp:extent cx="895350" cy="2238375"/>
                  <wp:effectExtent l="19050" t="0" r="0" b="0"/>
                  <wp:docPr id="78"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4"/>
                          <pic:cNvPicPr>
                            <a:picLocks noChangeAspect="1" noChangeArrowheads="1"/>
                          </pic:cNvPicPr>
                        </pic:nvPicPr>
                        <pic:blipFill>
                          <a:blip r:embed="rId39" cstate="print"/>
                          <a:srcRect/>
                          <a:stretch>
                            <a:fillRect/>
                          </a:stretch>
                        </pic:blipFill>
                        <pic:spPr>
                          <a:xfrm>
                            <a:off x="0" y="0"/>
                            <a:ext cx="895350" cy="2238375"/>
                          </a:xfrm>
                          <a:prstGeom prst="rect">
                            <a:avLst/>
                          </a:prstGeom>
                          <a:noFill/>
                          <a:ln w="9525">
                            <a:noFill/>
                            <a:miter lim="800000"/>
                            <a:headEnd/>
                            <a:tailEnd/>
                          </a:ln>
                        </pic:spPr>
                      </pic:pic>
                    </a:graphicData>
                  </a:graphic>
                </wp:inline>
              </w:drawing>
            </w:r>
          </w:p>
        </w:tc>
        <w:tc>
          <w:tcPr>
            <w:tcW w:w="3232" w:type="dxa"/>
          </w:tcPr>
          <w:p w:rsidR="00800760" w:rsidRDefault="00235733">
            <w:pPr>
              <w:pStyle w:val="12"/>
              <w:topLinePunct/>
              <w:spacing w:line="240" w:lineRule="auto"/>
              <w:ind w:firstLineChars="0" w:firstLine="0"/>
              <w:jc w:val="center"/>
              <w:rPr>
                <w:rFonts w:ascii="Times New Roman" w:eastAsia="宋体" w:hAnsi="Times New Roman"/>
                <w:sz w:val="15"/>
                <w:szCs w:val="15"/>
              </w:rPr>
            </w:pPr>
            <w:r>
              <w:rPr>
                <w:rFonts w:ascii="Times New Roman" w:hAnsi="Times New Roman"/>
                <w:noProof/>
                <w:lang w:val="en-US"/>
              </w:rPr>
              <w:drawing>
                <wp:inline distT="0" distB="0" distL="0" distR="0">
                  <wp:extent cx="742950" cy="2152650"/>
                  <wp:effectExtent l="19050" t="0" r="0" b="0"/>
                  <wp:docPr id="79"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5"/>
                          <pic:cNvPicPr>
                            <a:picLocks noChangeAspect="1" noChangeArrowheads="1"/>
                          </pic:cNvPicPr>
                        </pic:nvPicPr>
                        <pic:blipFill>
                          <a:blip r:embed="rId40" cstate="print"/>
                          <a:srcRect t="-1802"/>
                          <a:stretch>
                            <a:fillRect/>
                          </a:stretch>
                        </pic:blipFill>
                        <pic:spPr>
                          <a:xfrm>
                            <a:off x="0" y="0"/>
                            <a:ext cx="742950" cy="2152650"/>
                          </a:xfrm>
                          <a:prstGeom prst="rect">
                            <a:avLst/>
                          </a:prstGeom>
                          <a:noFill/>
                          <a:ln w="9525">
                            <a:noFill/>
                            <a:miter lim="800000"/>
                            <a:headEnd/>
                            <a:tailEnd/>
                          </a:ln>
                        </pic:spPr>
                      </pic:pic>
                    </a:graphicData>
                  </a:graphic>
                </wp:inline>
              </w:drawing>
            </w:r>
          </w:p>
        </w:tc>
      </w:tr>
      <w:tr w:rsidR="00800760">
        <w:tc>
          <w:tcPr>
            <w:tcW w:w="3208"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w:t>
            </w:r>
          </w:p>
        </w:tc>
        <w:tc>
          <w:tcPr>
            <w:tcW w:w="3232"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为口服液包装瓶，未请求保护色彩，其外观设计包括瓶子的形状和瓶身上的图案设计；而被控侵权产品仅为蓝色的口服液药瓶，包含了形状和色彩两个设计要素。由于涉案专利未请求保护色彩，则在对比时，应当将被控侵权产品的瓶身形状与涉案专利的瓶身的形状、图案两个设计要素进行对比。通过整体观察、综合判断，判断二者的整体视觉效果是否相同。</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如果涉案专利是由组装在一起使用的至少两个构件组成的组件产品的外观设计，可以将被控侵权产品中与其数量相对应的、明显具有组装关系的构件与涉案专利进行对比。</w:t>
      </w:r>
    </w:p>
    <w:p w:rsidR="00800760" w:rsidRDefault="00235733">
      <w:pPr>
        <w:pStyle w:val="af6"/>
        <w:spacing w:before="120"/>
        <w:ind w:firstLine="420"/>
        <w:rPr>
          <w:rFonts w:ascii="Times New Roman" w:hAnsi="Times New Roman"/>
        </w:rPr>
      </w:pPr>
      <w:bookmarkStart w:id="2230" w:name="_Toc20717"/>
      <w:bookmarkStart w:id="2231" w:name="_Toc9274"/>
      <w:bookmarkStart w:id="2232" w:name="_Toc14120"/>
      <w:bookmarkStart w:id="2233" w:name="_Toc23491"/>
      <w:bookmarkStart w:id="2234" w:name="_Toc16675"/>
      <w:bookmarkStart w:id="2235" w:name="_Toc22480"/>
      <w:bookmarkStart w:id="2236" w:name="_Toc7209"/>
      <w:bookmarkStart w:id="2237" w:name="_Toc30443"/>
      <w:bookmarkStart w:id="2238" w:name="_Toc10002"/>
      <w:bookmarkStart w:id="2239" w:name="_Toc1749"/>
      <w:bookmarkStart w:id="2240" w:name="_Toc2153"/>
      <w:bookmarkStart w:id="2241" w:name="_Toc22111"/>
      <w:bookmarkStart w:id="2242" w:name="_Toc1236"/>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-1</w:t>
      </w:r>
      <w:r>
        <w:rPr>
          <w:rFonts w:ascii="Times New Roman" w:hAnsi="Times New Roman" w:hint="eastAsia"/>
          <w:lang w:val="en-US"/>
        </w:rPr>
        <w:t>2</w:t>
      </w:r>
      <w:r>
        <w:rPr>
          <w:rFonts w:ascii="Times New Roman" w:hAnsi="Times New Roman" w:hint="eastAsia"/>
        </w:rPr>
        <w:t>】插拼玩具</w:t>
      </w:r>
      <w:bookmarkEnd w:id="2230"/>
      <w:bookmarkEnd w:id="2231"/>
      <w:bookmarkEnd w:id="2232"/>
      <w:bookmarkEnd w:id="2233"/>
      <w:bookmarkEnd w:id="2234"/>
      <w:bookmarkEnd w:id="2235"/>
      <w:bookmarkEnd w:id="2236"/>
      <w:bookmarkEnd w:id="2237"/>
      <w:bookmarkEnd w:id="2238"/>
      <w:bookmarkEnd w:id="2239"/>
      <w:bookmarkEnd w:id="2240"/>
      <w:bookmarkEnd w:id="2241"/>
      <w:bookmarkEnd w:id="2242"/>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涉案专利是包括</w:t>
      </w:r>
      <w:r>
        <w:rPr>
          <w:rFonts w:ascii="Times New Roman" w:eastAsia="楷体_GB2312" w:hAnsi="Times New Roman"/>
          <w:sz w:val="21"/>
          <w:szCs w:val="21"/>
        </w:rPr>
        <w:t>32</w:t>
      </w:r>
      <w:r>
        <w:rPr>
          <w:rFonts w:ascii="Times New Roman" w:eastAsia="楷体_GB2312" w:hAnsi="Times New Roman" w:hint="eastAsia"/>
          <w:sz w:val="21"/>
          <w:szCs w:val="21"/>
        </w:rPr>
        <w:t>个组件的拼插玩具，被控侵权拼插玩具由</w:t>
      </w:r>
      <w:r>
        <w:rPr>
          <w:rFonts w:ascii="Times New Roman" w:eastAsia="楷体_GB2312" w:hAnsi="Times New Roman"/>
          <w:sz w:val="21"/>
          <w:szCs w:val="21"/>
        </w:rPr>
        <w:t>56</w:t>
      </w:r>
      <w:r>
        <w:rPr>
          <w:rFonts w:ascii="Times New Roman" w:eastAsia="楷体_GB2312" w:hAnsi="Times New Roman" w:hint="eastAsia"/>
          <w:sz w:val="21"/>
          <w:szCs w:val="21"/>
        </w:rPr>
        <w:t>个组件组成。</w:t>
      </w:r>
    </w:p>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侵权判定时，可以将被控侵权产品中分别与涉案专利中相对应的</w:t>
      </w:r>
      <w:r>
        <w:rPr>
          <w:rFonts w:ascii="Times New Roman" w:eastAsia="楷体_GB2312" w:hAnsi="Times New Roman"/>
          <w:sz w:val="21"/>
          <w:szCs w:val="21"/>
        </w:rPr>
        <w:t>32</w:t>
      </w:r>
      <w:r>
        <w:rPr>
          <w:rFonts w:ascii="Times New Roman" w:eastAsia="楷体_GB2312" w:hAnsi="Times New Roman" w:hint="eastAsia"/>
          <w:sz w:val="21"/>
          <w:szCs w:val="21"/>
        </w:rPr>
        <w:t>个组件与涉案专利进行对比。</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3 \* GB4</w:instrText>
      </w:r>
      <w:r>
        <w:rPr>
          <w:rFonts w:ascii="Times New Roman" w:hAnsi="Times New Roman"/>
          <w:color w:val="000000"/>
        </w:rPr>
        <w:fldChar w:fldCharType="separate"/>
      </w:r>
      <w:bookmarkStart w:id="2243" w:name="_Toc28593391"/>
      <w:r w:rsidR="00235733">
        <w:rPr>
          <w:rFonts w:ascii="Times New Roman" w:hAnsi="Times New Roman" w:hint="eastAsia"/>
          <w:color w:val="000000"/>
          <w:lang w:val="en-US"/>
        </w:rPr>
        <w:t>（三）</w:t>
      </w:r>
      <w:r>
        <w:rPr>
          <w:rFonts w:ascii="Times New Roman" w:hAnsi="Times New Roman"/>
          <w:color w:val="000000"/>
        </w:rPr>
        <w:fldChar w:fldCharType="end"/>
      </w:r>
      <w:r w:rsidR="00235733">
        <w:rPr>
          <w:rFonts w:ascii="Times New Roman" w:hAnsi="Times New Roman" w:hint="eastAsia"/>
          <w:color w:val="000000"/>
        </w:rPr>
        <w:t>相同或相近种类产品</w:t>
      </w:r>
      <w:bookmarkEnd w:id="2243"/>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判断被控侵权产品是否与涉案专利构成相同或近似</w:t>
      </w:r>
      <w:r>
        <w:rPr>
          <w:rFonts w:ascii="Times New Roman" w:eastAsia="宋体" w:hAnsi="Times New Roman"/>
          <w:sz w:val="21"/>
          <w:szCs w:val="21"/>
        </w:rPr>
        <w:t>，</w:t>
      </w:r>
      <w:r>
        <w:rPr>
          <w:rFonts w:ascii="Times New Roman" w:eastAsia="宋体" w:hAnsi="Times New Roman" w:hint="eastAsia"/>
          <w:sz w:val="21"/>
          <w:szCs w:val="21"/>
        </w:rPr>
        <w:t>首先要判断相关产品在种类上是否相同或者相近</w:t>
      </w:r>
      <w:r>
        <w:rPr>
          <w:rFonts w:ascii="Times New Roman" w:eastAsia="宋体" w:hAnsi="Times New Roman"/>
          <w:sz w:val="21"/>
          <w:szCs w:val="21"/>
        </w:rPr>
        <w:t>，</w:t>
      </w:r>
      <w:r>
        <w:rPr>
          <w:rFonts w:ascii="Times New Roman" w:eastAsia="宋体" w:hAnsi="Times New Roman" w:hint="eastAsia"/>
          <w:sz w:val="21"/>
          <w:szCs w:val="21"/>
        </w:rPr>
        <w:t>其判断依据是产品的用途。</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当产品的种类既不相同也不相近时，即使被控侵权产品的形态</w:t>
      </w:r>
      <w:r>
        <w:rPr>
          <w:rFonts w:ascii="Times New Roman" w:eastAsia="宋体" w:hAnsi="Times New Roman"/>
          <w:sz w:val="21"/>
          <w:szCs w:val="21"/>
        </w:rPr>
        <w:t>（</w:t>
      </w:r>
      <w:r>
        <w:rPr>
          <w:rFonts w:ascii="Times New Roman" w:eastAsia="宋体" w:hAnsi="Times New Roman" w:hint="eastAsia"/>
          <w:sz w:val="21"/>
          <w:szCs w:val="21"/>
        </w:rPr>
        <w:t>形状、图案、色彩</w:t>
      </w:r>
      <w:r>
        <w:rPr>
          <w:rFonts w:ascii="Times New Roman" w:eastAsia="宋体" w:hAnsi="Times New Roman"/>
          <w:sz w:val="21"/>
          <w:szCs w:val="21"/>
        </w:rPr>
        <w:t>）</w:t>
      </w:r>
      <w:r>
        <w:rPr>
          <w:rFonts w:ascii="Times New Roman" w:eastAsia="宋体" w:hAnsi="Times New Roman" w:hint="eastAsia"/>
          <w:sz w:val="21"/>
          <w:szCs w:val="21"/>
        </w:rPr>
        <w:t>与专利相同或近似，也不能认定被控侵权产品落入专利权的保护范围。</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2244" w:name="_Toc28593392"/>
      <w:r w:rsidR="00235733">
        <w:rPr>
          <w:rFonts w:hint="eastAsia"/>
          <w:color w:val="000000"/>
        </w:rPr>
        <w:t xml:space="preserve">1. </w:t>
      </w:r>
      <w:r>
        <w:rPr>
          <w:color w:val="000000"/>
        </w:rPr>
        <w:fldChar w:fldCharType="end"/>
      </w:r>
      <w:r w:rsidR="00235733">
        <w:rPr>
          <w:rFonts w:hint="eastAsia"/>
          <w:color w:val="000000"/>
        </w:rPr>
        <w:t>相同种类的产品</w:t>
      </w:r>
      <w:bookmarkEnd w:id="2244"/>
    </w:p>
    <w:p w:rsidR="00800760" w:rsidRDefault="00235733">
      <w:pPr>
        <w:pStyle w:val="12"/>
        <w:topLinePunct/>
        <w:spacing w:before="120" w:line="336" w:lineRule="auto"/>
        <w:ind w:firstLine="420"/>
        <w:rPr>
          <w:rFonts w:eastAsia="宋体"/>
          <w:szCs w:val="21"/>
        </w:rPr>
      </w:pPr>
      <w:r>
        <w:rPr>
          <w:rFonts w:ascii="Times New Roman" w:eastAsia="宋体" w:hAnsi="Times New Roman" w:hint="eastAsia"/>
          <w:sz w:val="21"/>
          <w:szCs w:val="21"/>
        </w:rPr>
        <w:t>相同种类的产品是指产品用途完全相同的产品。对于局部外观设计，相同种类产品是指产品的用途和该局部的用途均相同。</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例如，机械表和电子表，虽然二者的内部结构、实现计时的原理不同，但是二者均是指戴在手腕上、用以计时或显示时间的仪器，用途相同，属于相同种类的产品。</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2245" w:name="_Toc28593393"/>
      <w:r w:rsidR="00235733">
        <w:rPr>
          <w:rFonts w:hint="eastAsia"/>
          <w:color w:val="000000"/>
        </w:rPr>
        <w:t xml:space="preserve">2. </w:t>
      </w:r>
      <w:r>
        <w:rPr>
          <w:color w:val="000000"/>
        </w:rPr>
        <w:fldChar w:fldCharType="end"/>
      </w:r>
      <w:r w:rsidR="00235733">
        <w:rPr>
          <w:rFonts w:hint="eastAsia"/>
          <w:color w:val="000000"/>
        </w:rPr>
        <w:t>相近种类的产品</w:t>
      </w:r>
      <w:bookmarkEnd w:id="2245"/>
    </w:p>
    <w:p w:rsidR="00800760" w:rsidRDefault="00235733">
      <w:pPr>
        <w:pStyle w:val="af6"/>
        <w:spacing w:before="120"/>
        <w:ind w:firstLine="420"/>
        <w:rPr>
          <w:rFonts w:ascii="Times New Roman" w:eastAsia="宋体" w:hAnsi="Times New Roman"/>
        </w:rPr>
      </w:pPr>
      <w:r>
        <w:rPr>
          <w:rFonts w:ascii="Times New Roman" w:eastAsia="宋体" w:hAnsi="Times New Roman" w:hint="eastAsia"/>
        </w:rPr>
        <w:t>相近种类的产品是指用途相近的产品。当两种产品分别具有多种用途时，如果其中部分用途相同，即使其他用途不同，二者也属于相近种类的产品。</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-1</w:t>
      </w:r>
      <w:r>
        <w:rPr>
          <w:rFonts w:ascii="Times New Roman" w:hAnsi="Times New Roman" w:hint="eastAsia"/>
          <w:lang w:val="en-US"/>
        </w:rPr>
        <w:t>3</w:t>
      </w:r>
      <w:r>
        <w:rPr>
          <w:rFonts w:ascii="Times New Roman" w:hAnsi="Times New Roman" w:hint="eastAsia"/>
        </w:rPr>
        <w:t>】换气扇和空调扇</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换气扇的用途是，通过使室内外空气交换而除去室内的污浊空气、调节温度和湿度等。空调扇的用途是，送风、制冷、取暖和净化空气、加湿等。二者在送风、净化空气方面的用途相同，属于相近种类的产品。</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-1</w:t>
      </w:r>
      <w:r>
        <w:rPr>
          <w:rFonts w:ascii="Times New Roman" w:hAnsi="Times New Roman" w:hint="eastAsia"/>
          <w:lang w:val="en-US"/>
        </w:rPr>
        <w:t>4</w:t>
      </w:r>
      <w:r>
        <w:rPr>
          <w:rFonts w:ascii="Times New Roman" w:hAnsi="Times New Roman" w:hint="eastAsia"/>
        </w:rPr>
        <w:t>】手表与带</w:t>
      </w:r>
      <w:r>
        <w:rPr>
          <w:rFonts w:ascii="Times New Roman" w:hAnsi="Times New Roman"/>
        </w:rPr>
        <w:t>MP3</w:t>
      </w:r>
      <w:r>
        <w:rPr>
          <w:rFonts w:ascii="Times New Roman" w:hAnsi="Times New Roman" w:hint="eastAsia"/>
        </w:rPr>
        <w:t>的手表</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手表与带</w:t>
      </w:r>
      <w:r>
        <w:rPr>
          <w:rFonts w:ascii="Times New Roman" w:eastAsia="楷体_GB2312" w:hAnsi="Times New Roman"/>
          <w:sz w:val="21"/>
          <w:szCs w:val="21"/>
        </w:rPr>
        <w:t>MP3</w:t>
      </w:r>
      <w:r>
        <w:rPr>
          <w:rFonts w:ascii="Times New Roman" w:eastAsia="楷体_GB2312" w:hAnsi="Times New Roman" w:hint="eastAsia"/>
          <w:sz w:val="21"/>
          <w:szCs w:val="21"/>
        </w:rPr>
        <w:t>的手表都具有计时的用途，虽然后者除计时之外还兼具播放音乐的功效，但就计时而言，二者的用途是相同的。二者属于相近种类的产品。</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-1</w:t>
      </w:r>
      <w:r>
        <w:rPr>
          <w:rFonts w:ascii="Times New Roman" w:hAnsi="Times New Roman" w:hint="eastAsia"/>
          <w:lang w:val="en-US"/>
        </w:rPr>
        <w:t>5</w:t>
      </w:r>
      <w:r>
        <w:rPr>
          <w:rFonts w:ascii="Times New Roman" w:hAnsi="Times New Roman" w:hint="eastAsia"/>
        </w:rPr>
        <w:t>】镜子和汽车后视镜</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镜子是一种表面光滑、具有反射影像功能的物品。镜子常被人们用来整理仪容，主要用作衣妆镜、家具配件、建筑装饰件、光学仪器部件以及太阳灶、车灯与探照灯的反射镜、反射望远镜、汽车后视镜等。普通的镜子和汽车后视镜虽然一个用于观察仪容，一个用于观察车辆后部的交通情况，但二者都用于供使用者观察镜子中反射的图像，具有相近的用途，属于相近种类的产品。</w:t>
      </w:r>
    </w:p>
    <w:p w:rsidR="00800760" w:rsidRDefault="00235733">
      <w:pPr>
        <w:pStyle w:val="12"/>
        <w:topLinePunct/>
        <w:spacing w:line="336" w:lineRule="auto"/>
        <w:ind w:firstLine="420"/>
        <w:rPr>
          <w:rFonts w:ascii="Times New Roman" w:eastAsia="楷体_GB2312" w:hAnsi="Times New Roman"/>
          <w:sz w:val="21"/>
          <w:szCs w:val="21"/>
          <w:lang w:val="en-GB"/>
        </w:rPr>
      </w:pPr>
      <w:r>
        <w:rPr>
          <w:rFonts w:ascii="Times New Roman" w:eastAsia="宋体" w:hAnsi="Times New Roman" w:hint="eastAsia"/>
          <w:sz w:val="21"/>
          <w:szCs w:val="21"/>
          <w:lang w:val="en-GB"/>
        </w:rPr>
        <w:t>对于局部外观设计，判断是否为相近种类产品，应综合考虑产品的用途和该局部的用途。</w:t>
      </w:r>
      <w:r>
        <w:rPr>
          <w:rFonts w:ascii="Times New Roman" w:eastAsia="宋体" w:hAnsi="Times New Roman" w:hint="eastAsia"/>
          <w:sz w:val="21"/>
          <w:szCs w:val="21"/>
          <w:lang w:val="en-GB"/>
        </w:rPr>
        <w:t xml:space="preserve"> </w:t>
      </w:r>
      <w:r>
        <w:rPr>
          <w:rFonts w:ascii="Times New Roman" w:eastAsia="宋体" w:hAnsi="Times New Roman" w:hint="eastAsia"/>
          <w:sz w:val="21"/>
          <w:szCs w:val="21"/>
          <w:lang w:val="en-GB"/>
        </w:rPr>
        <w:t>当产品和该局部用途均相近时，通常可认为是相近种类产品。如果产品局部依附产品非常紧密，例如成为不可分的一体式设计时，应当更多地基于其所属产品的用途判断局部外观设计的产品种类。如果产品局部在产品中相对较为独立，则应当更多地基于该局部的用途判断局部外观设计产品种类，这种情形下，如果该局部的用途相同或相近，产品的使用场所、环境等为相近领域，足以使得一般消费产生联想进而将其进行关联，则即使整体产品种类不相同也不相近，该局部外观设计的产品种类也可认定为相近。</w:t>
      </w:r>
    </w:p>
    <w:p w:rsidR="00800760" w:rsidRDefault="00235733">
      <w:pPr>
        <w:pStyle w:val="af6"/>
        <w:spacing w:before="120"/>
        <w:ind w:firstLine="420"/>
        <w:rPr>
          <w:rFonts w:ascii="Times New Roman" w:hAnsi="Times New Roman"/>
          <w:highlight w:val="yellow"/>
          <w:lang w:val="en-GB"/>
        </w:rPr>
      </w:pPr>
      <w:bookmarkStart w:id="2246" w:name="_Toc28812"/>
      <w:bookmarkStart w:id="2247" w:name="_Toc15661"/>
      <w:bookmarkStart w:id="2248" w:name="_Toc25718"/>
      <w:bookmarkStart w:id="2249" w:name="_Toc9637"/>
      <w:bookmarkStart w:id="2250" w:name="_Toc10069"/>
      <w:bookmarkStart w:id="2251" w:name="_Toc29541"/>
      <w:bookmarkStart w:id="2252" w:name="_Toc3925"/>
      <w:bookmarkStart w:id="2253" w:name="_Toc19678"/>
      <w:bookmarkStart w:id="2254" w:name="_Toc5594"/>
      <w:bookmarkStart w:id="2255" w:name="_Toc9863"/>
      <w:bookmarkStart w:id="2256" w:name="_Toc26666"/>
      <w:bookmarkStart w:id="2257" w:name="_Toc2013"/>
      <w:bookmarkStart w:id="2258" w:name="_Toc18195"/>
      <w:bookmarkStart w:id="2259" w:name="_Toc5651"/>
      <w:r>
        <w:rPr>
          <w:rFonts w:ascii="Times New Roman" w:hAnsi="Times New Roman" w:hint="eastAsia"/>
        </w:rPr>
        <w:t>【案例</w:t>
      </w:r>
      <w:r>
        <w:rPr>
          <w:rFonts w:ascii="Times New Roman" w:hAnsi="Times New Roman" w:hint="eastAsia"/>
          <w:lang w:val="en-US"/>
        </w:rPr>
        <w:t>3</w:t>
      </w:r>
      <w:r>
        <w:rPr>
          <w:rFonts w:ascii="Times New Roman" w:hAnsi="Times New Roman" w:hint="eastAsia"/>
        </w:rPr>
        <w:t>-</w:t>
      </w:r>
      <w:r>
        <w:rPr>
          <w:rFonts w:ascii="Times New Roman" w:hAnsi="Times New Roman" w:hint="eastAsia"/>
          <w:lang w:val="en-US"/>
        </w:rPr>
        <w:t>5</w:t>
      </w:r>
      <w:r>
        <w:rPr>
          <w:rFonts w:ascii="Times New Roman" w:hAnsi="Times New Roman" w:hint="eastAsia"/>
        </w:rPr>
        <w:t>-1</w:t>
      </w:r>
      <w:r>
        <w:rPr>
          <w:rFonts w:ascii="Times New Roman" w:hAnsi="Times New Roman" w:hint="eastAsia"/>
          <w:lang w:val="en-US"/>
        </w:rPr>
        <w:t>6</w:t>
      </w:r>
      <w:r>
        <w:rPr>
          <w:rFonts w:ascii="Times New Roman" w:hAnsi="Times New Roman" w:hint="eastAsia"/>
        </w:rPr>
        <w:t>】微波炉的拉手和洗碗机的拉手</w:t>
      </w:r>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p>
    <w:p w:rsidR="00800760" w:rsidRDefault="00235733">
      <w:pPr>
        <w:pStyle w:val="12"/>
        <w:topLinePunct/>
        <w:spacing w:line="336" w:lineRule="auto"/>
        <w:ind w:firstLine="420"/>
        <w:rPr>
          <w:rFonts w:ascii="Times New Roman" w:eastAsia="楷体_GB2312" w:hAnsi="Times New Roman"/>
          <w:sz w:val="21"/>
          <w:szCs w:val="21"/>
          <w:lang w:val="en-GB"/>
        </w:rPr>
      </w:pPr>
      <w:r>
        <w:rPr>
          <w:rFonts w:ascii="Times New Roman" w:eastAsia="楷体_GB2312" w:hAnsi="Times New Roman" w:hint="eastAsia"/>
          <w:sz w:val="21"/>
          <w:szCs w:val="21"/>
          <w:lang w:val="en-GB"/>
        </w:rPr>
        <w:t>该局部外观设计中二者拉手用途相同，在微波炉和洗碗机中具有独立的功能用途，为相对独立的部件，在综合考虑产品的用途和该局部的用途时应更多基于该局部即拉手的用途作出判断。同时，微波炉和洗碗机产品种类虽不相同不相近，但均是厨房电器，使用场所相同，为相近领域存在关联性。因此，基于上述综合考虑，认定微波炉的拉手和洗碗机的拉手二者局部外观设计产品种类相近。</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bookmarkStart w:id="2260" w:name="_Toc28593394"/>
      <w:r w:rsidR="00235733">
        <w:rPr>
          <w:rFonts w:hint="eastAsia"/>
          <w:color w:val="000000"/>
        </w:rPr>
        <w:t xml:space="preserve">3. </w:t>
      </w:r>
      <w:r>
        <w:rPr>
          <w:color w:val="000000"/>
        </w:rPr>
        <w:fldChar w:fldCharType="end"/>
      </w:r>
      <w:r w:rsidR="00235733">
        <w:rPr>
          <w:rFonts w:hint="eastAsia"/>
          <w:color w:val="000000"/>
        </w:rPr>
        <w:t>产品用途的确定</w:t>
      </w:r>
      <w:bookmarkEnd w:id="226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确定产品的用途</w:t>
      </w:r>
      <w:r>
        <w:rPr>
          <w:rFonts w:ascii="Times New Roman" w:eastAsia="宋体" w:hAnsi="Times New Roman"/>
          <w:sz w:val="21"/>
          <w:szCs w:val="21"/>
        </w:rPr>
        <w:t>，</w:t>
      </w:r>
      <w:r>
        <w:rPr>
          <w:rFonts w:ascii="Times New Roman" w:eastAsia="宋体" w:hAnsi="Times New Roman" w:hint="eastAsia"/>
          <w:sz w:val="21"/>
          <w:szCs w:val="21"/>
        </w:rPr>
        <w:t>主要根据图片或照片、外观设计简要说明中记载的产品名称、用途</w:t>
      </w:r>
      <w:r>
        <w:rPr>
          <w:rFonts w:ascii="Times New Roman" w:eastAsia="宋体" w:hAnsi="Times New Roman"/>
          <w:sz w:val="21"/>
          <w:szCs w:val="21"/>
        </w:rPr>
        <w:t>，</w:t>
      </w:r>
      <w:r>
        <w:rPr>
          <w:rFonts w:ascii="Times New Roman" w:eastAsia="宋体" w:hAnsi="Times New Roman" w:hint="eastAsia"/>
          <w:sz w:val="21"/>
          <w:szCs w:val="21"/>
        </w:rPr>
        <w:t>还可以参考国际外观设计分类号、产品的功能以及产品销售、实际使用的情况等因素。</w:t>
      </w:r>
    </w:p>
    <w:p w:rsidR="00800760" w:rsidRDefault="00C22A7B">
      <w:pPr>
        <w:pStyle w:val="12"/>
        <w:topLinePunct/>
        <w:spacing w:line="324"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国际外观设计分类号</w:t>
      </w:r>
    </w:p>
    <w:p w:rsidR="00800760" w:rsidRDefault="00235733">
      <w:pPr>
        <w:pStyle w:val="12"/>
        <w:topLinePunct/>
        <w:spacing w:line="324" w:lineRule="auto"/>
        <w:ind w:firstLine="420"/>
        <w:rPr>
          <w:rFonts w:ascii="Times New Roman" w:eastAsia="宋体" w:hAnsi="Times New Roman"/>
          <w:sz w:val="21"/>
          <w:szCs w:val="21"/>
        </w:rPr>
      </w:pPr>
      <w:r>
        <w:rPr>
          <w:rFonts w:ascii="Times New Roman" w:eastAsia="宋体" w:hAnsi="Times New Roman" w:hint="eastAsia"/>
          <w:sz w:val="21"/>
          <w:szCs w:val="21"/>
        </w:rPr>
        <w:t>授予专利权的外观设计在著录项目中注有分类号信息，该分类号是依据外观设计国际分类</w:t>
      </w:r>
      <w:r>
        <w:rPr>
          <w:rFonts w:ascii="Times New Roman" w:eastAsia="宋体" w:hAnsi="Times New Roman"/>
          <w:sz w:val="21"/>
          <w:szCs w:val="21"/>
        </w:rPr>
        <w:t>（</w:t>
      </w:r>
      <w:r>
        <w:rPr>
          <w:rFonts w:ascii="Times New Roman" w:eastAsia="宋体" w:hAnsi="Times New Roman" w:hint="eastAsia"/>
          <w:sz w:val="21"/>
          <w:szCs w:val="21"/>
        </w:rPr>
        <w:t>洛迦诺分类</w:t>
      </w:r>
      <w:r>
        <w:rPr>
          <w:rFonts w:ascii="Times New Roman" w:eastAsia="宋体" w:hAnsi="Times New Roman"/>
          <w:sz w:val="21"/>
          <w:szCs w:val="21"/>
        </w:rPr>
        <w:t>）</w:t>
      </w:r>
      <w:r>
        <w:rPr>
          <w:rFonts w:ascii="Times New Roman" w:eastAsia="宋体" w:hAnsi="Times New Roman" w:hint="eastAsia"/>
          <w:sz w:val="21"/>
          <w:szCs w:val="21"/>
        </w:rPr>
        <w:t>标准对产品进行的分类。外观设计国际分类表依据产品的用途，采用两级分类制，即大类和小类，分类较粗，故只宜作为确定产品种类的参考。</w:t>
      </w:r>
    </w:p>
    <w:p w:rsidR="00800760" w:rsidRDefault="00C22A7B">
      <w:pPr>
        <w:pStyle w:val="12"/>
        <w:topLinePunct/>
        <w:spacing w:line="324"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简要说明</w:t>
      </w:r>
    </w:p>
    <w:p w:rsidR="00800760" w:rsidRDefault="00235733">
      <w:pPr>
        <w:pStyle w:val="12"/>
        <w:topLinePunct/>
        <w:spacing w:line="324" w:lineRule="auto"/>
        <w:ind w:firstLine="420"/>
        <w:rPr>
          <w:rFonts w:ascii="Times New Roman" w:eastAsia="宋体" w:hAnsi="Times New Roman"/>
          <w:sz w:val="21"/>
          <w:szCs w:val="21"/>
        </w:rPr>
      </w:pPr>
      <w:r>
        <w:rPr>
          <w:rFonts w:ascii="Times New Roman" w:eastAsia="宋体" w:hAnsi="Times New Roman" w:hint="eastAsia"/>
          <w:sz w:val="21"/>
          <w:szCs w:val="21"/>
        </w:rPr>
        <w:t>产品名称、产品用途等信息是确定外观设计产品种类的重要依据。申请日在</w:t>
      </w:r>
      <w:r>
        <w:rPr>
          <w:rFonts w:ascii="Times New Roman" w:eastAsia="宋体" w:hAnsi="Times New Roman"/>
          <w:sz w:val="21"/>
          <w:szCs w:val="21"/>
        </w:rPr>
        <w:t>2009</w:t>
      </w:r>
      <w:r>
        <w:rPr>
          <w:rFonts w:ascii="Times New Roman" w:eastAsia="宋体" w:hAnsi="Times New Roman" w:hint="eastAsia"/>
          <w:sz w:val="21"/>
          <w:szCs w:val="21"/>
        </w:rPr>
        <w:t>年</w:t>
      </w:r>
      <w:r>
        <w:rPr>
          <w:rFonts w:ascii="Times New Roman" w:eastAsia="宋体" w:hAnsi="Times New Roman"/>
          <w:sz w:val="21"/>
          <w:szCs w:val="21"/>
        </w:rPr>
        <w:t>10</w:t>
      </w:r>
      <w:r>
        <w:rPr>
          <w:rFonts w:ascii="Times New Roman" w:eastAsia="宋体" w:hAnsi="Times New Roman" w:hint="eastAsia"/>
          <w:sz w:val="21"/>
          <w:szCs w:val="21"/>
        </w:rPr>
        <w:t>月</w:t>
      </w:r>
      <w:r>
        <w:rPr>
          <w:rFonts w:ascii="Times New Roman" w:eastAsia="宋体" w:hAnsi="Times New Roman"/>
          <w:sz w:val="21"/>
          <w:szCs w:val="21"/>
        </w:rPr>
        <w:t>1</w:t>
      </w:r>
      <w:r>
        <w:rPr>
          <w:rFonts w:ascii="Times New Roman" w:eastAsia="宋体" w:hAnsi="Times New Roman" w:hint="eastAsia"/>
          <w:sz w:val="21"/>
          <w:szCs w:val="21"/>
        </w:rPr>
        <w:t>日以后的外观设计专利</w:t>
      </w:r>
      <w:r>
        <w:rPr>
          <w:rFonts w:ascii="Times New Roman" w:eastAsia="宋体" w:hAnsi="Times New Roman"/>
          <w:sz w:val="21"/>
          <w:szCs w:val="21"/>
        </w:rPr>
        <w:t>，</w:t>
      </w:r>
      <w:r>
        <w:rPr>
          <w:rFonts w:ascii="Times New Roman" w:eastAsia="宋体" w:hAnsi="Times New Roman" w:hint="eastAsia"/>
          <w:sz w:val="21"/>
          <w:szCs w:val="21"/>
        </w:rPr>
        <w:t>在简要说明中记载了这些信息。在产品图片或照片与产品名称不完全对应，或者依据产品名称和图片或照片也不能确定产品用途时，简要说明中有关产品用途的内容对确定外观设计的产品种类具有重要意义。</w:t>
      </w:r>
    </w:p>
    <w:p w:rsidR="00800760" w:rsidRDefault="00C22A7B">
      <w:pPr>
        <w:pStyle w:val="12"/>
        <w:keepNext/>
        <w:topLinePunct/>
        <w:spacing w:line="324"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产品图片或照片</w:t>
      </w:r>
    </w:p>
    <w:p w:rsidR="00800760" w:rsidRDefault="00235733">
      <w:pPr>
        <w:pStyle w:val="12"/>
        <w:topLinePunct/>
        <w:spacing w:line="324" w:lineRule="auto"/>
        <w:ind w:firstLine="420"/>
        <w:rPr>
          <w:rFonts w:ascii="Times New Roman" w:eastAsia="宋体" w:hAnsi="Times New Roman"/>
          <w:sz w:val="21"/>
          <w:szCs w:val="21"/>
        </w:rPr>
      </w:pPr>
      <w:r>
        <w:rPr>
          <w:rFonts w:ascii="Times New Roman" w:eastAsia="宋体" w:hAnsi="Times New Roman" w:hint="eastAsia"/>
          <w:sz w:val="21"/>
          <w:szCs w:val="21"/>
        </w:rPr>
        <w:t>产品图片或照片是确定产品用途的重要依据</w:t>
      </w:r>
      <w:r>
        <w:rPr>
          <w:rFonts w:ascii="Times New Roman" w:eastAsia="宋体" w:hAnsi="Times New Roman"/>
          <w:sz w:val="21"/>
          <w:szCs w:val="21"/>
        </w:rPr>
        <w:t>，</w:t>
      </w:r>
      <w:r>
        <w:rPr>
          <w:rFonts w:ascii="Times New Roman" w:eastAsia="宋体" w:hAnsi="Times New Roman" w:hint="eastAsia"/>
          <w:sz w:val="21"/>
          <w:szCs w:val="21"/>
        </w:rPr>
        <w:t>例如</w:t>
      </w:r>
      <w:r>
        <w:rPr>
          <w:rFonts w:ascii="Times New Roman" w:eastAsia="宋体" w:hAnsi="Times New Roman"/>
          <w:sz w:val="21"/>
          <w:szCs w:val="21"/>
        </w:rPr>
        <w:t>，</w:t>
      </w:r>
      <w:r>
        <w:rPr>
          <w:rFonts w:ascii="Times New Roman" w:eastAsia="宋体" w:hAnsi="Times New Roman" w:hint="eastAsia"/>
          <w:sz w:val="21"/>
          <w:szCs w:val="21"/>
        </w:rPr>
        <w:t>对于明确的、已知的产品</w:t>
      </w:r>
      <w:r>
        <w:rPr>
          <w:rFonts w:ascii="Times New Roman" w:eastAsia="宋体" w:hAnsi="Times New Roman"/>
          <w:sz w:val="21"/>
          <w:szCs w:val="21"/>
        </w:rPr>
        <w:t>，</w:t>
      </w:r>
      <w:r>
        <w:rPr>
          <w:rFonts w:ascii="Times New Roman" w:eastAsia="宋体" w:hAnsi="Times New Roman" w:hint="eastAsia"/>
          <w:sz w:val="21"/>
          <w:szCs w:val="21"/>
        </w:rPr>
        <w:t>根据图片或照片中显示的产品即可确定产品的用途。</w:t>
      </w:r>
    </w:p>
    <w:p w:rsidR="00800760" w:rsidRDefault="00235733">
      <w:pPr>
        <w:pStyle w:val="12"/>
        <w:topLinePunct/>
        <w:spacing w:line="324" w:lineRule="auto"/>
        <w:ind w:firstLine="420"/>
        <w:rPr>
          <w:rFonts w:ascii="Times New Roman" w:eastAsia="宋体" w:hAnsi="Times New Roman"/>
          <w:sz w:val="21"/>
          <w:szCs w:val="21"/>
        </w:rPr>
      </w:pPr>
      <w:r>
        <w:rPr>
          <w:rFonts w:ascii="Times New Roman" w:eastAsia="宋体" w:hAnsi="Times New Roman" w:hint="eastAsia"/>
          <w:sz w:val="21"/>
          <w:szCs w:val="21"/>
        </w:rPr>
        <w:t>除六面视图和立体图外，有的外观设计专利还包括其他视图。这些视图通常用来对外观设计作进一步说明，或者表示产品的使用环境，或者表示与其他产品的配合使用情况</w:t>
      </w:r>
      <w:r>
        <w:rPr>
          <w:rFonts w:ascii="Times New Roman" w:eastAsia="宋体" w:hAnsi="Times New Roman"/>
          <w:sz w:val="21"/>
          <w:szCs w:val="21"/>
        </w:rPr>
        <w:t>（</w:t>
      </w:r>
      <w:r>
        <w:rPr>
          <w:rFonts w:ascii="Times New Roman" w:eastAsia="宋体" w:hAnsi="Times New Roman" w:hint="eastAsia"/>
          <w:sz w:val="21"/>
          <w:szCs w:val="21"/>
        </w:rPr>
        <w:t>如使用状态参考图</w:t>
      </w:r>
      <w:r>
        <w:rPr>
          <w:rFonts w:ascii="Times New Roman" w:eastAsia="宋体" w:hAnsi="Times New Roman"/>
          <w:sz w:val="21"/>
          <w:szCs w:val="21"/>
        </w:rPr>
        <w:t>）</w:t>
      </w:r>
      <w:r>
        <w:rPr>
          <w:rFonts w:ascii="Times New Roman" w:eastAsia="宋体" w:hAnsi="Times New Roman" w:hint="eastAsia"/>
          <w:sz w:val="21"/>
          <w:szCs w:val="21"/>
        </w:rPr>
        <w:t>，可以用来更好地理解外观设计产品的使用状态，表明外观设计产品的用途。当依据产品的名称、分类号、产品的基本视图不能确定产品的种类时，产品的其他视图，特别是使用状态参考图也为确定外观设计产品的种类提供了重要依据。</w:t>
      </w:r>
    </w:p>
    <w:p w:rsidR="00800760" w:rsidRDefault="00235733">
      <w:pPr>
        <w:pStyle w:val="12"/>
        <w:topLinePunct/>
        <w:spacing w:line="324" w:lineRule="auto"/>
        <w:ind w:firstLine="420"/>
        <w:rPr>
          <w:rFonts w:ascii="Times New Roman" w:eastAsia="宋体" w:hAnsi="Times New Roman"/>
          <w:sz w:val="21"/>
          <w:szCs w:val="21"/>
        </w:rPr>
      </w:pPr>
      <w:r>
        <w:rPr>
          <w:rFonts w:ascii="Times New Roman" w:eastAsia="宋体" w:hAnsi="Times New Roman" w:hint="eastAsia"/>
          <w:sz w:val="21"/>
          <w:szCs w:val="21"/>
        </w:rPr>
        <w:t>下面的案例是实践中如何确定产品用途的一个示例性说明。</w:t>
      </w:r>
    </w:p>
    <w:p w:rsidR="00800760" w:rsidRDefault="00235733">
      <w:pPr>
        <w:pStyle w:val="af6"/>
        <w:spacing w:before="120" w:line="240" w:lineRule="auto"/>
        <w:ind w:firstLine="420"/>
        <w:rPr>
          <w:rFonts w:ascii="Times New Roman" w:hAnsi="Times New Roman"/>
        </w:rPr>
      </w:pPr>
      <w:bookmarkStart w:id="2261" w:name="_Toc1764"/>
      <w:bookmarkStart w:id="2262" w:name="_Toc32579"/>
      <w:bookmarkStart w:id="2263" w:name="_Toc18432"/>
      <w:bookmarkStart w:id="2264" w:name="_Toc21942"/>
      <w:bookmarkStart w:id="2265" w:name="_Toc3514"/>
      <w:bookmarkStart w:id="2266" w:name="_Toc12353"/>
      <w:bookmarkStart w:id="2267" w:name="_Toc2099"/>
      <w:bookmarkStart w:id="2268" w:name="_Toc27488"/>
      <w:bookmarkStart w:id="2269" w:name="_Toc26572"/>
      <w:bookmarkStart w:id="2270" w:name="_Toc11019"/>
      <w:bookmarkStart w:id="2271" w:name="_Toc2989"/>
      <w:bookmarkStart w:id="2272" w:name="_Toc15429"/>
      <w:bookmarkStart w:id="2273" w:name="_Toc22558"/>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-1</w:t>
      </w:r>
      <w:r>
        <w:rPr>
          <w:rFonts w:ascii="Times New Roman" w:hAnsi="Times New Roman" w:hint="eastAsia"/>
          <w:lang w:val="en-US"/>
        </w:rPr>
        <w:t>7</w:t>
      </w:r>
      <w:r>
        <w:rPr>
          <w:rFonts w:ascii="Times New Roman" w:hAnsi="Times New Roman" w:hint="eastAsia"/>
        </w:rPr>
        <w:t>】复合风管板</w:t>
      </w:r>
      <w:bookmarkEnd w:id="2261"/>
      <w:bookmarkEnd w:id="2262"/>
      <w:bookmarkEnd w:id="2263"/>
      <w:bookmarkEnd w:id="2264"/>
      <w:bookmarkEnd w:id="2265"/>
      <w:bookmarkEnd w:id="2266"/>
      <w:bookmarkEnd w:id="2267"/>
      <w:bookmarkEnd w:id="2268"/>
      <w:bookmarkEnd w:id="2269"/>
      <w:bookmarkEnd w:id="2270"/>
      <w:bookmarkEnd w:id="2271"/>
      <w:bookmarkEnd w:id="2272"/>
      <w:bookmarkEnd w:id="2273"/>
    </w:p>
    <w:p w:rsidR="00800760" w:rsidRDefault="00235733">
      <w:pPr>
        <w:pStyle w:val="12"/>
        <w:topLinePunct/>
        <w:spacing w:line="324"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涉案专利是产品名称为“复合风管板</w:t>
      </w:r>
      <w:r>
        <w:rPr>
          <w:rFonts w:ascii="Times New Roman" w:eastAsia="楷体_GB2312" w:hAnsi="Times New Roman"/>
          <w:sz w:val="21"/>
          <w:szCs w:val="21"/>
        </w:rPr>
        <w:t>（</w:t>
      </w:r>
      <w:r>
        <w:rPr>
          <w:rFonts w:ascii="Times New Roman" w:eastAsia="楷体_GB2312" w:hAnsi="Times New Roman" w:hint="eastAsia"/>
          <w:sz w:val="21"/>
          <w:szCs w:val="21"/>
        </w:rPr>
        <w:t>菱形</w:t>
      </w:r>
      <w:r>
        <w:rPr>
          <w:rFonts w:ascii="Times New Roman" w:eastAsia="楷体_GB2312" w:hAnsi="Times New Roman"/>
          <w:sz w:val="21"/>
          <w:szCs w:val="21"/>
        </w:rPr>
        <w:t>）</w:t>
      </w:r>
      <w:r>
        <w:rPr>
          <w:rFonts w:ascii="Times New Roman" w:eastAsia="楷体_GB2312" w:hAnsi="Times New Roman" w:hint="eastAsia"/>
          <w:sz w:val="21"/>
          <w:szCs w:val="21"/>
        </w:rPr>
        <w:t>”的外观设计专利，其分类号为</w:t>
      </w:r>
      <w:r>
        <w:rPr>
          <w:rFonts w:ascii="Times New Roman" w:eastAsia="楷体_GB2312" w:hAnsi="Times New Roman"/>
          <w:sz w:val="21"/>
          <w:szCs w:val="21"/>
        </w:rPr>
        <w:t>23-99</w:t>
      </w:r>
      <w:r>
        <w:rPr>
          <w:rFonts w:ascii="Times New Roman" w:eastAsia="楷体_GB2312" w:hAnsi="Times New Roman" w:hint="eastAsia"/>
          <w:sz w:val="21"/>
          <w:szCs w:val="21"/>
        </w:rPr>
        <w:t>，包括主视图、后视图、俯视图、仰视图、左视图、右视图等六面视图，其中主视图和后视图对称，左视图和右视图对称，俯视图和仰视图对称。涉案专利未附具简要说明。</w:t>
      </w:r>
    </w:p>
    <w:p w:rsidR="00800760" w:rsidRDefault="00800760">
      <w:pPr>
        <w:pStyle w:val="12"/>
        <w:topLinePunct/>
        <w:spacing w:line="240" w:lineRule="auto"/>
        <w:ind w:firstLineChars="0" w:firstLine="0"/>
        <w:jc w:val="center"/>
        <w:rPr>
          <w:rFonts w:ascii="Times New Roman" w:eastAsia="楷体_GB2312" w:hAnsi="Times New Roman"/>
          <w:sz w:val="21"/>
          <w:szCs w:val="21"/>
        </w:rPr>
      </w:pPr>
    </w:p>
    <w:p w:rsidR="00800760" w:rsidRDefault="00235733">
      <w:pPr>
        <w:pStyle w:val="12"/>
        <w:topLinePunct/>
        <w:spacing w:line="240" w:lineRule="auto"/>
        <w:ind w:firstLineChars="0" w:firstLine="0"/>
        <w:jc w:val="center"/>
        <w:rPr>
          <w:rFonts w:ascii="Times New Roman" w:eastAsia="楷体_GB2312" w:hAnsi="Times New Roman"/>
          <w:sz w:val="21"/>
          <w:szCs w:val="21"/>
        </w:rPr>
      </w:pPr>
      <w:r>
        <w:rPr>
          <w:rFonts w:ascii="Times New Roman" w:eastAsia="楷体_GB2312" w:hAnsi="Times New Roman" w:hint="eastAsia"/>
          <w:noProof/>
          <w:sz w:val="21"/>
          <w:szCs w:val="21"/>
          <w:lang w:val="en-US"/>
        </w:rPr>
        <w:drawing>
          <wp:inline distT="0" distB="0" distL="0" distR="0">
            <wp:extent cx="3776980" cy="2496820"/>
            <wp:effectExtent l="19050" t="0" r="0" b="0"/>
            <wp:docPr id="3" name="图片 2" descr="C:\Users\houmiao\Downloads\图片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C:\Users\houmiao\Downloads\图片2.png"/>
                    <pic:cNvPicPr>
                      <a:picLocks noChangeAspect="1" noChangeArrowheads="1"/>
                    </pic:cNvPicPr>
                  </pic:nvPicPr>
                  <pic:blipFill>
                    <a:blip r:embed="rId41" cstate="print">
                      <a:lum contrast="20000"/>
                    </a:blip>
                    <a:srcRect/>
                    <a:stretch>
                      <a:fillRect/>
                    </a:stretch>
                  </pic:blipFill>
                  <pic:spPr>
                    <a:xfrm>
                      <a:off x="0" y="0"/>
                      <a:ext cx="3776980" cy="2496820"/>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涉案专利部分视图</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根据图片可知，涉案专利产品为压制有菱形图案的片状物。压制有菱形花纹的片状外观的产品用途是多种多样的，仅根据图片无法确定其产品用途。</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产品名称为“复合风管板（菱形）”。风管板一般用于空气输送和分布的管道系统，主要应用在工业节能环保方面，通常具有多层结构，中间为保温层，两侧黏合有金属薄板层。涉案专利图片所示产品是一个压制有菱形图案的片材，虽然与其产品名称并不完全对应一致，但根据产品名称，可以认为其限定了该压制有菱形图案的片状物的用途。</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另外，该外观设计的分类号为</w:t>
      </w:r>
      <w:r>
        <w:rPr>
          <w:rFonts w:ascii="Times New Roman" w:eastAsia="楷体_GB2312" w:hAnsi="Times New Roman" w:hint="eastAsia"/>
          <w:sz w:val="21"/>
          <w:szCs w:val="21"/>
        </w:rPr>
        <w:t>23-99</w:t>
      </w:r>
      <w:r>
        <w:rPr>
          <w:rFonts w:ascii="Times New Roman" w:eastAsia="楷体_GB2312" w:hAnsi="Times New Roman" w:hint="eastAsia"/>
          <w:sz w:val="21"/>
          <w:szCs w:val="21"/>
        </w:rPr>
        <w:t>，其内容为“卫生、供暖、通风和空调设备”的“其他杂项”，由相应分类号体现出产品用途与名称体现的用途相一致。</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综上所述，结合产品名称、外观设计分类号、授权公告图片，可以确定涉案专利产品的用途，即用于空调等空气输送和分布的管道系统的复合风管板。</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4 \* GB4</w:instrText>
      </w:r>
      <w:r>
        <w:rPr>
          <w:rFonts w:ascii="Times New Roman" w:hAnsi="Times New Roman"/>
          <w:color w:val="000000"/>
        </w:rPr>
        <w:fldChar w:fldCharType="separate"/>
      </w:r>
      <w:bookmarkStart w:id="2274" w:name="_Toc28593395"/>
      <w:r w:rsidR="00235733">
        <w:rPr>
          <w:rFonts w:ascii="Times New Roman" w:hAnsi="Times New Roman" w:hint="eastAsia"/>
          <w:color w:val="000000"/>
          <w:lang w:val="en-US"/>
        </w:rPr>
        <w:t>（四）</w:t>
      </w:r>
      <w:r>
        <w:rPr>
          <w:rFonts w:ascii="Times New Roman" w:hAnsi="Times New Roman"/>
          <w:color w:val="000000"/>
        </w:rPr>
        <w:fldChar w:fldCharType="end"/>
      </w:r>
      <w:r w:rsidR="00235733">
        <w:rPr>
          <w:rFonts w:ascii="Times New Roman" w:hAnsi="Times New Roman" w:hint="eastAsia"/>
          <w:color w:val="000000"/>
        </w:rPr>
        <w:t>外观设计相同或近似对比判断</w:t>
      </w:r>
      <w:bookmarkEnd w:id="2274"/>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外观设计专利侵权判定的另一项重要内容是判断被控侵权产品是否采用与专利外观设计相同或者近似的形态</w:t>
      </w:r>
      <w:r>
        <w:rPr>
          <w:rFonts w:ascii="Times New Roman" w:eastAsia="宋体" w:hAnsi="Times New Roman"/>
          <w:sz w:val="21"/>
          <w:szCs w:val="21"/>
        </w:rPr>
        <w:t>（</w:t>
      </w:r>
      <w:r>
        <w:rPr>
          <w:rFonts w:ascii="Times New Roman" w:eastAsia="宋体" w:hAnsi="Times New Roman" w:hint="eastAsia"/>
          <w:sz w:val="21"/>
          <w:szCs w:val="21"/>
        </w:rPr>
        <w:t>形状、图案、色彩</w:t>
      </w:r>
      <w:r>
        <w:rPr>
          <w:rFonts w:ascii="Times New Roman" w:eastAsia="宋体" w:hAnsi="Times New Roman"/>
          <w:sz w:val="21"/>
          <w:szCs w:val="21"/>
        </w:rPr>
        <w:t>）</w:t>
      </w:r>
      <w:r>
        <w:rPr>
          <w:rFonts w:ascii="Times New Roman" w:eastAsia="宋体" w:hAnsi="Times New Roman" w:hint="eastAsia"/>
          <w:sz w:val="21"/>
          <w:szCs w:val="21"/>
        </w:rPr>
        <w:t>。</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2275" w:name="_Toc28593396"/>
      <w:r w:rsidR="00235733">
        <w:rPr>
          <w:color w:val="000000"/>
        </w:rPr>
        <w:t xml:space="preserve">1. </w:t>
      </w:r>
      <w:r>
        <w:rPr>
          <w:color w:val="000000"/>
        </w:rPr>
        <w:fldChar w:fldCharType="end"/>
      </w:r>
      <w:r w:rsidR="00235733">
        <w:rPr>
          <w:rFonts w:hint="eastAsia"/>
          <w:color w:val="000000"/>
        </w:rPr>
        <w:t>相同或近似的判断方式</w:t>
      </w:r>
      <w:bookmarkEnd w:id="2275"/>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相同或近似的对比判断应当站在涉案专利产品的一般消费者角度</w:t>
      </w:r>
      <w:r>
        <w:rPr>
          <w:rFonts w:ascii="Times New Roman" w:eastAsia="宋体" w:hAnsi="Times New Roman"/>
          <w:sz w:val="21"/>
          <w:szCs w:val="21"/>
        </w:rPr>
        <w:t>，</w:t>
      </w:r>
      <w:r>
        <w:rPr>
          <w:rFonts w:ascii="Times New Roman" w:eastAsia="宋体" w:hAnsi="Times New Roman" w:hint="eastAsia"/>
          <w:sz w:val="21"/>
          <w:szCs w:val="21"/>
        </w:rPr>
        <w:t>对涉案专利与被控侵权产品的相关设计内容进行直接观察、单独对比</w:t>
      </w:r>
      <w:r>
        <w:rPr>
          <w:rFonts w:ascii="Times New Roman" w:eastAsia="宋体" w:hAnsi="Times New Roman"/>
          <w:sz w:val="21"/>
          <w:szCs w:val="21"/>
        </w:rPr>
        <w:t>，</w:t>
      </w:r>
      <w:r>
        <w:rPr>
          <w:rFonts w:ascii="Times New Roman" w:eastAsia="宋体" w:hAnsi="Times New Roman" w:hint="eastAsia"/>
          <w:sz w:val="21"/>
          <w:szCs w:val="21"/>
        </w:rPr>
        <w:t>通过整体观察、综合判断的方式</w:t>
      </w:r>
      <w:r>
        <w:rPr>
          <w:rFonts w:ascii="Times New Roman" w:eastAsia="宋体" w:hAnsi="Times New Roman"/>
          <w:sz w:val="21"/>
          <w:szCs w:val="21"/>
        </w:rPr>
        <w:t>，</w:t>
      </w:r>
      <w:r>
        <w:rPr>
          <w:rFonts w:ascii="Times New Roman" w:eastAsia="宋体" w:hAnsi="Times New Roman" w:hint="eastAsia"/>
          <w:sz w:val="21"/>
          <w:szCs w:val="21"/>
        </w:rPr>
        <w:t>确定产品外观设计的整体视觉效果。</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直接观察</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所称“直接观察”，是指观察者仅凭普通视觉、不借助仪器等其他工具或者手段进行比较观察。视觉无法直接分辨的设计内容不能作为认定相同或近似的依据。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例如，有些纺织品用视觉观看形状、图案和色彩完全相同，但在放大镜下观察，其纹路有很大的不同。这种借助放大镜等仪器观察到的纹路，不能作为外观设计专利侵权对比的依据。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单独对比</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所称“单独对比”，是指在外观设计相同或近似对比时，应当将一件被控侵权产品的相关设计内容与涉案专利的一项设计进行对比，不能将两项或者两项以上外观设计结合起来进行对比。</w:t>
      </w:r>
    </w:p>
    <w:p w:rsidR="00800760" w:rsidRDefault="00235733">
      <w:pPr>
        <w:pStyle w:val="12"/>
        <w:topLinePunct/>
        <w:spacing w:line="336" w:lineRule="auto"/>
        <w:ind w:firstLine="420"/>
        <w:rPr>
          <w:rFonts w:ascii="Times New Roman" w:eastAsia="宋体" w:hAnsi="Times New Roman"/>
          <w:sz w:val="21"/>
          <w:szCs w:val="21"/>
          <w:lang w:val="en-US"/>
        </w:rPr>
      </w:pPr>
      <w:r>
        <w:rPr>
          <w:rFonts w:ascii="Times New Roman" w:eastAsia="宋体" w:hAnsi="Times New Roman" w:hint="eastAsia"/>
          <w:sz w:val="21"/>
          <w:szCs w:val="21"/>
        </w:rPr>
        <w:t>例如，涉案专利为成套产品的外观设计专利，包含有若干项具有独立使用价值的产品的外观设计，或者涉案专利为相似外观设计专利，包含有多项相似的外观设计，权利人主张多项外观设计作为权利基础时，应当将一件被控侵权产品的相关设计内容与各项外观设计分别单独进行对比。对于成套产品的外观设计专利，如果被控侵权设计与其中一项外观设计相同或者近似的，应当认定该侵权设计落入专利权的保护范围。</w:t>
      </w:r>
    </w:p>
    <w:p w:rsidR="00800760" w:rsidRDefault="00C22A7B">
      <w:pPr>
        <w:pStyle w:val="1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比较产品外观的视觉效果</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在外观设计专利侵权判定时，应当仅以产品的外观为比较对象，考虑要求保护的形状、图案、色彩产生的视觉效果。应当将图片或者照片表现的涉案专利与被控侵权产品</w:t>
      </w:r>
      <w:r>
        <w:rPr>
          <w:rFonts w:ascii="Times New Roman" w:eastAsia="宋体" w:hAnsi="Times New Roman"/>
          <w:sz w:val="21"/>
          <w:szCs w:val="21"/>
        </w:rPr>
        <w:t>（</w:t>
      </w:r>
      <w:r>
        <w:rPr>
          <w:rFonts w:ascii="Times New Roman" w:eastAsia="宋体" w:hAnsi="Times New Roman" w:hint="eastAsia"/>
          <w:sz w:val="21"/>
          <w:szCs w:val="21"/>
        </w:rPr>
        <w:t>或者其图片或者照片所显示的产品</w:t>
      </w:r>
      <w:r>
        <w:rPr>
          <w:rFonts w:ascii="Times New Roman" w:eastAsia="宋体" w:hAnsi="Times New Roman"/>
          <w:sz w:val="21"/>
          <w:szCs w:val="21"/>
        </w:rPr>
        <w:t>）</w:t>
      </w:r>
      <w:r>
        <w:rPr>
          <w:rFonts w:ascii="Times New Roman" w:eastAsia="宋体" w:hAnsi="Times New Roman" w:hint="eastAsia"/>
          <w:sz w:val="21"/>
          <w:szCs w:val="21"/>
        </w:rPr>
        <w:t>的形态</w:t>
      </w:r>
      <w:r>
        <w:rPr>
          <w:rFonts w:ascii="Times New Roman" w:eastAsia="宋体" w:hAnsi="Times New Roman"/>
          <w:sz w:val="21"/>
          <w:szCs w:val="21"/>
        </w:rPr>
        <w:t>（</w:t>
      </w:r>
      <w:r>
        <w:rPr>
          <w:rFonts w:ascii="Times New Roman" w:eastAsia="宋体" w:hAnsi="Times New Roman" w:hint="eastAsia"/>
          <w:sz w:val="21"/>
          <w:szCs w:val="21"/>
        </w:rPr>
        <w:t>形状、图案、色彩</w:t>
      </w:r>
      <w:r>
        <w:rPr>
          <w:rFonts w:ascii="Times New Roman" w:eastAsia="宋体" w:hAnsi="Times New Roman"/>
          <w:sz w:val="21"/>
          <w:szCs w:val="21"/>
        </w:rPr>
        <w:t>）</w:t>
      </w:r>
      <w:r>
        <w:rPr>
          <w:rFonts w:ascii="Times New Roman" w:eastAsia="宋体" w:hAnsi="Times New Roman" w:hint="eastAsia"/>
          <w:sz w:val="21"/>
          <w:szCs w:val="21"/>
        </w:rPr>
        <w:t>进行比较，从二者外观带给一般消费者的视觉印象，而非产品功能角度进行分析判断。</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整体观察、综合判断</w:t>
      </w:r>
    </w:p>
    <w:p w:rsidR="00800760" w:rsidRDefault="00235733">
      <w:pPr>
        <w:pStyle w:val="12"/>
        <w:topLinePunct/>
        <w:spacing w:line="336" w:lineRule="auto"/>
        <w:ind w:firstLine="420"/>
        <w:rPr>
          <w:rFonts w:ascii="Times New Roman" w:eastAsia="宋体" w:hAnsi="Times New Roman"/>
          <w:sz w:val="21"/>
          <w:szCs w:val="21"/>
          <w:lang w:val="en-GB"/>
        </w:rPr>
      </w:pPr>
      <w:r>
        <w:rPr>
          <w:rFonts w:ascii="Times New Roman" w:eastAsia="宋体" w:hAnsi="Times New Roman" w:hint="eastAsia"/>
          <w:sz w:val="21"/>
          <w:szCs w:val="21"/>
        </w:rPr>
        <w:t>外观设计相同或近似的对比中，应当采用整体观察、综合判断的方法。所称整体观察、综合判断是指，基于涉案专利的全部设计要素与被控侵权产品的相应设计内容进行比较，而不是依据外观设计的局部或者涉案专利与被控侵权产品相区别的设计特征作出判断。应当根据相关种类产品的外观设计的设计空间，综合分析各设计内容对外观设计整体视觉效果的影响，不需要考虑主要是由技术功能决定的设计特征以及对整体视觉效果不产生影响的产品的材料、内部结构等特征。</w:t>
      </w:r>
    </w:p>
    <w:p w:rsidR="00800760" w:rsidRDefault="00235733">
      <w:pPr>
        <w:pStyle w:val="12"/>
        <w:topLinePunct/>
        <w:spacing w:line="336" w:lineRule="auto"/>
        <w:ind w:firstLine="420"/>
        <w:rPr>
          <w:rFonts w:ascii="Times New Roman" w:eastAsia="宋体" w:hAnsi="Times New Roman"/>
          <w:sz w:val="21"/>
          <w:szCs w:val="21"/>
          <w:lang w:val="en-US"/>
        </w:rPr>
      </w:pPr>
      <w:r>
        <w:rPr>
          <w:rFonts w:ascii="Times New Roman" w:eastAsia="宋体" w:hAnsi="Times New Roman" w:hint="eastAsia"/>
          <w:sz w:val="21"/>
          <w:szCs w:val="21"/>
          <w:lang w:val="en-GB"/>
        </w:rPr>
        <w:t>对于局部外观设计，同样应当遵循整体观察、综合判断的方式，包括对局部外观设计要求保护部分的形状、图案、色彩，以及该部分在所示产品中的位置和比例关系作整体观察、综合判断，具体是指基于涉案专利明确要求保护的局部外观设计整体与被控侵权产品的相应设计内容整体进行比较。若被控侵权局部外观设计与涉案局部外观设计相同或者近似，则再比较局部外观设计在产品中的大小、位置、结构以及对于整体视觉效果、功能状态等方面的影响。若被控侵权局部外观设计与涉案局部外观设计整体上无差异或者无实质性差异的，则被控侵权局部外观设计落入外观设计专利的保护范围。若被控侵权局部外观设计与涉案局部外观设计在整体视觉效果上有差异的，如果这种差异为本产品领域所常见，则被控侵权局部外观设计仍落入外观设计专利的保护范围。进行局部外观设计专利侵权判定时，应当对比涉案专利外观设计与被控侵权设计各自在其整体产品外观中的位置及比例关系。必要时，可以要求被控侵权人提供能够表示被控侵权设计在整体产品外观中的位置及比例关系的资料。</w:t>
      </w:r>
    </w:p>
    <w:p w:rsidR="00800760" w:rsidRDefault="00235733">
      <w:pPr>
        <w:pStyle w:val="12"/>
        <w:topLinePunct/>
        <w:spacing w:line="336" w:lineRule="auto"/>
        <w:ind w:firstLine="420"/>
        <w:rPr>
          <w:rFonts w:ascii="Times New Roman" w:eastAsia="宋体" w:hAnsi="Times New Roman"/>
          <w:sz w:val="21"/>
          <w:szCs w:val="21"/>
          <w:lang w:val="en-US"/>
        </w:rPr>
      </w:pPr>
      <w:r>
        <w:rPr>
          <w:rFonts w:ascii="Times New Roman" w:eastAsia="宋体" w:hAnsi="Times New Roman" w:hint="eastAsia"/>
          <w:sz w:val="21"/>
          <w:szCs w:val="21"/>
          <w:lang w:val="en-US"/>
        </w:rPr>
        <w:t>在进行判断时，下列情形通常对外观设计的整体视觉效果更具有影响：</w:t>
      </w:r>
    </w:p>
    <w:p w:rsidR="00800760" w:rsidRDefault="00235733">
      <w:pPr>
        <w:pStyle w:val="12"/>
        <w:topLinePunct/>
        <w:spacing w:line="336" w:lineRule="auto"/>
        <w:ind w:firstLine="420"/>
        <w:rPr>
          <w:rFonts w:ascii="Times New Roman" w:eastAsia="宋体" w:hAnsi="Times New Roman"/>
          <w:sz w:val="21"/>
          <w:szCs w:val="21"/>
          <w:lang w:val="en-US"/>
        </w:rPr>
      </w:pPr>
      <w:r>
        <w:rPr>
          <w:rFonts w:ascii="Times New Roman" w:eastAsia="宋体" w:hAnsi="Times New Roman" w:hint="eastAsia"/>
          <w:sz w:val="21"/>
          <w:szCs w:val="21"/>
          <w:lang w:val="en-US"/>
        </w:rPr>
        <w:t>（一）产品正常使用时容易被直接观察到的部位相对于其他部位；</w:t>
      </w:r>
    </w:p>
    <w:p w:rsidR="00800760" w:rsidRDefault="00235733">
      <w:pPr>
        <w:pStyle w:val="12"/>
        <w:topLinePunct/>
        <w:spacing w:line="336" w:lineRule="auto"/>
        <w:ind w:firstLine="420"/>
        <w:rPr>
          <w:rFonts w:ascii="Times New Roman" w:eastAsia="宋体" w:hAnsi="Times New Roman"/>
          <w:sz w:val="21"/>
          <w:szCs w:val="21"/>
          <w:lang w:val="en-US"/>
        </w:rPr>
      </w:pPr>
      <w:r>
        <w:rPr>
          <w:rFonts w:ascii="Times New Roman" w:eastAsia="宋体" w:hAnsi="Times New Roman" w:hint="eastAsia"/>
          <w:sz w:val="21"/>
          <w:szCs w:val="21"/>
          <w:lang w:val="en-US"/>
        </w:rPr>
        <w:t>（二）授权外观设计区别于现有设计的设计特征相对于授权外观设计的其他设计特征。</w:t>
      </w:r>
    </w:p>
    <w:p w:rsidR="00800760" w:rsidRDefault="00235733">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hint="eastAsia"/>
          <w:sz w:val="21"/>
          <w:szCs w:val="21"/>
        </w:rPr>
        <w:t>如果一般消费者会将被控侵权产品误认为涉案专利外观设计，则被控侵权产品落入外观设计专利</w:t>
      </w:r>
      <w:r>
        <w:rPr>
          <w:rFonts w:ascii="Times New Roman" w:eastAsia="宋体" w:hAnsi="Times New Roman" w:hint="eastAsia"/>
          <w:spacing w:val="2"/>
          <w:sz w:val="21"/>
          <w:szCs w:val="21"/>
        </w:rPr>
        <w:t>保护范围。如果一般消费者不会将被控侵权产品误认为涉案专利产品，也不必然得出二者不近似的结论。</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5</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组件产品与变化状态产品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组件产品</w:t>
      </w:r>
    </w:p>
    <w:p w:rsidR="00800760" w:rsidRDefault="00235733">
      <w:pPr>
        <w:pStyle w:val="12"/>
        <w:topLinePunct/>
        <w:spacing w:line="336" w:lineRule="auto"/>
        <w:ind w:firstLine="420"/>
        <w:rPr>
          <w:rFonts w:ascii="Times New Roman" w:eastAsia="宋体" w:hAnsi="Times New Roman"/>
          <w:spacing w:val="4"/>
          <w:sz w:val="21"/>
          <w:szCs w:val="21"/>
        </w:rPr>
      </w:pPr>
      <w:r>
        <w:rPr>
          <w:rFonts w:ascii="Times New Roman" w:eastAsia="宋体" w:hAnsi="Times New Roman" w:hint="eastAsia"/>
          <w:sz w:val="21"/>
          <w:szCs w:val="21"/>
        </w:rPr>
        <w:t>对于组装关系唯一的组件产品，一般消费者会对各构件组合后的产品的整体外观设计留下印象，</w:t>
      </w:r>
      <w:r>
        <w:rPr>
          <w:rFonts w:ascii="Times New Roman" w:eastAsia="宋体" w:hAnsi="Times New Roman" w:hint="eastAsia"/>
          <w:spacing w:val="4"/>
          <w:sz w:val="21"/>
          <w:szCs w:val="21"/>
        </w:rPr>
        <w:t>因此应当以各组件组合状态下的整体外观设计为对象，而不是以单个构件的外观设计为对象进行对比。</w:t>
      </w:r>
    </w:p>
    <w:p w:rsidR="00800760" w:rsidRDefault="00235733">
      <w:pPr>
        <w:pStyle w:val="12"/>
        <w:topLinePunct/>
        <w:spacing w:line="336" w:lineRule="auto"/>
        <w:ind w:firstLine="420"/>
        <w:rPr>
          <w:rFonts w:ascii="Times New Roman" w:eastAsia="宋体" w:hAnsi="Times New Roman"/>
          <w:sz w:val="21"/>
          <w:szCs w:val="21"/>
          <w:lang w:val="en-US"/>
        </w:rPr>
      </w:pPr>
      <w:r>
        <w:rPr>
          <w:rFonts w:ascii="Times New Roman" w:eastAsia="宋体" w:hAnsi="Times New Roman" w:hint="eastAsia"/>
          <w:sz w:val="21"/>
          <w:szCs w:val="21"/>
        </w:rPr>
        <w:t>对于组装关系不唯一的组件产品，例如插接组件玩具产品，一般消费者会对单个构件的外观设计留下印象，所以应当以单个构件的外观设计为对象；对于组装关系不唯一但仅有确定的几种组装关系的组件产品，还可以考虑以组装后的整体外观设计为对象进行对比。</w:t>
      </w:r>
    </w:p>
    <w:p w:rsidR="00800760" w:rsidRDefault="00235733">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hint="eastAsia"/>
          <w:sz w:val="21"/>
          <w:szCs w:val="21"/>
        </w:rPr>
        <w:t>对于各构件之间无组装关系的组件产品，例如扑克牌、象棋棋子等组件产品，在购买和使用这类产</w:t>
      </w:r>
      <w:r>
        <w:rPr>
          <w:rFonts w:ascii="Times New Roman" w:eastAsia="宋体" w:hAnsi="Times New Roman" w:hint="eastAsia"/>
          <w:spacing w:val="2"/>
          <w:sz w:val="21"/>
          <w:szCs w:val="21"/>
        </w:rPr>
        <w:t>品的过程中，一般消费者会对单个构件的外观留下印象，所以应当以单个构件的外观设计为对象进行对比。</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变化状态产品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对于变化状态产品，在对比判断中，应当将被控侵权产品的相应变化状态与涉案专利的各种使用状态进行对比，而不应当仅针对被控侵权产品和涉案专利的一种状态进行比较。</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如果涉案专利为变化状态产品，应当以其各个状态所示的外观设计作为与被控侵权产品进行比较的对象，对产品各种使用状态的外观设计作综合考虑。</w:t>
      </w:r>
    </w:p>
    <w:p w:rsidR="00800760" w:rsidRDefault="00235733">
      <w:pPr>
        <w:pStyle w:val="12"/>
        <w:topLinePunct/>
        <w:spacing w:before="120" w:line="336" w:lineRule="auto"/>
        <w:ind w:firstLine="420"/>
        <w:rPr>
          <w:rFonts w:eastAsia="宋体"/>
          <w:szCs w:val="21"/>
        </w:rPr>
      </w:pPr>
      <w:r>
        <w:rPr>
          <w:rFonts w:ascii="Times New Roman" w:eastAsia="宋体" w:hAnsi="Times New Roman" w:hint="eastAsia"/>
          <w:sz w:val="21"/>
          <w:szCs w:val="21"/>
        </w:rPr>
        <w:t>如果涉案专利不是变化状态产品，而被控侵权产品是变化状态产品，应当将涉案专利产品与被控侵权产品中相对应的状态作为比较对象。</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2276" w:name="_Toc28593397"/>
      <w:r w:rsidR="00235733">
        <w:rPr>
          <w:rFonts w:hint="eastAsia"/>
          <w:color w:val="000000"/>
        </w:rPr>
        <w:t xml:space="preserve">2. </w:t>
      </w:r>
      <w:r>
        <w:rPr>
          <w:color w:val="000000"/>
        </w:rPr>
        <w:fldChar w:fldCharType="end"/>
      </w:r>
      <w:r w:rsidR="00235733">
        <w:rPr>
          <w:rFonts w:hint="eastAsia"/>
          <w:color w:val="000000"/>
        </w:rPr>
        <w:t>相同或近似的判断</w:t>
      </w:r>
      <w:bookmarkEnd w:id="2276"/>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外观设计相同</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外观设计相同，是指被控侵权产品种类与涉案专利相同，且被控侵权产品与涉案专利的全部外观设计要素相同，其中外观设计要素是指形状、图案以及色彩。</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被控侵权产品种类与涉案专利不同的，即使其外观设计的三要素相同，也不应认为是外观设计相同。</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如果涉案专利与被控侵权产品的相关设计的区别仅属于常用材料的替换，或者仅存在产品功能、内部结构、技术性能或者尺寸的不同，未导致产品外观设计的变化，二者仍属于相同的外观设计。</w:t>
      </w:r>
    </w:p>
    <w:p w:rsidR="00800760" w:rsidRDefault="00235733">
      <w:pPr>
        <w:pStyle w:val="af6"/>
        <w:spacing w:before="120"/>
        <w:ind w:firstLine="420"/>
        <w:rPr>
          <w:rFonts w:ascii="Times New Roman" w:hAnsi="Times New Roman"/>
        </w:rPr>
      </w:pPr>
      <w:bookmarkStart w:id="2277" w:name="_Toc32065"/>
      <w:bookmarkStart w:id="2278" w:name="_Toc27511"/>
      <w:bookmarkStart w:id="2279" w:name="_Toc24934"/>
      <w:bookmarkStart w:id="2280" w:name="_Toc26532"/>
      <w:bookmarkStart w:id="2281" w:name="_Toc1741"/>
      <w:bookmarkStart w:id="2282" w:name="_Toc19375"/>
      <w:bookmarkStart w:id="2283" w:name="_Toc22269"/>
      <w:bookmarkStart w:id="2284" w:name="_Toc32133"/>
      <w:bookmarkStart w:id="2285" w:name="_Toc17024"/>
      <w:bookmarkStart w:id="2286" w:name="_Toc24967"/>
      <w:bookmarkStart w:id="2287" w:name="_Toc1036"/>
      <w:bookmarkStart w:id="2288" w:name="_Toc3308"/>
      <w:bookmarkStart w:id="2289" w:name="_Toc28001"/>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-1</w:t>
      </w:r>
      <w:r>
        <w:rPr>
          <w:rFonts w:ascii="Times New Roman" w:hAnsi="Times New Roman" w:hint="eastAsia"/>
          <w:lang w:val="en-US"/>
        </w:rPr>
        <w:t>8</w:t>
      </w:r>
      <w:r>
        <w:rPr>
          <w:rFonts w:ascii="Times New Roman" w:hAnsi="Times New Roman" w:hint="eastAsia"/>
        </w:rPr>
        <w:t>】瓷娃</w:t>
      </w:r>
      <w:bookmarkEnd w:id="2277"/>
      <w:bookmarkEnd w:id="2278"/>
      <w:bookmarkEnd w:id="2279"/>
      <w:bookmarkEnd w:id="2280"/>
      <w:bookmarkEnd w:id="2281"/>
      <w:bookmarkEnd w:id="2282"/>
      <w:bookmarkEnd w:id="2283"/>
      <w:bookmarkEnd w:id="2284"/>
      <w:bookmarkEnd w:id="2285"/>
      <w:bookmarkEnd w:id="2286"/>
      <w:bookmarkEnd w:id="2287"/>
      <w:bookmarkEnd w:id="2288"/>
      <w:bookmarkEnd w:id="2289"/>
    </w:p>
    <w:p w:rsidR="00800760" w:rsidRDefault="00235733">
      <w:pPr>
        <w:pStyle w:val="12"/>
        <w:topLinePunct/>
        <w:spacing w:line="336" w:lineRule="auto"/>
        <w:ind w:firstLineChars="0" w:firstLine="0"/>
        <w:jc w:val="center"/>
        <w:rPr>
          <w:rFonts w:ascii="Times New Roman" w:hAnsi="Times New Roman"/>
        </w:rPr>
      </w:pPr>
      <w:r>
        <w:rPr>
          <w:rFonts w:ascii="Times New Roman" w:hAnsi="Times New Roman"/>
          <w:noProof/>
          <w:lang w:val="en-US"/>
        </w:rPr>
        <w:drawing>
          <wp:inline distT="0" distB="0" distL="0" distR="0">
            <wp:extent cx="2162175" cy="1800225"/>
            <wp:effectExtent l="19050" t="0" r="9525" b="0"/>
            <wp:docPr id="81" name="图片 17" descr="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7" descr="70-1"/>
                    <pic:cNvPicPr>
                      <a:picLocks noChangeAspect="1" noChangeArrowheads="1"/>
                    </pic:cNvPicPr>
                  </pic:nvPicPr>
                  <pic:blipFill>
                    <a:blip r:embed="rId42" cstate="print"/>
                    <a:srcRect/>
                    <a:stretch>
                      <a:fillRect/>
                    </a:stretch>
                  </pic:blipFill>
                  <pic:spPr>
                    <a:xfrm>
                      <a:off x="0" y="0"/>
                      <a:ext cx="2162175" cy="180022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涉案专利视图</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图中各瓷娃尺寸大小不同，但是各瓷娃的设计均是相同的，不同之处仅在于尺寸的等比例变化，每个瓷娃外观设计的视觉效果是相同的，属于相同的外观设计。</w:t>
      </w:r>
    </w:p>
    <w:p w:rsidR="00800760" w:rsidRDefault="00235733">
      <w:pPr>
        <w:pStyle w:val="af6"/>
        <w:spacing w:before="120"/>
        <w:ind w:firstLine="420"/>
        <w:rPr>
          <w:rFonts w:ascii="Times New Roman" w:hAnsi="Times New Roman"/>
        </w:rPr>
      </w:pPr>
      <w:bookmarkStart w:id="2290" w:name="_Toc30210"/>
      <w:bookmarkStart w:id="2291" w:name="_Toc14139"/>
      <w:bookmarkStart w:id="2292" w:name="_Toc10259"/>
      <w:bookmarkStart w:id="2293" w:name="_Toc6457"/>
      <w:bookmarkStart w:id="2294" w:name="_Toc12254"/>
      <w:bookmarkStart w:id="2295" w:name="_Toc7504"/>
      <w:bookmarkStart w:id="2296" w:name="_Toc5460"/>
      <w:bookmarkStart w:id="2297" w:name="_Toc22442"/>
      <w:bookmarkStart w:id="2298" w:name="_Toc13820"/>
      <w:bookmarkStart w:id="2299" w:name="_Toc11887"/>
      <w:bookmarkStart w:id="2300" w:name="_Toc8074"/>
      <w:bookmarkStart w:id="2301" w:name="_Toc16583"/>
      <w:bookmarkStart w:id="2302" w:name="_Toc5607"/>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-1</w:t>
      </w:r>
      <w:r>
        <w:rPr>
          <w:rFonts w:ascii="Times New Roman" w:hAnsi="Times New Roman" w:hint="eastAsia"/>
          <w:lang w:val="en-US"/>
        </w:rPr>
        <w:t>9</w:t>
      </w:r>
      <w:r>
        <w:rPr>
          <w:rFonts w:ascii="Times New Roman" w:hAnsi="Times New Roman" w:hint="eastAsia"/>
        </w:rPr>
        <w:t>】开关</w:t>
      </w:r>
      <w:bookmarkEnd w:id="2290"/>
      <w:bookmarkEnd w:id="2291"/>
      <w:bookmarkEnd w:id="2292"/>
      <w:bookmarkEnd w:id="2293"/>
      <w:bookmarkEnd w:id="2294"/>
      <w:bookmarkEnd w:id="2295"/>
      <w:bookmarkEnd w:id="2296"/>
      <w:bookmarkEnd w:id="2297"/>
      <w:bookmarkEnd w:id="2298"/>
      <w:bookmarkEnd w:id="2299"/>
      <w:bookmarkEnd w:id="2300"/>
      <w:bookmarkEnd w:id="2301"/>
      <w:bookmarkEnd w:id="2302"/>
    </w:p>
    <w:tbl>
      <w:tblPr>
        <w:tblW w:w="0" w:type="auto"/>
        <w:jc w:val="center"/>
        <w:tblLook w:val="04A0"/>
      </w:tblPr>
      <w:tblGrid>
        <w:gridCol w:w="3434"/>
        <w:gridCol w:w="3536"/>
      </w:tblGrid>
      <w:tr w:rsidR="00800760">
        <w:trPr>
          <w:jc w:val="center"/>
        </w:trPr>
        <w:tc>
          <w:tcPr>
            <w:tcW w:w="3434" w:type="dxa"/>
          </w:tcPr>
          <w:p w:rsidR="00800760" w:rsidRDefault="00235733">
            <w:pPr>
              <w:pStyle w:val="12"/>
              <w:topLinePunct/>
              <w:spacing w:line="336" w:lineRule="auto"/>
              <w:ind w:firstLineChars="0" w:firstLine="0"/>
              <w:jc w:val="center"/>
              <w:rPr>
                <w:rFonts w:ascii="Times New Roman" w:hAnsi="Times New Roman"/>
              </w:rPr>
            </w:pPr>
            <w:r>
              <w:rPr>
                <w:rFonts w:ascii="Times New Roman" w:hAnsi="Times New Roman"/>
                <w:noProof/>
                <w:lang w:val="en-US"/>
              </w:rPr>
              <w:drawing>
                <wp:inline distT="0" distB="0" distL="0" distR="0">
                  <wp:extent cx="1476375" cy="1457325"/>
                  <wp:effectExtent l="19050" t="0" r="9525" b="0"/>
                  <wp:docPr id="82" name="图片 18" descr="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8" descr="70-2"/>
                          <pic:cNvPicPr>
                            <a:picLocks noChangeAspect="1" noChangeArrowheads="1"/>
                          </pic:cNvPicPr>
                        </pic:nvPicPr>
                        <pic:blipFill>
                          <a:blip r:embed="rId43" cstate="print"/>
                          <a:srcRect/>
                          <a:stretch>
                            <a:fillRect/>
                          </a:stretch>
                        </pic:blipFill>
                        <pic:spPr>
                          <a:xfrm>
                            <a:off x="0" y="0"/>
                            <a:ext cx="1476375" cy="1457325"/>
                          </a:xfrm>
                          <a:prstGeom prst="rect">
                            <a:avLst/>
                          </a:prstGeom>
                          <a:noFill/>
                          <a:ln w="9525">
                            <a:noFill/>
                            <a:miter lim="800000"/>
                            <a:headEnd/>
                            <a:tailEnd/>
                          </a:ln>
                        </pic:spPr>
                      </pic:pic>
                    </a:graphicData>
                  </a:graphic>
                </wp:inline>
              </w:drawing>
            </w:r>
          </w:p>
        </w:tc>
        <w:tc>
          <w:tcPr>
            <w:tcW w:w="3536" w:type="dxa"/>
          </w:tcPr>
          <w:p w:rsidR="00800760" w:rsidRDefault="00235733">
            <w:pPr>
              <w:pStyle w:val="12"/>
              <w:topLinePunct/>
              <w:spacing w:line="336" w:lineRule="auto"/>
              <w:ind w:firstLineChars="0" w:firstLine="0"/>
              <w:jc w:val="center"/>
              <w:rPr>
                <w:rFonts w:ascii="Times New Roman" w:hAnsi="Times New Roman"/>
              </w:rPr>
            </w:pPr>
            <w:r>
              <w:rPr>
                <w:rFonts w:ascii="Times New Roman" w:hAnsi="Times New Roman"/>
                <w:noProof/>
                <w:lang w:val="en-US"/>
              </w:rPr>
              <w:drawing>
                <wp:inline distT="0" distB="0" distL="0" distR="0">
                  <wp:extent cx="1438275" cy="1438275"/>
                  <wp:effectExtent l="19050" t="0" r="9525" b="0"/>
                  <wp:docPr id="83" name="图片 19" descr="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9" descr="70-3"/>
                          <pic:cNvPicPr>
                            <a:picLocks noChangeAspect="1" noChangeArrowheads="1"/>
                          </pic:cNvPicPr>
                        </pic:nvPicPr>
                        <pic:blipFill>
                          <a:blip r:embed="rId44" cstate="print"/>
                          <a:srcRect/>
                          <a:stretch>
                            <a:fillRect/>
                          </a:stretch>
                        </pic:blipFill>
                        <pic:spPr>
                          <a:xfrm>
                            <a:off x="0" y="0"/>
                            <a:ext cx="1438275" cy="1438275"/>
                          </a:xfrm>
                          <a:prstGeom prst="rect">
                            <a:avLst/>
                          </a:prstGeom>
                          <a:noFill/>
                          <a:ln w="9525">
                            <a:noFill/>
                            <a:miter lim="800000"/>
                            <a:headEnd/>
                            <a:tailEnd/>
                          </a:ln>
                        </pic:spPr>
                      </pic:pic>
                    </a:graphicData>
                  </a:graphic>
                </wp:inline>
              </w:drawing>
            </w:r>
          </w:p>
        </w:tc>
      </w:tr>
      <w:tr w:rsidR="00800760">
        <w:trPr>
          <w:jc w:val="center"/>
        </w:trPr>
        <w:tc>
          <w:tcPr>
            <w:tcW w:w="3434"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触摸开关</w:t>
            </w:r>
          </w:p>
        </w:tc>
        <w:tc>
          <w:tcPr>
            <w:tcW w:w="3536"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声控开关</w:t>
            </w:r>
          </w:p>
        </w:tc>
      </w:tr>
    </w:tbl>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本案例图中两个产品均为开关，但一个为触摸开关，另一个是声控开关，二者实现电路闭合、断开的原理不同，但其产品外观的视觉效果是相同的，二者属于相同的外观设计。</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外观设计近似</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在涉案专利与被控侵权产品属于相同或相近种类的情况下</w:t>
      </w:r>
      <w:r>
        <w:rPr>
          <w:rFonts w:ascii="Times New Roman" w:eastAsia="宋体" w:hAnsi="Times New Roman"/>
          <w:sz w:val="21"/>
          <w:szCs w:val="21"/>
        </w:rPr>
        <w:t>，</w:t>
      </w:r>
      <w:r>
        <w:rPr>
          <w:rFonts w:ascii="Times New Roman" w:eastAsia="宋体" w:hAnsi="Times New Roman" w:hint="eastAsia"/>
          <w:sz w:val="21"/>
          <w:szCs w:val="21"/>
        </w:rPr>
        <w:t>如果被控侵权产品的相关设计内容的设计要素</w:t>
      </w:r>
      <w:r>
        <w:rPr>
          <w:rFonts w:ascii="Times New Roman" w:eastAsia="宋体" w:hAnsi="Times New Roman"/>
          <w:sz w:val="21"/>
          <w:szCs w:val="21"/>
        </w:rPr>
        <w:t>（</w:t>
      </w:r>
      <w:r>
        <w:rPr>
          <w:rFonts w:ascii="Times New Roman" w:eastAsia="宋体" w:hAnsi="Times New Roman" w:hint="eastAsia"/>
          <w:sz w:val="21"/>
          <w:szCs w:val="21"/>
        </w:rPr>
        <w:t>形状、图案、色彩</w:t>
      </w:r>
      <w:r>
        <w:rPr>
          <w:rFonts w:ascii="Times New Roman" w:eastAsia="宋体" w:hAnsi="Times New Roman"/>
          <w:sz w:val="21"/>
          <w:szCs w:val="21"/>
        </w:rPr>
        <w:t>）</w:t>
      </w:r>
      <w:r>
        <w:rPr>
          <w:rFonts w:ascii="Times New Roman" w:eastAsia="宋体" w:hAnsi="Times New Roman" w:hint="eastAsia"/>
          <w:sz w:val="21"/>
          <w:szCs w:val="21"/>
        </w:rPr>
        <w:t>与涉案专利要求保护的设计要素的区别对产品外观设计的整体视觉效果不具有显著影响</w:t>
      </w:r>
      <w:r>
        <w:rPr>
          <w:rFonts w:ascii="Times New Roman" w:eastAsia="宋体" w:hAnsi="Times New Roman"/>
          <w:sz w:val="21"/>
          <w:szCs w:val="21"/>
        </w:rPr>
        <w:t>，</w:t>
      </w:r>
      <w:r>
        <w:rPr>
          <w:rFonts w:ascii="Times New Roman" w:eastAsia="宋体" w:hAnsi="Times New Roman" w:hint="eastAsia"/>
          <w:sz w:val="21"/>
          <w:szCs w:val="21"/>
        </w:rPr>
        <w:t>则二者属于近似的外观设计。近似外观设计包括二者实质相同的外观设计</w:t>
      </w:r>
      <w:r>
        <w:rPr>
          <w:rFonts w:ascii="Times New Roman" w:eastAsia="宋体" w:hAnsi="Times New Roman"/>
          <w:sz w:val="21"/>
          <w:szCs w:val="21"/>
        </w:rPr>
        <w:t>（</w:t>
      </w:r>
      <w:r>
        <w:rPr>
          <w:rFonts w:ascii="Times New Roman" w:eastAsia="宋体" w:hAnsi="Times New Roman" w:hint="eastAsia"/>
          <w:sz w:val="21"/>
          <w:szCs w:val="21"/>
        </w:rPr>
        <w:t>实质相同的外观设计的判断参见本节第三部分之（二）下“</w:t>
      </w:r>
      <w:r>
        <w:rPr>
          <w:rFonts w:ascii="Times New Roman" w:eastAsia="宋体" w:hAnsi="Times New Roman" w:hint="eastAsia"/>
          <w:sz w:val="21"/>
          <w:szCs w:val="21"/>
        </w:rPr>
        <w:t xml:space="preserve">3. </w:t>
      </w:r>
      <w:r>
        <w:rPr>
          <w:rFonts w:ascii="Times New Roman" w:eastAsia="宋体" w:hAnsi="Times New Roman" w:hint="eastAsia"/>
          <w:sz w:val="21"/>
          <w:szCs w:val="21"/>
        </w:rPr>
        <w:t>判断基准”中相关内容</w:t>
      </w:r>
      <w:r>
        <w:rPr>
          <w:rFonts w:ascii="Times New Roman" w:eastAsia="宋体" w:hAnsi="Times New Roman"/>
          <w:sz w:val="21"/>
          <w:szCs w:val="21"/>
        </w:rPr>
        <w:t>）</w:t>
      </w:r>
      <w:r>
        <w:rPr>
          <w:rFonts w:ascii="Times New Roman" w:eastAsia="宋体" w:hAnsi="Times New Roman" w:hint="eastAsia"/>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在判断区别点对于产品的整体视觉效果是否具有显著影响时，需要根据涉案专利产品的设计空间、区别点所在的部位是否易见、区别点是否为局部细微差异等因素作出综合判断。</w:t>
      </w:r>
    </w:p>
    <w:p w:rsidR="00800760" w:rsidRDefault="00C22A7B">
      <w:pPr>
        <w:pStyle w:val="1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设计空间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设计空间是指设计者在进行产品外观设计时受各种因素限制情况下能够自由发挥的空间</w:t>
      </w:r>
      <w:r>
        <w:rPr>
          <w:rFonts w:ascii="Times New Roman" w:eastAsia="宋体" w:hAnsi="Times New Roman"/>
          <w:sz w:val="21"/>
          <w:szCs w:val="21"/>
        </w:rPr>
        <w:t>，</w:t>
      </w:r>
      <w:r>
        <w:rPr>
          <w:rFonts w:ascii="Times New Roman" w:eastAsia="宋体" w:hAnsi="Times New Roman" w:hint="eastAsia"/>
          <w:sz w:val="21"/>
          <w:szCs w:val="21"/>
        </w:rPr>
        <w:t>也称设计自由度。所述各种限制因素包括产品的功能、技术条件、相关标准、文化、经济、现有设计状况等。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认定一般消费者对于外观设计所具有的知识水平和认知能力时，一般应当考虑侵权行为发生时授权外观设计所属相同或者相近种类产品的设计空间。涉案专利与对比设计相比，是否构成近似要考虑相同设计特征或不同设计特征对于整体视觉效果影响所占的权重。施以一般注意力不易察觉的局部细微变化对于产品的整体视觉效果通常不具有显著影响。对于某一相同设计特征或者不同设计特征，如果现有设计中已经存在大量与之相同或实质相同的设计特征，该相同或者不同设计特征对于产品整体视觉效果的影响权重会变小。对于设计空间较大的产品，该类产品外观设计丰富多彩、变化较大，一般消费者容易忽略相对比较细微的差别；相反，设计空间较小的产品，由于可变化自由度较小，外观设计整体上会存在较多趋同之处，一般消费者通常更容易注意到不同设计之间相对较小的区别。对于同一产品的不同部分，设计空间较大的部分更容易受关注，对整体视觉效果影响权重较大；相反，设计空间较小的部分，其设计容易趋同，则该部分受关注程度较小，对整体视觉效果影响权重较小。</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在确定产品的设计空间时，通常考虑如下几个方面。</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a</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产品的实用功能</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产品的实用功能对产品的设计空间有很大影响。对产品的实用功能的考虑，涉及产品能够满足人们需求而采用的技术方案、产品的操作环境、产品的使用方式、人机工程学要求等。相对于产品的其他设计特征，主要由产品的技术功能决定的设计特征对整体视觉效果具有较小的影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某类产品的局部外观设计由产品的实用功能唯一确定，则该类产品相应部分的设计必定一致，一般消费者更容易注意到其他部位产生的变化。由实用功能唯一决定的设计内容对外观设计整体视觉效果不具有影响。</w:t>
      </w:r>
    </w:p>
    <w:p w:rsidR="00800760" w:rsidRDefault="00235733">
      <w:pPr>
        <w:pStyle w:val="af6"/>
        <w:spacing w:before="120"/>
        <w:ind w:firstLine="420"/>
        <w:rPr>
          <w:rFonts w:ascii="Times New Roman" w:hAnsi="Times New Roman"/>
        </w:rPr>
      </w:pPr>
      <w:bookmarkStart w:id="2303" w:name="_Toc30452"/>
      <w:bookmarkStart w:id="2304" w:name="_Toc25210"/>
      <w:bookmarkStart w:id="2305" w:name="_Toc25758"/>
      <w:bookmarkStart w:id="2306" w:name="_Toc28653"/>
      <w:bookmarkStart w:id="2307" w:name="_Toc366"/>
      <w:bookmarkStart w:id="2308" w:name="_Toc13093"/>
      <w:bookmarkStart w:id="2309" w:name="_Toc26887"/>
      <w:bookmarkStart w:id="2310" w:name="_Toc11537"/>
      <w:bookmarkStart w:id="2311" w:name="_Toc5275"/>
      <w:bookmarkStart w:id="2312" w:name="_Toc14182"/>
      <w:bookmarkStart w:id="2313" w:name="_Toc13044"/>
      <w:bookmarkStart w:id="2314" w:name="_Toc29566"/>
      <w:bookmarkStart w:id="2315" w:name="_Toc32529"/>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lang w:val="en-US"/>
        </w:rPr>
        <w:t>20</w:t>
      </w:r>
      <w:r>
        <w:rPr>
          <w:rFonts w:ascii="Times New Roman" w:hAnsi="Times New Roman" w:hint="eastAsia"/>
        </w:rPr>
        <w:t>】插座</w:t>
      </w:r>
      <w:bookmarkEnd w:id="2303"/>
      <w:bookmarkEnd w:id="2304"/>
      <w:bookmarkEnd w:id="2305"/>
      <w:bookmarkEnd w:id="2306"/>
      <w:bookmarkEnd w:id="2307"/>
      <w:bookmarkEnd w:id="2308"/>
      <w:bookmarkEnd w:id="2309"/>
      <w:bookmarkEnd w:id="2310"/>
      <w:bookmarkEnd w:id="2311"/>
      <w:bookmarkEnd w:id="2312"/>
      <w:bookmarkEnd w:id="2313"/>
      <w:bookmarkEnd w:id="2314"/>
      <w:bookmarkEnd w:id="2315"/>
    </w:p>
    <w:tbl>
      <w:tblPr>
        <w:tblW w:w="6709" w:type="dxa"/>
        <w:jc w:val="center"/>
        <w:tblLook w:val="04A0"/>
      </w:tblPr>
      <w:tblGrid>
        <w:gridCol w:w="3321"/>
        <w:gridCol w:w="3388"/>
      </w:tblGrid>
      <w:tr w:rsidR="00800760">
        <w:trPr>
          <w:trHeight w:val="2202"/>
          <w:jc w:val="center"/>
        </w:trPr>
        <w:tc>
          <w:tcPr>
            <w:tcW w:w="0" w:type="auto"/>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752600" cy="1228725"/>
                  <wp:effectExtent l="19050" t="0" r="0" b="0"/>
                  <wp:docPr id="84" name="图片 20" descr="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0" descr="71-1"/>
                          <pic:cNvPicPr>
                            <a:picLocks noChangeAspect="1" noChangeArrowheads="1"/>
                          </pic:cNvPicPr>
                        </pic:nvPicPr>
                        <pic:blipFill>
                          <a:blip r:embed="rId45" cstate="print"/>
                          <a:srcRect/>
                          <a:stretch>
                            <a:fillRect/>
                          </a:stretch>
                        </pic:blipFill>
                        <pic:spPr>
                          <a:xfrm>
                            <a:off x="0" y="0"/>
                            <a:ext cx="1752600" cy="1228725"/>
                          </a:xfrm>
                          <a:prstGeom prst="rect">
                            <a:avLst/>
                          </a:prstGeom>
                          <a:noFill/>
                          <a:ln w="9525">
                            <a:noFill/>
                            <a:miter lim="800000"/>
                            <a:headEnd/>
                            <a:tailEnd/>
                          </a:ln>
                        </pic:spPr>
                      </pic:pic>
                    </a:graphicData>
                  </a:graphic>
                </wp:inline>
              </w:drawing>
            </w:r>
          </w:p>
        </w:tc>
        <w:tc>
          <w:tcPr>
            <w:tcW w:w="0" w:type="auto"/>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790700" cy="1304925"/>
                  <wp:effectExtent l="19050" t="0" r="0" b="0"/>
                  <wp:docPr id="85" name="图片 21" descr="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1" descr="71-2"/>
                          <pic:cNvPicPr>
                            <a:picLocks noChangeAspect="1" noChangeArrowheads="1"/>
                          </pic:cNvPicPr>
                        </pic:nvPicPr>
                        <pic:blipFill>
                          <a:blip r:embed="rId46" cstate="print"/>
                          <a:srcRect/>
                          <a:stretch>
                            <a:fillRect/>
                          </a:stretch>
                        </pic:blipFill>
                        <pic:spPr>
                          <a:xfrm>
                            <a:off x="0" y="0"/>
                            <a:ext cx="1790700" cy="1304925"/>
                          </a:xfrm>
                          <a:prstGeom prst="rect">
                            <a:avLst/>
                          </a:prstGeom>
                          <a:noFill/>
                          <a:ln w="9525">
                            <a:noFill/>
                            <a:miter lim="800000"/>
                            <a:headEnd/>
                            <a:tailEnd/>
                          </a:ln>
                        </pic:spPr>
                      </pic:pic>
                    </a:graphicData>
                  </a:graphic>
                </wp:inline>
              </w:drawing>
            </w:r>
          </w:p>
        </w:tc>
      </w:tr>
      <w:tr w:rsidR="00800760">
        <w:trPr>
          <w:trHeight w:val="318"/>
          <w:jc w:val="center"/>
        </w:trPr>
        <w:tc>
          <w:tcPr>
            <w:tcW w:w="0" w:type="auto"/>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涉案专利（两相插座）</w:t>
            </w:r>
          </w:p>
        </w:tc>
        <w:tc>
          <w:tcPr>
            <w:tcW w:w="0" w:type="auto"/>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被控侵权产品（三相插座）</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在涉案专利的电源插座面板基础上，将两相插座改变成三相插座。这是由已有国家标准规定的功能决定的部件的外观变化，属于由产品的功能唯一限定的变化，对整体视觉效果不具有显著影响。二者的其他设计又均是相同的，因而二者构成近似的外观设计。</w:t>
      </w:r>
    </w:p>
    <w:p w:rsidR="00800760" w:rsidRDefault="00235733">
      <w:pPr>
        <w:pStyle w:val="af6"/>
        <w:spacing w:before="120"/>
        <w:ind w:firstLine="420"/>
        <w:rPr>
          <w:rFonts w:ascii="Times New Roman" w:hAnsi="Times New Roman"/>
        </w:rPr>
      </w:pPr>
      <w:bookmarkStart w:id="2316" w:name="_Toc16466"/>
      <w:bookmarkStart w:id="2317" w:name="_Toc13442"/>
      <w:bookmarkStart w:id="2318" w:name="_Toc13300"/>
      <w:bookmarkStart w:id="2319" w:name="_Toc2432"/>
      <w:bookmarkStart w:id="2320" w:name="_Toc18412"/>
      <w:bookmarkStart w:id="2321" w:name="_Toc25827"/>
      <w:bookmarkStart w:id="2322" w:name="_Toc9829"/>
      <w:bookmarkStart w:id="2323" w:name="_Toc5605"/>
      <w:bookmarkStart w:id="2324" w:name="_Toc13412"/>
      <w:bookmarkStart w:id="2325" w:name="_Toc7897"/>
      <w:bookmarkStart w:id="2326" w:name="_Toc12806"/>
      <w:bookmarkStart w:id="2327" w:name="_Toc22510"/>
      <w:bookmarkStart w:id="2328" w:name="_Toc30743"/>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rPr>
        <w:t>2</w:t>
      </w:r>
      <w:r>
        <w:rPr>
          <w:rFonts w:ascii="Times New Roman" w:hAnsi="Times New Roman" w:hint="eastAsia"/>
          <w:lang w:val="en-US"/>
        </w:rPr>
        <w:t>1</w:t>
      </w:r>
      <w:r>
        <w:rPr>
          <w:rFonts w:ascii="Times New Roman" w:hAnsi="Times New Roman" w:hint="eastAsia"/>
        </w:rPr>
        <w:t>】车轮</w:t>
      </w:r>
      <w:bookmarkEnd w:id="2316"/>
      <w:bookmarkEnd w:id="2317"/>
      <w:bookmarkEnd w:id="2318"/>
      <w:bookmarkEnd w:id="2319"/>
      <w:bookmarkEnd w:id="2320"/>
      <w:bookmarkEnd w:id="2321"/>
      <w:bookmarkEnd w:id="2322"/>
      <w:bookmarkEnd w:id="2323"/>
      <w:bookmarkEnd w:id="2324"/>
      <w:bookmarkEnd w:id="2325"/>
      <w:bookmarkEnd w:id="2326"/>
      <w:bookmarkEnd w:id="2327"/>
      <w:bookmarkEnd w:id="2328"/>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543685" cy="1497965"/>
            <wp:effectExtent l="0" t="0" r="0" b="0"/>
            <wp:docPr id="86" name="图片 22" descr="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2" descr="72-1"/>
                    <pic:cNvPicPr>
                      <a:picLocks noChangeAspect="1" noChangeArrowheads="1"/>
                    </pic:cNvPicPr>
                  </pic:nvPicPr>
                  <pic:blipFill>
                    <a:blip r:embed="rId47" cstate="print"/>
                    <a:srcRect/>
                    <a:stretch>
                      <a:fillRect/>
                    </a:stretch>
                  </pic:blipFill>
                  <pic:spPr>
                    <a:xfrm>
                      <a:off x="0" y="0"/>
                      <a:ext cx="1550105" cy="1504244"/>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涉案专利视图</w:t>
      </w:r>
    </w:p>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就车轮而言，其外轮廓形状要满足滚动的需求，外部圆形属于受功能唯一限定的设计内容。就辐条而言，其功能在于连接轮毂、轮辋，并且应当符合受力平衡的要求。在满足上述条件下，辐条设计可以作出很多变化，具有较大的设计空间，故其异同将对产品的整体视觉效果更具有影响。</w:t>
      </w:r>
    </w:p>
    <w:p w:rsidR="00800760" w:rsidRDefault="00C22A7B">
      <w:pPr>
        <w:pStyle w:val="1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b</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现有设计状况</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现有设计状况是指在涉案专利的申请日之前在国内外为公众所知的相同或相近种类产品的外观设计的整体状况。</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通过分析现有设计状况，得出现有设计中存在的共同设计特征，作为判断某类产品设计空间的参考，会使判断者更准确地把握一般消费者的常识性知识，即对涉案专利申请日之前相同或相近种类产品及其惯常设计的常识性了解。</w:t>
      </w:r>
    </w:p>
    <w:p w:rsidR="00800760" w:rsidRDefault="00235733">
      <w:pPr>
        <w:pStyle w:val="af6"/>
        <w:spacing w:before="120"/>
        <w:ind w:firstLine="420"/>
        <w:rPr>
          <w:rFonts w:ascii="Times New Roman" w:hAnsi="Times New Roman"/>
        </w:rPr>
      </w:pPr>
      <w:bookmarkStart w:id="2329" w:name="_Toc5356"/>
      <w:bookmarkStart w:id="2330" w:name="_Toc30560"/>
      <w:bookmarkStart w:id="2331" w:name="_Toc14133"/>
      <w:bookmarkStart w:id="2332" w:name="_Toc25743"/>
      <w:bookmarkStart w:id="2333" w:name="_Toc17600"/>
      <w:bookmarkStart w:id="2334" w:name="_Toc4279"/>
      <w:bookmarkStart w:id="2335" w:name="_Toc22459"/>
      <w:bookmarkStart w:id="2336" w:name="_Toc19158"/>
      <w:bookmarkStart w:id="2337" w:name="_Toc22620"/>
      <w:bookmarkStart w:id="2338" w:name="_Toc29968"/>
      <w:bookmarkStart w:id="2339" w:name="_Toc11998"/>
      <w:bookmarkStart w:id="2340" w:name="_Toc11064"/>
      <w:bookmarkStart w:id="2341" w:name="_Toc6371"/>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rPr>
        <w:t>2</w:t>
      </w:r>
      <w:r>
        <w:rPr>
          <w:rFonts w:ascii="Times New Roman" w:hAnsi="Times New Roman" w:hint="eastAsia"/>
          <w:lang w:val="en-US"/>
        </w:rPr>
        <w:t>2</w:t>
      </w:r>
      <w:r>
        <w:rPr>
          <w:rFonts w:ascii="Times New Roman" w:hAnsi="Times New Roman" w:hint="eastAsia"/>
        </w:rPr>
        <w:t>】车轮</w:t>
      </w:r>
      <w:bookmarkEnd w:id="2329"/>
      <w:bookmarkEnd w:id="2330"/>
      <w:bookmarkEnd w:id="2331"/>
      <w:bookmarkEnd w:id="2332"/>
      <w:bookmarkEnd w:id="2333"/>
      <w:bookmarkEnd w:id="2334"/>
      <w:bookmarkEnd w:id="2335"/>
      <w:bookmarkEnd w:id="2336"/>
      <w:bookmarkEnd w:id="2337"/>
      <w:bookmarkEnd w:id="2338"/>
      <w:bookmarkEnd w:id="2339"/>
      <w:bookmarkEnd w:id="2340"/>
      <w:bookmarkEnd w:id="2341"/>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4572000" cy="3009900"/>
            <wp:effectExtent l="19050" t="0" r="0" b="0"/>
            <wp:docPr id="87" name="图片 23" descr="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3" descr="72-2"/>
                    <pic:cNvPicPr>
                      <a:picLocks noChangeAspect="1" noChangeArrowheads="1"/>
                    </pic:cNvPicPr>
                  </pic:nvPicPr>
                  <pic:blipFill>
                    <a:blip r:embed="rId48" cstate="print"/>
                    <a:srcRect/>
                    <a:stretch>
                      <a:fillRect/>
                    </a:stretch>
                  </pic:blipFill>
                  <pic:spPr>
                    <a:xfrm>
                      <a:off x="0" y="0"/>
                      <a:ext cx="4572000" cy="3009900"/>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车轮现有设计视图</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针对案例</w:t>
      </w:r>
      <w:r>
        <w:rPr>
          <w:rFonts w:ascii="Times New Roman" w:eastAsia="楷体_GB2312" w:hAnsi="Times New Roman" w:hint="eastAsia"/>
          <w:sz w:val="21"/>
          <w:szCs w:val="21"/>
        </w:rPr>
        <w:t>3-5-21</w:t>
      </w:r>
      <w:r>
        <w:rPr>
          <w:rFonts w:ascii="Times New Roman" w:eastAsia="楷体_GB2312" w:hAnsi="Times New Roman" w:hint="eastAsia"/>
          <w:sz w:val="21"/>
          <w:szCs w:val="21"/>
        </w:rPr>
        <w:t>所示的车轮，上图示出了通过检索获得的多个现有设计。从现有设计可见，轮辋的形状均为圆形，印证了车轮形状要受滚动功能限制的认识，也证明了车轮形状为圆形属于车轮的惯常设计。同时，从大量的现有设计可以看出，辐条的形状、数量变化多种多样。这进一步说明车轮辐条的设计空间相对较大，辐条的设计变化相对于轮辋、轮毂的设计对车轮整体视觉效果更具有影响。</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分析现有设计状况可以确定相关种类产品的惯常设计、涉案专利中区别于现有设计的设计特征。产品上某些属于该类产品公认的惯常设计的设计，无论是由功能决定的，还是由其他因素决定的，均属于一般消费者熟视无睹的设计特征，惯常设计之外的其余设计的变化通常对整体视觉效果更具有影响。</w:t>
      </w:r>
    </w:p>
    <w:p w:rsidR="00800760" w:rsidRDefault="00235733">
      <w:pPr>
        <w:pStyle w:val="af6"/>
        <w:spacing w:before="120"/>
        <w:ind w:firstLine="420"/>
        <w:rPr>
          <w:rFonts w:ascii="Times New Roman" w:hAnsi="Times New Roman"/>
        </w:rPr>
      </w:pPr>
      <w:bookmarkStart w:id="2342" w:name="_Toc32171"/>
      <w:bookmarkStart w:id="2343" w:name="_Toc8286"/>
      <w:bookmarkStart w:id="2344" w:name="_Toc15652"/>
      <w:bookmarkStart w:id="2345" w:name="_Toc15728"/>
      <w:bookmarkStart w:id="2346" w:name="_Toc21906"/>
      <w:bookmarkStart w:id="2347" w:name="_Toc2500"/>
      <w:bookmarkStart w:id="2348" w:name="_Toc29544"/>
      <w:bookmarkStart w:id="2349" w:name="_Toc12381"/>
      <w:bookmarkStart w:id="2350" w:name="_Toc1493"/>
      <w:bookmarkStart w:id="2351" w:name="_Toc28804"/>
      <w:bookmarkStart w:id="2352" w:name="_Toc8835"/>
      <w:bookmarkStart w:id="2353" w:name="_Toc27222"/>
      <w:bookmarkStart w:id="2354" w:name="_Toc7143"/>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-2</w:t>
      </w:r>
      <w:r>
        <w:rPr>
          <w:rFonts w:ascii="Times New Roman" w:hAnsi="Times New Roman" w:hint="eastAsia"/>
          <w:lang w:val="en-US"/>
        </w:rPr>
        <w:t>3</w:t>
      </w:r>
      <w:r>
        <w:rPr>
          <w:rFonts w:ascii="Times New Roman" w:hAnsi="Times New Roman" w:hint="eastAsia"/>
        </w:rPr>
        <w:t>】饭盒</w:t>
      </w:r>
      <w:bookmarkEnd w:id="2342"/>
      <w:bookmarkEnd w:id="2343"/>
      <w:bookmarkEnd w:id="2344"/>
      <w:bookmarkEnd w:id="2345"/>
      <w:bookmarkEnd w:id="2346"/>
      <w:bookmarkEnd w:id="2347"/>
      <w:bookmarkEnd w:id="2348"/>
      <w:bookmarkEnd w:id="2349"/>
      <w:bookmarkEnd w:id="2350"/>
      <w:bookmarkEnd w:id="2351"/>
      <w:bookmarkEnd w:id="2352"/>
      <w:bookmarkEnd w:id="2353"/>
      <w:bookmarkEnd w:id="2354"/>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4562475" cy="1333500"/>
            <wp:effectExtent l="19050" t="0" r="9525" b="0"/>
            <wp:docPr id="88" name="图片 24" descr="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4" descr="73-1"/>
                    <pic:cNvPicPr>
                      <a:picLocks noChangeAspect="1" noChangeArrowheads="1"/>
                    </pic:cNvPicPr>
                  </pic:nvPicPr>
                  <pic:blipFill>
                    <a:blip r:embed="rId49" cstate="print"/>
                    <a:srcRect/>
                    <a:stretch>
                      <a:fillRect/>
                    </a:stretch>
                  </pic:blipFill>
                  <pic:spPr>
                    <a:xfrm>
                      <a:off x="0" y="0"/>
                      <a:ext cx="4562475" cy="1333500"/>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w:t>
      </w:r>
    </w:p>
    <w:p w:rsidR="00800760" w:rsidRDefault="00235733">
      <w:pPr>
        <w:pStyle w:val="12"/>
        <w:topLinePunct/>
        <w:spacing w:line="336" w:lineRule="auto"/>
        <w:ind w:firstLineChars="0" w:firstLine="0"/>
        <w:jc w:val="center"/>
        <w:rPr>
          <w:rFonts w:ascii="Times New Roman" w:hAnsi="Times New Roman"/>
        </w:rPr>
      </w:pPr>
      <w:r>
        <w:rPr>
          <w:rFonts w:ascii="Times New Roman" w:hAnsi="Times New Roman"/>
          <w:noProof/>
          <w:lang w:val="en-US"/>
        </w:rPr>
        <w:drawing>
          <wp:inline distT="0" distB="0" distL="0" distR="0">
            <wp:extent cx="4476750" cy="1609725"/>
            <wp:effectExtent l="19050" t="0" r="0" b="0"/>
            <wp:docPr id="89" name="图片 25" descr="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5" descr="73-2"/>
                    <pic:cNvPicPr>
                      <a:picLocks noChangeAspect="1" noChangeArrowheads="1"/>
                    </pic:cNvPicPr>
                  </pic:nvPicPr>
                  <pic:blipFill>
                    <a:blip r:embed="rId50" cstate="print"/>
                    <a:srcRect/>
                    <a:stretch>
                      <a:fillRect/>
                    </a:stretch>
                  </pic:blipFill>
                  <pic:spPr>
                    <a:xfrm>
                      <a:off x="0" y="0"/>
                      <a:ext cx="4476750" cy="160972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被控侵权产品</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方形和圆形是饭盒类产品常见的设计，层数多少的变化一般消费者也比较熟悉，因此其他设计的变化将对整体视觉效果更具有影响。涉案专利与被控侵权产品由于在该其他设计如提手设计、卡扣设计等各方面均相同，因此构成近似的外观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通常，涉案专利区别于现有设计的设计特征，如果反映了外观设计专利在设计上的创新和改进，使得一般消费者更容易关注到相关设计变化，则该设计特征相对于涉案专利中的其他设计特征对外观设计的整体视觉效果更具有影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应当注意，简要说明中记载的设计要点，在一定程度上可能反映了涉案专利区别于现有设计的设计特征，但不能直接依据设计要点认定其对整体视觉效果的影响，更不能将其作为判断外观设计是否相同、近似的直接依据。对整体视觉印象具有显著影响的设计特征的确定，还需要根据本节规定的各因素确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c</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技术条件、法律法规等其他因素</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技术条件是指实现产品功能与造型的客观生产条件。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法律法规、国家标准、地区标准、行业标准等，可能要求产品满足一定的技术要求，从而对产品外观设计的设计空间产生影响。</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lang w:val="en-US"/>
        </w:rPr>
        <w:t>d</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设计空间的调查</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在外观设计专利侵权纠纷处理中，管理专利工作的部门可以根据案件需要对设计空间进行调查。当事人应针对相关种类产品的设计空间发表意见，必要时可以举证证明当事人的主张。</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日常生活用品的设计空间较易把握；装饰性产品，如摆件、挂件等的设计空间较大。</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产品易见的部位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外观设计相同或近似的对比判断中，应当更关注正常使用时易见部位的设计变化。该部位的设计变化相对于不易见或者不可见部位的设计变化，通常对整体视觉效果更具有影响。但有证据表明在不易见部位的特定设计对于一般消费者能够产生引人瞩目的视觉效果的除外。</w:t>
      </w:r>
    </w:p>
    <w:p w:rsidR="00800760" w:rsidRDefault="00235733">
      <w:pPr>
        <w:pStyle w:val="af6"/>
        <w:spacing w:before="120"/>
        <w:ind w:firstLine="420"/>
        <w:rPr>
          <w:rFonts w:ascii="Times New Roman" w:hAnsi="Times New Roman"/>
        </w:rPr>
      </w:pPr>
      <w:bookmarkStart w:id="2355" w:name="_Toc1646"/>
      <w:bookmarkStart w:id="2356" w:name="_Toc20590"/>
      <w:bookmarkStart w:id="2357" w:name="_Toc28736"/>
      <w:bookmarkStart w:id="2358" w:name="_Toc18551"/>
      <w:bookmarkStart w:id="2359" w:name="_Toc22389"/>
      <w:bookmarkStart w:id="2360" w:name="_Toc17685"/>
      <w:bookmarkStart w:id="2361" w:name="_Toc12559"/>
      <w:bookmarkStart w:id="2362" w:name="_Toc23848"/>
      <w:bookmarkStart w:id="2363" w:name="_Toc32534"/>
      <w:bookmarkStart w:id="2364" w:name="_Toc2987"/>
      <w:bookmarkStart w:id="2365" w:name="_Toc14461"/>
      <w:bookmarkStart w:id="2366" w:name="_Toc6308"/>
      <w:bookmarkStart w:id="2367" w:name="_Toc15199"/>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-2</w:t>
      </w:r>
      <w:r>
        <w:rPr>
          <w:rFonts w:ascii="Times New Roman" w:hAnsi="Times New Roman" w:hint="eastAsia"/>
          <w:lang w:val="en-US"/>
        </w:rPr>
        <w:t>4</w:t>
      </w:r>
      <w:r>
        <w:rPr>
          <w:rFonts w:ascii="Times New Roman" w:hAnsi="Times New Roman" w:hint="eastAsia"/>
        </w:rPr>
        <w:t>】电视机</w:t>
      </w:r>
      <w:bookmarkEnd w:id="2355"/>
      <w:bookmarkEnd w:id="2356"/>
      <w:bookmarkEnd w:id="2357"/>
      <w:bookmarkEnd w:id="2358"/>
      <w:bookmarkEnd w:id="2359"/>
      <w:bookmarkEnd w:id="2360"/>
      <w:bookmarkEnd w:id="2361"/>
      <w:bookmarkEnd w:id="2362"/>
      <w:bookmarkEnd w:id="2363"/>
      <w:bookmarkEnd w:id="2364"/>
      <w:bookmarkEnd w:id="2365"/>
      <w:bookmarkEnd w:id="2366"/>
      <w:bookmarkEnd w:id="2367"/>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876425" cy="2095500"/>
            <wp:effectExtent l="19050" t="0" r="9525" b="0"/>
            <wp:docPr id="90" name="图片 26" descr="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6" descr="74"/>
                    <pic:cNvPicPr>
                      <a:picLocks noChangeAspect="1" noChangeArrowheads="1"/>
                    </pic:cNvPicPr>
                  </pic:nvPicPr>
                  <pic:blipFill>
                    <a:blip r:embed="rId51" cstate="print"/>
                    <a:srcRect/>
                    <a:stretch>
                      <a:fillRect/>
                    </a:stretch>
                  </pic:blipFill>
                  <pic:spPr>
                    <a:xfrm>
                      <a:off x="0" y="0"/>
                      <a:ext cx="1876425" cy="2095500"/>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涉案专利视图</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电视机的背面在使用过程中不被一般消费者关注，对电视机的设计变化通常体现在易见的产品正面，产品的正面具有较大设计空间，因而，使用过程中易见的正面相对于不易见的背面，其设计变化对整体视觉效果更具有影响。</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但如果电视机的后外壳采取了透明材料设计，如涉案专利视图所示，能够看见内部结构的电视机后部设计将在整体中引人瞩目，此时在进行近似对比时应考虑电视机背部的设计变化。</w:t>
      </w:r>
    </w:p>
    <w:p w:rsidR="00800760" w:rsidRDefault="00C22A7B">
      <w:pPr>
        <w:pStyle w:val="1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局部细微差异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若被控侵权产品与涉案专利外观设计的区别点仅在于局部的细微变化</w:t>
      </w:r>
      <w:r>
        <w:rPr>
          <w:rFonts w:ascii="Times New Roman" w:eastAsia="宋体" w:hAnsi="Times New Roman"/>
          <w:sz w:val="21"/>
          <w:szCs w:val="21"/>
        </w:rPr>
        <w:t>，</w:t>
      </w:r>
      <w:r>
        <w:rPr>
          <w:rFonts w:ascii="Times New Roman" w:eastAsia="宋体" w:hAnsi="Times New Roman" w:hint="eastAsia"/>
          <w:sz w:val="21"/>
          <w:szCs w:val="21"/>
        </w:rPr>
        <w:t>没有导致二者整体视觉效果产生实质性差异</w:t>
      </w:r>
      <w:r>
        <w:rPr>
          <w:rFonts w:ascii="Times New Roman" w:eastAsia="宋体" w:hAnsi="Times New Roman"/>
          <w:sz w:val="21"/>
          <w:szCs w:val="21"/>
        </w:rPr>
        <w:t>，</w:t>
      </w:r>
      <w:r>
        <w:rPr>
          <w:rFonts w:ascii="Times New Roman" w:eastAsia="宋体" w:hAnsi="Times New Roman" w:hint="eastAsia"/>
          <w:sz w:val="21"/>
          <w:szCs w:val="21"/>
        </w:rPr>
        <w:t>则被控侵权产品与涉案专利外观设计近似。</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判断区别点是否属于局部细微变化时，一般会考虑区别点在产品整体中所处的位置、所占的比例，以及是否为产品设计空间中的主要设计内容等。当涉案专利产品的整体外观具有一定的设计空间，其形状、图案、色彩等都可以进行设计变化时，如果区别点所占比例很小，即使区别点位于容易观察到的部位，也属于局部细微差异。</w:t>
      </w:r>
    </w:p>
    <w:p w:rsidR="00800760" w:rsidRDefault="00235733">
      <w:pPr>
        <w:pStyle w:val="af6"/>
        <w:spacing w:before="120"/>
        <w:ind w:firstLine="420"/>
        <w:rPr>
          <w:rFonts w:ascii="Times New Roman" w:hAnsi="Times New Roman"/>
        </w:rPr>
      </w:pPr>
      <w:bookmarkStart w:id="2368" w:name="_Toc13217"/>
      <w:bookmarkStart w:id="2369" w:name="_Toc16186"/>
      <w:bookmarkStart w:id="2370" w:name="_Toc21970"/>
      <w:bookmarkStart w:id="2371" w:name="_Toc7100"/>
      <w:bookmarkStart w:id="2372" w:name="_Toc7765"/>
      <w:bookmarkStart w:id="2373" w:name="_Toc7529"/>
      <w:bookmarkStart w:id="2374" w:name="_Toc4324"/>
      <w:bookmarkStart w:id="2375" w:name="_Toc17015"/>
      <w:bookmarkStart w:id="2376" w:name="_Toc3601"/>
      <w:bookmarkStart w:id="2377" w:name="_Toc17177"/>
      <w:bookmarkStart w:id="2378" w:name="_Toc7241"/>
      <w:bookmarkStart w:id="2379" w:name="_Toc8176"/>
      <w:bookmarkStart w:id="2380" w:name="_Toc27567"/>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-2</w:t>
      </w:r>
      <w:r>
        <w:rPr>
          <w:rFonts w:ascii="Times New Roman" w:hAnsi="Times New Roman" w:hint="eastAsia"/>
          <w:lang w:val="en-US"/>
        </w:rPr>
        <w:t>5</w:t>
      </w:r>
      <w:r>
        <w:rPr>
          <w:rFonts w:ascii="Times New Roman" w:hAnsi="Times New Roman" w:hint="eastAsia"/>
        </w:rPr>
        <w:t>】剃须刀</w:t>
      </w:r>
      <w:bookmarkEnd w:id="2368"/>
      <w:bookmarkEnd w:id="2369"/>
      <w:bookmarkEnd w:id="2370"/>
      <w:bookmarkEnd w:id="2371"/>
      <w:bookmarkEnd w:id="2372"/>
      <w:bookmarkEnd w:id="2373"/>
      <w:bookmarkEnd w:id="2374"/>
      <w:bookmarkEnd w:id="2375"/>
      <w:bookmarkEnd w:id="2376"/>
      <w:bookmarkEnd w:id="2377"/>
      <w:bookmarkEnd w:id="2378"/>
      <w:bookmarkEnd w:id="2379"/>
      <w:bookmarkEnd w:id="2380"/>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3352800" cy="1581150"/>
            <wp:effectExtent l="0" t="0" r="0" b="0"/>
            <wp:docPr id="91" name="图片 27" descr="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7" descr="75-1"/>
                    <pic:cNvPicPr>
                      <a:picLocks noChangeAspect="1" noChangeArrowheads="1"/>
                    </pic:cNvPicPr>
                  </pic:nvPicPr>
                  <pic:blipFill>
                    <a:blip r:embed="rId52" cstate="print"/>
                    <a:srcRect/>
                    <a:stretch>
                      <a:fillRect/>
                    </a:stretch>
                  </pic:blipFill>
                  <pic:spPr>
                    <a:xfrm>
                      <a:off x="0" y="0"/>
                      <a:ext cx="3352800" cy="1581150"/>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涉案专利</w:t>
      </w:r>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3990975" cy="1990725"/>
            <wp:effectExtent l="0" t="0" r="0" b="0"/>
            <wp:docPr id="92" name="图片 28" descr="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8" descr="75-2"/>
                    <pic:cNvPicPr>
                      <a:picLocks noChangeAspect="1" noChangeArrowheads="1"/>
                    </pic:cNvPicPr>
                  </pic:nvPicPr>
                  <pic:blipFill>
                    <a:blip r:embed="rId53" cstate="print"/>
                    <a:srcRect/>
                    <a:stretch>
                      <a:fillRect/>
                    </a:stretch>
                  </pic:blipFill>
                  <pic:spPr>
                    <a:xfrm>
                      <a:off x="0" y="0"/>
                      <a:ext cx="3990975" cy="199072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被控侵权产品</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在上图所示涉案专利与被控侵权产品的两款剃须刀中，刀头部位主要实现了剃须功能，其设计空间通常体现在产品的整体形状、手柄部位的设计。二者的区别仅在于正面开关部位以及侧面连接部的设计不同，在整体形状、排布、构成均相同的情况下，上述两个部位的区别并不属于在设计空间内的主要设计，相对于剃须刀整体而言，属于局部的细微差异；整体形状将对产品的视觉效果更具有影响。从整体的视觉效果看，二者不具有实质性差异，构成近似的外观设计。</w:t>
      </w:r>
    </w:p>
    <w:p w:rsidR="00800760" w:rsidRDefault="00235733">
      <w:pPr>
        <w:pStyle w:val="af6"/>
        <w:spacing w:before="120"/>
        <w:ind w:firstLine="420"/>
        <w:rPr>
          <w:rFonts w:ascii="Times New Roman" w:hAnsi="Times New Roman"/>
        </w:rPr>
      </w:pPr>
      <w:bookmarkStart w:id="2381" w:name="_Toc16945"/>
      <w:bookmarkStart w:id="2382" w:name="_Toc16575"/>
      <w:bookmarkStart w:id="2383" w:name="_Toc11984"/>
      <w:bookmarkStart w:id="2384" w:name="_Toc2046"/>
      <w:bookmarkStart w:id="2385" w:name="_Toc17480"/>
      <w:bookmarkStart w:id="2386" w:name="_Toc17001"/>
      <w:bookmarkStart w:id="2387" w:name="_Toc31417"/>
      <w:bookmarkStart w:id="2388" w:name="_Toc21278"/>
      <w:bookmarkStart w:id="2389" w:name="_Toc4677"/>
      <w:bookmarkStart w:id="2390" w:name="_Toc3623"/>
      <w:bookmarkStart w:id="2391" w:name="_Toc32633"/>
      <w:bookmarkStart w:id="2392" w:name="_Toc27808"/>
      <w:bookmarkStart w:id="2393" w:name="_Toc26212"/>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-2</w:t>
      </w:r>
      <w:r>
        <w:rPr>
          <w:rFonts w:ascii="Times New Roman" w:hAnsi="Times New Roman" w:hint="eastAsia"/>
          <w:lang w:val="en-US"/>
        </w:rPr>
        <w:t>6</w:t>
      </w:r>
      <w:r>
        <w:rPr>
          <w:rFonts w:ascii="Times New Roman" w:hAnsi="Times New Roman" w:hint="eastAsia"/>
        </w:rPr>
        <w:t>】烛台</w:t>
      </w:r>
      <w:bookmarkEnd w:id="2381"/>
      <w:bookmarkEnd w:id="2382"/>
      <w:bookmarkEnd w:id="2383"/>
      <w:bookmarkEnd w:id="2384"/>
      <w:bookmarkEnd w:id="2385"/>
      <w:bookmarkEnd w:id="2386"/>
      <w:bookmarkEnd w:id="2387"/>
      <w:bookmarkEnd w:id="2388"/>
      <w:bookmarkEnd w:id="2389"/>
      <w:bookmarkEnd w:id="2390"/>
      <w:bookmarkEnd w:id="2391"/>
      <w:bookmarkEnd w:id="2392"/>
      <w:bookmarkEnd w:id="2393"/>
    </w:p>
    <w:tbl>
      <w:tblPr>
        <w:tblW w:w="0" w:type="auto"/>
        <w:jc w:val="center"/>
        <w:tblLook w:val="04A0"/>
      </w:tblPr>
      <w:tblGrid>
        <w:gridCol w:w="2976"/>
        <w:gridCol w:w="3826"/>
      </w:tblGrid>
      <w:tr w:rsidR="00800760">
        <w:trPr>
          <w:jc w:val="center"/>
        </w:trPr>
        <w:tc>
          <w:tcPr>
            <w:tcW w:w="2934"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724025" cy="1543050"/>
                  <wp:effectExtent l="19050" t="0" r="9525" b="0"/>
                  <wp:docPr id="93" name="图片 29" descr="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9" descr="75-3"/>
                          <pic:cNvPicPr>
                            <a:picLocks noChangeAspect="1" noChangeArrowheads="1"/>
                          </pic:cNvPicPr>
                        </pic:nvPicPr>
                        <pic:blipFill>
                          <a:blip r:embed="rId54" cstate="print"/>
                          <a:srcRect/>
                          <a:stretch>
                            <a:fillRect/>
                          </a:stretch>
                        </pic:blipFill>
                        <pic:spPr>
                          <a:xfrm>
                            <a:off x="0" y="0"/>
                            <a:ext cx="1724025" cy="1543050"/>
                          </a:xfrm>
                          <a:prstGeom prst="rect">
                            <a:avLst/>
                          </a:prstGeom>
                          <a:noFill/>
                          <a:ln w="9525">
                            <a:noFill/>
                            <a:miter lim="800000"/>
                            <a:headEnd/>
                            <a:tailEnd/>
                          </a:ln>
                        </pic:spPr>
                      </pic:pic>
                    </a:graphicData>
                  </a:graphic>
                </wp:inline>
              </w:drawing>
            </w:r>
          </w:p>
        </w:tc>
        <w:tc>
          <w:tcPr>
            <w:tcW w:w="3826"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762125" cy="1485900"/>
                  <wp:effectExtent l="19050" t="0" r="9525" b="0"/>
                  <wp:docPr id="94" name="图片 30" descr="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0" descr="75-4"/>
                          <pic:cNvPicPr>
                            <a:picLocks noChangeAspect="1" noChangeArrowheads="1"/>
                          </pic:cNvPicPr>
                        </pic:nvPicPr>
                        <pic:blipFill>
                          <a:blip r:embed="rId55" cstate="print"/>
                          <a:srcRect/>
                          <a:stretch>
                            <a:fillRect/>
                          </a:stretch>
                        </pic:blipFill>
                        <pic:spPr>
                          <a:xfrm>
                            <a:off x="0" y="0"/>
                            <a:ext cx="1762125" cy="1485900"/>
                          </a:xfrm>
                          <a:prstGeom prst="rect">
                            <a:avLst/>
                          </a:prstGeom>
                          <a:noFill/>
                          <a:ln w="9525">
                            <a:noFill/>
                            <a:miter lim="800000"/>
                            <a:headEnd/>
                            <a:tailEnd/>
                          </a:ln>
                        </pic:spPr>
                      </pic:pic>
                    </a:graphicData>
                  </a:graphic>
                </wp:inline>
              </w:drawing>
            </w:r>
          </w:p>
        </w:tc>
      </w:tr>
      <w:tr w:rsidR="00800760">
        <w:trPr>
          <w:jc w:val="center"/>
        </w:trPr>
        <w:tc>
          <w:tcPr>
            <w:tcW w:w="2934"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w:t>
            </w:r>
          </w:p>
        </w:tc>
        <w:tc>
          <w:tcPr>
            <w:tcW w:w="3826"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产品与被控侵权产品均为蜡烛台，二者的区别仅在于蜡烛安放孔的数量。蜡烛台用于盛放蜡烛，其安放孔的形状、深度除受蜡烛所限外，再无其他限制，因此，蜡烛台在整体形状、图案、安放孔的排布等方面，可具有很大的设计变化，即设计空间较大。一般消费者对蜡烛台整体的形状、图案、排布更容易产生视觉印象。图中所示的两款蜡烛台，整体形状相同、安放孔的形状排布方式相同，虽然安放孔的数量有所差别，容易被识别出来，但是相对于整体造型而言，属于局部细微差异，二者构成近似的外观设计。</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特殊情形</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当被控侵权产品与涉案专利外观设计相比较</w:t>
      </w:r>
      <w:r>
        <w:rPr>
          <w:rFonts w:ascii="Times New Roman" w:eastAsia="宋体" w:hAnsi="Times New Roman"/>
          <w:sz w:val="21"/>
          <w:szCs w:val="21"/>
        </w:rPr>
        <w:t>，</w:t>
      </w:r>
      <w:r>
        <w:rPr>
          <w:rFonts w:ascii="Times New Roman" w:eastAsia="宋体" w:hAnsi="Times New Roman" w:hint="eastAsia"/>
          <w:sz w:val="21"/>
          <w:szCs w:val="21"/>
        </w:rPr>
        <w:t>区别仅在于将涉案专利整体作为设计单元</w:t>
      </w:r>
      <w:r>
        <w:rPr>
          <w:rFonts w:ascii="Times New Roman" w:eastAsia="宋体" w:hAnsi="Times New Roman"/>
          <w:sz w:val="21"/>
          <w:szCs w:val="21"/>
        </w:rPr>
        <w:t>，</w:t>
      </w:r>
      <w:r>
        <w:rPr>
          <w:rFonts w:ascii="Times New Roman" w:eastAsia="宋体" w:hAnsi="Times New Roman" w:hint="eastAsia"/>
          <w:sz w:val="21"/>
          <w:szCs w:val="21"/>
        </w:rPr>
        <w:t>按照该种类产品的常规排列方式作重复排列</w:t>
      </w:r>
      <w:r>
        <w:rPr>
          <w:rFonts w:ascii="Times New Roman" w:eastAsia="宋体" w:hAnsi="Times New Roman"/>
          <w:sz w:val="21"/>
          <w:szCs w:val="21"/>
        </w:rPr>
        <w:t>，</w:t>
      </w:r>
      <w:r>
        <w:rPr>
          <w:rFonts w:ascii="Times New Roman" w:eastAsia="宋体" w:hAnsi="Times New Roman" w:hint="eastAsia"/>
          <w:sz w:val="21"/>
          <w:szCs w:val="21"/>
        </w:rPr>
        <w:t>或者仅其排列数量存在增减变化</w:t>
      </w:r>
      <w:r>
        <w:rPr>
          <w:rFonts w:ascii="Times New Roman" w:eastAsia="宋体" w:hAnsi="Times New Roman"/>
          <w:sz w:val="21"/>
          <w:szCs w:val="21"/>
        </w:rPr>
        <w:t>，</w:t>
      </w:r>
      <w:r>
        <w:rPr>
          <w:rFonts w:ascii="Times New Roman" w:eastAsia="宋体" w:hAnsi="Times New Roman" w:hint="eastAsia"/>
          <w:sz w:val="21"/>
          <w:szCs w:val="21"/>
        </w:rPr>
        <w:t>或者二者仅是互为镜像对称</w:t>
      </w:r>
      <w:r>
        <w:rPr>
          <w:rFonts w:ascii="Times New Roman" w:eastAsia="宋体" w:hAnsi="Times New Roman"/>
          <w:sz w:val="21"/>
          <w:szCs w:val="21"/>
        </w:rPr>
        <w:t>，</w:t>
      </w:r>
      <w:r>
        <w:rPr>
          <w:rFonts w:ascii="Times New Roman" w:eastAsia="宋体" w:hAnsi="Times New Roman" w:hint="eastAsia"/>
          <w:sz w:val="21"/>
          <w:szCs w:val="21"/>
        </w:rPr>
        <w:t>或者单一色彩的外观设计仅作色彩的改变</w:t>
      </w:r>
      <w:r>
        <w:rPr>
          <w:rFonts w:ascii="Times New Roman" w:eastAsia="宋体" w:hAnsi="Times New Roman"/>
          <w:sz w:val="21"/>
          <w:szCs w:val="21"/>
        </w:rPr>
        <w:t>，</w:t>
      </w:r>
      <w:r>
        <w:rPr>
          <w:rFonts w:ascii="Times New Roman" w:eastAsia="宋体" w:hAnsi="Times New Roman" w:hint="eastAsia"/>
          <w:sz w:val="21"/>
          <w:szCs w:val="21"/>
        </w:rPr>
        <w:t>则该设计的变化通常不会带来二者整体视觉效果的实质性差异。</w:t>
      </w:r>
    </w:p>
    <w:p w:rsidR="00800760" w:rsidRDefault="00235733">
      <w:pPr>
        <w:pStyle w:val="af6"/>
        <w:spacing w:before="120"/>
        <w:ind w:firstLine="420"/>
        <w:rPr>
          <w:rFonts w:ascii="Times New Roman" w:hAnsi="Times New Roman"/>
        </w:rPr>
      </w:pPr>
      <w:bookmarkStart w:id="2394" w:name="_Toc26821"/>
      <w:bookmarkStart w:id="2395" w:name="_Toc9814"/>
      <w:bookmarkStart w:id="2396" w:name="_Toc27550"/>
      <w:bookmarkStart w:id="2397" w:name="_Toc17688"/>
      <w:bookmarkStart w:id="2398" w:name="_Toc18083"/>
      <w:bookmarkStart w:id="2399" w:name="_Toc30503"/>
      <w:bookmarkStart w:id="2400" w:name="_Toc29602"/>
      <w:bookmarkStart w:id="2401" w:name="_Toc18384"/>
      <w:bookmarkStart w:id="2402" w:name="_Toc28836"/>
      <w:bookmarkStart w:id="2403" w:name="_Toc27519"/>
      <w:bookmarkStart w:id="2404" w:name="_Toc18633"/>
      <w:bookmarkStart w:id="2405" w:name="_Toc20633"/>
      <w:bookmarkStart w:id="2406" w:name="_Toc10695"/>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-2</w:t>
      </w:r>
      <w:r>
        <w:rPr>
          <w:rFonts w:ascii="Times New Roman" w:hAnsi="Times New Roman" w:hint="eastAsia"/>
          <w:lang w:val="en-US"/>
        </w:rPr>
        <w:t>7</w:t>
      </w:r>
      <w:r>
        <w:rPr>
          <w:rFonts w:ascii="Times New Roman" w:hAnsi="Times New Roman" w:hint="eastAsia"/>
        </w:rPr>
        <w:t>】染色机</w:t>
      </w:r>
      <w:bookmarkEnd w:id="2394"/>
      <w:bookmarkEnd w:id="2395"/>
      <w:bookmarkEnd w:id="2396"/>
      <w:bookmarkEnd w:id="2397"/>
      <w:bookmarkEnd w:id="2398"/>
      <w:bookmarkEnd w:id="2399"/>
      <w:bookmarkEnd w:id="2400"/>
      <w:bookmarkEnd w:id="2401"/>
      <w:bookmarkEnd w:id="2402"/>
      <w:bookmarkEnd w:id="2403"/>
      <w:bookmarkEnd w:id="2404"/>
      <w:bookmarkEnd w:id="2405"/>
      <w:bookmarkEnd w:id="2406"/>
    </w:p>
    <w:tbl>
      <w:tblPr>
        <w:tblW w:w="0" w:type="auto"/>
        <w:jc w:val="center"/>
        <w:tblLook w:val="04A0"/>
      </w:tblPr>
      <w:tblGrid>
        <w:gridCol w:w="3847"/>
        <w:gridCol w:w="3847"/>
      </w:tblGrid>
      <w:tr w:rsidR="00800760">
        <w:trPr>
          <w:jc w:val="center"/>
        </w:trPr>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914525" cy="2552700"/>
                  <wp:effectExtent l="19050" t="0" r="9525" b="0"/>
                  <wp:docPr id="95" name="图片 31" descr="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1" descr="76-1"/>
                          <pic:cNvPicPr>
                            <a:picLocks noChangeAspect="1" noChangeArrowheads="1"/>
                          </pic:cNvPicPr>
                        </pic:nvPicPr>
                        <pic:blipFill>
                          <a:blip r:embed="rId56" cstate="print"/>
                          <a:srcRect/>
                          <a:stretch>
                            <a:fillRect/>
                          </a:stretch>
                        </pic:blipFill>
                        <pic:spPr>
                          <a:xfrm>
                            <a:off x="0" y="0"/>
                            <a:ext cx="1914525" cy="2552700"/>
                          </a:xfrm>
                          <a:prstGeom prst="rect">
                            <a:avLst/>
                          </a:prstGeom>
                          <a:noFill/>
                          <a:ln w="9525">
                            <a:noFill/>
                            <a:miter lim="800000"/>
                            <a:headEnd/>
                            <a:tailEnd/>
                          </a:ln>
                        </pic:spPr>
                      </pic:pic>
                    </a:graphicData>
                  </a:graphic>
                </wp:inline>
              </w:drawing>
            </w:r>
          </w:p>
        </w:tc>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2076450" cy="2114550"/>
                  <wp:effectExtent l="19050" t="0" r="0" b="0"/>
                  <wp:docPr id="96" name="图片 32" descr="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2" descr="76-2"/>
                          <pic:cNvPicPr>
                            <a:picLocks noChangeAspect="1" noChangeArrowheads="1"/>
                          </pic:cNvPicPr>
                        </pic:nvPicPr>
                        <pic:blipFill>
                          <a:blip r:embed="rId57" cstate="print"/>
                          <a:srcRect/>
                          <a:stretch>
                            <a:fillRect/>
                          </a:stretch>
                        </pic:blipFill>
                        <pic:spPr>
                          <a:xfrm>
                            <a:off x="0" y="0"/>
                            <a:ext cx="2076450" cy="2114550"/>
                          </a:xfrm>
                          <a:prstGeom prst="rect">
                            <a:avLst/>
                          </a:prstGeom>
                          <a:noFill/>
                          <a:ln w="9525">
                            <a:noFill/>
                            <a:miter lim="800000"/>
                            <a:headEnd/>
                            <a:tailEnd/>
                          </a:ln>
                        </pic:spPr>
                      </pic:pic>
                    </a:graphicData>
                  </a:graphic>
                </wp:inline>
              </w:drawing>
            </w:r>
          </w:p>
        </w:tc>
      </w:tr>
      <w:tr w:rsidR="00800760">
        <w:trPr>
          <w:trHeight w:val="66"/>
          <w:jc w:val="center"/>
        </w:trPr>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w:t>
            </w:r>
          </w:p>
        </w:tc>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涉案专利为带有两个窗口的染色机。被控侵权产品的染色机将两个窗口按照通常的横向排布方式重复增加为四个。这一设计变化属于简单的重复排列，因此二者构成近似的外观设计。</w:t>
      </w:r>
    </w:p>
    <w:p w:rsidR="00800760" w:rsidRDefault="00235733">
      <w:pPr>
        <w:pStyle w:val="af6"/>
        <w:spacing w:before="120"/>
        <w:ind w:firstLine="420"/>
        <w:rPr>
          <w:rFonts w:ascii="Times New Roman" w:hAnsi="Times New Roman"/>
        </w:rPr>
      </w:pPr>
      <w:bookmarkStart w:id="2407" w:name="_Toc29689"/>
      <w:bookmarkStart w:id="2408" w:name="_Toc340"/>
      <w:bookmarkStart w:id="2409" w:name="_Toc22186"/>
      <w:bookmarkStart w:id="2410" w:name="_Toc10097"/>
      <w:bookmarkStart w:id="2411" w:name="_Toc15154"/>
      <w:bookmarkStart w:id="2412" w:name="_Toc28019"/>
      <w:bookmarkStart w:id="2413" w:name="_Toc7977"/>
      <w:bookmarkStart w:id="2414" w:name="_Toc20936"/>
      <w:bookmarkStart w:id="2415" w:name="_Toc24106"/>
      <w:bookmarkStart w:id="2416" w:name="_Toc1370"/>
      <w:bookmarkStart w:id="2417" w:name="_Toc32091"/>
      <w:bookmarkStart w:id="2418" w:name="_Toc30552"/>
      <w:bookmarkStart w:id="2419" w:name="_Toc21428"/>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-2</w:t>
      </w:r>
      <w:r>
        <w:rPr>
          <w:rFonts w:ascii="Times New Roman" w:hAnsi="Times New Roman" w:hint="eastAsia"/>
          <w:lang w:val="en-US"/>
        </w:rPr>
        <w:t>8</w:t>
      </w:r>
      <w:r>
        <w:rPr>
          <w:rFonts w:ascii="Times New Roman" w:hAnsi="Times New Roman" w:hint="eastAsia"/>
        </w:rPr>
        <w:t>】笔筒</w:t>
      </w:r>
      <w:bookmarkEnd w:id="2407"/>
      <w:bookmarkEnd w:id="2408"/>
      <w:bookmarkEnd w:id="2409"/>
      <w:bookmarkEnd w:id="2410"/>
      <w:bookmarkEnd w:id="2411"/>
      <w:bookmarkEnd w:id="2412"/>
      <w:bookmarkEnd w:id="2413"/>
      <w:bookmarkEnd w:id="2414"/>
      <w:bookmarkEnd w:id="2415"/>
      <w:bookmarkEnd w:id="2416"/>
      <w:bookmarkEnd w:id="2417"/>
      <w:bookmarkEnd w:id="2418"/>
      <w:bookmarkEnd w:id="2419"/>
    </w:p>
    <w:tbl>
      <w:tblPr>
        <w:tblW w:w="0" w:type="auto"/>
        <w:jc w:val="center"/>
        <w:tblLook w:val="04A0"/>
      </w:tblPr>
      <w:tblGrid>
        <w:gridCol w:w="3847"/>
        <w:gridCol w:w="3847"/>
      </w:tblGrid>
      <w:tr w:rsidR="00800760">
        <w:trPr>
          <w:jc w:val="center"/>
        </w:trPr>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2162175" cy="1619250"/>
                  <wp:effectExtent l="19050" t="0" r="9525" b="0"/>
                  <wp:docPr id="97" name="图片 33" descr="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3" descr="76-3"/>
                          <pic:cNvPicPr>
                            <a:picLocks noChangeAspect="1" noChangeArrowheads="1"/>
                          </pic:cNvPicPr>
                        </pic:nvPicPr>
                        <pic:blipFill>
                          <a:blip r:embed="rId58" cstate="print"/>
                          <a:srcRect/>
                          <a:stretch>
                            <a:fillRect/>
                          </a:stretch>
                        </pic:blipFill>
                        <pic:spPr>
                          <a:xfrm>
                            <a:off x="0" y="0"/>
                            <a:ext cx="2162175" cy="1619250"/>
                          </a:xfrm>
                          <a:prstGeom prst="rect">
                            <a:avLst/>
                          </a:prstGeom>
                          <a:noFill/>
                          <a:ln w="9525">
                            <a:noFill/>
                            <a:miter lim="800000"/>
                            <a:headEnd/>
                            <a:tailEnd/>
                          </a:ln>
                        </pic:spPr>
                      </pic:pic>
                    </a:graphicData>
                  </a:graphic>
                </wp:inline>
              </w:drawing>
            </w:r>
          </w:p>
        </w:tc>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2162175" cy="1619250"/>
                  <wp:effectExtent l="19050" t="0" r="9525" b="0"/>
                  <wp:docPr id="98" name="图片 34" descr="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4" descr="76-4"/>
                          <pic:cNvPicPr>
                            <a:picLocks noChangeAspect="1" noChangeArrowheads="1"/>
                          </pic:cNvPicPr>
                        </pic:nvPicPr>
                        <pic:blipFill>
                          <a:blip r:embed="rId59" cstate="print"/>
                          <a:srcRect/>
                          <a:stretch>
                            <a:fillRect/>
                          </a:stretch>
                        </pic:blipFill>
                        <pic:spPr>
                          <a:xfrm>
                            <a:off x="0" y="0"/>
                            <a:ext cx="2162175" cy="1619250"/>
                          </a:xfrm>
                          <a:prstGeom prst="rect">
                            <a:avLst/>
                          </a:prstGeom>
                          <a:noFill/>
                          <a:ln w="9525">
                            <a:noFill/>
                            <a:miter lim="800000"/>
                            <a:headEnd/>
                            <a:tailEnd/>
                          </a:ln>
                        </pic:spPr>
                      </pic:pic>
                    </a:graphicData>
                  </a:graphic>
                </wp:inline>
              </w:drawing>
            </w:r>
          </w:p>
        </w:tc>
      </w:tr>
      <w:tr w:rsidR="00800760">
        <w:trPr>
          <w:trHeight w:val="66"/>
          <w:jc w:val="center"/>
        </w:trPr>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w:t>
            </w:r>
          </w:p>
        </w:tc>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图中所示的两个笔筒的各部分设计除左右布局不同外，其余均相同，属于对称设计，二者构成近似的外观设计。</w:t>
      </w:r>
    </w:p>
    <w:p w:rsidR="00800760" w:rsidRDefault="00235733">
      <w:pPr>
        <w:pStyle w:val="af6"/>
        <w:spacing w:before="120"/>
        <w:ind w:firstLine="420"/>
        <w:rPr>
          <w:rFonts w:ascii="Times New Roman" w:hAnsi="Times New Roman"/>
        </w:rPr>
      </w:pPr>
      <w:bookmarkStart w:id="2420" w:name="_Toc18333"/>
      <w:bookmarkStart w:id="2421" w:name="_Toc12314"/>
      <w:bookmarkStart w:id="2422" w:name="_Toc6115"/>
      <w:bookmarkStart w:id="2423" w:name="_Toc12502"/>
      <w:bookmarkStart w:id="2424" w:name="_Toc7077"/>
      <w:bookmarkStart w:id="2425" w:name="_Toc32225"/>
      <w:bookmarkStart w:id="2426" w:name="_Toc8805"/>
      <w:bookmarkStart w:id="2427" w:name="_Toc12868"/>
      <w:bookmarkStart w:id="2428" w:name="_Toc16524"/>
      <w:bookmarkStart w:id="2429" w:name="_Toc28566"/>
      <w:bookmarkStart w:id="2430" w:name="_Toc30081"/>
      <w:bookmarkStart w:id="2431" w:name="_Toc26886"/>
      <w:bookmarkStart w:id="2432" w:name="_Toc17144"/>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-2</w:t>
      </w:r>
      <w:r>
        <w:rPr>
          <w:rFonts w:ascii="Times New Roman" w:hAnsi="Times New Roman" w:hint="eastAsia"/>
          <w:lang w:val="en-US"/>
        </w:rPr>
        <w:t>9</w:t>
      </w:r>
      <w:r>
        <w:rPr>
          <w:rFonts w:ascii="Times New Roman" w:hAnsi="Times New Roman" w:hint="eastAsia"/>
        </w:rPr>
        <w:t>】圆凳</w:t>
      </w:r>
      <w:bookmarkEnd w:id="2420"/>
      <w:bookmarkEnd w:id="2421"/>
      <w:bookmarkEnd w:id="2422"/>
      <w:bookmarkEnd w:id="2423"/>
      <w:bookmarkEnd w:id="2424"/>
      <w:bookmarkEnd w:id="2425"/>
      <w:bookmarkEnd w:id="2426"/>
      <w:bookmarkEnd w:id="2427"/>
      <w:bookmarkEnd w:id="2428"/>
      <w:bookmarkEnd w:id="2429"/>
      <w:bookmarkEnd w:id="2430"/>
      <w:bookmarkEnd w:id="2431"/>
      <w:bookmarkEnd w:id="2432"/>
    </w:p>
    <w:tbl>
      <w:tblPr>
        <w:tblW w:w="0" w:type="auto"/>
        <w:jc w:val="center"/>
        <w:tblLook w:val="04A0"/>
      </w:tblPr>
      <w:tblGrid>
        <w:gridCol w:w="3847"/>
        <w:gridCol w:w="3847"/>
      </w:tblGrid>
      <w:tr w:rsidR="00800760">
        <w:trPr>
          <w:jc w:val="center"/>
        </w:trPr>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524000" cy="1838325"/>
                  <wp:effectExtent l="19050" t="0" r="0" b="0"/>
                  <wp:docPr id="99" name="图片 35" descr="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35" descr="77-1"/>
                          <pic:cNvPicPr>
                            <a:picLocks noChangeAspect="1" noChangeArrowheads="1"/>
                          </pic:cNvPicPr>
                        </pic:nvPicPr>
                        <pic:blipFill>
                          <a:blip r:embed="rId60" cstate="print"/>
                          <a:srcRect/>
                          <a:stretch>
                            <a:fillRect/>
                          </a:stretch>
                        </pic:blipFill>
                        <pic:spPr>
                          <a:xfrm>
                            <a:off x="0" y="0"/>
                            <a:ext cx="1524000" cy="1838325"/>
                          </a:xfrm>
                          <a:prstGeom prst="rect">
                            <a:avLst/>
                          </a:prstGeom>
                          <a:noFill/>
                          <a:ln w="9525">
                            <a:noFill/>
                            <a:miter lim="800000"/>
                            <a:headEnd/>
                            <a:tailEnd/>
                          </a:ln>
                        </pic:spPr>
                      </pic:pic>
                    </a:graphicData>
                  </a:graphic>
                </wp:inline>
              </w:drawing>
            </w:r>
          </w:p>
        </w:tc>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504950" cy="1876425"/>
                  <wp:effectExtent l="19050" t="0" r="0" b="0"/>
                  <wp:docPr id="100" name="图片 36" descr="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6" descr="77-2"/>
                          <pic:cNvPicPr>
                            <a:picLocks noChangeAspect="1" noChangeArrowheads="1"/>
                          </pic:cNvPicPr>
                        </pic:nvPicPr>
                        <pic:blipFill>
                          <a:blip r:embed="rId61" cstate="print"/>
                          <a:srcRect/>
                          <a:stretch>
                            <a:fillRect/>
                          </a:stretch>
                        </pic:blipFill>
                        <pic:spPr>
                          <a:xfrm>
                            <a:off x="0" y="0"/>
                            <a:ext cx="1504950" cy="1876425"/>
                          </a:xfrm>
                          <a:prstGeom prst="rect">
                            <a:avLst/>
                          </a:prstGeom>
                          <a:noFill/>
                          <a:ln w="9525">
                            <a:noFill/>
                            <a:miter lim="800000"/>
                            <a:headEnd/>
                            <a:tailEnd/>
                          </a:ln>
                        </pic:spPr>
                      </pic:pic>
                    </a:graphicData>
                  </a:graphic>
                </wp:inline>
              </w:drawing>
            </w:r>
          </w:p>
        </w:tc>
      </w:tr>
      <w:tr w:rsidR="00800760">
        <w:trPr>
          <w:trHeight w:val="66"/>
          <w:jc w:val="center"/>
        </w:trPr>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w:t>
            </w:r>
          </w:p>
        </w:tc>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涉案专利为具有单一色彩的圆凳外观设计。图中所示两款圆凳的形状设计完全相同，不同之处仅在于将圆凳整体颜色作了不同替换，二者构成近似的外观设计。</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5 \* GB4</w:instrText>
      </w:r>
      <w:r>
        <w:rPr>
          <w:rFonts w:ascii="Times New Roman" w:hAnsi="Times New Roman"/>
          <w:color w:val="000000"/>
        </w:rPr>
        <w:fldChar w:fldCharType="separate"/>
      </w:r>
      <w:bookmarkStart w:id="2433" w:name="_Toc28593398"/>
      <w:r w:rsidR="00235733">
        <w:rPr>
          <w:rFonts w:ascii="Times New Roman" w:hAnsi="Times New Roman" w:hint="eastAsia"/>
          <w:color w:val="000000"/>
          <w:lang w:val="en-US"/>
        </w:rPr>
        <w:t>（五）</w:t>
      </w:r>
      <w:r>
        <w:rPr>
          <w:rFonts w:ascii="Times New Roman" w:hAnsi="Times New Roman"/>
          <w:color w:val="000000"/>
        </w:rPr>
        <w:fldChar w:fldCharType="end"/>
      </w:r>
      <w:r w:rsidR="00235733">
        <w:rPr>
          <w:rFonts w:ascii="Times New Roman" w:hAnsi="Times New Roman" w:hint="eastAsia"/>
          <w:color w:val="000000"/>
        </w:rPr>
        <w:t>几种类型产品的近似性判断</w:t>
      </w:r>
      <w:bookmarkEnd w:id="2433"/>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以下举例说明几种典型类型产品外观设计的近似性判断中的一些考虑因素。</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2434" w:name="_Toc28593399"/>
      <w:r w:rsidR="00235733">
        <w:rPr>
          <w:rFonts w:hint="eastAsia"/>
          <w:color w:val="000000"/>
        </w:rPr>
        <w:t xml:space="preserve">1. </w:t>
      </w:r>
      <w:r>
        <w:rPr>
          <w:color w:val="000000"/>
        </w:rPr>
        <w:fldChar w:fldCharType="end"/>
      </w:r>
      <w:r w:rsidR="00235733">
        <w:rPr>
          <w:rFonts w:hint="eastAsia"/>
          <w:color w:val="000000"/>
        </w:rPr>
        <w:t>包装类产品</w:t>
      </w:r>
      <w:bookmarkEnd w:id="2434"/>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包装类产品包括包装盒</w:t>
      </w:r>
      <w:r>
        <w:rPr>
          <w:rFonts w:ascii="Times New Roman" w:eastAsia="宋体" w:hAnsi="Times New Roman"/>
          <w:sz w:val="21"/>
          <w:szCs w:val="21"/>
        </w:rPr>
        <w:t>（</w:t>
      </w:r>
      <w:r>
        <w:rPr>
          <w:rFonts w:ascii="Times New Roman" w:eastAsia="宋体" w:hAnsi="Times New Roman" w:hint="eastAsia"/>
          <w:sz w:val="21"/>
          <w:szCs w:val="21"/>
        </w:rPr>
        <w:t>箱</w:t>
      </w:r>
      <w:r>
        <w:rPr>
          <w:rFonts w:ascii="Times New Roman" w:eastAsia="宋体" w:hAnsi="Times New Roman"/>
          <w:sz w:val="21"/>
          <w:szCs w:val="21"/>
        </w:rPr>
        <w:t>）</w:t>
      </w:r>
      <w:r>
        <w:rPr>
          <w:rFonts w:ascii="Times New Roman" w:eastAsia="宋体" w:hAnsi="Times New Roman" w:hint="eastAsia"/>
          <w:sz w:val="21"/>
          <w:szCs w:val="21"/>
        </w:rPr>
        <w:t>、包装瓶</w:t>
      </w:r>
      <w:r>
        <w:rPr>
          <w:rFonts w:ascii="Times New Roman" w:eastAsia="宋体" w:hAnsi="Times New Roman"/>
          <w:sz w:val="21"/>
          <w:szCs w:val="21"/>
        </w:rPr>
        <w:t>（</w:t>
      </w:r>
      <w:r>
        <w:rPr>
          <w:rFonts w:ascii="Times New Roman" w:eastAsia="宋体" w:hAnsi="Times New Roman" w:hint="eastAsia"/>
          <w:sz w:val="21"/>
          <w:szCs w:val="21"/>
        </w:rPr>
        <w:t>罐</w:t>
      </w:r>
      <w:r>
        <w:rPr>
          <w:rFonts w:ascii="Times New Roman" w:eastAsia="宋体" w:hAnsi="Times New Roman"/>
          <w:sz w:val="21"/>
          <w:szCs w:val="21"/>
        </w:rPr>
        <w:t>）</w:t>
      </w:r>
      <w:r>
        <w:rPr>
          <w:rFonts w:ascii="Times New Roman" w:eastAsia="宋体" w:hAnsi="Times New Roman" w:hint="eastAsia"/>
          <w:sz w:val="21"/>
          <w:szCs w:val="21"/>
        </w:rPr>
        <w:t>、包装袋等用于商品包装的产品。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产品种类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在判定产品种类时，应当区分被包装物与包装物的用途。由于包装类产品的用途是包装产品，与被包装物的性质无关。因此，在外观设计国际分类中，包装类产品均属于</w:t>
      </w:r>
      <w:r>
        <w:rPr>
          <w:rFonts w:ascii="Times New Roman" w:eastAsia="宋体" w:hAnsi="Times New Roman"/>
          <w:sz w:val="21"/>
          <w:szCs w:val="21"/>
        </w:rPr>
        <w:t>09</w:t>
      </w:r>
      <w:r>
        <w:rPr>
          <w:rFonts w:ascii="Times New Roman" w:eastAsia="宋体" w:hAnsi="Times New Roman" w:hint="eastAsia"/>
          <w:sz w:val="21"/>
          <w:szCs w:val="21"/>
        </w:rPr>
        <w:t>类产品，不因被包装物的不同而属不同的种类。比如，酒的包装瓶和药的包装瓶属于相同种类产品。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产品在外观设计国际分类表中的分类不同，并不意味着产品种类不同，产品的用途是判断的依据。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产品形态</w:t>
      </w:r>
      <w:r w:rsidR="00235733">
        <w:rPr>
          <w:rFonts w:ascii="Times New Roman" w:eastAsia="宋体" w:hAnsi="Times New Roman"/>
          <w:sz w:val="21"/>
          <w:szCs w:val="21"/>
        </w:rPr>
        <w:t>（</w:t>
      </w:r>
      <w:r w:rsidR="00235733">
        <w:rPr>
          <w:rFonts w:ascii="Times New Roman" w:eastAsia="宋体" w:hAnsi="Times New Roman" w:hint="eastAsia"/>
          <w:sz w:val="21"/>
          <w:szCs w:val="21"/>
        </w:rPr>
        <w:t>形状、图案、色彩</w:t>
      </w:r>
      <w:r w:rsidR="00235733">
        <w:rPr>
          <w:rFonts w:ascii="Times New Roman" w:eastAsia="宋体" w:hAnsi="Times New Roman"/>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从形状上看，包装类产品分为立体产品和平面产品两种。凡是具有三个以上外表面的产品都属于立体包装产品，仅有正反两个外表面的产品属于平面包装产品。包装类产品上的文字</w:t>
      </w:r>
      <w:r>
        <w:rPr>
          <w:rFonts w:ascii="Times New Roman" w:eastAsia="宋体" w:hAnsi="Times New Roman"/>
          <w:sz w:val="21"/>
          <w:szCs w:val="21"/>
        </w:rPr>
        <w:t>（</w:t>
      </w:r>
      <w:r>
        <w:rPr>
          <w:rFonts w:ascii="Times New Roman" w:eastAsia="宋体" w:hAnsi="Times New Roman" w:hint="eastAsia"/>
          <w:sz w:val="21"/>
          <w:szCs w:val="21"/>
        </w:rPr>
        <w:t>包括产品名称在内</w:t>
      </w:r>
      <w:r>
        <w:rPr>
          <w:rFonts w:ascii="Times New Roman" w:eastAsia="宋体" w:hAnsi="Times New Roman"/>
          <w:sz w:val="21"/>
          <w:szCs w:val="21"/>
        </w:rPr>
        <w:t>）</w:t>
      </w:r>
      <w:r>
        <w:rPr>
          <w:rFonts w:ascii="Times New Roman" w:eastAsia="宋体" w:hAnsi="Times New Roman" w:hint="eastAsia"/>
          <w:sz w:val="21"/>
          <w:szCs w:val="21"/>
        </w:rPr>
        <w:t>和数字的字体、字形和排列等，应当作为图案考虑，不应当考虑文字的发音和含义。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设计空间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包装类产品由于受功能等因素限定较少，设计空间较大，无论是形状还是图案或者色彩，均具有较大的变化自由度。</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设计要点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从设计要点来看，很多包装类产品的形状都是惯常设计或者现有设计。对于这类设计，通常其图案和色彩的设计对整体视觉效果更具有影响；通常，使用状态下朝向消费者的面的设计对整体视觉效果更具有影响。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对于形状、图案和色彩都是新设计的包装类产品外观设计，要综合考虑、判断其视觉瞩目的设计内容。该部分内容对整体视觉效果更具有影响。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对于具有惯常设计或者透明设计部分的包装类产品而言，应综合考虑惯常设计以外的设计内容以及透明设计部分本身的形状、可见部分的设计内容对整体视觉效果的影响。</w:t>
      </w:r>
    </w:p>
    <w:p w:rsidR="00800760" w:rsidRDefault="00235733">
      <w:pPr>
        <w:pStyle w:val="af6"/>
        <w:spacing w:before="120"/>
        <w:ind w:firstLine="420"/>
        <w:rPr>
          <w:rFonts w:ascii="Times New Roman" w:hAnsi="Times New Roman"/>
        </w:rPr>
      </w:pPr>
      <w:bookmarkStart w:id="2435" w:name="_Toc28372"/>
      <w:bookmarkStart w:id="2436" w:name="_Toc3636"/>
      <w:bookmarkStart w:id="2437" w:name="_Toc19817"/>
      <w:bookmarkStart w:id="2438" w:name="_Toc7294"/>
      <w:bookmarkStart w:id="2439" w:name="_Toc8766"/>
      <w:bookmarkStart w:id="2440" w:name="_Toc24080"/>
      <w:bookmarkStart w:id="2441" w:name="_Toc21441"/>
      <w:bookmarkStart w:id="2442" w:name="_Toc19655"/>
      <w:bookmarkStart w:id="2443" w:name="_Toc26703"/>
      <w:bookmarkStart w:id="2444" w:name="_Toc27660"/>
      <w:bookmarkStart w:id="2445" w:name="_Toc12534"/>
      <w:bookmarkStart w:id="2446" w:name="_Toc15119"/>
      <w:bookmarkStart w:id="2447" w:name="_Toc5493"/>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lang w:val="en-US"/>
        </w:rPr>
        <w:t>30</w:t>
      </w:r>
      <w:r>
        <w:rPr>
          <w:rFonts w:ascii="Times New Roman" w:hAnsi="Times New Roman" w:hint="eastAsia"/>
        </w:rPr>
        <w:t>】包装袋</w:t>
      </w:r>
      <w:bookmarkEnd w:id="2435"/>
      <w:bookmarkEnd w:id="2436"/>
      <w:bookmarkEnd w:id="2437"/>
      <w:bookmarkEnd w:id="2438"/>
      <w:bookmarkEnd w:id="2439"/>
      <w:bookmarkEnd w:id="2440"/>
      <w:bookmarkEnd w:id="2441"/>
      <w:bookmarkEnd w:id="2442"/>
      <w:bookmarkEnd w:id="2443"/>
      <w:bookmarkEnd w:id="2444"/>
      <w:bookmarkEnd w:id="2445"/>
      <w:bookmarkEnd w:id="2446"/>
      <w:bookmarkEnd w:id="2447"/>
    </w:p>
    <w:tbl>
      <w:tblPr>
        <w:tblW w:w="0" w:type="auto"/>
        <w:jc w:val="center"/>
        <w:tblLook w:val="04A0"/>
      </w:tblPr>
      <w:tblGrid>
        <w:gridCol w:w="3847"/>
        <w:gridCol w:w="3847"/>
      </w:tblGrid>
      <w:tr w:rsidR="00800760">
        <w:trPr>
          <w:jc w:val="center"/>
        </w:trPr>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057275" cy="1704975"/>
                  <wp:effectExtent l="19050" t="0" r="9525" b="0"/>
                  <wp:docPr id="101" name="图片 37" descr="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7" descr="78-1"/>
                          <pic:cNvPicPr>
                            <a:picLocks noChangeAspect="1" noChangeArrowheads="1"/>
                          </pic:cNvPicPr>
                        </pic:nvPicPr>
                        <pic:blipFill>
                          <a:blip r:embed="rId62" cstate="print"/>
                          <a:srcRect/>
                          <a:stretch>
                            <a:fillRect/>
                          </a:stretch>
                        </pic:blipFill>
                        <pic:spPr>
                          <a:xfrm>
                            <a:off x="0" y="0"/>
                            <a:ext cx="1057275" cy="1704975"/>
                          </a:xfrm>
                          <a:prstGeom prst="rect">
                            <a:avLst/>
                          </a:prstGeom>
                          <a:noFill/>
                          <a:ln w="9525">
                            <a:noFill/>
                            <a:miter lim="800000"/>
                            <a:headEnd/>
                            <a:tailEnd/>
                          </a:ln>
                        </pic:spPr>
                      </pic:pic>
                    </a:graphicData>
                  </a:graphic>
                </wp:inline>
              </w:drawing>
            </w:r>
          </w:p>
        </w:tc>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2057400" cy="1676400"/>
                  <wp:effectExtent l="19050" t="0" r="0" b="0"/>
                  <wp:docPr id="102" name="图片 38" descr="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38" descr="78-2"/>
                          <pic:cNvPicPr>
                            <a:picLocks noChangeAspect="1" noChangeArrowheads="1"/>
                          </pic:cNvPicPr>
                        </pic:nvPicPr>
                        <pic:blipFill>
                          <a:blip r:embed="rId63" cstate="print"/>
                          <a:srcRect/>
                          <a:stretch>
                            <a:fillRect/>
                          </a:stretch>
                        </pic:blipFill>
                        <pic:spPr>
                          <a:xfrm>
                            <a:off x="0" y="0"/>
                            <a:ext cx="2057400" cy="1676400"/>
                          </a:xfrm>
                          <a:prstGeom prst="rect">
                            <a:avLst/>
                          </a:prstGeom>
                          <a:noFill/>
                          <a:ln w="9525">
                            <a:noFill/>
                            <a:miter lim="800000"/>
                            <a:headEnd/>
                            <a:tailEnd/>
                          </a:ln>
                        </pic:spPr>
                      </pic:pic>
                    </a:graphicData>
                  </a:graphic>
                </wp:inline>
              </w:drawing>
            </w:r>
          </w:p>
        </w:tc>
      </w:tr>
      <w:tr w:rsidR="00800760">
        <w:trPr>
          <w:trHeight w:val="66"/>
          <w:jc w:val="center"/>
        </w:trPr>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w:t>
            </w:r>
          </w:p>
        </w:tc>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涉案专利包装袋下半部分是用透明材料制成的楔形包装袋，上半部分是带有图案的纸板，该纸板从中间相对而折，将包装袋的一面封口（简要说明注明后视图无图案，故省略）。尽管对于外表使用透明材料的产品而言，人的视觉能观察到的其透明部分以内的形状、图案和色彩，应当视为该产品的外观设计的一部分，但是，由于该透明部位的设计属于该类产品公认的惯常设计，而且涉案专利并未表示透明部分内部的设计内容。据此判断，根据一般消费者的认知能力，对该部位的关注是出于对所装食品是否符合实用要求的考虑，而不是区别两项外观设计的依据，封口部位带有图案部分的设计内容才是一般消费者区别不同外观设计的视觉瞩目设计内容。因此，判断涉案专利与被控侵权产品外观设计的近似性时，封口处的带有图案的纸板对整体视觉效果更具有影响。</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2448" w:name="_Toc28593400"/>
      <w:r w:rsidR="00235733">
        <w:rPr>
          <w:rFonts w:hint="eastAsia"/>
          <w:color w:val="000000"/>
        </w:rPr>
        <w:t xml:space="preserve">2. </w:t>
      </w:r>
      <w:r>
        <w:rPr>
          <w:color w:val="000000"/>
        </w:rPr>
        <w:fldChar w:fldCharType="end"/>
      </w:r>
      <w:r w:rsidR="00235733">
        <w:rPr>
          <w:rFonts w:hint="eastAsia"/>
          <w:color w:val="000000"/>
        </w:rPr>
        <w:t>型材类产品</w:t>
      </w:r>
      <w:bookmarkEnd w:id="2448"/>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型材类产品是指横断面形状沿长度方向连续延伸、在长度方向上无其他形状变化的产品。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型材产品而言，横断面形状通常对产品的整体视觉效果更具有影响。由于横断面周边轮廓在最终使用状态下属于可见或易见的设计内容，因此该设计内容对整体视觉效果更具有影响。对于横断面周边形状是惯常设计的，横断面中其余部分的形状更具有影响。</w:t>
      </w:r>
    </w:p>
    <w:p w:rsidR="00800760" w:rsidRDefault="00235733">
      <w:pPr>
        <w:pStyle w:val="af6"/>
        <w:spacing w:before="120"/>
        <w:ind w:firstLine="420"/>
        <w:rPr>
          <w:rFonts w:ascii="Times New Roman" w:hAnsi="Times New Roman"/>
        </w:rPr>
      </w:pPr>
      <w:bookmarkStart w:id="2449" w:name="_Toc15516"/>
      <w:bookmarkStart w:id="2450" w:name="_Toc22205"/>
      <w:bookmarkStart w:id="2451" w:name="_Toc21389"/>
      <w:bookmarkStart w:id="2452" w:name="_Toc19861"/>
      <w:bookmarkStart w:id="2453" w:name="_Toc4252"/>
      <w:bookmarkStart w:id="2454" w:name="_Toc20808"/>
      <w:bookmarkStart w:id="2455" w:name="_Toc27190"/>
      <w:bookmarkStart w:id="2456" w:name="_Toc18091"/>
      <w:bookmarkStart w:id="2457" w:name="_Toc31590"/>
      <w:bookmarkStart w:id="2458" w:name="_Toc2353"/>
      <w:bookmarkStart w:id="2459" w:name="_Toc2957"/>
      <w:bookmarkStart w:id="2460" w:name="_Toc29312"/>
      <w:bookmarkStart w:id="2461" w:name="_Toc24645"/>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rPr>
        <w:t>3</w:t>
      </w:r>
      <w:r>
        <w:rPr>
          <w:rFonts w:ascii="Times New Roman" w:hAnsi="Times New Roman" w:hint="eastAsia"/>
          <w:lang w:val="en-US"/>
        </w:rPr>
        <w:t>1</w:t>
      </w:r>
      <w:r>
        <w:rPr>
          <w:rFonts w:ascii="Times New Roman" w:hAnsi="Times New Roman" w:hint="eastAsia"/>
        </w:rPr>
        <w:t>】型材</w:t>
      </w:r>
      <w:bookmarkEnd w:id="2449"/>
      <w:bookmarkEnd w:id="2450"/>
      <w:bookmarkEnd w:id="2451"/>
      <w:bookmarkEnd w:id="2452"/>
      <w:bookmarkEnd w:id="2453"/>
      <w:bookmarkEnd w:id="2454"/>
      <w:bookmarkEnd w:id="2455"/>
      <w:bookmarkEnd w:id="2456"/>
      <w:bookmarkEnd w:id="2457"/>
      <w:bookmarkEnd w:id="2458"/>
      <w:bookmarkEnd w:id="2459"/>
      <w:bookmarkEnd w:id="2460"/>
      <w:bookmarkEnd w:id="2461"/>
    </w:p>
    <w:tbl>
      <w:tblPr>
        <w:tblW w:w="0" w:type="auto"/>
        <w:jc w:val="center"/>
        <w:tblLook w:val="04A0"/>
      </w:tblPr>
      <w:tblGrid>
        <w:gridCol w:w="3847"/>
        <w:gridCol w:w="3847"/>
      </w:tblGrid>
      <w:tr w:rsidR="00800760">
        <w:trPr>
          <w:jc w:val="center"/>
        </w:trPr>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943100" cy="647700"/>
                  <wp:effectExtent l="19050" t="0" r="0" b="0"/>
                  <wp:docPr id="103" name="图片 39" descr="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9" descr="79-1"/>
                          <pic:cNvPicPr>
                            <a:picLocks noChangeAspect="1" noChangeArrowheads="1"/>
                          </pic:cNvPicPr>
                        </pic:nvPicPr>
                        <pic:blipFill>
                          <a:blip r:embed="rId64" cstate="print"/>
                          <a:srcRect/>
                          <a:stretch>
                            <a:fillRect/>
                          </a:stretch>
                        </pic:blipFill>
                        <pic:spPr>
                          <a:xfrm>
                            <a:off x="0" y="0"/>
                            <a:ext cx="1943100" cy="647700"/>
                          </a:xfrm>
                          <a:prstGeom prst="rect">
                            <a:avLst/>
                          </a:prstGeom>
                          <a:noFill/>
                          <a:ln w="9525">
                            <a:noFill/>
                            <a:miter lim="800000"/>
                            <a:headEnd/>
                            <a:tailEnd/>
                          </a:ln>
                        </pic:spPr>
                      </pic:pic>
                    </a:graphicData>
                  </a:graphic>
                </wp:inline>
              </w:drawing>
            </w:r>
          </w:p>
        </w:tc>
        <w:tc>
          <w:tcPr>
            <w:tcW w:w="3847" w:type="dxa"/>
            <w:vAlign w:val="center"/>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647825" cy="609600"/>
                  <wp:effectExtent l="19050" t="0" r="9525" b="0"/>
                  <wp:docPr id="104" name="图片 40" descr="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40" descr="79-2"/>
                          <pic:cNvPicPr>
                            <a:picLocks noChangeAspect="1" noChangeArrowheads="1"/>
                          </pic:cNvPicPr>
                        </pic:nvPicPr>
                        <pic:blipFill>
                          <a:blip r:embed="rId65" cstate="print"/>
                          <a:srcRect/>
                          <a:stretch>
                            <a:fillRect/>
                          </a:stretch>
                        </pic:blipFill>
                        <pic:spPr>
                          <a:xfrm>
                            <a:off x="0" y="0"/>
                            <a:ext cx="1647825" cy="609600"/>
                          </a:xfrm>
                          <a:prstGeom prst="rect">
                            <a:avLst/>
                          </a:prstGeom>
                          <a:noFill/>
                          <a:ln w="9525">
                            <a:noFill/>
                            <a:miter lim="800000"/>
                            <a:headEnd/>
                            <a:tailEnd/>
                          </a:ln>
                        </pic:spPr>
                      </pic:pic>
                    </a:graphicData>
                  </a:graphic>
                </wp:inline>
              </w:drawing>
            </w:r>
          </w:p>
        </w:tc>
      </w:tr>
      <w:tr w:rsidR="00800760">
        <w:trPr>
          <w:trHeight w:val="66"/>
          <w:jc w:val="center"/>
        </w:trPr>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涉案专利</w:t>
            </w:r>
          </w:p>
        </w:tc>
        <w:tc>
          <w:tcPr>
            <w:tcW w:w="3847" w:type="dxa"/>
          </w:tcPr>
          <w:p w:rsidR="00800760" w:rsidRDefault="00235733">
            <w:pPr>
              <w:pStyle w:val="12"/>
              <w:topLinePunct/>
              <w:spacing w:line="24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上图所示型材，二者横断面中各腔体位置比例基本相同、形状接近，但由于二者横断面两侧上角、顶边所表示的设计在使用状态下为可见面，对整体视觉效果更具有影响。涉案专利与被控侵权产品相关设计由于差别较大，因此属于具有实质性差异的外观设计。</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bookmarkStart w:id="2462" w:name="_Toc28593401"/>
      <w:r w:rsidR="00235733">
        <w:rPr>
          <w:rFonts w:hint="eastAsia"/>
          <w:color w:val="000000"/>
        </w:rPr>
        <w:t xml:space="preserve">3. </w:t>
      </w:r>
      <w:r>
        <w:rPr>
          <w:color w:val="000000"/>
        </w:rPr>
        <w:fldChar w:fldCharType="end"/>
      </w:r>
      <w:r w:rsidR="00235733">
        <w:rPr>
          <w:rFonts w:hint="eastAsia"/>
          <w:color w:val="000000"/>
        </w:rPr>
        <w:t>汽车</w:t>
      </w:r>
      <w:bookmarkEnd w:id="2462"/>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汽车的整体流线型设计和部件的变化都是车身设计的组成部分，不能仅仅依据涉案专利与被控侵权产品的整体流线型判断二者是否近似。影响车身造型的前部及后部造型的变化，包括车灯、保险杠等差别也是需要考虑的重要因素。</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了解相关车型的功能</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满足不同需求汽车的功能及性能影响着汽车的设计空间。因此，首先需要了解相关车的功能需求，通过对设计空间的了解分析，把握一般消费者通过经验积累的常识性知识。</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相同或相近用途的车型进行比较</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汽车近似性比较应当基于相同或相近用途的车型。小客车、大客车、货车以及越野车等不同车型因用途不同导致技术性能上的差异，由此形成了外观设计某些方面的局限性，决定了设计空间的范围，也决定了外观设计更具有视觉影响的判断因素。</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 xml:space="preserve">4. </w:t>
      </w:r>
      <w:r>
        <w:rPr>
          <w:rFonts w:ascii="Times New Roman" w:eastAsia="宋体" w:hAnsi="Times New Roman" w:hint="eastAsia"/>
          <w:sz w:val="21"/>
          <w:szCs w:val="21"/>
        </w:rPr>
        <w:t>组件产品与变化状态产品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1</w:t>
      </w:r>
      <w:r>
        <w:rPr>
          <w:rFonts w:ascii="Times New Roman" w:eastAsia="宋体" w:hAnsi="Times New Roman" w:hint="eastAsia"/>
          <w:sz w:val="21"/>
          <w:szCs w:val="21"/>
        </w:rPr>
        <w:t>）组件产品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对于组装关系唯一的组件产品的外观设计专利，被控侵权设计与其组合状态下的外观设计相同或者近似，则被控侵权设计落入专利权的保护范围。</w:t>
      </w:r>
    </w:p>
    <w:p w:rsidR="00800760" w:rsidRDefault="00235733">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hint="eastAsia"/>
          <w:sz w:val="21"/>
          <w:szCs w:val="21"/>
        </w:rPr>
        <w:t>对于各构件之间无组装关系或者组装关系不唯一的组件产品的外观设计专利，被控侵权设计与其全部单个构件的外观设计均相同或者近似，则被控侵权设计落入专利权的保护范围；被控侵权设计缺少其单个构件的外观设计或者与其不相同也不近似，则被控侵权设计未落入专利权的保护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2</w:t>
      </w:r>
      <w:r>
        <w:rPr>
          <w:rFonts w:ascii="Times New Roman" w:eastAsia="宋体" w:hAnsi="Times New Roman" w:hint="eastAsia"/>
          <w:sz w:val="21"/>
          <w:szCs w:val="21"/>
        </w:rPr>
        <w:t>）变化状态产品</w:t>
      </w:r>
    </w:p>
    <w:p w:rsidR="00800760" w:rsidRDefault="00235733">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hint="eastAsia"/>
          <w:sz w:val="21"/>
          <w:szCs w:val="21"/>
          <w:lang w:val="en-US"/>
        </w:rPr>
        <w:t>对于变化状态产品的外观设计专利，被控侵权设计与变化状态图所示各种使用状态下的外观设计均相同或者近似，则被控侵权设计落入专利权的保护范围；被控侵权设计缺少其一种使用状态下的外观设计或者与其不相同也不近似，则被控侵权设计未落入专利权的保护范围。</w:t>
      </w:r>
    </w:p>
    <w:p w:rsidR="00800760" w:rsidRDefault="00235733">
      <w:pPr>
        <w:pStyle w:val="3"/>
        <w:spacing w:before="240"/>
        <w:ind w:firstLine="444"/>
        <w:rPr>
          <w:rFonts w:ascii="Times New Roman" w:hAnsi="Times New Roman"/>
          <w:color w:val="000000"/>
        </w:rPr>
      </w:pPr>
      <w:bookmarkStart w:id="2463" w:name="_Toc2306"/>
      <w:bookmarkStart w:id="2464" w:name="_Toc30745"/>
      <w:bookmarkStart w:id="2465" w:name="_Toc25510"/>
      <w:bookmarkStart w:id="2466" w:name="_Toc23049"/>
      <w:bookmarkStart w:id="2467" w:name="_Toc26844"/>
      <w:bookmarkStart w:id="2468" w:name="_Toc2131"/>
      <w:bookmarkStart w:id="2469" w:name="_Toc25099"/>
      <w:bookmarkStart w:id="2470" w:name="_Toc13343"/>
      <w:bookmarkStart w:id="2471" w:name="_Toc24621"/>
      <w:bookmarkStart w:id="2472" w:name="_Toc16997"/>
      <w:bookmarkStart w:id="2473" w:name="_Toc31148"/>
      <w:bookmarkStart w:id="2474" w:name="_Toc5150"/>
      <w:bookmarkStart w:id="2475" w:name="_Toc10144"/>
      <w:bookmarkStart w:id="2476" w:name="_Toc12917"/>
      <w:bookmarkStart w:id="2477" w:name="_Toc30481"/>
      <w:bookmarkStart w:id="2478" w:name="_Toc31057"/>
      <w:bookmarkStart w:id="2479" w:name="_Toc26985"/>
      <w:bookmarkStart w:id="2480" w:name="_Toc10947"/>
      <w:bookmarkStart w:id="2481" w:name="_Toc1013"/>
      <w:bookmarkStart w:id="2482" w:name="_Toc770"/>
      <w:bookmarkStart w:id="2483" w:name="_Toc375"/>
      <w:bookmarkStart w:id="2484" w:name="_Toc30934"/>
      <w:bookmarkStart w:id="2485" w:name="_Toc19902"/>
      <w:bookmarkStart w:id="2486" w:name="_Toc28593402"/>
      <w:bookmarkStart w:id="2487" w:name="_Toc229114378"/>
      <w:bookmarkStart w:id="2488" w:name="_Toc32243"/>
      <w:bookmarkStart w:id="2489" w:name="_Toc217908633"/>
      <w:bookmarkStart w:id="2490" w:name="_Toc12327"/>
      <w:bookmarkStart w:id="2491" w:name="_Toc172"/>
      <w:bookmarkStart w:id="2492" w:name="_Toc13583"/>
      <w:bookmarkStart w:id="2493" w:name="_Toc32009"/>
      <w:bookmarkStart w:id="2494" w:name="_Toc8141"/>
      <w:bookmarkStart w:id="2495" w:name="_Toc25298"/>
      <w:bookmarkStart w:id="2496" w:name="_Toc24384"/>
      <w:bookmarkStart w:id="2497" w:name="_Toc17191"/>
      <w:bookmarkStart w:id="2498" w:name="_Toc9018"/>
      <w:bookmarkStart w:id="2499" w:name="_Toc29012"/>
      <w:bookmarkStart w:id="2500" w:name="_Toc19480"/>
      <w:bookmarkStart w:id="2501" w:name="_Toc5347"/>
      <w:bookmarkStart w:id="2502" w:name="_Toc8587"/>
      <w:bookmarkStart w:id="2503" w:name="_Toc30810"/>
      <w:bookmarkStart w:id="2504" w:name="_Toc4701"/>
      <w:bookmarkStart w:id="2505" w:name="_Toc12585"/>
      <w:bookmarkStart w:id="2506" w:name="_Toc1564"/>
      <w:bookmarkStart w:id="2507" w:name="_Toc21028"/>
      <w:bookmarkStart w:id="2508" w:name="_Toc229225474"/>
      <w:r>
        <w:rPr>
          <w:rFonts w:ascii="Times New Roman" w:hAnsi="Times New Roman" w:hint="eastAsia"/>
          <w:color w:val="000000"/>
        </w:rPr>
        <w:t>三、外观设计专利侵权抗辩</w:t>
      </w:r>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1 \* GB4</w:instrText>
      </w:r>
      <w:r>
        <w:rPr>
          <w:rFonts w:ascii="Times New Roman" w:hAnsi="Times New Roman"/>
          <w:color w:val="000000"/>
        </w:rPr>
        <w:fldChar w:fldCharType="separate"/>
      </w:r>
      <w:bookmarkStart w:id="2509" w:name="_Toc28593403"/>
      <w:r w:rsidR="00235733">
        <w:rPr>
          <w:rFonts w:ascii="Times New Roman" w:hAnsi="Times New Roman" w:hint="eastAsia"/>
          <w:color w:val="000000"/>
          <w:lang w:val="en-US"/>
        </w:rPr>
        <w:t>（一）</w:t>
      </w:r>
      <w:r>
        <w:rPr>
          <w:rFonts w:ascii="Times New Roman" w:hAnsi="Times New Roman"/>
          <w:color w:val="000000"/>
        </w:rPr>
        <w:fldChar w:fldCharType="end"/>
      </w:r>
      <w:r w:rsidR="00235733">
        <w:rPr>
          <w:rFonts w:ascii="Times New Roman" w:hAnsi="Times New Roman" w:hint="eastAsia"/>
          <w:color w:val="000000"/>
        </w:rPr>
        <w:t>概述</w:t>
      </w:r>
      <w:bookmarkEnd w:id="2509"/>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外观设计专利侵权抗辩包括不侵权抗辩和免责抗辩。不侵权抗辩是指凭借抗辩事由否定相关行为构成侵权，从而免除侵权责任的承担。外观设计专利不侵权抗辩的事由主要包括如下几项</w:t>
      </w:r>
      <w:r>
        <w:rPr>
          <w:rFonts w:ascii="Times New Roman" w:eastAsia="宋体" w:hAnsi="Times New Roman"/>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1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1</w:t>
      </w:r>
      <w:r w:rsidR="00C22A7B">
        <w:rPr>
          <w:rFonts w:ascii="Times New Roman" w:eastAsia="宋体" w:hAnsi="Times New Roman"/>
          <w:sz w:val="21"/>
          <w:szCs w:val="21"/>
        </w:rPr>
        <w:fldChar w:fldCharType="end"/>
      </w:r>
      <w:r>
        <w:rPr>
          <w:rFonts w:ascii="Times New Roman" w:eastAsia="宋体" w:hAnsi="Times New Roman" w:hint="eastAsia"/>
          <w:sz w:val="21"/>
          <w:szCs w:val="21"/>
        </w:rPr>
        <w:t>）依据《专利法》第十一条第二款规定的侵权行为构成要件提出的抗辩，包括不以生产经营为目的的抗辩</w:t>
      </w:r>
      <w:r>
        <w:rPr>
          <w:rFonts w:ascii="Times New Roman" w:eastAsia="宋体" w:hAnsi="Times New Roman"/>
          <w:sz w:val="21"/>
          <w:szCs w:val="21"/>
        </w:rPr>
        <w:t>（</w:t>
      </w:r>
      <w:r>
        <w:rPr>
          <w:rFonts w:ascii="Times New Roman" w:eastAsia="宋体" w:hAnsi="Times New Roman" w:hint="eastAsia"/>
          <w:sz w:val="21"/>
          <w:szCs w:val="21"/>
        </w:rPr>
        <w:t>参见本章第三节第三部分“不以生产经营为目的”中相关内容</w:t>
      </w:r>
      <w:r>
        <w:rPr>
          <w:rFonts w:ascii="Times New Roman" w:eastAsia="宋体" w:hAnsi="Times New Roman"/>
          <w:sz w:val="21"/>
          <w:szCs w:val="21"/>
        </w:rPr>
        <w:t>）</w:t>
      </w:r>
      <w:r>
        <w:rPr>
          <w:rFonts w:ascii="Times New Roman" w:eastAsia="宋体" w:hAnsi="Times New Roman" w:hint="eastAsia"/>
          <w:sz w:val="21"/>
          <w:szCs w:val="21"/>
        </w:rPr>
        <w:t>以及经过许可的抗辩。需要注意，区别于发明和实用新型专利，外观设计专利的使用属于不侵权抗辩情形。</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2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2</w:t>
      </w:r>
      <w:r w:rsidR="00C22A7B">
        <w:rPr>
          <w:rFonts w:ascii="Times New Roman" w:eastAsia="宋体" w:hAnsi="Times New Roman"/>
          <w:sz w:val="21"/>
          <w:szCs w:val="21"/>
        </w:rPr>
        <w:fldChar w:fldCharType="end"/>
      </w:r>
      <w:r>
        <w:rPr>
          <w:rFonts w:ascii="Times New Roman" w:eastAsia="宋体" w:hAnsi="Times New Roman" w:hint="eastAsia"/>
          <w:sz w:val="21"/>
          <w:szCs w:val="21"/>
        </w:rPr>
        <w:t>）依据《专利法》第六十七条规定提出的现有设计抗辩。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3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3</w:t>
      </w:r>
      <w:r w:rsidR="00C22A7B">
        <w:rPr>
          <w:rFonts w:ascii="Times New Roman" w:eastAsia="宋体" w:hAnsi="Times New Roman"/>
          <w:sz w:val="21"/>
          <w:szCs w:val="21"/>
        </w:rPr>
        <w:fldChar w:fldCharType="end"/>
      </w:r>
      <w:r>
        <w:rPr>
          <w:rFonts w:ascii="Times New Roman" w:eastAsia="宋体" w:hAnsi="Times New Roman" w:hint="eastAsia"/>
          <w:sz w:val="21"/>
          <w:szCs w:val="21"/>
        </w:rPr>
        <w:t>）依据《专利法》第七十五条规定提出的不视为侵权抗辩，包括权利用尽抗辩、先用权抗辩、临时过境抗辩等情形。</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4 \* GB1</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lang w:val="en-US"/>
        </w:rPr>
        <w:t>4</w:t>
      </w:r>
      <w:r w:rsidR="00C22A7B">
        <w:rPr>
          <w:rFonts w:ascii="Times New Roman" w:eastAsia="宋体" w:hAnsi="Times New Roman"/>
          <w:sz w:val="21"/>
          <w:szCs w:val="21"/>
        </w:rPr>
        <w:fldChar w:fldCharType="end"/>
      </w:r>
      <w:r>
        <w:rPr>
          <w:rFonts w:ascii="Times New Roman" w:eastAsia="宋体" w:hAnsi="Times New Roman" w:hint="eastAsia"/>
          <w:sz w:val="21"/>
          <w:szCs w:val="21"/>
        </w:rPr>
        <w:t>）其他抗辩，包括专利权效力抗辩、诉讼时效抗辩等。其中，当被控侵权人以涉案专利不符合授权条件提出抗辩时，管理专利工作的部门应当行使释明权，告知被控侵权人向国家知识产权局提出无效宣告请求。</w:t>
      </w:r>
    </w:p>
    <w:p w:rsidR="00800760" w:rsidRDefault="00C22A7B">
      <w:pPr>
        <w:pStyle w:val="4"/>
        <w:spacing w:before="240"/>
        <w:rPr>
          <w:rFonts w:ascii="Times New Roman" w:hAnsi="Times New Roman"/>
          <w:color w:val="000000"/>
        </w:rPr>
      </w:pPr>
      <w:r>
        <w:rPr>
          <w:rFonts w:ascii="Times New Roman" w:hAnsi="Times New Roman"/>
          <w:color w:val="000000"/>
        </w:rPr>
        <w:fldChar w:fldCharType="begin"/>
      </w:r>
      <w:r w:rsidR="00235733">
        <w:rPr>
          <w:rFonts w:ascii="Times New Roman" w:hAnsi="Times New Roman"/>
          <w:color w:val="000000"/>
        </w:rPr>
        <w:instrText>= 2 \* GB4</w:instrText>
      </w:r>
      <w:r>
        <w:rPr>
          <w:rFonts w:ascii="Times New Roman" w:hAnsi="Times New Roman"/>
          <w:color w:val="000000"/>
        </w:rPr>
        <w:fldChar w:fldCharType="separate"/>
      </w:r>
      <w:bookmarkStart w:id="2510" w:name="_Toc28593404"/>
      <w:r w:rsidR="00235733">
        <w:rPr>
          <w:rFonts w:ascii="Times New Roman" w:hAnsi="Times New Roman" w:hint="eastAsia"/>
          <w:color w:val="000000"/>
          <w:lang w:val="en-US"/>
        </w:rPr>
        <w:t>（二）</w:t>
      </w:r>
      <w:r>
        <w:rPr>
          <w:rFonts w:ascii="Times New Roman" w:hAnsi="Times New Roman"/>
          <w:color w:val="000000"/>
        </w:rPr>
        <w:fldChar w:fldCharType="end"/>
      </w:r>
      <w:r w:rsidR="00235733">
        <w:rPr>
          <w:rFonts w:ascii="Times New Roman" w:hAnsi="Times New Roman" w:hint="eastAsia"/>
          <w:color w:val="000000"/>
        </w:rPr>
        <w:t>现有设计抗辩</w:t>
      </w:r>
      <w:bookmarkEnd w:id="251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《专利法》第六十七条规定</w:t>
      </w:r>
      <w:r>
        <w:rPr>
          <w:rFonts w:ascii="Times New Roman" w:eastAsia="宋体" w:hAnsi="Times New Roman"/>
          <w:sz w:val="21"/>
          <w:szCs w:val="21"/>
        </w:rPr>
        <w:t>：</w:t>
      </w:r>
      <w:r>
        <w:rPr>
          <w:rFonts w:ascii="Times New Roman" w:eastAsia="宋体" w:hAnsi="Times New Roman" w:hint="eastAsia"/>
          <w:sz w:val="21"/>
          <w:szCs w:val="21"/>
        </w:rPr>
        <w:t>“在专利侵权纠纷中，被控侵权人有证据证明其实施的技术或者设计属于现有技术或者现有设计的，不构成侵犯专利权。”所称“现有设计”，根据《专利法》第二十三条第四款的规定，是指申请日以前在国内外为公众所知的设计。</w:t>
      </w:r>
    </w:p>
    <w:p w:rsidR="00800760" w:rsidRDefault="00C22A7B">
      <w:pPr>
        <w:pStyle w:val="5"/>
        <w:spacing w:before="120"/>
        <w:rPr>
          <w:color w:val="000000"/>
        </w:rPr>
      </w:pPr>
      <w:r>
        <w:rPr>
          <w:color w:val="000000"/>
        </w:rPr>
        <w:fldChar w:fldCharType="begin"/>
      </w:r>
      <w:r w:rsidR="00235733">
        <w:rPr>
          <w:color w:val="000000"/>
        </w:rPr>
        <w:instrText>= 1 \* GB1</w:instrText>
      </w:r>
      <w:r>
        <w:rPr>
          <w:color w:val="000000"/>
        </w:rPr>
        <w:fldChar w:fldCharType="separate"/>
      </w:r>
      <w:bookmarkStart w:id="2511" w:name="_Toc28593405"/>
      <w:r w:rsidR="00235733">
        <w:rPr>
          <w:rFonts w:hint="eastAsia"/>
          <w:color w:val="000000"/>
        </w:rPr>
        <w:t xml:space="preserve">1. </w:t>
      </w:r>
      <w:r>
        <w:rPr>
          <w:color w:val="000000"/>
        </w:rPr>
        <w:fldChar w:fldCharType="end"/>
      </w:r>
      <w:r w:rsidR="00235733">
        <w:rPr>
          <w:rFonts w:hint="eastAsia"/>
          <w:color w:val="000000"/>
        </w:rPr>
        <w:t>现有设计的范围</w:t>
      </w:r>
      <w:bookmarkEnd w:id="2511"/>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现有设计是指在涉案专利申请日之前</w:t>
      </w:r>
      <w:r>
        <w:rPr>
          <w:rFonts w:ascii="Times New Roman" w:eastAsia="宋体" w:hAnsi="Times New Roman"/>
          <w:sz w:val="21"/>
          <w:szCs w:val="21"/>
        </w:rPr>
        <w:t>，</w:t>
      </w:r>
      <w:r>
        <w:rPr>
          <w:rFonts w:ascii="Times New Roman" w:eastAsia="宋体" w:hAnsi="Times New Roman" w:hint="eastAsia"/>
          <w:sz w:val="21"/>
          <w:szCs w:val="21"/>
        </w:rPr>
        <w:t>在国内外出版物上公开发表过或者使用过的外观设计。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被控侵权人以实施自己或者他人在先申请在后公开的中国外观设计专利为抗辩理由的</w:t>
      </w:r>
      <w:r>
        <w:rPr>
          <w:rFonts w:ascii="Times New Roman" w:eastAsia="宋体" w:hAnsi="Times New Roman"/>
          <w:sz w:val="21"/>
          <w:szCs w:val="21"/>
        </w:rPr>
        <w:t>，</w:t>
      </w:r>
      <w:r>
        <w:rPr>
          <w:rFonts w:ascii="Times New Roman" w:eastAsia="宋体" w:hAnsi="Times New Roman" w:hint="eastAsia"/>
          <w:sz w:val="21"/>
          <w:szCs w:val="21"/>
        </w:rPr>
        <w:t>不属于适用现有设计抗辩的情形。所称“在先申请在后公开的中国外观设计专利”，是指在涉案专利的申请日之前申请、在涉案专利的申请日后公开的中国外观设计专利。因其在涉案专利的申请日前尚未公开，不能构成涉案专利的现有设计，因此不能作为现有设计用于现有设计抗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如果涉案专利享有新颖性宽限期，则符合新颖性宽限期要求的现有设计不属于《专利法》第六十七条所述的现有设计。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涉案专利申请日之前具有保密性质的外观设计，包括基于法律法规</w:t>
      </w:r>
      <w:r>
        <w:rPr>
          <w:rFonts w:ascii="Times New Roman" w:eastAsia="宋体" w:hAnsi="Times New Roman"/>
          <w:sz w:val="21"/>
          <w:szCs w:val="21"/>
        </w:rPr>
        <w:t>（</w:t>
      </w:r>
      <w:r>
        <w:rPr>
          <w:rFonts w:ascii="Times New Roman" w:eastAsia="宋体" w:hAnsi="Times New Roman" w:hint="eastAsia"/>
          <w:sz w:val="21"/>
          <w:szCs w:val="21"/>
        </w:rPr>
        <w:t>例如保密协议</w:t>
      </w:r>
      <w:r>
        <w:rPr>
          <w:rFonts w:ascii="Times New Roman" w:eastAsia="宋体" w:hAnsi="Times New Roman"/>
          <w:sz w:val="21"/>
          <w:szCs w:val="21"/>
        </w:rPr>
        <w:t>）</w:t>
      </w:r>
      <w:r>
        <w:rPr>
          <w:rFonts w:ascii="Times New Roman" w:eastAsia="宋体" w:hAnsi="Times New Roman" w:hint="eastAsia"/>
          <w:sz w:val="21"/>
          <w:szCs w:val="21"/>
        </w:rPr>
        <w:t>、社会观念以及商业惯例形成的具有保密性质的外观设计不属于现有设计，除非有证据表明相关外观设计确实在涉案专利申请日之前公开。</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现有设计包括整体外观设计与局部外观设计。被控侵权的外观设计为局部外观设计时，其相对的现有设计同样为局部设计，而非整体外观设计。</w:t>
      </w:r>
    </w:p>
    <w:p w:rsidR="00800760" w:rsidRDefault="00C22A7B">
      <w:pPr>
        <w:pStyle w:val="5"/>
        <w:spacing w:before="120"/>
        <w:rPr>
          <w:color w:val="000000"/>
        </w:rPr>
      </w:pPr>
      <w:r>
        <w:rPr>
          <w:color w:val="000000"/>
        </w:rPr>
        <w:fldChar w:fldCharType="begin"/>
      </w:r>
      <w:r w:rsidR="00235733">
        <w:rPr>
          <w:color w:val="000000"/>
        </w:rPr>
        <w:instrText>= 2 \* GB1</w:instrText>
      </w:r>
      <w:r>
        <w:rPr>
          <w:color w:val="000000"/>
        </w:rPr>
        <w:fldChar w:fldCharType="separate"/>
      </w:r>
      <w:bookmarkStart w:id="2512" w:name="_Toc28593406"/>
      <w:r w:rsidR="00235733">
        <w:rPr>
          <w:rFonts w:hint="eastAsia"/>
          <w:color w:val="000000"/>
        </w:rPr>
        <w:t xml:space="preserve">2. </w:t>
      </w:r>
      <w:r>
        <w:rPr>
          <w:color w:val="000000"/>
        </w:rPr>
        <w:fldChar w:fldCharType="end"/>
      </w:r>
      <w:r w:rsidR="00235733">
        <w:rPr>
          <w:rFonts w:hint="eastAsia"/>
          <w:color w:val="000000"/>
        </w:rPr>
        <w:t>判断方式</w:t>
      </w:r>
      <w:bookmarkEnd w:id="2512"/>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被控侵权产品外观设计是否属于现有设计的判断方式参见本节第二部分之（四）下“</w:t>
      </w:r>
      <w:r>
        <w:rPr>
          <w:rFonts w:ascii="Times New Roman" w:eastAsia="宋体" w:hAnsi="Times New Roman" w:cs="Times New Roman"/>
          <w:sz w:val="21"/>
          <w:szCs w:val="21"/>
        </w:rPr>
        <w:t xml:space="preserve">1. </w:t>
      </w:r>
      <w:r>
        <w:rPr>
          <w:rFonts w:ascii="Times New Roman" w:eastAsia="宋体" w:hAnsi="Times New Roman" w:hint="eastAsia"/>
          <w:sz w:val="21"/>
          <w:szCs w:val="21"/>
        </w:rPr>
        <w:t>相同或近似的判断方式”中相关内容。</w:t>
      </w:r>
    </w:p>
    <w:p w:rsidR="00800760" w:rsidRDefault="00C22A7B">
      <w:pPr>
        <w:pStyle w:val="5"/>
        <w:spacing w:before="120"/>
        <w:rPr>
          <w:color w:val="000000"/>
        </w:rPr>
      </w:pPr>
      <w:r>
        <w:rPr>
          <w:color w:val="000000"/>
        </w:rPr>
        <w:fldChar w:fldCharType="begin"/>
      </w:r>
      <w:r w:rsidR="00235733">
        <w:rPr>
          <w:color w:val="000000"/>
        </w:rPr>
        <w:instrText>= 3 \* GB1</w:instrText>
      </w:r>
      <w:r>
        <w:rPr>
          <w:color w:val="000000"/>
        </w:rPr>
        <w:fldChar w:fldCharType="separate"/>
      </w:r>
      <w:bookmarkStart w:id="2513" w:name="_Toc28593407"/>
      <w:r w:rsidR="00235733">
        <w:rPr>
          <w:rFonts w:hint="eastAsia"/>
          <w:color w:val="000000"/>
        </w:rPr>
        <w:t xml:space="preserve">3. </w:t>
      </w:r>
      <w:r>
        <w:rPr>
          <w:color w:val="000000"/>
        </w:rPr>
        <w:fldChar w:fldCharType="end"/>
      </w:r>
      <w:r w:rsidR="00235733">
        <w:rPr>
          <w:rFonts w:hint="eastAsia"/>
          <w:color w:val="000000"/>
        </w:rPr>
        <w:t>判断基准</w:t>
      </w:r>
      <w:bookmarkEnd w:id="2513"/>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在适用现有设计抗辩时，应当仅将一项现有设计与被控侵权产品外观设计进行比较，不能将两项现有设计结合与被控侵权产品进行比较。</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设计产品种类与被控侵权产品种类相同或相近是判断被控侵权产品外观设计是否属于现有设计的前提。如果二者产品种类不相同且不相近，则可直接认定被控侵权产品外观设计不属于现有设计，现有设计抗辩不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认定产品种类是否相同或相近时，应当以产品的用途为依据：用途相同，则产品种类相同；用途相近，则产品种类相近。确定产品用途可以参照产品的名称、外观设计国际分类、外观设计专利的图片或照片、产品销售或实际使用状态下的情况以及外观设计专利的简要说明。</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在适用现有设计抗辩时，应当从一般消费者的角度，对被控侵权产品的外观设计与一项现有设计进行整体观察、综合判断。当二者相同</w:t>
      </w:r>
      <w:r>
        <w:rPr>
          <w:rFonts w:ascii="Times New Roman" w:eastAsia="宋体" w:hAnsi="Times New Roman"/>
          <w:sz w:val="21"/>
          <w:szCs w:val="21"/>
        </w:rPr>
        <w:t>（</w:t>
      </w:r>
      <w:r>
        <w:rPr>
          <w:rFonts w:ascii="Times New Roman" w:eastAsia="宋体" w:hAnsi="Times New Roman" w:hint="eastAsia"/>
          <w:sz w:val="21"/>
          <w:szCs w:val="21"/>
        </w:rPr>
        <w:t>无差异</w:t>
      </w:r>
      <w:r>
        <w:rPr>
          <w:rFonts w:ascii="Times New Roman" w:eastAsia="宋体" w:hAnsi="Times New Roman"/>
          <w:sz w:val="21"/>
          <w:szCs w:val="21"/>
        </w:rPr>
        <w:t>）</w:t>
      </w:r>
      <w:r>
        <w:rPr>
          <w:rFonts w:ascii="Times New Roman" w:eastAsia="宋体" w:hAnsi="Times New Roman" w:hint="eastAsia"/>
          <w:sz w:val="21"/>
          <w:szCs w:val="21"/>
        </w:rPr>
        <w:t>或者无实质性差异，即属于相同或实质相同的外观设计时，则认定被控侵权产品的外观设计属于现有设计，即现有设计抗辩成立。</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1</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现有设计公开内容的确定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应当依据图片或照片或者实物来确定现有设计公开的内容。图片或照片未反映产品各面视图的，应当依据一般消费者的认知能力来确定现有设计公开的信息。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依据一般消费者的认知能力，根据现有设计图片或照片已经公开的内容即可推定出产品其他部分或者其他变化状态的外观设计的，则该其他部分或者其他变化状态的外观设计也视为已经公开。例如，在轴对称、面对称或者中心对称的情况下，如果图片或照片仅公开了产品外观设计的一个对称面，则其余对称面也视为已经公开。</w:t>
      </w:r>
    </w:p>
    <w:p w:rsidR="00800760" w:rsidRDefault="00235733">
      <w:pPr>
        <w:pStyle w:val="af6"/>
        <w:spacing w:before="120"/>
        <w:ind w:firstLine="420"/>
        <w:rPr>
          <w:rFonts w:ascii="Times New Roman" w:hAnsi="Times New Roman"/>
        </w:rPr>
      </w:pPr>
      <w:bookmarkStart w:id="2514" w:name="_Toc9200"/>
      <w:bookmarkStart w:id="2515" w:name="_Toc29650"/>
      <w:bookmarkStart w:id="2516" w:name="_Toc11585"/>
      <w:bookmarkStart w:id="2517" w:name="_Toc14378"/>
      <w:bookmarkStart w:id="2518" w:name="_Toc26252"/>
      <w:bookmarkStart w:id="2519" w:name="_Toc5077"/>
      <w:bookmarkStart w:id="2520" w:name="_Toc23138"/>
      <w:bookmarkStart w:id="2521" w:name="_Toc30814"/>
      <w:bookmarkStart w:id="2522" w:name="_Toc4967"/>
      <w:bookmarkStart w:id="2523" w:name="_Toc23393"/>
      <w:bookmarkStart w:id="2524" w:name="_Toc19081"/>
      <w:bookmarkStart w:id="2525" w:name="_Toc17993"/>
      <w:bookmarkStart w:id="2526" w:name="_Toc30665"/>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w:t>
      </w:r>
      <w:r>
        <w:rPr>
          <w:rFonts w:ascii="Times New Roman" w:hAnsi="Times New Roman" w:hint="eastAsia"/>
        </w:rPr>
        <w:t>3</w:t>
      </w:r>
      <w:r>
        <w:rPr>
          <w:rFonts w:ascii="Times New Roman" w:hAnsi="Times New Roman" w:hint="eastAsia"/>
          <w:lang w:val="en-US"/>
        </w:rPr>
        <w:t>2</w:t>
      </w:r>
      <w:r>
        <w:rPr>
          <w:rFonts w:ascii="Times New Roman" w:hAnsi="Times New Roman" w:hint="eastAsia"/>
        </w:rPr>
        <w:t>】万用表</w:t>
      </w:r>
      <w:bookmarkEnd w:id="2514"/>
      <w:bookmarkEnd w:id="2515"/>
      <w:bookmarkEnd w:id="2516"/>
      <w:bookmarkEnd w:id="2517"/>
      <w:bookmarkEnd w:id="2518"/>
      <w:bookmarkEnd w:id="2519"/>
      <w:bookmarkEnd w:id="2520"/>
      <w:bookmarkEnd w:id="2521"/>
      <w:bookmarkEnd w:id="2522"/>
      <w:bookmarkEnd w:id="2523"/>
      <w:bookmarkEnd w:id="2524"/>
      <w:bookmarkEnd w:id="2525"/>
      <w:bookmarkEnd w:id="2526"/>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4305300" cy="1476375"/>
            <wp:effectExtent l="19050" t="0" r="0" b="0"/>
            <wp:docPr id="105" name="图片 41" descr="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1" descr="81-1"/>
                    <pic:cNvPicPr>
                      <a:picLocks noChangeAspect="1" noChangeArrowheads="1"/>
                    </pic:cNvPicPr>
                  </pic:nvPicPr>
                  <pic:blipFill>
                    <a:blip r:embed="rId66" cstate="print"/>
                    <a:srcRect/>
                    <a:stretch>
                      <a:fillRect/>
                    </a:stretch>
                  </pic:blipFill>
                  <pic:spPr>
                    <a:xfrm>
                      <a:off x="0" y="0"/>
                      <a:ext cx="4305300" cy="147637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被控侵权产品</w:t>
      </w:r>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953260" cy="1935480"/>
            <wp:effectExtent l="0" t="0" r="0" b="0"/>
            <wp:docPr id="106" name="图片 42" descr="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2" descr="81-2"/>
                    <pic:cNvPicPr>
                      <a:picLocks noChangeAspect="1" noChangeArrowheads="1"/>
                    </pic:cNvPicPr>
                  </pic:nvPicPr>
                  <pic:blipFill>
                    <a:blip r:embed="rId67" cstate="print"/>
                    <a:srcRect/>
                    <a:stretch>
                      <a:fillRect/>
                    </a:stretch>
                  </pic:blipFill>
                  <pic:spPr>
                    <a:xfrm>
                      <a:off x="0" y="0"/>
                      <a:ext cx="1963192" cy="1945181"/>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现有设计</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外观设计左右对称，现有设计立体图显示了正面、左侧面及底面的设计内容。该三面设计，被控侵权产品外观设计采用了现有设计。图中现有设计右侧面、顶面和背面没有显示。但是，根据被控侵权产品外观设计各面视图判断，由于其左右对称，故其右侧设计实质上亦采用的是现有设计，而其背面和上下侧面属于惯常的设计内容。在使用过程中，正面是一般消费者更关注的面，因此，可以确定被控侵权产品外观设计与现有设计无实质性差异。</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相反，如果立体图仅公开了背面，没有公开一般消费者关注的使用状态下的正面，则不能据此确认现有设计公开的内容。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依据文字内容确定现有设计时，应当以由文字内容能够唯一确定的外观设计为准。不能由文字内容唯一确定的外观设计不能作为现有设计评价现有设计抗辩成立与否。</w:t>
      </w:r>
    </w:p>
    <w:p w:rsidR="00800760" w:rsidRDefault="00235733">
      <w:pPr>
        <w:pStyle w:val="af6"/>
        <w:spacing w:before="120"/>
        <w:ind w:firstLine="420"/>
        <w:rPr>
          <w:rFonts w:ascii="Times New Roman" w:hAnsi="Times New Roman"/>
        </w:rPr>
      </w:pPr>
      <w:bookmarkStart w:id="2527" w:name="_Toc17193"/>
      <w:bookmarkStart w:id="2528" w:name="_Toc27976"/>
      <w:bookmarkStart w:id="2529" w:name="_Toc23311"/>
      <w:bookmarkStart w:id="2530" w:name="_Toc11633"/>
      <w:bookmarkStart w:id="2531" w:name="_Toc16714"/>
      <w:bookmarkStart w:id="2532" w:name="_Toc26049"/>
      <w:bookmarkStart w:id="2533" w:name="_Toc16842"/>
      <w:bookmarkStart w:id="2534" w:name="_Toc15593"/>
      <w:bookmarkStart w:id="2535" w:name="_Toc854"/>
      <w:bookmarkStart w:id="2536" w:name="_Toc15135"/>
      <w:bookmarkStart w:id="2537" w:name="_Toc17938"/>
      <w:bookmarkStart w:id="2538" w:name="_Toc31382"/>
      <w:bookmarkStart w:id="2539" w:name="_Toc21433"/>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-3</w:t>
      </w:r>
      <w:r>
        <w:rPr>
          <w:rFonts w:ascii="Times New Roman" w:hAnsi="Times New Roman" w:hint="eastAsia"/>
          <w:lang w:val="en-US"/>
        </w:rPr>
        <w:t>3</w:t>
      </w:r>
      <w:r>
        <w:rPr>
          <w:rFonts w:ascii="Times New Roman" w:hAnsi="Times New Roman" w:hint="eastAsia"/>
        </w:rPr>
        <w:t>】无叶电风扇</w:t>
      </w:r>
      <w:bookmarkEnd w:id="2527"/>
      <w:bookmarkEnd w:id="2528"/>
      <w:bookmarkEnd w:id="2529"/>
      <w:bookmarkEnd w:id="2530"/>
      <w:bookmarkEnd w:id="2531"/>
      <w:bookmarkEnd w:id="2532"/>
      <w:bookmarkEnd w:id="2533"/>
      <w:bookmarkEnd w:id="2534"/>
      <w:bookmarkEnd w:id="2535"/>
      <w:bookmarkEnd w:id="2536"/>
      <w:bookmarkEnd w:id="2537"/>
      <w:bookmarkEnd w:id="2538"/>
      <w:bookmarkEnd w:id="2539"/>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4029075" cy="2371725"/>
            <wp:effectExtent l="19050" t="0" r="9525" b="0"/>
            <wp:docPr id="107" name="图片 43" descr="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43" descr="82"/>
                    <pic:cNvPicPr>
                      <a:picLocks noChangeAspect="1" noChangeArrowheads="1"/>
                    </pic:cNvPicPr>
                  </pic:nvPicPr>
                  <pic:blipFill>
                    <a:blip r:embed="rId68" cstate="print"/>
                    <a:srcRect/>
                    <a:stretch>
                      <a:fillRect/>
                    </a:stretch>
                  </pic:blipFill>
                  <pic:spPr>
                    <a:xfrm>
                      <a:off x="0" y="0"/>
                      <a:ext cx="4029075" cy="237172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被控侵权产品</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披露现有设计的是一份发明专利说明书，其中，说明书附图１所示的是正圆形的出风口，但说明书又描述“可以想象其他形状的出风口。例如，可以使用椭圆形或‘赛道’形、单条或单线，或块状的出风口”。这里尽管披露了椭圆形出风口的设计特征，但附图中未示出具体的出风口椭圆形状。仅根据文字表述，椭圆形由于长短轴比例不同可以存在多种设计形状，不能唯一确定其具体的出风口形状，因此，不能认定被控侵权产品采用的是现有设计。</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如果现有设计图片或照片未公开的部位属于该种类产品使用状态下不会被一般消费者关注的部位，并且被控侵权产品在相应部位的设计变化也不足以对产品的整体视觉效果产生影响，则未公开的部位不影响对现有设计抗辩是否成立的评价。例如电冰箱，如果图片或照片没有公开冰箱的底面和背面，被控侵权产品在底面和背面的设计变化不足以对产品外观设计产生影响，则底面和背面未被公开的事实不影响对二者进行整体观察、综合判断。</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2</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属于现有设计的判断</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被控侵权产品外观设计属于现有设计是指被控侵权产品外观设计与现有设计相同或者无实质性差异</w:t>
      </w:r>
      <w:r>
        <w:rPr>
          <w:rFonts w:ascii="Times New Roman" w:eastAsia="宋体" w:hAnsi="Times New Roman"/>
          <w:sz w:val="21"/>
          <w:szCs w:val="21"/>
        </w:rPr>
        <w:t>，</w:t>
      </w:r>
      <w:r>
        <w:rPr>
          <w:rFonts w:ascii="Times New Roman" w:eastAsia="宋体" w:hAnsi="Times New Roman" w:hint="eastAsia"/>
          <w:sz w:val="21"/>
          <w:szCs w:val="21"/>
        </w:rPr>
        <w:t>即属于相同或实质相同的外观设计。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被控侵权产品外观设计与现有设计相同是指两项外观设计产品种类完全相同，并且落入涉案专利保护范围的被控侵权产品的全部设计要素</w:t>
      </w:r>
      <w:r>
        <w:rPr>
          <w:rFonts w:ascii="Times New Roman" w:eastAsia="宋体" w:hAnsi="Times New Roman"/>
          <w:sz w:val="21"/>
          <w:szCs w:val="21"/>
        </w:rPr>
        <w:t>（</w:t>
      </w:r>
      <w:r>
        <w:rPr>
          <w:rFonts w:ascii="Times New Roman" w:eastAsia="宋体" w:hAnsi="Times New Roman" w:hint="eastAsia"/>
          <w:sz w:val="21"/>
          <w:szCs w:val="21"/>
        </w:rPr>
        <w:t>形状、图案以及色彩</w:t>
      </w:r>
      <w:r>
        <w:rPr>
          <w:rFonts w:ascii="Times New Roman" w:eastAsia="宋体" w:hAnsi="Times New Roman"/>
          <w:sz w:val="21"/>
          <w:szCs w:val="21"/>
        </w:rPr>
        <w:t>）</w:t>
      </w:r>
      <w:r>
        <w:rPr>
          <w:rFonts w:ascii="Times New Roman" w:eastAsia="宋体" w:hAnsi="Times New Roman" w:hint="eastAsia"/>
          <w:sz w:val="21"/>
          <w:szCs w:val="21"/>
        </w:rPr>
        <w:t>与现有设计的相应设计要素相同。</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如果两项外观设计仅属于常用材料的替换，或者仅存在产品功能、内部结构、技术性能或者尺寸的不同，而未导致产品外观设计的变化，那么二者仍属于相同的外观设计。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当产品种类相同或者相近的两项外观设计之间的区别点仅属于以下几种情形时，认为两外观设计无实质性差异。</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施以一般注意力不能察觉到的局部细微差异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如果被控侵权产品的外观设计与现有设计的区别仅在于一般消费者施以一般注意力不能察觉到的局部细微差异，则二者无实质性差异。</w:t>
      </w:r>
    </w:p>
    <w:p w:rsidR="00800760" w:rsidRDefault="00235733">
      <w:pPr>
        <w:pStyle w:val="af6"/>
        <w:spacing w:before="120"/>
        <w:ind w:firstLine="420"/>
        <w:rPr>
          <w:rFonts w:ascii="Times New Roman" w:hAnsi="Times New Roman"/>
        </w:rPr>
      </w:pPr>
      <w:bookmarkStart w:id="2540" w:name="_Toc28779"/>
      <w:bookmarkStart w:id="2541" w:name="_Toc14608"/>
      <w:bookmarkStart w:id="2542" w:name="_Toc14160"/>
      <w:bookmarkStart w:id="2543" w:name="_Toc29382"/>
      <w:bookmarkStart w:id="2544" w:name="_Toc30353"/>
      <w:bookmarkStart w:id="2545" w:name="_Toc23259"/>
      <w:bookmarkStart w:id="2546" w:name="_Toc1081"/>
      <w:bookmarkStart w:id="2547" w:name="_Toc12541"/>
      <w:bookmarkStart w:id="2548" w:name="_Toc28223"/>
      <w:bookmarkStart w:id="2549" w:name="_Toc1987"/>
      <w:bookmarkStart w:id="2550" w:name="_Toc31824"/>
      <w:bookmarkStart w:id="2551" w:name="_Toc26627"/>
      <w:bookmarkStart w:id="2552" w:name="_Toc7953"/>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-3</w:t>
      </w:r>
      <w:r>
        <w:rPr>
          <w:rFonts w:ascii="Times New Roman" w:hAnsi="Times New Roman" w:hint="eastAsia"/>
          <w:lang w:val="en-US"/>
        </w:rPr>
        <w:t>4</w:t>
      </w:r>
      <w:r>
        <w:rPr>
          <w:rFonts w:ascii="Times New Roman" w:hAnsi="Times New Roman" w:hint="eastAsia"/>
        </w:rPr>
        <w:t>】烧烤炉侧台</w:t>
      </w:r>
      <w:bookmarkEnd w:id="2540"/>
      <w:bookmarkEnd w:id="2541"/>
      <w:bookmarkEnd w:id="2542"/>
      <w:bookmarkEnd w:id="2543"/>
      <w:bookmarkEnd w:id="2544"/>
      <w:bookmarkEnd w:id="2545"/>
      <w:bookmarkEnd w:id="2546"/>
      <w:bookmarkEnd w:id="2547"/>
      <w:bookmarkEnd w:id="2548"/>
      <w:bookmarkEnd w:id="2549"/>
      <w:bookmarkEnd w:id="2550"/>
      <w:bookmarkEnd w:id="2551"/>
      <w:bookmarkEnd w:id="2552"/>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4562475" cy="1038225"/>
            <wp:effectExtent l="19050" t="0" r="9525" b="0"/>
            <wp:docPr id="108" name="图片 44" descr="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44" descr="83-1"/>
                    <pic:cNvPicPr>
                      <a:picLocks noChangeAspect="1" noChangeArrowheads="1"/>
                    </pic:cNvPicPr>
                  </pic:nvPicPr>
                  <pic:blipFill>
                    <a:blip r:embed="rId69" cstate="print"/>
                    <a:srcRect/>
                    <a:stretch>
                      <a:fillRect/>
                    </a:stretch>
                  </pic:blipFill>
                  <pic:spPr>
                    <a:xfrm>
                      <a:off x="0" y="0"/>
                      <a:ext cx="4562475" cy="103822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被控侵权产品</w:t>
      </w:r>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2533650" cy="1914525"/>
            <wp:effectExtent l="19050" t="0" r="0" b="0"/>
            <wp:docPr id="109" name="图片 45" descr="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45" descr="83-2"/>
                    <pic:cNvPicPr>
                      <a:picLocks noChangeAspect="1" noChangeArrowheads="1"/>
                    </pic:cNvPicPr>
                  </pic:nvPicPr>
                  <pic:blipFill>
                    <a:blip r:embed="rId70" cstate="print"/>
                    <a:srcRect/>
                    <a:stretch>
                      <a:fillRect/>
                    </a:stretch>
                  </pic:blipFill>
                  <pic:spPr>
                    <a:xfrm>
                      <a:off x="0" y="0"/>
                      <a:ext cx="2533650" cy="191452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现有设计</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外观设计与现有设计相同点主要在于：所示侧台整体均为近似梯形板设计，二者顶边凹口、卷曲边、端角缺口、支架、圆孔等设计基本相同，表面均有细长棱条。二者不同之处主要在于：表面棱条不同，被控侵权产品外侧的两条棱条较短，现有设计相对较长；圆孔内托板位置不同，被控侵权产品位于靠底边一侧，现有设计位于底边相对侧；被控侵权产品立体图显示透过圆孔可见较宽凸台，现有设计未见相应设计。</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关于棱条不同，由于二者在侧台表面分布的棱条粗细、方向、密度及绝大多数棱条的长度均基本相同，仅最外侧两条棱条的长度有所不同，一般消费者施以一般注意力对其进行整体观察，上述局部的差异极其细微，容易被忽略；关于托板设计，二者形状相同，仅在相对位置上存在差异，但均位于圆孔下方，作为放置杯子的支撑板，在使用状态下被杯子遮挡而不能观察到；对于被控侵权产品圆孔中的较宽凸台，作为与炉体相结合的支撑结构，在使用状态下同样为不易见部位。因此，在仅存在上述差异的情况下，由于被控侵权产品外观设计与现有设计所示侧台整体形状及顶边凹口、卷曲边、端角缺口、支架、圆孔等各部分设计基本相同，形成了基本相同的视觉印象，二者属于无实质性差异的外观设计。</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使用时不容易看到或者看不到的部位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如果被控侵权产品的外观设计与现有设计的区别仅在于使用时不容易看到或者看不到的部位</w:t>
      </w:r>
      <w:r>
        <w:rPr>
          <w:rFonts w:ascii="Times New Roman" w:eastAsia="宋体" w:hAnsi="Times New Roman"/>
          <w:sz w:val="21"/>
          <w:szCs w:val="21"/>
        </w:rPr>
        <w:t>，</w:t>
      </w:r>
      <w:r>
        <w:rPr>
          <w:rFonts w:ascii="Times New Roman" w:eastAsia="宋体" w:hAnsi="Times New Roman" w:hint="eastAsia"/>
          <w:sz w:val="21"/>
          <w:szCs w:val="21"/>
        </w:rPr>
        <w:t>则二者无实质性差异。但有证据表明在不容易看到部位的特定设计对于一般消费者能够产生引人瞩目的视觉效果的情况除外。</w:t>
      </w:r>
    </w:p>
    <w:p w:rsidR="00800760" w:rsidRDefault="00235733">
      <w:pPr>
        <w:pStyle w:val="af6"/>
        <w:spacing w:before="120"/>
        <w:ind w:firstLine="420"/>
        <w:rPr>
          <w:rFonts w:ascii="Times New Roman" w:hAnsi="Times New Roman"/>
        </w:rPr>
      </w:pPr>
      <w:bookmarkStart w:id="2553" w:name="_Toc18357"/>
      <w:bookmarkStart w:id="2554" w:name="_Toc26538"/>
      <w:bookmarkStart w:id="2555" w:name="_Toc8198"/>
      <w:bookmarkStart w:id="2556" w:name="_Toc21215"/>
      <w:bookmarkStart w:id="2557" w:name="_Toc9856"/>
      <w:bookmarkStart w:id="2558" w:name="_Toc15953"/>
      <w:bookmarkStart w:id="2559" w:name="_Toc31175"/>
      <w:bookmarkStart w:id="2560" w:name="_Toc8144"/>
      <w:bookmarkStart w:id="2561" w:name="_Toc17315"/>
      <w:bookmarkStart w:id="2562" w:name="_Toc16251"/>
      <w:bookmarkStart w:id="2563" w:name="_Toc32480"/>
      <w:bookmarkStart w:id="2564" w:name="_Toc22318"/>
      <w:bookmarkStart w:id="2565" w:name="_Toc24187"/>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-3</w:t>
      </w:r>
      <w:r>
        <w:rPr>
          <w:rFonts w:ascii="Times New Roman" w:hAnsi="Times New Roman" w:hint="eastAsia"/>
          <w:lang w:val="en-US"/>
        </w:rPr>
        <w:t>5</w:t>
      </w:r>
      <w:r>
        <w:rPr>
          <w:rFonts w:ascii="Times New Roman" w:hAnsi="Times New Roman" w:hint="eastAsia"/>
        </w:rPr>
        <w:t>】消毒柜</w:t>
      </w:r>
      <w:bookmarkEnd w:id="2553"/>
      <w:bookmarkEnd w:id="2554"/>
      <w:bookmarkEnd w:id="2555"/>
      <w:bookmarkEnd w:id="2556"/>
      <w:bookmarkEnd w:id="2557"/>
      <w:bookmarkEnd w:id="2558"/>
      <w:bookmarkEnd w:id="2559"/>
      <w:bookmarkEnd w:id="2560"/>
      <w:bookmarkEnd w:id="2561"/>
      <w:bookmarkEnd w:id="2562"/>
      <w:bookmarkEnd w:id="2563"/>
      <w:bookmarkEnd w:id="2564"/>
      <w:bookmarkEnd w:id="2565"/>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143000" cy="1390650"/>
            <wp:effectExtent l="19050" t="0" r="0" b="0"/>
            <wp:docPr id="110" name="图片 46" descr="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6" descr="84-1"/>
                    <pic:cNvPicPr>
                      <a:picLocks noChangeAspect="1" noChangeArrowheads="1"/>
                    </pic:cNvPicPr>
                  </pic:nvPicPr>
                  <pic:blipFill>
                    <a:blip r:embed="rId71" cstate="print"/>
                    <a:srcRect r="47516" b="50430"/>
                    <a:stretch>
                      <a:fillRect/>
                    </a:stretch>
                  </pic:blipFill>
                  <pic:spPr>
                    <a:xfrm>
                      <a:off x="0" y="0"/>
                      <a:ext cx="1143000" cy="1390650"/>
                    </a:xfrm>
                    <a:prstGeom prst="rect">
                      <a:avLst/>
                    </a:prstGeom>
                    <a:noFill/>
                    <a:ln w="9525">
                      <a:noFill/>
                      <a:miter lim="800000"/>
                      <a:headEnd/>
                      <a:tailEnd/>
                    </a:ln>
                  </pic:spPr>
                </pic:pic>
              </a:graphicData>
            </a:graphic>
          </wp:inline>
        </w:drawing>
      </w:r>
      <w:r>
        <w:rPr>
          <w:rFonts w:ascii="Times New Roman" w:eastAsia="黑体" w:hAnsi="Times New Roman"/>
          <w:noProof/>
          <w:sz w:val="18"/>
          <w:szCs w:val="18"/>
          <w:lang w:val="en-US"/>
        </w:rPr>
        <w:drawing>
          <wp:inline distT="0" distB="0" distL="0" distR="0">
            <wp:extent cx="2171700" cy="1371600"/>
            <wp:effectExtent l="19050" t="0" r="0" b="0"/>
            <wp:docPr id="111" name="图片 47" descr="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47" descr="84-1"/>
                    <pic:cNvPicPr>
                      <a:picLocks noChangeAspect="1" noChangeArrowheads="1"/>
                    </pic:cNvPicPr>
                  </pic:nvPicPr>
                  <pic:blipFill>
                    <a:blip r:embed="rId71" cstate="print"/>
                    <a:srcRect t="50861"/>
                    <a:stretch>
                      <a:fillRect/>
                    </a:stretch>
                  </pic:blipFill>
                  <pic:spPr>
                    <a:xfrm>
                      <a:off x="0" y="0"/>
                      <a:ext cx="2171700" cy="1371600"/>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被控侵权产品</w:t>
      </w:r>
    </w:p>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343025" cy="1333500"/>
            <wp:effectExtent l="0" t="0" r="0" b="0"/>
            <wp:docPr id="112" name="图片 48" descr="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8" descr="84-2"/>
                    <pic:cNvPicPr>
                      <a:picLocks noChangeAspect="1" noChangeArrowheads="1"/>
                    </pic:cNvPicPr>
                  </pic:nvPicPr>
                  <pic:blipFill>
                    <a:blip r:embed="rId72" cstate="print"/>
                    <a:srcRect r="39636" b="50671"/>
                    <a:stretch>
                      <a:fillRect/>
                    </a:stretch>
                  </pic:blipFill>
                  <pic:spPr>
                    <a:xfrm>
                      <a:off x="0" y="0"/>
                      <a:ext cx="1343025" cy="1333500"/>
                    </a:xfrm>
                    <a:prstGeom prst="rect">
                      <a:avLst/>
                    </a:prstGeom>
                    <a:noFill/>
                    <a:ln w="9525">
                      <a:noFill/>
                      <a:miter lim="800000"/>
                      <a:headEnd/>
                      <a:tailEnd/>
                    </a:ln>
                  </pic:spPr>
                </pic:pic>
              </a:graphicData>
            </a:graphic>
          </wp:inline>
        </w:drawing>
      </w:r>
      <w:r>
        <w:rPr>
          <w:rFonts w:ascii="Times New Roman" w:eastAsia="黑体" w:hAnsi="Times New Roman"/>
          <w:noProof/>
          <w:sz w:val="18"/>
          <w:szCs w:val="18"/>
          <w:lang w:val="en-US"/>
        </w:rPr>
        <w:drawing>
          <wp:inline distT="0" distB="0" distL="0" distR="0">
            <wp:extent cx="2219325" cy="1381125"/>
            <wp:effectExtent l="0" t="0" r="9525" b="0"/>
            <wp:docPr id="113" name="图片 49" descr="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49" descr="84-2"/>
                    <pic:cNvPicPr>
                      <a:picLocks noChangeAspect="1" noChangeArrowheads="1"/>
                    </pic:cNvPicPr>
                  </pic:nvPicPr>
                  <pic:blipFill>
                    <a:blip r:embed="rId72" cstate="print"/>
                    <a:srcRect t="48904"/>
                    <a:stretch>
                      <a:fillRect/>
                    </a:stretch>
                  </pic:blipFill>
                  <pic:spPr>
                    <a:xfrm>
                      <a:off x="0" y="0"/>
                      <a:ext cx="2219325" cy="1381125"/>
                    </a:xfrm>
                    <a:prstGeom prst="rect">
                      <a:avLst/>
                    </a:prstGeom>
                    <a:noFill/>
                    <a:ln w="9525">
                      <a:noFill/>
                      <a:miter lim="800000"/>
                      <a:headEnd/>
                      <a:tailEnd/>
                    </a:ln>
                  </pic:spPr>
                </pic:pic>
              </a:graphicData>
            </a:graphic>
          </wp:inline>
        </w:drawing>
      </w:r>
    </w:p>
    <w:p w:rsidR="00800760" w:rsidRDefault="00235733">
      <w:pPr>
        <w:ind w:firstLine="360"/>
        <w:jc w:val="center"/>
        <w:rPr>
          <w:rFonts w:eastAsia="黑体"/>
          <w:sz w:val="18"/>
          <w:szCs w:val="18"/>
        </w:rPr>
      </w:pPr>
      <w:r>
        <w:rPr>
          <w:rFonts w:eastAsia="黑体" w:hint="eastAsia"/>
          <w:sz w:val="18"/>
          <w:szCs w:val="18"/>
        </w:rPr>
        <w:t>现有设计</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与现有设计正面整体形状、门的分割比例、把手的设计均相同。二者的区别是：后部压缩机的散热孔、底部四个支脚、电源插孔以及正面的铭牌。由于在最终使用过程中，冰箱的背面和顶面不易见，底面不可见，通常，相应面设计的差别不会给一般消费者留有视觉印象，铭牌处于易见的正面，侧面右下角的电源插孔这两个区别均属于一般消费者不会关注的细微差别。被控侵权产品与现有设计给一般消费者无实质性差别的视觉印象，因此，属于无实质性差异的外观设计。</w:t>
      </w:r>
    </w:p>
    <w:p w:rsidR="00800760" w:rsidRDefault="00C22A7B">
      <w:pPr>
        <w:pStyle w:val="12"/>
        <w:keepNext/>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将某一设计要素整体置换为该类产品的惯常设计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如果被控侵权产品的外观设计与现有设计的区别仅在于将某一设计要素整体置换为该类产品的惯常设计的相应设计要素，例如，将带有图案和色彩的饼干桶的形状由正方体置换为长方体，则二者无实质性差异。</w:t>
      </w:r>
    </w:p>
    <w:p w:rsidR="00800760" w:rsidRDefault="00235733">
      <w:pPr>
        <w:pStyle w:val="af6"/>
        <w:spacing w:before="120"/>
        <w:ind w:firstLine="420"/>
        <w:rPr>
          <w:rFonts w:ascii="Times New Roman" w:hAnsi="Times New Roman"/>
        </w:rPr>
      </w:pPr>
      <w:bookmarkStart w:id="2566" w:name="_Toc15917"/>
      <w:bookmarkStart w:id="2567" w:name="_Toc8054"/>
      <w:bookmarkStart w:id="2568" w:name="_Toc32431"/>
      <w:bookmarkStart w:id="2569" w:name="_Toc4269"/>
      <w:bookmarkStart w:id="2570" w:name="_Toc3744"/>
      <w:bookmarkStart w:id="2571" w:name="_Toc17569"/>
      <w:bookmarkStart w:id="2572" w:name="_Toc23347"/>
      <w:bookmarkStart w:id="2573" w:name="_Toc25194"/>
      <w:bookmarkStart w:id="2574" w:name="_Toc10065"/>
      <w:bookmarkStart w:id="2575" w:name="_Toc21786"/>
      <w:bookmarkStart w:id="2576" w:name="_Toc22069"/>
      <w:bookmarkStart w:id="2577" w:name="_Toc4045"/>
      <w:bookmarkStart w:id="2578" w:name="_Toc28364"/>
      <w:bookmarkStart w:id="2579" w:name="_Toc31112"/>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-3</w:t>
      </w:r>
      <w:r>
        <w:rPr>
          <w:rFonts w:ascii="Times New Roman" w:hAnsi="Times New Roman" w:hint="eastAsia"/>
          <w:lang w:val="en-US"/>
        </w:rPr>
        <w:t>6</w:t>
      </w:r>
      <w:r>
        <w:rPr>
          <w:rFonts w:ascii="Times New Roman" w:hAnsi="Times New Roman" w:hint="eastAsia"/>
        </w:rPr>
        <w:t>】包装盒</w:t>
      </w:r>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p>
    <w:tbl>
      <w:tblPr>
        <w:tblW w:w="0" w:type="auto"/>
        <w:jc w:val="center"/>
        <w:tblLook w:val="04A0"/>
      </w:tblPr>
      <w:tblGrid>
        <w:gridCol w:w="3387"/>
        <w:gridCol w:w="3616"/>
      </w:tblGrid>
      <w:tr w:rsidR="00800760">
        <w:trPr>
          <w:jc w:val="center"/>
        </w:trPr>
        <w:tc>
          <w:tcPr>
            <w:tcW w:w="3387" w:type="dxa"/>
            <w:vAlign w:val="center"/>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496060" cy="1400810"/>
                  <wp:effectExtent l="0" t="0" r="0" b="0"/>
                  <wp:docPr id="114" name="图片 50" descr="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50" descr="84-3"/>
                          <pic:cNvPicPr>
                            <a:picLocks noChangeAspect="1" noChangeArrowheads="1"/>
                          </pic:cNvPicPr>
                        </pic:nvPicPr>
                        <pic:blipFill>
                          <a:blip r:embed="rId73" cstate="print"/>
                          <a:srcRect/>
                          <a:stretch>
                            <a:fillRect/>
                          </a:stretch>
                        </pic:blipFill>
                        <pic:spPr>
                          <a:xfrm>
                            <a:off x="0" y="0"/>
                            <a:ext cx="1504536" cy="1408871"/>
                          </a:xfrm>
                          <a:prstGeom prst="rect">
                            <a:avLst/>
                          </a:prstGeom>
                          <a:noFill/>
                          <a:ln w="9525">
                            <a:noFill/>
                            <a:miter lim="800000"/>
                            <a:headEnd/>
                            <a:tailEnd/>
                          </a:ln>
                        </pic:spPr>
                      </pic:pic>
                    </a:graphicData>
                  </a:graphic>
                </wp:inline>
              </w:drawing>
            </w:r>
          </w:p>
        </w:tc>
        <w:tc>
          <w:tcPr>
            <w:tcW w:w="3616" w:type="dxa"/>
            <w:vAlign w:val="center"/>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709420" cy="1447165"/>
                  <wp:effectExtent l="0" t="0" r="0" b="0"/>
                  <wp:docPr id="115" name="图片 51" descr="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1" descr="84-4"/>
                          <pic:cNvPicPr>
                            <a:picLocks noChangeAspect="1" noChangeArrowheads="1"/>
                          </pic:cNvPicPr>
                        </pic:nvPicPr>
                        <pic:blipFill>
                          <a:blip r:embed="rId74" cstate="print"/>
                          <a:srcRect/>
                          <a:stretch>
                            <a:fillRect/>
                          </a:stretch>
                        </pic:blipFill>
                        <pic:spPr>
                          <a:xfrm>
                            <a:off x="0" y="0"/>
                            <a:ext cx="1716771" cy="1453351"/>
                          </a:xfrm>
                          <a:prstGeom prst="rect">
                            <a:avLst/>
                          </a:prstGeom>
                          <a:noFill/>
                          <a:ln w="9525">
                            <a:noFill/>
                            <a:miter lim="800000"/>
                            <a:headEnd/>
                            <a:tailEnd/>
                          </a:ln>
                        </pic:spPr>
                      </pic:pic>
                    </a:graphicData>
                  </a:graphic>
                </wp:inline>
              </w:drawing>
            </w:r>
          </w:p>
        </w:tc>
      </w:tr>
      <w:tr w:rsidR="00800760">
        <w:trPr>
          <w:jc w:val="center"/>
        </w:trPr>
        <w:tc>
          <w:tcPr>
            <w:tcW w:w="3387" w:type="dxa"/>
          </w:tcPr>
          <w:p w:rsidR="00800760" w:rsidRDefault="00235733">
            <w:pPr>
              <w:pStyle w:val="12"/>
              <w:topLinePunct/>
              <w:spacing w:line="30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现有设计</w:t>
            </w:r>
          </w:p>
        </w:tc>
        <w:tc>
          <w:tcPr>
            <w:tcW w:w="3616" w:type="dxa"/>
          </w:tcPr>
          <w:p w:rsidR="00800760" w:rsidRDefault="00235733">
            <w:pPr>
              <w:pStyle w:val="12"/>
              <w:topLinePunct/>
              <w:spacing w:line="300"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外观设计和现有设计均为包装盒，二者图案基本相同，仔细观察会发现局部标志及小文字有所差别。二者明显的不同点在于形状：现有设计形状为扁圆柱形，被控侵权产品外观设计为扁立方体形。被控侵权产品仅将现有设计的图案表现在该类产品惯常使用的扁立方体形状上，二者应属于无实质性差异的外观设计。</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设计单元按常规排列方式作重复排列或单纯的数量增减</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如果被控侵权产品的外观设计与现有设计的区别仅在于将现有设计作为设计单元按照该种类产品的常规排列方式作重复排列</w:t>
      </w:r>
      <w:r>
        <w:rPr>
          <w:rFonts w:ascii="Times New Roman" w:eastAsia="宋体" w:hAnsi="Times New Roman"/>
          <w:sz w:val="21"/>
          <w:szCs w:val="21"/>
        </w:rPr>
        <w:t>，</w:t>
      </w:r>
      <w:r>
        <w:rPr>
          <w:rFonts w:ascii="Times New Roman" w:eastAsia="宋体" w:hAnsi="Times New Roman" w:hint="eastAsia"/>
          <w:sz w:val="21"/>
          <w:szCs w:val="21"/>
        </w:rPr>
        <w:t>或者将其排列的数量作增减变化</w:t>
      </w:r>
      <w:r>
        <w:rPr>
          <w:rFonts w:ascii="Times New Roman" w:eastAsia="宋体" w:hAnsi="Times New Roman"/>
          <w:sz w:val="21"/>
          <w:szCs w:val="21"/>
        </w:rPr>
        <w:t>，</w:t>
      </w:r>
      <w:r>
        <w:rPr>
          <w:rFonts w:ascii="Times New Roman" w:eastAsia="宋体" w:hAnsi="Times New Roman" w:hint="eastAsia"/>
          <w:sz w:val="21"/>
          <w:szCs w:val="21"/>
        </w:rPr>
        <w:t>例如</w:t>
      </w:r>
      <w:r>
        <w:rPr>
          <w:rFonts w:ascii="Times New Roman" w:eastAsia="宋体" w:hAnsi="Times New Roman"/>
          <w:sz w:val="21"/>
          <w:szCs w:val="21"/>
        </w:rPr>
        <w:t>，</w:t>
      </w:r>
      <w:r>
        <w:rPr>
          <w:rFonts w:ascii="Times New Roman" w:eastAsia="宋体" w:hAnsi="Times New Roman" w:hint="eastAsia"/>
          <w:sz w:val="21"/>
          <w:szCs w:val="21"/>
        </w:rPr>
        <w:t>将影院座椅成排重复排列或者将成排座椅的数量作单纯增减变化</w:t>
      </w:r>
      <w:r>
        <w:rPr>
          <w:rFonts w:ascii="Times New Roman" w:eastAsia="宋体" w:hAnsi="Times New Roman"/>
          <w:sz w:val="21"/>
          <w:szCs w:val="21"/>
        </w:rPr>
        <w:t>，</w:t>
      </w:r>
      <w:r>
        <w:rPr>
          <w:rFonts w:ascii="Times New Roman" w:eastAsia="宋体" w:hAnsi="Times New Roman" w:hint="eastAsia"/>
          <w:sz w:val="21"/>
          <w:szCs w:val="21"/>
        </w:rPr>
        <w:t>则二者无实质性差异。</w:t>
      </w:r>
    </w:p>
    <w:tbl>
      <w:tblPr>
        <w:tblW w:w="0" w:type="auto"/>
        <w:jc w:val="center"/>
        <w:tblLook w:val="04A0"/>
      </w:tblPr>
      <w:tblGrid>
        <w:gridCol w:w="2660"/>
        <w:gridCol w:w="4237"/>
      </w:tblGrid>
      <w:tr w:rsidR="00800760">
        <w:trPr>
          <w:jc w:val="center"/>
        </w:trPr>
        <w:tc>
          <w:tcPr>
            <w:tcW w:w="2660"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275715" cy="1709420"/>
                  <wp:effectExtent l="0" t="0" r="0" b="0"/>
                  <wp:docPr id="116" name="图片 52" descr="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52" descr="85-1"/>
                          <pic:cNvPicPr>
                            <a:picLocks noChangeAspect="1" noChangeArrowheads="1"/>
                          </pic:cNvPicPr>
                        </pic:nvPicPr>
                        <pic:blipFill>
                          <a:blip r:embed="rId75" cstate="print"/>
                          <a:srcRect/>
                          <a:stretch>
                            <a:fillRect/>
                          </a:stretch>
                        </pic:blipFill>
                        <pic:spPr>
                          <a:xfrm>
                            <a:off x="0" y="0"/>
                            <a:ext cx="1277398" cy="1712257"/>
                          </a:xfrm>
                          <a:prstGeom prst="rect">
                            <a:avLst/>
                          </a:prstGeom>
                          <a:noFill/>
                          <a:ln w="9525">
                            <a:noFill/>
                            <a:miter lim="800000"/>
                            <a:headEnd/>
                            <a:tailEnd/>
                          </a:ln>
                        </pic:spPr>
                      </pic:pic>
                    </a:graphicData>
                  </a:graphic>
                </wp:inline>
              </w:drawing>
            </w:r>
          </w:p>
        </w:tc>
        <w:tc>
          <w:tcPr>
            <w:tcW w:w="4237"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2006600" cy="1709420"/>
                  <wp:effectExtent l="0" t="0" r="0" b="0"/>
                  <wp:docPr id="117" name="图片 53" descr="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53" descr="85-2"/>
                          <pic:cNvPicPr>
                            <a:picLocks noChangeAspect="1" noChangeArrowheads="1"/>
                          </pic:cNvPicPr>
                        </pic:nvPicPr>
                        <pic:blipFill>
                          <a:blip r:embed="rId76" cstate="print"/>
                          <a:srcRect/>
                          <a:stretch>
                            <a:fillRect/>
                          </a:stretch>
                        </pic:blipFill>
                        <pic:spPr>
                          <a:xfrm>
                            <a:off x="0" y="0"/>
                            <a:ext cx="2016678" cy="1718245"/>
                          </a:xfrm>
                          <a:prstGeom prst="rect">
                            <a:avLst/>
                          </a:prstGeom>
                          <a:noFill/>
                          <a:ln w="9525">
                            <a:noFill/>
                            <a:miter lim="800000"/>
                            <a:headEnd/>
                            <a:tailEnd/>
                          </a:ln>
                        </pic:spPr>
                      </pic:pic>
                    </a:graphicData>
                  </a:graphic>
                </wp:inline>
              </w:drawing>
            </w:r>
          </w:p>
        </w:tc>
      </w:tr>
      <w:tr w:rsidR="00800760">
        <w:trPr>
          <w:jc w:val="center"/>
        </w:trPr>
        <w:tc>
          <w:tcPr>
            <w:tcW w:w="2660"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现有设计</w:t>
            </w:r>
          </w:p>
        </w:tc>
        <w:tc>
          <w:tcPr>
            <w:tcW w:w="4237"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互为镜像对称</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如果被控侵权产品的外观设计与现有设计的区别仅在于互为镜像对称</w:t>
      </w:r>
      <w:r>
        <w:rPr>
          <w:rFonts w:ascii="Times New Roman" w:eastAsia="宋体" w:hAnsi="Times New Roman"/>
          <w:sz w:val="21"/>
          <w:szCs w:val="21"/>
        </w:rPr>
        <w:t>，</w:t>
      </w:r>
      <w:r>
        <w:rPr>
          <w:rFonts w:ascii="Times New Roman" w:eastAsia="宋体" w:hAnsi="Times New Roman" w:hint="eastAsia"/>
          <w:sz w:val="21"/>
          <w:szCs w:val="21"/>
        </w:rPr>
        <w:t>则二者无实质性差异。</w:t>
      </w:r>
    </w:p>
    <w:p w:rsidR="00800760" w:rsidRDefault="00235733">
      <w:pPr>
        <w:pStyle w:val="af6"/>
        <w:spacing w:before="120"/>
        <w:ind w:firstLine="420"/>
        <w:rPr>
          <w:rFonts w:ascii="Times New Roman" w:hAnsi="Times New Roman"/>
        </w:rPr>
      </w:pPr>
      <w:bookmarkStart w:id="2580" w:name="_Toc30378"/>
      <w:bookmarkStart w:id="2581" w:name="_Toc22493"/>
      <w:bookmarkStart w:id="2582" w:name="_Toc26569"/>
      <w:bookmarkStart w:id="2583" w:name="_Toc1918"/>
      <w:bookmarkStart w:id="2584" w:name="_Toc6731"/>
      <w:bookmarkStart w:id="2585" w:name="_Toc26590"/>
      <w:bookmarkStart w:id="2586" w:name="_Toc20718"/>
      <w:bookmarkStart w:id="2587" w:name="_Toc30088"/>
      <w:bookmarkStart w:id="2588" w:name="_Toc18242"/>
      <w:bookmarkStart w:id="2589" w:name="_Toc3679"/>
      <w:bookmarkStart w:id="2590" w:name="_Toc7322"/>
      <w:bookmarkStart w:id="2591" w:name="_Toc30790"/>
      <w:bookmarkStart w:id="2592" w:name="_Toc22358"/>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-3</w:t>
      </w:r>
      <w:r>
        <w:rPr>
          <w:rFonts w:ascii="Times New Roman" w:hAnsi="Times New Roman" w:hint="eastAsia"/>
          <w:lang w:val="en-US"/>
        </w:rPr>
        <w:t>7</w:t>
      </w:r>
      <w:r>
        <w:rPr>
          <w:rFonts w:ascii="Times New Roman" w:hAnsi="Times New Roman" w:hint="eastAsia"/>
        </w:rPr>
        <w:t>】书柜</w:t>
      </w:r>
      <w:bookmarkEnd w:id="2580"/>
      <w:bookmarkEnd w:id="2581"/>
      <w:bookmarkEnd w:id="2582"/>
      <w:bookmarkEnd w:id="2583"/>
      <w:bookmarkEnd w:id="2584"/>
      <w:bookmarkEnd w:id="2585"/>
      <w:bookmarkEnd w:id="2586"/>
      <w:bookmarkEnd w:id="2587"/>
      <w:bookmarkEnd w:id="2588"/>
      <w:bookmarkEnd w:id="2589"/>
      <w:bookmarkEnd w:id="2590"/>
      <w:bookmarkEnd w:id="2591"/>
      <w:bookmarkEnd w:id="2592"/>
    </w:p>
    <w:tbl>
      <w:tblPr>
        <w:tblW w:w="0" w:type="auto"/>
        <w:jc w:val="center"/>
        <w:tblLook w:val="04A0"/>
      </w:tblPr>
      <w:tblGrid>
        <w:gridCol w:w="3575"/>
        <w:gridCol w:w="3575"/>
      </w:tblGrid>
      <w:tr w:rsidR="00800760">
        <w:trPr>
          <w:jc w:val="center"/>
        </w:trPr>
        <w:tc>
          <w:tcPr>
            <w:tcW w:w="3575"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1000125" cy="2752725"/>
                  <wp:effectExtent l="19050" t="0" r="9525" b="0"/>
                  <wp:docPr id="118" name="图片 54" descr="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54" descr="85-3"/>
                          <pic:cNvPicPr>
                            <a:picLocks noChangeAspect="1" noChangeArrowheads="1"/>
                          </pic:cNvPicPr>
                        </pic:nvPicPr>
                        <pic:blipFill>
                          <a:blip r:embed="rId77" cstate="print"/>
                          <a:srcRect/>
                          <a:stretch>
                            <a:fillRect/>
                          </a:stretch>
                        </pic:blipFill>
                        <pic:spPr>
                          <a:xfrm>
                            <a:off x="0" y="0"/>
                            <a:ext cx="1000125" cy="2752725"/>
                          </a:xfrm>
                          <a:prstGeom prst="rect">
                            <a:avLst/>
                          </a:prstGeom>
                          <a:noFill/>
                          <a:ln w="9525">
                            <a:noFill/>
                            <a:miter lim="800000"/>
                            <a:headEnd/>
                            <a:tailEnd/>
                          </a:ln>
                        </pic:spPr>
                      </pic:pic>
                    </a:graphicData>
                  </a:graphic>
                </wp:inline>
              </w:drawing>
            </w:r>
          </w:p>
        </w:tc>
        <w:tc>
          <w:tcPr>
            <w:tcW w:w="3575"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981075" cy="2714625"/>
                  <wp:effectExtent l="19050" t="0" r="9525" b="0"/>
                  <wp:docPr id="119" name="图片 55" descr="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55" descr="85-4"/>
                          <pic:cNvPicPr>
                            <a:picLocks noChangeAspect="1" noChangeArrowheads="1"/>
                          </pic:cNvPicPr>
                        </pic:nvPicPr>
                        <pic:blipFill>
                          <a:blip r:embed="rId78" cstate="print"/>
                          <a:srcRect/>
                          <a:stretch>
                            <a:fillRect/>
                          </a:stretch>
                        </pic:blipFill>
                        <pic:spPr>
                          <a:xfrm>
                            <a:off x="0" y="0"/>
                            <a:ext cx="981075" cy="2714625"/>
                          </a:xfrm>
                          <a:prstGeom prst="rect">
                            <a:avLst/>
                          </a:prstGeom>
                          <a:noFill/>
                          <a:ln w="9525">
                            <a:noFill/>
                            <a:miter lim="800000"/>
                            <a:headEnd/>
                            <a:tailEnd/>
                          </a:ln>
                        </pic:spPr>
                      </pic:pic>
                    </a:graphicData>
                  </a:graphic>
                </wp:inline>
              </w:drawing>
            </w:r>
          </w:p>
        </w:tc>
      </w:tr>
      <w:tr w:rsidR="00800760">
        <w:trPr>
          <w:jc w:val="center"/>
        </w:trPr>
        <w:tc>
          <w:tcPr>
            <w:tcW w:w="3575"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现有设计</w:t>
            </w:r>
          </w:p>
        </w:tc>
        <w:tc>
          <w:tcPr>
            <w:tcW w:w="3575"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keepNext/>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控侵权产品与现有设计均为书柜，二者属于镜像对称。被控侵权产品左侧隔成三个空间，右侧上下各有两个空间，中部有两个抽屉；现有设计是右侧隔成三个空间，左侧上下各有两个空间，中部有两个抽屉。二者在设计上没有实质性差别，属于无实质性差异的外观设计。</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⑥</w:t>
      </w:r>
      <w:r>
        <w:rPr>
          <w:rFonts w:ascii="Times New Roman" w:eastAsia="宋体" w:hAnsi="Times New Roman"/>
          <w:sz w:val="21"/>
          <w:szCs w:val="21"/>
        </w:rPr>
        <w:fldChar w:fldCharType="end"/>
      </w:r>
      <w:r w:rsidR="00235733">
        <w:rPr>
          <w:rFonts w:ascii="Times New Roman" w:eastAsia="宋体" w:hAnsi="Times New Roman" w:hint="eastAsia"/>
          <w:sz w:val="21"/>
          <w:szCs w:val="21"/>
        </w:rPr>
        <w:t>单一色彩的外观设计仅作色彩的改变</w:t>
      </w:r>
    </w:p>
    <w:p w:rsidR="00800760" w:rsidRDefault="00235733">
      <w:pPr>
        <w:pStyle w:val="12"/>
        <w:topLinePunct/>
        <w:spacing w:before="120" w:line="336" w:lineRule="auto"/>
        <w:ind w:firstLine="420"/>
        <w:rPr>
          <w:rFonts w:ascii="Times New Roman" w:eastAsia="宋体" w:hAnsi="Times New Roman"/>
          <w:lang w:val="en-GB"/>
        </w:rPr>
      </w:pPr>
      <w:bookmarkStart w:id="2593" w:name="_Toc30547"/>
      <w:bookmarkStart w:id="2594" w:name="_Toc16424"/>
      <w:bookmarkStart w:id="2595" w:name="_Toc26646"/>
      <w:bookmarkStart w:id="2596" w:name="_Toc19953"/>
      <w:bookmarkStart w:id="2597" w:name="_Toc21945"/>
      <w:bookmarkStart w:id="2598" w:name="_Toc31340"/>
      <w:bookmarkStart w:id="2599" w:name="_Toc18469"/>
      <w:bookmarkStart w:id="2600" w:name="_Toc31460"/>
      <w:bookmarkStart w:id="2601" w:name="_Toc19115"/>
      <w:bookmarkStart w:id="2602" w:name="_Toc16963"/>
      <w:bookmarkStart w:id="2603" w:name="_Toc15454"/>
      <w:bookmarkStart w:id="2604" w:name="_Toc15015"/>
      <w:bookmarkStart w:id="2605" w:name="_Toc21880"/>
      <w:bookmarkStart w:id="2606" w:name="_Toc15681"/>
      <w:bookmarkStart w:id="2607" w:name="_Toc7082"/>
      <w:bookmarkStart w:id="2608" w:name="_Toc3814"/>
      <w:bookmarkStart w:id="2609" w:name="_Toc8350"/>
      <w:bookmarkStart w:id="2610" w:name="_Toc24250"/>
      <w:bookmarkStart w:id="2611" w:name="_Toc5034"/>
      <w:bookmarkStart w:id="2612" w:name="_Toc28064"/>
      <w:r>
        <w:rPr>
          <w:rFonts w:ascii="Times New Roman" w:eastAsia="宋体" w:hAnsi="Times New Roman" w:hint="eastAsia"/>
          <w:sz w:val="21"/>
          <w:szCs w:val="21"/>
          <w:lang w:val="en-GB"/>
        </w:rPr>
        <w:t>如果被控侵权产品的外观设计与现有设计的区别仅在于单一色彩的外观设计仅作色彩的改变，则二者无实质性差异。</w:t>
      </w:r>
      <w:bookmarkEnd w:id="2593"/>
      <w:bookmarkEnd w:id="2594"/>
      <w:bookmarkEnd w:id="2595"/>
      <w:bookmarkEnd w:id="2596"/>
      <w:bookmarkEnd w:id="2597"/>
      <w:bookmarkEnd w:id="2598"/>
      <w:bookmarkEnd w:id="2599"/>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-3</w:t>
      </w:r>
      <w:r>
        <w:rPr>
          <w:rFonts w:ascii="Times New Roman" w:hAnsi="Times New Roman" w:hint="eastAsia"/>
          <w:lang w:val="en-US"/>
        </w:rPr>
        <w:t>8</w:t>
      </w:r>
      <w:r>
        <w:rPr>
          <w:rFonts w:ascii="Times New Roman" w:hAnsi="Times New Roman" w:hint="eastAsia"/>
        </w:rPr>
        <w:t>】鞋</w:t>
      </w:r>
      <w:bookmarkEnd w:id="2600"/>
      <w:bookmarkEnd w:id="2601"/>
      <w:bookmarkEnd w:id="2602"/>
      <w:bookmarkEnd w:id="2603"/>
      <w:bookmarkEnd w:id="2604"/>
      <w:bookmarkEnd w:id="2605"/>
      <w:bookmarkEnd w:id="2606"/>
      <w:bookmarkEnd w:id="2607"/>
      <w:bookmarkEnd w:id="2608"/>
      <w:bookmarkEnd w:id="2609"/>
      <w:bookmarkEnd w:id="2610"/>
      <w:bookmarkEnd w:id="2611"/>
      <w:bookmarkEnd w:id="2612"/>
    </w:p>
    <w:tbl>
      <w:tblPr>
        <w:tblW w:w="0" w:type="auto"/>
        <w:tblLook w:val="04A0"/>
      </w:tblPr>
      <w:tblGrid>
        <w:gridCol w:w="4814"/>
        <w:gridCol w:w="4814"/>
      </w:tblGrid>
      <w:tr w:rsidR="00800760">
        <w:tc>
          <w:tcPr>
            <w:tcW w:w="4814"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2162175" cy="876300"/>
                  <wp:effectExtent l="19050" t="0" r="9525" b="0"/>
                  <wp:docPr id="120" name="图片 56" descr="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56" descr="86-1"/>
                          <pic:cNvPicPr>
                            <a:picLocks noChangeAspect="1" noChangeArrowheads="1"/>
                          </pic:cNvPicPr>
                        </pic:nvPicPr>
                        <pic:blipFill>
                          <a:blip r:embed="rId79" cstate="print"/>
                          <a:srcRect/>
                          <a:stretch>
                            <a:fillRect/>
                          </a:stretch>
                        </pic:blipFill>
                        <pic:spPr>
                          <a:xfrm>
                            <a:off x="0" y="0"/>
                            <a:ext cx="2162175" cy="876300"/>
                          </a:xfrm>
                          <a:prstGeom prst="rect">
                            <a:avLst/>
                          </a:prstGeom>
                          <a:noFill/>
                          <a:ln w="9525">
                            <a:noFill/>
                            <a:miter lim="800000"/>
                            <a:headEnd/>
                            <a:tailEnd/>
                          </a:ln>
                        </pic:spPr>
                      </pic:pic>
                    </a:graphicData>
                  </a:graphic>
                </wp:inline>
              </w:drawing>
            </w:r>
          </w:p>
        </w:tc>
        <w:tc>
          <w:tcPr>
            <w:tcW w:w="4814"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noProof/>
                <w:sz w:val="18"/>
                <w:szCs w:val="18"/>
                <w:lang w:val="en-US"/>
              </w:rPr>
              <w:drawing>
                <wp:inline distT="0" distB="0" distL="0" distR="0">
                  <wp:extent cx="2162175" cy="914400"/>
                  <wp:effectExtent l="19050" t="0" r="9525" b="0"/>
                  <wp:docPr id="121" name="图片 57" descr="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57" descr="86-2"/>
                          <pic:cNvPicPr>
                            <a:picLocks noChangeAspect="1" noChangeArrowheads="1"/>
                          </pic:cNvPicPr>
                        </pic:nvPicPr>
                        <pic:blipFill>
                          <a:blip r:embed="rId80" cstate="print"/>
                          <a:srcRect/>
                          <a:stretch>
                            <a:fillRect/>
                          </a:stretch>
                        </pic:blipFill>
                        <pic:spPr>
                          <a:xfrm>
                            <a:off x="0" y="0"/>
                            <a:ext cx="2162175" cy="914400"/>
                          </a:xfrm>
                          <a:prstGeom prst="rect">
                            <a:avLst/>
                          </a:prstGeom>
                          <a:noFill/>
                          <a:ln w="9525">
                            <a:noFill/>
                            <a:miter lim="800000"/>
                            <a:headEnd/>
                            <a:tailEnd/>
                          </a:ln>
                        </pic:spPr>
                      </pic:pic>
                    </a:graphicData>
                  </a:graphic>
                </wp:inline>
              </w:drawing>
            </w:r>
          </w:p>
        </w:tc>
      </w:tr>
      <w:tr w:rsidR="00800760">
        <w:tc>
          <w:tcPr>
            <w:tcW w:w="4814"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现有设计</w:t>
            </w:r>
          </w:p>
        </w:tc>
        <w:tc>
          <w:tcPr>
            <w:tcW w:w="4814" w:type="dxa"/>
          </w:tcPr>
          <w:p w:rsidR="00800760" w:rsidRDefault="00235733">
            <w:pPr>
              <w:pStyle w:val="12"/>
              <w:topLinePunct/>
              <w:spacing w:line="336" w:lineRule="auto"/>
              <w:ind w:firstLineChars="0" w:firstLine="0"/>
              <w:jc w:val="center"/>
              <w:rPr>
                <w:rFonts w:ascii="Times New Roman" w:eastAsia="黑体" w:hAnsi="Times New Roman"/>
                <w:sz w:val="18"/>
                <w:szCs w:val="18"/>
              </w:rPr>
            </w:pPr>
            <w:r>
              <w:rPr>
                <w:rFonts w:ascii="Times New Roman" w:eastAsia="黑体" w:hAnsi="Times New Roman" w:hint="eastAsia"/>
                <w:sz w:val="18"/>
                <w:szCs w:val="18"/>
              </w:rPr>
              <w:t>被控侵权产品</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12"/>
        <w:rPr>
          <w:rFonts w:ascii="Times New Roman" w:eastAsia="楷体_GB2312" w:hAnsi="Times New Roman"/>
          <w:spacing w:val="-2"/>
          <w:sz w:val="21"/>
          <w:szCs w:val="21"/>
        </w:rPr>
      </w:pPr>
      <w:r>
        <w:rPr>
          <w:rFonts w:ascii="Times New Roman" w:eastAsia="楷体_GB2312" w:hAnsi="Times New Roman" w:hint="eastAsia"/>
          <w:spacing w:val="-2"/>
          <w:sz w:val="21"/>
          <w:szCs w:val="21"/>
        </w:rPr>
        <w:t>被控侵权产品与现有设计均为鞋，其鞋的色彩均为单一色彩，二者除色彩外其余设计内容相同，差异仅在于单一色彩的外观设计仅作色彩的改变，属于无实质性差异的外观设计。</w:t>
      </w:r>
    </w:p>
    <w:p w:rsidR="00800760" w:rsidRDefault="00235733">
      <w:pPr>
        <w:pStyle w:val="12"/>
        <w:topLinePunct/>
        <w:spacing w:line="336" w:lineRule="auto"/>
        <w:ind w:firstLine="420"/>
        <w:rPr>
          <w:rFonts w:ascii="Times New Roman" w:eastAsia="宋体" w:hAnsi="Times New Roman"/>
          <w:sz w:val="21"/>
          <w:szCs w:val="21"/>
          <w:lang w:val="en-GB"/>
        </w:rPr>
      </w:pPr>
      <w:bookmarkStart w:id="2613" w:name="_Toc23758"/>
      <w:bookmarkStart w:id="2614" w:name="_Toc16351"/>
      <w:bookmarkStart w:id="2615" w:name="_Toc30929"/>
      <w:bookmarkStart w:id="2616" w:name="_Toc267"/>
      <w:bookmarkStart w:id="2617" w:name="_Toc14655"/>
      <w:bookmarkStart w:id="2618" w:name="_Toc9413"/>
      <w:bookmarkStart w:id="2619" w:name="_Toc3555"/>
      <w:bookmarkStart w:id="2620" w:name="_Toc32071"/>
      <w:bookmarkStart w:id="2621" w:name="_Toc684"/>
      <w:bookmarkStart w:id="2622" w:name="_Toc16709"/>
      <w:bookmarkStart w:id="2623" w:name="_Toc30895"/>
      <w:bookmarkStart w:id="2624" w:name="_Toc10136"/>
      <w:bookmarkStart w:id="2625" w:name="_Toc32415"/>
      <w:bookmarkStart w:id="2626" w:name="_Toc28499"/>
      <w:bookmarkStart w:id="2627" w:name="_Toc21341"/>
      <w:bookmarkStart w:id="2628" w:name="_Toc27778"/>
      <w:bookmarkStart w:id="2629" w:name="_Toc15738"/>
      <w:r>
        <w:rPr>
          <w:rFonts w:ascii="Times New Roman" w:eastAsia="宋体" w:hAnsi="Times New Roman" w:hint="eastAsia"/>
          <w:sz w:val="21"/>
          <w:szCs w:val="21"/>
          <w:lang w:val="en-GB"/>
        </w:rPr>
        <w:t>⑦</w:t>
      </w:r>
      <w:r>
        <w:rPr>
          <w:rFonts w:ascii="Times New Roman" w:eastAsia="宋体" w:hAnsi="Times New Roman"/>
          <w:sz w:val="21"/>
          <w:szCs w:val="21"/>
          <w:lang w:val="en-US"/>
        </w:rPr>
        <w:t xml:space="preserve"> </w:t>
      </w:r>
      <w:r>
        <w:rPr>
          <w:rFonts w:ascii="Times New Roman" w:eastAsia="宋体" w:hAnsi="Times New Roman" w:hint="eastAsia"/>
          <w:sz w:val="21"/>
          <w:szCs w:val="21"/>
          <w:lang w:val="en-GB"/>
        </w:rPr>
        <w:t>对于局部外观设计</w:t>
      </w:r>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p>
    <w:p w:rsidR="00800760" w:rsidRDefault="00235733">
      <w:pPr>
        <w:pStyle w:val="12"/>
        <w:topLinePunct/>
        <w:spacing w:line="336" w:lineRule="auto"/>
        <w:ind w:firstLine="420"/>
        <w:rPr>
          <w:rFonts w:ascii="Times New Roman" w:eastAsia="宋体" w:hAnsi="Times New Roman"/>
          <w:sz w:val="21"/>
          <w:szCs w:val="21"/>
          <w:lang w:val="en-GB"/>
        </w:rPr>
      </w:pPr>
      <w:bookmarkStart w:id="2630" w:name="_Toc9888"/>
      <w:bookmarkStart w:id="2631" w:name="_Toc21507"/>
      <w:bookmarkStart w:id="2632" w:name="_Toc18574"/>
      <w:bookmarkStart w:id="2633" w:name="_Toc24679"/>
      <w:bookmarkStart w:id="2634" w:name="_Toc1986"/>
      <w:bookmarkStart w:id="2635" w:name="_Toc1697"/>
      <w:bookmarkStart w:id="2636" w:name="_Toc5494"/>
      <w:bookmarkStart w:id="2637" w:name="_Toc31844"/>
      <w:bookmarkStart w:id="2638" w:name="_Toc27903"/>
      <w:bookmarkStart w:id="2639" w:name="_Toc6510"/>
      <w:bookmarkStart w:id="2640" w:name="_Toc25912"/>
      <w:bookmarkStart w:id="2641" w:name="_Toc6419"/>
      <w:bookmarkStart w:id="2642" w:name="_Toc17214"/>
      <w:bookmarkStart w:id="2643" w:name="_Toc15116"/>
      <w:bookmarkStart w:id="2644" w:name="_Toc12699"/>
      <w:r>
        <w:rPr>
          <w:rFonts w:ascii="Times New Roman" w:eastAsia="宋体" w:hAnsi="Times New Roman" w:hint="eastAsia"/>
          <w:sz w:val="21"/>
          <w:szCs w:val="21"/>
          <w:lang w:val="en-GB"/>
        </w:rPr>
        <w:t>如果被控侵权产品的外观设计与现有设计的区别仅在于该局部在产品整体中的位置和</w:t>
      </w:r>
      <w:r>
        <w:rPr>
          <w:rFonts w:ascii="Times New Roman" w:eastAsia="宋体" w:hAnsi="Times New Roman"/>
          <w:sz w:val="21"/>
          <w:szCs w:val="21"/>
          <w:lang w:val="en-GB"/>
        </w:rPr>
        <w:t>/</w:t>
      </w:r>
      <w:r>
        <w:rPr>
          <w:rFonts w:ascii="Times New Roman" w:eastAsia="宋体" w:hAnsi="Times New Roman"/>
          <w:sz w:val="21"/>
          <w:szCs w:val="21"/>
          <w:lang w:val="en-GB"/>
        </w:rPr>
        <w:t>或比例关系的常规变化，</w:t>
      </w:r>
      <w:r>
        <w:rPr>
          <w:rFonts w:ascii="Times New Roman" w:eastAsia="宋体" w:hAnsi="Times New Roman" w:hint="eastAsia"/>
          <w:sz w:val="21"/>
          <w:szCs w:val="21"/>
        </w:rPr>
        <w:t>则二者无实质性差异</w:t>
      </w:r>
      <w:r>
        <w:rPr>
          <w:rFonts w:ascii="Times New Roman" w:eastAsia="宋体" w:hAnsi="Times New Roman" w:hint="eastAsia"/>
          <w:sz w:val="21"/>
          <w:szCs w:val="21"/>
          <w:lang w:val="en-GB"/>
        </w:rPr>
        <w:t>。</w:t>
      </w:r>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p>
    <w:p w:rsidR="00800760" w:rsidRDefault="00235733">
      <w:pPr>
        <w:pStyle w:val="af6"/>
        <w:spacing w:before="120"/>
        <w:ind w:firstLine="420"/>
        <w:rPr>
          <w:rFonts w:ascii="Times New Roman" w:eastAsia="宋体" w:hAnsi="Times New Roman"/>
          <w:snapToGrid w:val="0"/>
          <w:color w:val="000000"/>
          <w:w w:val="0"/>
          <w:sz w:val="0"/>
          <w:szCs w:val="0"/>
          <w:u w:color="000000"/>
          <w:shd w:val="clear" w:color="000000" w:fill="000000"/>
        </w:rPr>
      </w:pPr>
      <w:bookmarkStart w:id="2645" w:name="_Toc15617"/>
      <w:bookmarkStart w:id="2646" w:name="_Toc23875"/>
      <w:bookmarkStart w:id="2647" w:name="_Toc10162"/>
      <w:bookmarkStart w:id="2648" w:name="_Toc7762"/>
      <w:bookmarkStart w:id="2649" w:name="_Toc19294"/>
      <w:bookmarkStart w:id="2650" w:name="_Toc11420"/>
      <w:bookmarkStart w:id="2651" w:name="_Toc31156"/>
      <w:bookmarkStart w:id="2652" w:name="_Toc3210"/>
      <w:bookmarkStart w:id="2653" w:name="_Toc31644"/>
      <w:bookmarkStart w:id="2654" w:name="_Toc22820"/>
      <w:bookmarkStart w:id="2655" w:name="_Toc22550"/>
      <w:bookmarkStart w:id="2656" w:name="_Toc4348"/>
      <w:bookmarkStart w:id="2657" w:name="_Toc19340"/>
      <w:r>
        <w:rPr>
          <w:rFonts w:ascii="Times New Roman" w:hAnsi="Times New Roman" w:hint="eastAsia"/>
        </w:rPr>
        <w:t>【案例</w:t>
      </w:r>
      <w:r>
        <w:rPr>
          <w:rFonts w:ascii="Times New Roman" w:hAnsi="Times New Roman" w:hint="eastAsia"/>
          <w:lang w:val="en-US"/>
        </w:rPr>
        <w:t>3</w:t>
      </w:r>
      <w:r>
        <w:rPr>
          <w:rFonts w:ascii="Times New Roman" w:hAnsi="Times New Roman"/>
        </w:rPr>
        <w:t>-</w:t>
      </w:r>
      <w:r>
        <w:rPr>
          <w:rFonts w:ascii="Times New Roman" w:hAnsi="Times New Roman" w:hint="eastAsia"/>
          <w:lang w:val="en-US"/>
        </w:rPr>
        <w:t>5</w:t>
      </w:r>
      <w:r>
        <w:rPr>
          <w:rFonts w:ascii="Times New Roman" w:hAnsi="Times New Roman"/>
        </w:rPr>
        <w:t>-3</w:t>
      </w:r>
      <w:r>
        <w:rPr>
          <w:rFonts w:ascii="Times New Roman" w:hAnsi="Times New Roman" w:hint="eastAsia"/>
          <w:lang w:val="en-US"/>
        </w:rPr>
        <w:t>9</w:t>
      </w:r>
      <w:r>
        <w:rPr>
          <w:rFonts w:ascii="Times New Roman" w:hAnsi="Times New Roman" w:hint="eastAsia"/>
        </w:rPr>
        <w:t>】冰箱的温控图形用户界面</w:t>
      </w:r>
      <w:bookmarkEnd w:id="2645"/>
      <w:bookmarkEnd w:id="2646"/>
      <w:bookmarkEnd w:id="2647"/>
      <w:bookmarkEnd w:id="2648"/>
      <w:bookmarkEnd w:id="2649"/>
      <w:bookmarkEnd w:id="2650"/>
      <w:bookmarkEnd w:id="2651"/>
      <w:bookmarkEnd w:id="2652"/>
      <w:bookmarkEnd w:id="2653"/>
      <w:bookmarkEnd w:id="2654"/>
      <w:bookmarkEnd w:id="2655"/>
      <w:bookmarkEnd w:id="2656"/>
      <w:bookmarkEnd w:id="2657"/>
    </w:p>
    <w:tbl>
      <w:tblPr>
        <w:tblW w:w="0" w:type="auto"/>
        <w:tblLook w:val="04A0"/>
      </w:tblPr>
      <w:tblGrid>
        <w:gridCol w:w="4206"/>
        <w:gridCol w:w="4290"/>
      </w:tblGrid>
      <w:tr w:rsidR="00800760">
        <w:tc>
          <w:tcPr>
            <w:tcW w:w="4206" w:type="dxa"/>
          </w:tcPr>
          <w:p w:rsidR="00800760" w:rsidRDefault="00235733">
            <w:pPr>
              <w:pStyle w:val="af6"/>
              <w:topLinePunct/>
              <w:spacing w:before="120"/>
              <w:ind w:firstLineChars="700" w:firstLine="1470"/>
              <w:rPr>
                <w:rFonts w:ascii="Times New Roman" w:eastAsia="宋体" w:hAnsi="Times New Roman"/>
                <w:snapToGrid w:val="0"/>
                <w:color w:val="000000"/>
                <w:w w:val="0"/>
                <w:sz w:val="0"/>
                <w:szCs w:val="0"/>
                <w:u w:color="000000"/>
                <w:shd w:val="clear" w:color="000000" w:fill="000000"/>
              </w:rPr>
            </w:pPr>
            <w:r>
              <w:rPr>
                <w:rFonts w:ascii="Times New Roman" w:hAnsi="Times New Roman"/>
                <w:noProof/>
                <w:lang w:val="en-US"/>
              </w:rPr>
              <w:drawing>
                <wp:anchor distT="0" distB="0" distL="114300" distR="114300" simplePos="0" relativeHeight="251659264" behindDoc="0" locked="0" layoutInCell="1" allowOverlap="1">
                  <wp:simplePos x="0" y="0"/>
                  <wp:positionH relativeFrom="column">
                    <wp:posOffset>467995</wp:posOffset>
                  </wp:positionH>
                  <wp:positionV relativeFrom="paragraph">
                    <wp:posOffset>286385</wp:posOffset>
                  </wp:positionV>
                  <wp:extent cx="1081405" cy="2390775"/>
                  <wp:effectExtent l="19050" t="0" r="4445" b="0"/>
                  <wp:wrapTopAndBottom/>
                  <wp:docPr id="123" name="图片 3"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3" descr="图片3"/>
                          <pic:cNvPicPr>
                            <a:picLocks noChangeAspect="1" noChangeArrowheads="1"/>
                          </pic:cNvPicPr>
                        </pic:nvPicPr>
                        <pic:blipFill>
                          <a:blip r:embed="rId81" cstate="print"/>
                          <a:srcRect/>
                          <a:stretch>
                            <a:fillRect/>
                          </a:stretch>
                        </pic:blipFill>
                        <pic:spPr>
                          <a:xfrm>
                            <a:off x="0" y="0"/>
                            <a:ext cx="1081405" cy="2393315"/>
                          </a:xfrm>
                          <a:prstGeom prst="rect">
                            <a:avLst/>
                          </a:prstGeom>
                          <a:noFill/>
                          <a:ln w="9525">
                            <a:noFill/>
                            <a:miter lim="800000"/>
                            <a:headEnd/>
                            <a:tailEnd/>
                          </a:ln>
                        </pic:spPr>
                      </pic:pic>
                    </a:graphicData>
                  </a:graphic>
                </wp:anchor>
              </w:drawing>
            </w:r>
          </w:p>
        </w:tc>
        <w:tc>
          <w:tcPr>
            <w:tcW w:w="4290" w:type="dxa"/>
          </w:tcPr>
          <w:p w:rsidR="00800760" w:rsidRDefault="00235733">
            <w:pPr>
              <w:pStyle w:val="af6"/>
              <w:topLinePunct/>
              <w:spacing w:before="120"/>
              <w:ind w:firstLineChars="0" w:firstLine="1785"/>
              <w:rPr>
                <w:rFonts w:ascii="Times New Roman" w:hAnsi="Times New Roman"/>
                <w:sz w:val="18"/>
                <w:szCs w:val="18"/>
              </w:rPr>
            </w:pPr>
            <w:r>
              <w:rPr>
                <w:rFonts w:ascii="Times New Roman" w:hAnsi="Times New Roman"/>
                <w:noProof/>
                <w:lang w:val="en-US"/>
              </w:rPr>
              <w:drawing>
                <wp:anchor distT="0" distB="0" distL="114300" distR="114300" simplePos="0" relativeHeight="251661312" behindDoc="0" locked="0" layoutInCell="1" allowOverlap="1">
                  <wp:simplePos x="0" y="0"/>
                  <wp:positionH relativeFrom="column">
                    <wp:posOffset>1016635</wp:posOffset>
                  </wp:positionH>
                  <wp:positionV relativeFrom="paragraph">
                    <wp:posOffset>286385</wp:posOffset>
                  </wp:positionV>
                  <wp:extent cx="1081405" cy="2390775"/>
                  <wp:effectExtent l="19050" t="0" r="4445" b="0"/>
                  <wp:wrapTopAndBottom/>
                  <wp:docPr id="124" name="图片 2"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 descr="图片5"/>
                          <pic:cNvPicPr>
                            <a:picLocks noChangeAspect="1" noChangeArrowheads="1"/>
                          </pic:cNvPicPr>
                        </pic:nvPicPr>
                        <pic:blipFill>
                          <a:blip r:embed="rId82" cstate="print"/>
                          <a:srcRect/>
                          <a:stretch>
                            <a:fillRect/>
                          </a:stretch>
                        </pic:blipFill>
                        <pic:spPr>
                          <a:xfrm>
                            <a:off x="0" y="0"/>
                            <a:ext cx="1081405" cy="2393315"/>
                          </a:xfrm>
                          <a:prstGeom prst="rect">
                            <a:avLst/>
                          </a:prstGeom>
                          <a:noFill/>
                          <a:ln w="9525">
                            <a:noFill/>
                            <a:miter lim="800000"/>
                            <a:headEnd/>
                            <a:tailEnd/>
                          </a:ln>
                        </pic:spPr>
                      </pic:pic>
                    </a:graphicData>
                  </a:graphic>
                </wp:anchor>
              </w:drawing>
            </w:r>
          </w:p>
        </w:tc>
      </w:tr>
      <w:tr w:rsidR="00800760">
        <w:tc>
          <w:tcPr>
            <w:tcW w:w="4206" w:type="dxa"/>
          </w:tcPr>
          <w:p w:rsidR="00800760" w:rsidRDefault="00235733" w:rsidP="00235733">
            <w:pPr>
              <w:pStyle w:val="af6"/>
              <w:topLinePunct/>
              <w:spacing w:before="120"/>
              <w:ind w:firstLineChars="611" w:firstLine="1100"/>
              <w:rPr>
                <w:rFonts w:ascii="Times New Roman" w:hAnsi="Times New Roman"/>
                <w:sz w:val="18"/>
                <w:szCs w:val="18"/>
              </w:rPr>
            </w:pPr>
            <w:r>
              <w:rPr>
                <w:rFonts w:ascii="Times New Roman" w:hAnsi="Times New Roman" w:hint="eastAsia"/>
                <w:sz w:val="18"/>
                <w:szCs w:val="18"/>
              </w:rPr>
              <w:t>现有设计</w:t>
            </w:r>
          </w:p>
        </w:tc>
        <w:tc>
          <w:tcPr>
            <w:tcW w:w="4290" w:type="dxa"/>
          </w:tcPr>
          <w:p w:rsidR="00800760" w:rsidRDefault="00235733">
            <w:pPr>
              <w:pStyle w:val="af6"/>
              <w:topLinePunct/>
              <w:spacing w:before="120"/>
              <w:ind w:firstLineChars="1050" w:firstLine="1890"/>
              <w:rPr>
                <w:rFonts w:ascii="Times New Roman" w:hAnsi="Times New Roman"/>
                <w:sz w:val="18"/>
                <w:szCs w:val="18"/>
              </w:rPr>
            </w:pPr>
            <w:r>
              <w:rPr>
                <w:rFonts w:ascii="Times New Roman" w:hAnsi="Times New Roman" w:hint="eastAsia"/>
                <w:sz w:val="18"/>
                <w:szCs w:val="18"/>
              </w:rPr>
              <w:t>被控侵权产品</w:t>
            </w:r>
          </w:p>
        </w:tc>
      </w:tr>
    </w:tbl>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楷体_GB2312" w:hAnsi="Times New Roman" w:hint="eastAsia"/>
          <w:sz w:val="21"/>
          <w:szCs w:val="21"/>
        </w:rPr>
        <w:t>被控侵权产品与现有设计均为冰箱的温控图形用户界面，二者除在冰箱上的比例不同外，其余设计内容相同，差异仅在于该局部在产品整体中的比例的常规变化，属于无实质性差异的外观设计。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在判断两项外观设计有无实质性差异的过程中，必要时，应当结合产品的设计空间来确定是否属于上述几种情形。</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3</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现有设计抗辩的适用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在适用现有设计抗辩时</w:t>
      </w:r>
      <w:r>
        <w:rPr>
          <w:rFonts w:ascii="Times New Roman" w:eastAsia="宋体" w:hAnsi="Times New Roman"/>
          <w:sz w:val="21"/>
          <w:szCs w:val="21"/>
        </w:rPr>
        <w:t>，</w:t>
      </w:r>
      <w:r>
        <w:rPr>
          <w:rFonts w:ascii="Times New Roman" w:eastAsia="宋体" w:hAnsi="Times New Roman" w:hint="eastAsia"/>
          <w:sz w:val="21"/>
          <w:szCs w:val="21"/>
        </w:rPr>
        <w:t>原则上</w:t>
      </w:r>
      <w:r>
        <w:rPr>
          <w:rFonts w:ascii="Times New Roman" w:eastAsia="宋体" w:hAnsi="Times New Roman"/>
          <w:sz w:val="21"/>
          <w:szCs w:val="21"/>
        </w:rPr>
        <w:t>，</w:t>
      </w:r>
      <w:r>
        <w:rPr>
          <w:rFonts w:ascii="Times New Roman" w:eastAsia="宋体" w:hAnsi="Times New Roman" w:hint="eastAsia"/>
          <w:sz w:val="21"/>
          <w:szCs w:val="21"/>
        </w:rPr>
        <w:t>管理专利工作的部门应当首先判断被控侵权产品外观设计是否落入专利保护范围。只有在被控侵权产品外观设计落入专利外观设计保护范围的情况下，才需要进一步判断现有设计抗辩是否成立。除非被控侵权产品外观设计与现有设计没有差异，属于相同的外观设计，才可以直接认定现有设计抗辩成立，无需再判断被控侵权产品是否落入涉案专利保护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在涉及现有设计抗辩的案件中，涉及三项外观设计，即现有设计、被控侵权产品外观设计和涉案专利外观设计。具体而言，可能出现如下几种情形</w:t>
      </w:r>
      <w:r>
        <w:rPr>
          <w:rFonts w:ascii="Times New Roman" w:eastAsia="宋体" w:hAnsi="Times New Roman"/>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情形</w:t>
      </w:r>
      <w:r>
        <w:rPr>
          <w:rFonts w:ascii="Times New Roman" w:eastAsia="宋体" w:hAnsi="Times New Roman" w:hint="eastAsia"/>
          <w:sz w:val="21"/>
          <w:szCs w:val="21"/>
        </w:rPr>
        <w:t>1</w:t>
      </w:r>
      <w:r>
        <w:rPr>
          <w:rFonts w:ascii="Times New Roman" w:eastAsia="宋体" w:hAnsi="Times New Roman"/>
          <w:sz w:val="21"/>
          <w:szCs w:val="21"/>
        </w:rPr>
        <w:t>：</w:t>
      </w:r>
      <w:r>
        <w:rPr>
          <w:rFonts w:ascii="Times New Roman" w:eastAsia="宋体" w:hAnsi="Times New Roman" w:hint="eastAsia"/>
          <w:sz w:val="21"/>
          <w:szCs w:val="21"/>
        </w:rPr>
        <w:t>被控侵权产品外观设计未落入涉案专利保护范围。此时，无需比较被控侵权产品外观设计与现有设计是否具有实质性差异，可直接认定侵权不成立。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情形</w:t>
      </w:r>
      <w:r>
        <w:rPr>
          <w:rFonts w:ascii="Times New Roman" w:eastAsia="宋体" w:hAnsi="Times New Roman" w:hint="eastAsia"/>
          <w:sz w:val="21"/>
          <w:szCs w:val="21"/>
        </w:rPr>
        <w:t>2</w:t>
      </w:r>
      <w:r>
        <w:rPr>
          <w:rFonts w:ascii="Times New Roman" w:eastAsia="宋体" w:hAnsi="Times New Roman"/>
          <w:sz w:val="21"/>
          <w:szCs w:val="21"/>
        </w:rPr>
        <w:t>：</w:t>
      </w:r>
      <w:r>
        <w:rPr>
          <w:rFonts w:ascii="Times New Roman" w:eastAsia="宋体" w:hAnsi="Times New Roman" w:hint="eastAsia"/>
          <w:sz w:val="21"/>
          <w:szCs w:val="21"/>
        </w:rPr>
        <w:t>被控侵权产品外观设计与现有设计没有差异，即属于相同的外观设计。这表明被控侵权产品使用的是专利申请日之前的现有设计，现有设计抗辩成立。在此情况下，无论被控侵权产品外观设计是否落入涉案专利保护范围，侵权均不成立。因此可以直接认定现有设计抗辩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情形</w:t>
      </w:r>
      <w:r>
        <w:rPr>
          <w:rFonts w:ascii="Times New Roman" w:eastAsia="宋体" w:hAnsi="Times New Roman" w:hint="eastAsia"/>
          <w:sz w:val="21"/>
          <w:szCs w:val="21"/>
        </w:rPr>
        <w:t>3</w:t>
      </w:r>
      <w:r>
        <w:rPr>
          <w:rFonts w:ascii="Times New Roman" w:eastAsia="宋体" w:hAnsi="Times New Roman"/>
          <w:sz w:val="21"/>
          <w:szCs w:val="21"/>
        </w:rPr>
        <w:t>：</w:t>
      </w:r>
      <w:r>
        <w:rPr>
          <w:rFonts w:ascii="Times New Roman" w:eastAsia="宋体" w:hAnsi="Times New Roman" w:hint="eastAsia"/>
          <w:sz w:val="21"/>
          <w:szCs w:val="21"/>
        </w:rPr>
        <w:t>被控侵权产品外观设计与现有设计相比具有实质性差异，则现有设计抗辩不成立。在此情况下，如果被控侵权产品外观设计落入涉案专利保护范围，判定侵权成立。否则，侵权不成立。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情形</w:t>
      </w:r>
      <w:r>
        <w:rPr>
          <w:rFonts w:ascii="Times New Roman" w:eastAsia="宋体" w:hAnsi="Times New Roman" w:hint="eastAsia"/>
          <w:sz w:val="21"/>
          <w:szCs w:val="21"/>
        </w:rPr>
        <w:t>4</w:t>
      </w:r>
      <w:r>
        <w:rPr>
          <w:rFonts w:ascii="Times New Roman" w:eastAsia="宋体" w:hAnsi="Times New Roman"/>
          <w:sz w:val="21"/>
          <w:szCs w:val="21"/>
        </w:rPr>
        <w:t>：</w:t>
      </w:r>
      <w:r>
        <w:rPr>
          <w:rFonts w:ascii="Times New Roman" w:eastAsia="宋体" w:hAnsi="Times New Roman" w:hint="eastAsia"/>
          <w:sz w:val="21"/>
          <w:szCs w:val="21"/>
        </w:rPr>
        <w:t>被控侵权产品外观设计落入涉案专利保护范围，且被控侵权产品外观设计与现有设计相比有较小差别。在此情况下，如果被控侵权产品使用了涉案专利区别于现有设计的具有实质性差异的不同点，则应当认定现有设计抗辩不成立，侵权成立；否则，现有设计抗辩成立，侵权不成立。在此情形下，应从如下两个方面进行分析</w:t>
      </w:r>
      <w:r>
        <w:rPr>
          <w:rFonts w:ascii="Times New Roman" w:eastAsia="宋体" w:hAnsi="Times New Roman"/>
          <w:sz w:val="21"/>
          <w:szCs w:val="21"/>
        </w:rPr>
        <w:t>：</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判断导致专利外观设计与现有设计具有实质性差异的不同点；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判断被控侵权产品是否使用了外观设计专利区别于现有设计的具有实质性差异的不同点。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w:t>
      </w:r>
      <w:r w:rsidR="00235733">
        <w:rPr>
          <w:rFonts w:ascii="Times New Roman" w:eastAsia="宋体" w:hAnsi="Times New Roman" w:hint="eastAsia"/>
          <w:sz w:val="21"/>
          <w:szCs w:val="21"/>
          <w:lang w:val="en-US"/>
        </w:rPr>
        <w:t>4</w:t>
      </w:r>
      <w:r w:rsidR="00235733">
        <w:rPr>
          <w:rFonts w:ascii="Times New Roman" w:eastAsia="宋体" w:hAnsi="Times New Roman" w:hint="eastAsia"/>
          <w:sz w:val="21"/>
          <w:szCs w:val="21"/>
          <w:lang w:val="en-US"/>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几点说明</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在适用现有设计抗辩时</w:t>
      </w:r>
      <w:r>
        <w:rPr>
          <w:rFonts w:ascii="Times New Roman" w:eastAsia="宋体" w:hAnsi="Times New Roman"/>
          <w:sz w:val="21"/>
          <w:szCs w:val="21"/>
        </w:rPr>
        <w:t>，</w:t>
      </w:r>
      <w:r>
        <w:rPr>
          <w:rFonts w:ascii="Times New Roman" w:eastAsia="宋体" w:hAnsi="Times New Roman" w:hint="eastAsia"/>
          <w:sz w:val="21"/>
          <w:szCs w:val="21"/>
        </w:rPr>
        <w:t>需要注意以下几点</w:t>
      </w:r>
      <w:r>
        <w:rPr>
          <w:rFonts w:ascii="Times New Roman" w:eastAsia="宋体" w:hAnsi="Times New Roman"/>
          <w:sz w:val="21"/>
          <w:szCs w:val="21"/>
        </w:rPr>
        <w:t>：</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现有设计抗辩的适用前提</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现有设计抗辩的适用应当依被控侵权人的请求而进行。对于现有设计的举证责任应当由被控侵权人承担</w:t>
      </w:r>
      <w:r>
        <w:rPr>
          <w:rFonts w:ascii="Times New Roman" w:eastAsia="宋体" w:hAnsi="Times New Roman"/>
          <w:sz w:val="21"/>
          <w:szCs w:val="21"/>
        </w:rPr>
        <w:t>，</w:t>
      </w:r>
      <w:r>
        <w:rPr>
          <w:rFonts w:ascii="Times New Roman" w:eastAsia="宋体" w:hAnsi="Times New Roman" w:hint="eastAsia"/>
          <w:sz w:val="21"/>
          <w:szCs w:val="21"/>
        </w:rPr>
        <w:t>管理专利工作的部门不能代替被控侵权人搜集证据。但是，如果当事人提交的证据确属涉案专利申请日之前的现有设计，管理专利工作的部门可以行使释明权。</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用于抗辩的现有设计与专利外观设计的关系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在适用现有设计抗辩时，管理专利工作的部门仅需判断被控侵权产品是否采用了现有设计，无需判定专利外观设计是否属于现有设计。</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现有设计抗辩的法律效力</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现有设计抗辩成立的判定结论仅对争议的侵权案件有效，对于其他争议案件不产生效力。</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lang w:val="en-US"/>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现有设计抗辩与设计空间</w:t>
      </w:r>
    </w:p>
    <w:p w:rsidR="00800760" w:rsidRDefault="00235733">
      <w:pPr>
        <w:widowControl w:val="0"/>
        <w:tabs>
          <w:tab w:val="left" w:leader="underscore" w:pos="1457"/>
        </w:tabs>
        <w:topLinePunct/>
        <w:jc w:val="both"/>
        <w:rPr>
          <w:rFonts w:eastAsia="黑体" w:cs="Arial"/>
          <w:color w:val="000000"/>
          <w:spacing w:val="6"/>
          <w:kern w:val="16"/>
          <w:sz w:val="28"/>
          <w:szCs w:val="28"/>
        </w:rPr>
      </w:pPr>
      <w:r>
        <w:rPr>
          <w:rFonts w:hint="eastAsia"/>
          <w:color w:val="000000"/>
          <w:szCs w:val="21"/>
        </w:rPr>
        <w:t>在涉及现有设计抗辩的外观设计专利侵权纠纷处理中，办案人员需要确定产品的设计空间，即判断产品可以进行外观设计变化的内容。其目的是确定对于整体视觉效果更具有影响的设计内容。现有设计抗辩的判断是在考虑设计空间的基础上，将被控侵权产品外观设计与抗辩人提交的现有设计进行一对一的比较分析，目的是确认被控侵权产品是否采用的现有设计。</w:t>
      </w:r>
    </w:p>
    <w:p w:rsidR="00800760" w:rsidRDefault="00235733">
      <w:pPr>
        <w:pStyle w:val="1"/>
        <w:pageBreakBefore/>
      </w:pPr>
      <w:bookmarkStart w:id="2658" w:name="_Toc229114379"/>
      <w:bookmarkStart w:id="2659" w:name="_Toc229225475"/>
      <w:bookmarkEnd w:id="1802"/>
      <w:bookmarkEnd w:id="1803"/>
      <w:r>
        <w:rPr>
          <w:rFonts w:hint="eastAsia"/>
        </w:rPr>
        <w:t>第四章　证据</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2658"/>
      <w:bookmarkEnd w:id="2659"/>
    </w:p>
    <w:p w:rsidR="00800760" w:rsidRDefault="00235733">
      <w:pPr>
        <w:pStyle w:val="2"/>
        <w:ind w:firstLineChars="0" w:firstLine="0"/>
        <w:rPr>
          <w:rFonts w:ascii="Times New Roman" w:hAnsi="Times New Roman"/>
        </w:rPr>
      </w:pPr>
      <w:bookmarkStart w:id="2660" w:name="_Toc20186"/>
      <w:bookmarkStart w:id="2661" w:name="_Toc16169"/>
      <w:bookmarkStart w:id="2662" w:name="_Toc3904"/>
      <w:bookmarkStart w:id="2663" w:name="_Toc12466"/>
      <w:bookmarkStart w:id="2664" w:name="_Toc11720"/>
      <w:bookmarkStart w:id="2665" w:name="_Toc3812"/>
      <w:bookmarkStart w:id="2666" w:name="_Toc16712"/>
      <w:bookmarkStart w:id="2667" w:name="_Toc29893"/>
      <w:bookmarkStart w:id="2668" w:name="_Toc19738"/>
      <w:bookmarkStart w:id="2669" w:name="_Toc4610"/>
      <w:bookmarkStart w:id="2670" w:name="_Toc11734"/>
      <w:bookmarkStart w:id="2671" w:name="_Toc28082"/>
      <w:bookmarkStart w:id="2672" w:name="_Toc20032"/>
      <w:bookmarkStart w:id="2673" w:name="_Toc311"/>
      <w:bookmarkStart w:id="2674" w:name="_Toc19757"/>
      <w:bookmarkStart w:id="2675" w:name="_Toc229114380"/>
      <w:bookmarkStart w:id="2676" w:name="_Toc4869"/>
      <w:bookmarkStart w:id="2677" w:name="_Toc18638"/>
      <w:bookmarkStart w:id="2678" w:name="_Toc21728"/>
      <w:bookmarkStart w:id="2679" w:name="_Toc7400"/>
      <w:bookmarkStart w:id="2680" w:name="_Toc9809"/>
      <w:bookmarkStart w:id="2681" w:name="_Toc25901"/>
      <w:bookmarkStart w:id="2682" w:name="_Toc6063"/>
      <w:bookmarkStart w:id="2683" w:name="_Toc29364"/>
      <w:bookmarkStart w:id="2684" w:name="_Toc21740"/>
      <w:bookmarkStart w:id="2685" w:name="_Toc13481"/>
      <w:bookmarkStart w:id="2686" w:name="_Toc7588"/>
      <w:bookmarkStart w:id="2687" w:name="_Toc1675"/>
      <w:bookmarkStart w:id="2688" w:name="_Toc28129"/>
      <w:bookmarkStart w:id="2689" w:name="_Toc2661"/>
      <w:bookmarkStart w:id="2690" w:name="_Toc14934"/>
      <w:bookmarkStart w:id="2691" w:name="_Toc31307"/>
      <w:bookmarkStart w:id="2692" w:name="_Toc21823"/>
      <w:bookmarkStart w:id="2693" w:name="_Toc14115"/>
      <w:bookmarkStart w:id="2694" w:name="_Toc5867"/>
      <w:bookmarkStart w:id="2695" w:name="_Toc5328"/>
      <w:bookmarkStart w:id="2696" w:name="_Toc22422"/>
      <w:bookmarkStart w:id="2697" w:name="_Toc27226"/>
      <w:bookmarkStart w:id="2698" w:name="_Toc27208"/>
      <w:bookmarkStart w:id="2699" w:name="_Toc16879"/>
      <w:bookmarkStart w:id="2700" w:name="_Toc229225476"/>
      <w:r>
        <w:rPr>
          <w:rFonts w:ascii="Times New Roman" w:hAnsi="Times New Roman" w:hint="eastAsia"/>
        </w:rPr>
        <w:t>第一节　基本概念</w:t>
      </w:r>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p>
    <w:p w:rsidR="00800760" w:rsidRDefault="00235733">
      <w:pPr>
        <w:pStyle w:val="3"/>
        <w:spacing w:before="240"/>
        <w:ind w:firstLine="444"/>
        <w:rPr>
          <w:rFonts w:ascii="Times New Roman" w:hAnsi="Times New Roman"/>
        </w:rPr>
      </w:pPr>
      <w:bookmarkStart w:id="2701" w:name="_Toc28641"/>
      <w:bookmarkStart w:id="2702" w:name="_Toc19216"/>
      <w:bookmarkStart w:id="2703" w:name="_Toc22131"/>
      <w:bookmarkStart w:id="2704" w:name="_Toc29824"/>
      <w:bookmarkStart w:id="2705" w:name="_Toc19994"/>
      <w:bookmarkStart w:id="2706" w:name="_Toc23319"/>
      <w:bookmarkStart w:id="2707" w:name="_Toc13476"/>
      <w:bookmarkStart w:id="2708" w:name="_Toc24371"/>
      <w:bookmarkStart w:id="2709" w:name="_Toc12025"/>
      <w:bookmarkStart w:id="2710" w:name="_Toc16950"/>
      <w:bookmarkStart w:id="2711" w:name="_Toc14905"/>
      <w:bookmarkStart w:id="2712" w:name="_Toc6221"/>
      <w:bookmarkStart w:id="2713" w:name="_Toc28832"/>
      <w:bookmarkStart w:id="2714" w:name="_Toc13958"/>
      <w:bookmarkStart w:id="2715" w:name="_Toc27963"/>
      <w:bookmarkStart w:id="2716" w:name="_Toc26115"/>
      <w:bookmarkStart w:id="2717" w:name="_Toc28162"/>
      <w:bookmarkStart w:id="2718" w:name="_Toc22185"/>
      <w:bookmarkStart w:id="2719" w:name="_Toc28335"/>
      <w:bookmarkStart w:id="2720" w:name="_Toc24899"/>
      <w:bookmarkStart w:id="2721" w:name="_Toc229114381"/>
      <w:bookmarkStart w:id="2722" w:name="_Toc27085"/>
      <w:bookmarkStart w:id="2723" w:name="_Toc14110"/>
      <w:bookmarkStart w:id="2724" w:name="_Toc30146"/>
      <w:bookmarkStart w:id="2725" w:name="_Toc9881"/>
      <w:bookmarkStart w:id="2726" w:name="_Toc14937"/>
      <w:bookmarkStart w:id="2727" w:name="_Toc6548"/>
      <w:bookmarkStart w:id="2728" w:name="_Toc14318"/>
      <w:bookmarkStart w:id="2729" w:name="_Toc21673"/>
      <w:bookmarkStart w:id="2730" w:name="_Toc3352"/>
      <w:bookmarkStart w:id="2731" w:name="_Toc7908"/>
      <w:bookmarkStart w:id="2732" w:name="_Toc21455"/>
      <w:bookmarkStart w:id="2733" w:name="_Toc31588"/>
      <w:bookmarkStart w:id="2734" w:name="_Toc6733"/>
      <w:bookmarkStart w:id="2735" w:name="_Toc28980"/>
      <w:bookmarkStart w:id="2736" w:name="_Toc19647"/>
      <w:bookmarkStart w:id="2737" w:name="_Toc25386"/>
      <w:bookmarkStart w:id="2738" w:name="_Toc7549"/>
      <w:bookmarkStart w:id="2739" w:name="_Toc26273"/>
      <w:bookmarkStart w:id="2740" w:name="_Toc229225477"/>
      <w:r>
        <w:rPr>
          <w:rFonts w:ascii="Times New Roman" w:hAnsi="Times New Roman" w:hint="eastAsia"/>
        </w:rPr>
        <w:t>一、证据资格</w:t>
      </w:r>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证据资格，又称证据能力、证据的可采性。它是指证据作为定案的根据时应当具有的性质，是证据材料作为证据的能力。证据资格通常主要指证据的“三性”：真实性（客观性）、合法性、关联性。</w:t>
      </w:r>
    </w:p>
    <w:p w:rsidR="00800760" w:rsidRDefault="00235733">
      <w:pPr>
        <w:pStyle w:val="4"/>
        <w:spacing w:before="240"/>
        <w:ind w:firstLine="444"/>
        <w:rPr>
          <w:rFonts w:ascii="Times New Roman" w:hAnsi="Times New Roman"/>
        </w:rPr>
      </w:pPr>
      <w:r>
        <w:rPr>
          <w:rFonts w:ascii="Times New Roman" w:hAnsi="Times New Roman" w:hint="eastAsia"/>
        </w:rPr>
        <w:t>（一）证据的真实性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证据的真实性，也叫作证据的客观性，是指证据所反映的内容应当是真实的、客观存在的。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案件处理中，应当根据案件的具体情况，从以下方面审查证据的真实性：</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证据形成的原因和方式；</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发现证据时的客观环境；</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证据是否为原件、原物，复制件、复制品与原件、原物是否相符；</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提供证据的人或者证人与当事人是否具有利害关系；</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影响证据真实性的其他因素。</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需要注意，证据资格中所指的真实性是指形式上的真实性，即用于证明案件事实的证据必须在形式上或表面上是真实的。若完全虚假或者伪造，则不得被采纳。证据在实质上的真实程度，是指证据内容的可靠性大小，属于判断其证明力的范畴。</w:t>
      </w:r>
    </w:p>
    <w:p w:rsidR="00800760" w:rsidRDefault="00235733">
      <w:pPr>
        <w:pStyle w:val="4"/>
        <w:spacing w:before="240"/>
        <w:ind w:firstLine="444"/>
        <w:rPr>
          <w:rFonts w:ascii="Times New Roman" w:hAnsi="Times New Roman"/>
        </w:rPr>
      </w:pPr>
      <w:r>
        <w:rPr>
          <w:rFonts w:ascii="Times New Roman" w:hAnsi="Times New Roman" w:hint="eastAsia"/>
        </w:rPr>
        <w:t>（二）证据的合法性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证据的合法性，是指提供证据的主体、证据的形式和证据的收集程序或提取方法必须符合法律的有关规定。不按照法定程序提供、调查收集的证据一般无法作为认定案件事实的根据。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证据的合法性主要从以下方面审查：</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证据是否符合法定形式；</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证据的取得是否符合法律、法规、司法解释和规章的要求；</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是否有影响证据效力的其他违法情形。</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需要注意，对违反法定程序收集的证据，需具体情形具体分析。对严重违反法定程序收集的证据，应当坚决否定其证据能力；对那些虽违反程序，但仅属于程序瑕疵，既不影响对当事人权利的保障，也不破坏程序公正性的情形，应承认其证据的证据能力，以利于查清事实，提高效率。</w:t>
      </w:r>
    </w:p>
    <w:p w:rsidR="00800760" w:rsidRDefault="00235733">
      <w:pPr>
        <w:pStyle w:val="4"/>
        <w:spacing w:before="240"/>
        <w:ind w:firstLine="444"/>
        <w:rPr>
          <w:rFonts w:ascii="Times New Roman" w:hAnsi="Times New Roman"/>
        </w:rPr>
      </w:pPr>
      <w:r>
        <w:rPr>
          <w:rFonts w:ascii="Times New Roman" w:hAnsi="Times New Roman" w:hint="eastAsia"/>
        </w:rPr>
        <w:t>（三）证据的关联性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据的关联性，是指证据必须与案件所要查明的事实存在逻辑上的联系，能以其自身的存在单独或与其他事实一起证明案件事实。如果作为证据的事实与要证明的事实之间没有联系，即使它是真实的，也不能作为证明争议事实的证据。</w:t>
      </w:r>
    </w:p>
    <w:p w:rsidR="00800760" w:rsidRDefault="00235733">
      <w:pPr>
        <w:pStyle w:val="3"/>
        <w:topLinePunct/>
        <w:spacing w:before="240"/>
        <w:ind w:firstLine="444"/>
        <w:rPr>
          <w:rFonts w:ascii="Times New Roman" w:hAnsi="Times New Roman"/>
        </w:rPr>
      </w:pPr>
      <w:bookmarkStart w:id="2741" w:name="_Toc9672"/>
      <w:bookmarkStart w:id="2742" w:name="_Toc21733"/>
      <w:bookmarkStart w:id="2743" w:name="_Toc10487"/>
      <w:bookmarkStart w:id="2744" w:name="_Toc16555"/>
      <w:bookmarkStart w:id="2745" w:name="_Toc10418"/>
      <w:bookmarkStart w:id="2746" w:name="_Toc11336"/>
      <w:bookmarkStart w:id="2747" w:name="_Toc29107"/>
      <w:bookmarkStart w:id="2748" w:name="_Toc24842"/>
      <w:bookmarkStart w:id="2749" w:name="_Toc2209"/>
      <w:bookmarkStart w:id="2750" w:name="_Toc752"/>
      <w:bookmarkStart w:id="2751" w:name="_Toc25058"/>
      <w:bookmarkStart w:id="2752" w:name="_Toc16892"/>
      <w:bookmarkStart w:id="2753" w:name="_Toc21774"/>
      <w:bookmarkStart w:id="2754" w:name="_Toc15433"/>
      <w:bookmarkStart w:id="2755" w:name="_Toc25015"/>
      <w:bookmarkStart w:id="2756" w:name="_Toc16104"/>
      <w:bookmarkStart w:id="2757" w:name="_Toc27611"/>
      <w:bookmarkStart w:id="2758" w:name="_Toc1542"/>
      <w:bookmarkStart w:id="2759" w:name="_Toc26103"/>
      <w:bookmarkStart w:id="2760" w:name="_Toc29316"/>
      <w:bookmarkStart w:id="2761" w:name="_Toc31319"/>
      <w:bookmarkStart w:id="2762" w:name="_Toc7187"/>
      <w:bookmarkStart w:id="2763" w:name="_Toc13178"/>
      <w:bookmarkStart w:id="2764" w:name="_Toc11766"/>
      <w:bookmarkStart w:id="2765" w:name="_Toc18814"/>
      <w:bookmarkStart w:id="2766" w:name="_Toc18419"/>
      <w:bookmarkStart w:id="2767" w:name="_Toc4932"/>
      <w:bookmarkStart w:id="2768" w:name="_Toc25225"/>
      <w:bookmarkStart w:id="2769" w:name="_Toc10636"/>
      <w:bookmarkStart w:id="2770" w:name="_Toc5078"/>
      <w:bookmarkStart w:id="2771" w:name="_Toc26956"/>
      <w:bookmarkStart w:id="2772" w:name="_Toc2434"/>
      <w:bookmarkStart w:id="2773" w:name="_Toc25624"/>
      <w:bookmarkStart w:id="2774" w:name="_Toc229114382"/>
      <w:bookmarkStart w:id="2775" w:name="_Toc30488"/>
      <w:bookmarkStart w:id="2776" w:name="_Toc15232"/>
      <w:bookmarkStart w:id="2777" w:name="_Toc26399"/>
      <w:bookmarkStart w:id="2778" w:name="_Toc23546"/>
      <w:bookmarkStart w:id="2779" w:name="_Toc8939"/>
      <w:bookmarkStart w:id="2780" w:name="_Toc229225478"/>
      <w:r>
        <w:rPr>
          <w:rFonts w:ascii="Times New Roman" w:hAnsi="Times New Roman" w:hint="eastAsia"/>
        </w:rPr>
        <w:t>二、证明力</w:t>
      </w:r>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明力是指具有证据能力的证据对案件的证明程度的大小。证明力越大，证据对案件事实的证明作用越大。证据的证明力取决于证据同案件事实的客观、内在联系及其联系的紧密程度。一般而言，同案件事实存在直接的内在联系的证据，其证明力较大；反之其证明力较小。</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证明力的判断可以考虑以下几方面：</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原始证据的证明力大于传来证据；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直接证据的证明力大于间接证据；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物证、历史档案、鉴定结论、勘验笔录或者经过公证、登记的书证的证明力一般高于其他书证、视听资料和证人证言；</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证人提供的对与其有亲属或者其他密切关系的当事人有利的证言，其证明力一般小于其他证人证言。</w:t>
      </w:r>
    </w:p>
    <w:p w:rsidR="00800760" w:rsidRDefault="00235733">
      <w:pPr>
        <w:pStyle w:val="3"/>
        <w:topLinePunct/>
        <w:spacing w:before="240"/>
        <w:ind w:firstLine="444"/>
        <w:rPr>
          <w:rFonts w:ascii="Times New Roman" w:hAnsi="Times New Roman"/>
        </w:rPr>
      </w:pPr>
      <w:bookmarkStart w:id="2781" w:name="_Toc13129"/>
      <w:bookmarkStart w:id="2782" w:name="_Toc11157"/>
      <w:bookmarkStart w:id="2783" w:name="_Toc16646"/>
      <w:bookmarkStart w:id="2784" w:name="_Toc20478"/>
      <w:bookmarkStart w:id="2785" w:name="_Toc29105"/>
      <w:bookmarkStart w:id="2786" w:name="_Toc7303"/>
      <w:bookmarkStart w:id="2787" w:name="_Toc533"/>
      <w:bookmarkStart w:id="2788" w:name="_Toc18154"/>
      <w:bookmarkStart w:id="2789" w:name="_Toc13598"/>
      <w:bookmarkStart w:id="2790" w:name="_Toc3258"/>
      <w:bookmarkStart w:id="2791" w:name="_Toc29797"/>
      <w:bookmarkStart w:id="2792" w:name="_Toc652"/>
      <w:bookmarkStart w:id="2793" w:name="_Toc2061"/>
      <w:bookmarkStart w:id="2794" w:name="_Toc30425"/>
      <w:bookmarkStart w:id="2795" w:name="_Toc10127"/>
      <w:bookmarkStart w:id="2796" w:name="_Toc29805"/>
      <w:bookmarkStart w:id="2797" w:name="_Toc1405"/>
      <w:bookmarkStart w:id="2798" w:name="_Toc15436"/>
      <w:bookmarkStart w:id="2799" w:name="_Toc1171"/>
      <w:bookmarkStart w:id="2800" w:name="_Toc6938"/>
      <w:bookmarkStart w:id="2801" w:name="_Toc31322"/>
      <w:bookmarkStart w:id="2802" w:name="_Toc10904"/>
      <w:bookmarkStart w:id="2803" w:name="_Toc17940"/>
      <w:bookmarkStart w:id="2804" w:name="_Toc19970"/>
      <w:bookmarkStart w:id="2805" w:name="_Toc9973"/>
      <w:bookmarkStart w:id="2806" w:name="_Toc25710"/>
      <w:bookmarkStart w:id="2807" w:name="_Toc7108"/>
      <w:bookmarkStart w:id="2808" w:name="_Toc14038"/>
      <w:bookmarkStart w:id="2809" w:name="_Toc14298"/>
      <w:bookmarkStart w:id="2810" w:name="_Toc8738"/>
      <w:bookmarkStart w:id="2811" w:name="_Toc25435"/>
      <w:bookmarkStart w:id="2812" w:name="_Toc9102"/>
      <w:bookmarkStart w:id="2813" w:name="_Toc20818"/>
      <w:bookmarkStart w:id="2814" w:name="_Toc21672"/>
      <w:bookmarkStart w:id="2815" w:name="_Toc229114383"/>
      <w:bookmarkStart w:id="2816" w:name="_Toc23527"/>
      <w:bookmarkStart w:id="2817" w:name="_Toc23350"/>
      <w:bookmarkStart w:id="2818" w:name="_Toc5014"/>
      <w:bookmarkStart w:id="2819" w:name="_Toc28320"/>
      <w:bookmarkStart w:id="2820" w:name="_Toc229225479"/>
      <w:r>
        <w:rPr>
          <w:rFonts w:ascii="Times New Roman" w:hAnsi="Times New Roman" w:hint="eastAsia"/>
        </w:rPr>
        <w:t>三、现有技术或者现有设计的公开性</w:t>
      </w:r>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在专利侵权纠纷案件中，被请求人有权主张被控侵权技术方案或者设计是现有技术或者现有设计，即申请日</w:t>
      </w:r>
      <w:r>
        <w:rPr>
          <w:rFonts w:ascii="Times New Roman" w:eastAsia="宋体" w:hAnsi="Times New Roman"/>
          <w:sz w:val="21"/>
          <w:szCs w:val="21"/>
        </w:rPr>
        <w:t>（</w:t>
      </w:r>
      <w:r>
        <w:rPr>
          <w:rFonts w:ascii="Times New Roman" w:eastAsia="宋体" w:hAnsi="Times New Roman" w:hint="eastAsia"/>
          <w:sz w:val="21"/>
          <w:szCs w:val="21"/>
        </w:rPr>
        <w:t>有优先权的，指优先权日</w:t>
      </w:r>
      <w:r>
        <w:rPr>
          <w:rFonts w:ascii="Times New Roman" w:eastAsia="宋体" w:hAnsi="Times New Roman"/>
          <w:sz w:val="21"/>
          <w:szCs w:val="21"/>
        </w:rPr>
        <w:t>）</w:t>
      </w:r>
      <w:r>
        <w:rPr>
          <w:rFonts w:ascii="Times New Roman" w:eastAsia="宋体" w:hAnsi="Times New Roman" w:hint="eastAsia"/>
          <w:sz w:val="21"/>
          <w:szCs w:val="21"/>
        </w:rPr>
        <w:t>以前在国内外为公众所知的技术或者设计。申请日</w:t>
      </w:r>
      <w:r>
        <w:rPr>
          <w:rFonts w:ascii="Times New Roman" w:eastAsia="宋体" w:hAnsi="Times New Roman"/>
          <w:sz w:val="21"/>
          <w:szCs w:val="21"/>
        </w:rPr>
        <w:t>（</w:t>
      </w:r>
      <w:r>
        <w:rPr>
          <w:rFonts w:ascii="Times New Roman" w:eastAsia="宋体" w:hAnsi="Times New Roman" w:hint="eastAsia"/>
          <w:sz w:val="21"/>
          <w:szCs w:val="21"/>
        </w:rPr>
        <w:t>有优先权的，指优先权日</w:t>
      </w:r>
      <w:r>
        <w:rPr>
          <w:rFonts w:ascii="Times New Roman" w:eastAsia="宋体" w:hAnsi="Times New Roman"/>
          <w:sz w:val="21"/>
          <w:szCs w:val="21"/>
        </w:rPr>
        <w:t>）</w:t>
      </w:r>
      <w:r>
        <w:rPr>
          <w:rFonts w:ascii="Times New Roman" w:eastAsia="宋体" w:hAnsi="Times New Roman" w:hint="eastAsia"/>
          <w:sz w:val="21"/>
          <w:szCs w:val="21"/>
        </w:rPr>
        <w:t>前在国内外出版物上公开发表、在国内外公开使用或者以其他方式为公众所知构成现有技术或者现有设计的公开性。</w:t>
      </w:r>
    </w:p>
    <w:p w:rsidR="00800760" w:rsidRDefault="00235733">
      <w:pPr>
        <w:pStyle w:val="12"/>
        <w:topLinePunct/>
        <w:spacing w:line="336" w:lineRule="auto"/>
        <w:ind w:firstLine="420"/>
        <w:rPr>
          <w:rFonts w:ascii="Times New Roman" w:eastAsia="宋体" w:hAnsi="Times New Roman"/>
          <w:sz w:val="21"/>
          <w:szCs w:val="21"/>
          <w:shd w:val="pct15" w:color="auto" w:fill="FFFFFF"/>
        </w:rPr>
      </w:pPr>
      <w:r>
        <w:rPr>
          <w:rFonts w:ascii="Times New Roman" w:eastAsia="宋体" w:hAnsi="Times New Roman" w:hint="eastAsia"/>
          <w:sz w:val="21"/>
          <w:szCs w:val="21"/>
        </w:rPr>
        <w:t>现有技术或者现有设计的公开性包括两层含义：一是公开，二是必须在申请日（有优先权的，指优先权日；不含申请日当天）之前公开。所谓公开，是指处于公众能够得知涉及的实质性技术内容或设计的状态。处于保密状态的技术或者设计内容不属于现有技术或者现有设计。所谓保密状态，不仅包括受保密规定或协议约束的情形，还包括社会观念或者商业习惯上被认为应当承担保密义务的情形（默契保密）。负有保密义务的人违反规定、协议或者默契泄露秘密，导致技术内容或者设计公开，使公众能够得知这些技术或者设计的，这些技术或者设计也就构成了现有技术的一部分。</w:t>
      </w:r>
    </w:p>
    <w:p w:rsidR="00800760" w:rsidRDefault="00235733">
      <w:pPr>
        <w:pStyle w:val="4"/>
        <w:spacing w:before="240"/>
        <w:ind w:firstLine="444"/>
        <w:rPr>
          <w:rFonts w:ascii="Times New Roman" w:hAnsi="Times New Roman"/>
        </w:rPr>
      </w:pPr>
      <w:r>
        <w:rPr>
          <w:rFonts w:ascii="Times New Roman" w:hAnsi="Times New Roman" w:hint="eastAsia"/>
        </w:rPr>
        <w:t>（一）公开出版物构成现有技术或者现有设计的证据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专利法意义上的公开出版物，是指记载有技术或者设计内容的独立存在的传播载体，并且其上应当记载有或者有证据证明其发表者或出版者以及公开发表或出版的时间。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法意义上的公开出版物不仅包括由出版社、报社或杂志社出版的专利文献、书籍、期刊、文集、报纸等，也包括正式公布的会议记录或报告、产品样本、产品目录、小册子等。作为公开出版物的载体可以是印刷或打字的纸件，也可以是诸如光盘、影像资料等以电子信息方式存储的载体，还可以是诸如存在于互联网或其他在线数据库等中以其他形式存在的资料。需要注意，对于产品样本、手册、宣传册、产品目录、会议资料等，只有通过证明其被“正式公布”，处于公众可以获得的状态，才具有公开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通常情况下，国家标准、行业标准和地方标准属于专利法意义上的公开出版物。一般情况下，企业标准是内部标准，在没有证据证明其属于公众想得知就能得知的情况下，不属于公开出版物。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对于公开出版物，要注意核查其公开时间是否在专利申请日</w:t>
      </w:r>
      <w:r>
        <w:rPr>
          <w:rFonts w:ascii="Times New Roman" w:eastAsia="宋体" w:hAnsi="Times New Roman"/>
          <w:sz w:val="21"/>
          <w:szCs w:val="21"/>
        </w:rPr>
        <w:t>（</w:t>
      </w:r>
      <w:r>
        <w:rPr>
          <w:rFonts w:ascii="Times New Roman" w:eastAsia="宋体" w:hAnsi="Times New Roman" w:hint="eastAsia"/>
          <w:sz w:val="21"/>
          <w:szCs w:val="21"/>
        </w:rPr>
        <w:t>有优先权的，指优先权日</w:t>
      </w:r>
      <w:r>
        <w:rPr>
          <w:rFonts w:ascii="Times New Roman" w:eastAsia="宋体" w:hAnsi="Times New Roman"/>
          <w:sz w:val="21"/>
          <w:szCs w:val="21"/>
        </w:rPr>
        <w:t>）</w:t>
      </w:r>
      <w:r>
        <w:rPr>
          <w:rFonts w:ascii="Times New Roman" w:eastAsia="宋体" w:hAnsi="Times New Roman" w:hint="eastAsia"/>
          <w:sz w:val="21"/>
          <w:szCs w:val="21"/>
        </w:rPr>
        <w:t>前。一般情况下，出版物的印刷日视为公开日，有其他证据证明其公开日的除外。印刷日只写明年月或者年份的，以所写月份的最后一日或者所写年份的</w:t>
      </w:r>
      <w:r>
        <w:rPr>
          <w:rFonts w:ascii="Times New Roman" w:eastAsia="宋体" w:hAnsi="Times New Roman"/>
          <w:sz w:val="21"/>
          <w:szCs w:val="21"/>
        </w:rPr>
        <w:t>12</w:t>
      </w:r>
      <w:r>
        <w:rPr>
          <w:rFonts w:ascii="Times New Roman" w:eastAsia="宋体" w:hAnsi="Times New Roman" w:hint="eastAsia"/>
          <w:sz w:val="21"/>
          <w:szCs w:val="21"/>
        </w:rPr>
        <w:t>月</w:t>
      </w:r>
      <w:r>
        <w:rPr>
          <w:rFonts w:ascii="Times New Roman" w:eastAsia="宋体" w:hAnsi="Times New Roman"/>
          <w:sz w:val="21"/>
          <w:szCs w:val="21"/>
        </w:rPr>
        <w:t>31</w:t>
      </w:r>
      <w:r>
        <w:rPr>
          <w:rFonts w:ascii="Times New Roman" w:eastAsia="宋体" w:hAnsi="Times New Roman" w:hint="eastAsia"/>
          <w:sz w:val="21"/>
          <w:szCs w:val="21"/>
        </w:rPr>
        <w:t>日为公开日。</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管理专利工作的部门认为出版物的公开日期存在疑义的，可以要求该出版物证据的提交人提出证明。</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4-1-1</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某侵权纠纷案中，涉案专利申请日为</w:t>
      </w:r>
      <w:r>
        <w:rPr>
          <w:rFonts w:ascii="Times New Roman" w:eastAsia="楷体_GB2312" w:hAnsi="Times New Roman" w:hint="eastAsia"/>
          <w:sz w:val="21"/>
          <w:szCs w:val="21"/>
        </w:rPr>
        <w:t>2001</w:t>
      </w:r>
      <w:r>
        <w:rPr>
          <w:rFonts w:ascii="Times New Roman" w:eastAsia="楷体_GB2312" w:hAnsi="Times New Roman" w:hint="eastAsia"/>
          <w:sz w:val="21"/>
          <w:szCs w:val="21"/>
        </w:rPr>
        <w:t>年</w:t>
      </w:r>
      <w:r>
        <w:rPr>
          <w:rFonts w:ascii="Times New Roman" w:eastAsia="楷体_GB2312" w:hAnsi="Times New Roman" w:hint="eastAsia"/>
          <w:sz w:val="21"/>
          <w:szCs w:val="21"/>
        </w:rPr>
        <w:t>6</w:t>
      </w:r>
      <w:r>
        <w:rPr>
          <w:rFonts w:ascii="Times New Roman" w:eastAsia="楷体_GB2312" w:hAnsi="Times New Roman" w:hint="eastAsia"/>
          <w:sz w:val="21"/>
          <w:szCs w:val="21"/>
        </w:rPr>
        <w:t>月</w:t>
      </w:r>
      <w:r>
        <w:rPr>
          <w:rFonts w:ascii="Times New Roman" w:eastAsia="楷体_GB2312" w:hAnsi="Times New Roman" w:hint="eastAsia"/>
          <w:sz w:val="21"/>
          <w:szCs w:val="21"/>
        </w:rPr>
        <w:t>30</w:t>
      </w:r>
      <w:r>
        <w:rPr>
          <w:rFonts w:ascii="Times New Roman" w:eastAsia="楷体_GB2312" w:hAnsi="Times New Roman" w:hint="eastAsia"/>
          <w:sz w:val="21"/>
          <w:szCs w:val="21"/>
        </w:rPr>
        <w:t>日。被请求人提交了《</w:t>
      </w:r>
      <w:r>
        <w:rPr>
          <w:rFonts w:ascii="Times New Roman" w:eastAsia="楷体_GB2312" w:hAnsi="Times New Roman" w:hint="eastAsia"/>
          <w:sz w:val="21"/>
          <w:szCs w:val="21"/>
        </w:rPr>
        <w:t>2000</w:t>
      </w:r>
      <w:r>
        <w:rPr>
          <w:rFonts w:ascii="Times New Roman" w:eastAsia="楷体_GB2312" w:hAnsi="Times New Roman" w:hint="eastAsia"/>
          <w:sz w:val="21"/>
          <w:szCs w:val="21"/>
        </w:rPr>
        <w:t>进口设备汇编》一书作为现有技术抗辩证据。该书没有记载出版时间和印刷时间，“前言”部分的落款时间为</w:t>
      </w:r>
      <w:r>
        <w:rPr>
          <w:rFonts w:ascii="Times New Roman" w:eastAsia="楷体_GB2312" w:hAnsi="Times New Roman" w:hint="eastAsia"/>
          <w:sz w:val="21"/>
          <w:szCs w:val="21"/>
        </w:rPr>
        <w:t>2001</w:t>
      </w:r>
      <w:r>
        <w:rPr>
          <w:rFonts w:ascii="Times New Roman" w:eastAsia="楷体_GB2312" w:hAnsi="Times New Roman" w:hint="eastAsia"/>
          <w:sz w:val="21"/>
          <w:szCs w:val="21"/>
        </w:rPr>
        <w:t>年</w:t>
      </w:r>
      <w:r>
        <w:rPr>
          <w:rFonts w:ascii="Times New Roman" w:eastAsia="楷体_GB2312" w:hAnsi="Times New Roman" w:hint="eastAsia"/>
          <w:sz w:val="21"/>
          <w:szCs w:val="21"/>
        </w:rPr>
        <w:t>4</w:t>
      </w:r>
      <w:r>
        <w:rPr>
          <w:rFonts w:ascii="Times New Roman" w:eastAsia="楷体_GB2312" w:hAnsi="Times New Roman" w:hint="eastAsia"/>
          <w:sz w:val="21"/>
          <w:szCs w:val="21"/>
        </w:rPr>
        <w:t>月</w:t>
      </w:r>
      <w:r>
        <w:rPr>
          <w:rFonts w:ascii="Times New Roman" w:eastAsia="楷体_GB2312" w:hAnsi="Times New Roman" w:hint="eastAsia"/>
          <w:sz w:val="21"/>
          <w:szCs w:val="21"/>
        </w:rPr>
        <w:t>22</w:t>
      </w:r>
      <w:r>
        <w:rPr>
          <w:rFonts w:ascii="Times New Roman" w:eastAsia="楷体_GB2312" w:hAnsi="Times New Roman" w:hint="eastAsia"/>
          <w:sz w:val="21"/>
          <w:szCs w:val="21"/>
        </w:rPr>
        <w:t>日，被请求人主张以此为公开日。</w:t>
      </w:r>
    </w:p>
    <w:p w:rsidR="00800760" w:rsidRDefault="00235733">
      <w:pPr>
        <w:pStyle w:val="12"/>
        <w:ind w:firstLine="420"/>
        <w:rPr>
          <w:rFonts w:ascii="华文隶书" w:eastAsia="华文隶书"/>
          <w:sz w:val="21"/>
          <w:szCs w:val="21"/>
        </w:rPr>
      </w:pPr>
      <w:r>
        <w:rPr>
          <w:rFonts w:ascii="华文隶书" w:eastAsia="华文隶书"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前言”部分的落款时间仅表明编辑完成“前言”部分的时间，并不排除例如该书编辑做好“前言”后搁置较长时间才印刷出版的可能性。所以，在没有其他证据予以佐证的情况下，并不能确定该书印刷时间和出版时间，也不能推定出其公开时间在涉案专利申请日前。因此不能认定该书所载内容构成涉案专利的现有技术。</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4-1-2</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某侵权纠纷案中，被请求人提交了青岛某食品有限公司在青岛市质量技术监督局备案的某食品企业标准，用以证明其为现有技术。</w:t>
      </w:r>
    </w:p>
    <w:p w:rsidR="00800760" w:rsidRDefault="00235733">
      <w:pPr>
        <w:pStyle w:val="12"/>
        <w:ind w:firstLine="420"/>
        <w:rPr>
          <w:rFonts w:ascii="华文隶书" w:eastAsia="华文隶书"/>
          <w:sz w:val="21"/>
          <w:szCs w:val="21"/>
        </w:rPr>
      </w:pPr>
      <w:r>
        <w:rPr>
          <w:rFonts w:ascii="华文隶书" w:eastAsia="华文隶书"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首先，企业标准是企业组织生产、经营活动的依据，目的在于企业内生产和质量控制，其效力仅及于企业本身。其次，企业标准所规范的内容往往与企业掌握的核心技术有关，还可能涉及其技术秘密，因此，通常情况下不对外公布，备案后发布的通常是企业产品标准目录，而不是标准的具体内容，而且公众不能从备案机关获得该标准的文本。本案中并没有证据证明在涉案专利申请日前该企业标准已经公开，因此该证据不能作为现有技术证据使用。</w:t>
      </w:r>
    </w:p>
    <w:p w:rsidR="00800760" w:rsidRDefault="00235733">
      <w:pPr>
        <w:pStyle w:val="4"/>
        <w:spacing w:before="240"/>
        <w:ind w:firstLine="444"/>
        <w:rPr>
          <w:rFonts w:ascii="Times New Roman" w:hAnsi="Times New Roman"/>
        </w:rPr>
      </w:pPr>
      <w:r>
        <w:rPr>
          <w:rFonts w:ascii="Times New Roman" w:hAnsi="Times New Roman" w:hint="eastAsia"/>
        </w:rPr>
        <w:t>（二）使用公开构成现有技术或者现有设计的证据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使用公开是指使用（如制造、使用、销售、进口、交换、馈赠、演示、展出等方式）而导致技术方案或者设计公开或者处于公众可以得知的状态。对于当事人主张使用公开构成现有技术或者现有设计的，管理专利工作的部门需核实相关证据链的完整性，以及技术内容或者设计是否在申请日前被公开。</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4-1-3</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某侵权纠纷案中，某市知识产权局在认定被控侵权人</w:t>
      </w:r>
      <w:r>
        <w:rPr>
          <w:rFonts w:ascii="Times New Roman" w:eastAsia="楷体_GB2312" w:hAnsi="Times New Roman" w:hint="eastAsia"/>
          <w:sz w:val="21"/>
          <w:szCs w:val="21"/>
        </w:rPr>
        <w:t>A</w:t>
      </w:r>
      <w:r>
        <w:rPr>
          <w:rFonts w:ascii="Times New Roman" w:eastAsia="楷体_GB2312" w:hAnsi="Times New Roman" w:hint="eastAsia"/>
          <w:sz w:val="21"/>
          <w:szCs w:val="21"/>
        </w:rPr>
        <w:t>公司以使用公开为由进行现有技术抗辩是否成立时，重点确定了如下事项：</w:t>
      </w:r>
      <w:r>
        <w:rPr>
          <w:rFonts w:ascii="Times New Roman" w:eastAsia="楷体_GB2312" w:hAnsi="Times New Roman" w:hint="eastAsia"/>
          <w:sz w:val="21"/>
          <w:szCs w:val="21"/>
        </w:rPr>
        <w:t>A</w:t>
      </w:r>
      <w:r>
        <w:rPr>
          <w:rFonts w:ascii="Times New Roman" w:eastAsia="楷体_GB2312" w:hAnsi="Times New Roman" w:hint="eastAsia"/>
          <w:sz w:val="21"/>
          <w:szCs w:val="21"/>
        </w:rPr>
        <w:t>公司提交了甲</w:t>
      </w:r>
      <w:r>
        <w:rPr>
          <w:rFonts w:ascii="Times New Roman" w:eastAsia="楷体_GB2312" w:hAnsi="Times New Roman" w:hint="eastAsia"/>
          <w:sz w:val="21"/>
          <w:szCs w:val="21"/>
        </w:rPr>
        <w:t>2002</w:t>
      </w:r>
      <w:r>
        <w:rPr>
          <w:rFonts w:ascii="Times New Roman" w:eastAsia="楷体_GB2312" w:hAnsi="Times New Roman" w:hint="eastAsia"/>
          <w:sz w:val="21"/>
          <w:szCs w:val="21"/>
        </w:rPr>
        <w:t>年</w:t>
      </w:r>
      <w:r>
        <w:rPr>
          <w:rFonts w:ascii="Times New Roman" w:eastAsia="楷体_GB2312" w:hAnsi="Times New Roman" w:hint="eastAsia"/>
          <w:sz w:val="21"/>
          <w:szCs w:val="21"/>
        </w:rPr>
        <w:t>3</w:t>
      </w:r>
      <w:r>
        <w:rPr>
          <w:rFonts w:ascii="Times New Roman" w:eastAsia="楷体_GB2312" w:hAnsi="Times New Roman" w:hint="eastAsia"/>
          <w:sz w:val="21"/>
          <w:szCs w:val="21"/>
        </w:rPr>
        <w:t>月、</w:t>
      </w:r>
      <w:r>
        <w:rPr>
          <w:rFonts w:ascii="Times New Roman" w:eastAsia="楷体_GB2312" w:hAnsi="Times New Roman" w:hint="eastAsia"/>
          <w:sz w:val="21"/>
          <w:szCs w:val="21"/>
        </w:rPr>
        <w:t>4</w:t>
      </w:r>
      <w:r>
        <w:rPr>
          <w:rFonts w:ascii="Times New Roman" w:eastAsia="楷体_GB2312" w:hAnsi="Times New Roman" w:hint="eastAsia"/>
          <w:sz w:val="21"/>
          <w:szCs w:val="21"/>
        </w:rPr>
        <w:t>月、</w:t>
      </w:r>
      <w:r>
        <w:rPr>
          <w:rFonts w:ascii="Times New Roman" w:eastAsia="楷体_GB2312" w:hAnsi="Times New Roman" w:hint="eastAsia"/>
          <w:sz w:val="21"/>
          <w:szCs w:val="21"/>
        </w:rPr>
        <w:t>6</w:t>
      </w:r>
      <w:r>
        <w:rPr>
          <w:rFonts w:ascii="Times New Roman" w:eastAsia="楷体_GB2312" w:hAnsi="Times New Roman" w:hint="eastAsia"/>
          <w:sz w:val="21"/>
          <w:szCs w:val="21"/>
        </w:rPr>
        <w:t>月分别从</w:t>
      </w:r>
      <w:r>
        <w:rPr>
          <w:rFonts w:ascii="Times New Roman" w:eastAsia="楷体_GB2312" w:hAnsi="Times New Roman" w:hint="eastAsia"/>
          <w:sz w:val="21"/>
          <w:szCs w:val="21"/>
        </w:rPr>
        <w:t>B</w:t>
      </w:r>
      <w:r>
        <w:rPr>
          <w:rFonts w:ascii="Times New Roman" w:eastAsia="楷体_GB2312" w:hAnsi="Times New Roman" w:hint="eastAsia"/>
          <w:sz w:val="21"/>
          <w:szCs w:val="21"/>
        </w:rPr>
        <w:t>公司领取样机的审批表，其中，</w:t>
      </w:r>
      <w:r>
        <w:rPr>
          <w:rFonts w:ascii="Times New Roman" w:eastAsia="楷体_GB2312" w:hAnsi="Times New Roman" w:hint="eastAsia"/>
          <w:sz w:val="21"/>
          <w:szCs w:val="21"/>
        </w:rPr>
        <w:t>2002</w:t>
      </w:r>
      <w:r>
        <w:rPr>
          <w:rFonts w:ascii="Times New Roman" w:eastAsia="楷体_GB2312" w:hAnsi="Times New Roman" w:hint="eastAsia"/>
          <w:sz w:val="21"/>
          <w:szCs w:val="21"/>
        </w:rPr>
        <w:t>年</w:t>
      </w:r>
      <w:r>
        <w:rPr>
          <w:rFonts w:ascii="Times New Roman" w:eastAsia="楷体_GB2312" w:hAnsi="Times New Roman" w:hint="eastAsia"/>
          <w:sz w:val="21"/>
          <w:szCs w:val="21"/>
        </w:rPr>
        <w:t>6</w:t>
      </w:r>
      <w:r>
        <w:rPr>
          <w:rFonts w:ascii="Times New Roman" w:eastAsia="楷体_GB2312" w:hAnsi="Times New Roman" w:hint="eastAsia"/>
          <w:sz w:val="21"/>
          <w:szCs w:val="21"/>
        </w:rPr>
        <w:t>月</w:t>
      </w:r>
      <w:r>
        <w:rPr>
          <w:rFonts w:ascii="Times New Roman" w:eastAsia="楷体_GB2312" w:hAnsi="Times New Roman" w:hint="eastAsia"/>
          <w:sz w:val="21"/>
          <w:szCs w:val="21"/>
        </w:rPr>
        <w:t>19</w:t>
      </w:r>
      <w:r>
        <w:rPr>
          <w:rFonts w:ascii="Times New Roman" w:eastAsia="楷体_GB2312" w:hAnsi="Times New Roman" w:hint="eastAsia"/>
          <w:sz w:val="21"/>
          <w:szCs w:val="21"/>
        </w:rPr>
        <w:t>日的《销售样机审批表》表明</w:t>
      </w:r>
      <w:r>
        <w:rPr>
          <w:rFonts w:ascii="Times New Roman" w:eastAsia="楷体_GB2312" w:hAnsi="Times New Roman" w:hint="eastAsia"/>
          <w:sz w:val="21"/>
          <w:szCs w:val="21"/>
        </w:rPr>
        <w:t>B</w:t>
      </w:r>
      <w:r>
        <w:rPr>
          <w:rFonts w:ascii="Times New Roman" w:eastAsia="楷体_GB2312" w:hAnsi="Times New Roman" w:hint="eastAsia"/>
          <w:sz w:val="21"/>
          <w:szCs w:val="21"/>
        </w:rPr>
        <w:t>公司销售的是型号为</w:t>
      </w:r>
      <w:r>
        <w:rPr>
          <w:rFonts w:ascii="Times New Roman" w:eastAsia="楷体_GB2312" w:hAnsi="Times New Roman" w:hint="eastAsia"/>
          <w:sz w:val="21"/>
          <w:szCs w:val="21"/>
        </w:rPr>
        <w:t>M-100CC</w:t>
      </w:r>
      <w:r>
        <w:rPr>
          <w:rFonts w:ascii="Times New Roman" w:eastAsia="楷体_GB2312" w:hAnsi="Times New Roman" w:hint="eastAsia"/>
          <w:sz w:val="21"/>
          <w:szCs w:val="21"/>
        </w:rPr>
        <w:t>的样机；</w:t>
      </w:r>
      <w:r>
        <w:rPr>
          <w:rFonts w:ascii="Times New Roman" w:eastAsia="楷体_GB2312" w:hAnsi="Times New Roman" w:hint="eastAsia"/>
          <w:sz w:val="21"/>
          <w:szCs w:val="21"/>
        </w:rPr>
        <w:t>B</w:t>
      </w:r>
      <w:r>
        <w:rPr>
          <w:rFonts w:ascii="Times New Roman" w:eastAsia="楷体_GB2312" w:hAnsi="Times New Roman" w:hint="eastAsia"/>
          <w:sz w:val="21"/>
          <w:szCs w:val="21"/>
        </w:rPr>
        <w:t>公司同日的《出库单》载明其销售了</w:t>
      </w:r>
      <w:r>
        <w:rPr>
          <w:rFonts w:ascii="Times New Roman" w:eastAsia="楷体_GB2312" w:hAnsi="Times New Roman" w:hint="eastAsia"/>
          <w:sz w:val="21"/>
          <w:szCs w:val="21"/>
        </w:rPr>
        <w:t>M-100CC</w:t>
      </w:r>
      <w:r>
        <w:rPr>
          <w:rFonts w:ascii="Times New Roman" w:eastAsia="楷体_GB2312" w:hAnsi="Times New Roman" w:hint="eastAsia"/>
          <w:sz w:val="21"/>
          <w:szCs w:val="21"/>
        </w:rPr>
        <w:t>产品</w:t>
      </w:r>
      <w:r>
        <w:rPr>
          <w:rFonts w:ascii="Times New Roman" w:eastAsia="楷体_GB2312" w:hAnsi="Times New Roman" w:hint="eastAsia"/>
          <w:sz w:val="21"/>
          <w:szCs w:val="21"/>
        </w:rPr>
        <w:t>1</w:t>
      </w:r>
      <w:r>
        <w:rPr>
          <w:rFonts w:ascii="Times New Roman" w:eastAsia="楷体_GB2312" w:hAnsi="Times New Roman" w:hint="eastAsia"/>
          <w:sz w:val="21"/>
          <w:szCs w:val="21"/>
        </w:rPr>
        <w:t>套。以上两证据能够互相印证，证明</w:t>
      </w:r>
      <w:r>
        <w:rPr>
          <w:rFonts w:ascii="Times New Roman" w:eastAsia="楷体_GB2312" w:hAnsi="Times New Roman" w:hint="eastAsia"/>
          <w:sz w:val="21"/>
          <w:szCs w:val="21"/>
        </w:rPr>
        <w:t>B</w:t>
      </w:r>
      <w:r>
        <w:rPr>
          <w:rFonts w:ascii="Times New Roman" w:eastAsia="楷体_GB2312" w:hAnsi="Times New Roman" w:hint="eastAsia"/>
          <w:sz w:val="21"/>
          <w:szCs w:val="21"/>
        </w:rPr>
        <w:t>公司在</w:t>
      </w:r>
      <w:r>
        <w:rPr>
          <w:rFonts w:ascii="Times New Roman" w:eastAsia="楷体_GB2312" w:hAnsi="Times New Roman" w:hint="eastAsia"/>
          <w:sz w:val="21"/>
          <w:szCs w:val="21"/>
        </w:rPr>
        <w:t>2002</w:t>
      </w:r>
      <w:r>
        <w:rPr>
          <w:rFonts w:ascii="Times New Roman" w:eastAsia="楷体_GB2312" w:hAnsi="Times New Roman" w:hint="eastAsia"/>
          <w:sz w:val="21"/>
          <w:szCs w:val="21"/>
        </w:rPr>
        <w:t>年</w:t>
      </w:r>
      <w:r>
        <w:rPr>
          <w:rFonts w:ascii="Times New Roman" w:eastAsia="楷体_GB2312" w:hAnsi="Times New Roman" w:hint="eastAsia"/>
          <w:sz w:val="21"/>
          <w:szCs w:val="21"/>
        </w:rPr>
        <w:t>6</w:t>
      </w:r>
      <w:r>
        <w:rPr>
          <w:rFonts w:ascii="Times New Roman" w:eastAsia="楷体_GB2312" w:hAnsi="Times New Roman" w:hint="eastAsia"/>
          <w:sz w:val="21"/>
          <w:szCs w:val="21"/>
        </w:rPr>
        <w:t>月</w:t>
      </w:r>
      <w:r>
        <w:rPr>
          <w:rFonts w:ascii="Times New Roman" w:eastAsia="楷体_GB2312" w:hAnsi="Times New Roman" w:hint="eastAsia"/>
          <w:sz w:val="21"/>
          <w:szCs w:val="21"/>
        </w:rPr>
        <w:t>19</w:t>
      </w:r>
      <w:r>
        <w:rPr>
          <w:rFonts w:ascii="Times New Roman" w:eastAsia="楷体_GB2312" w:hAnsi="Times New Roman" w:hint="eastAsia"/>
          <w:sz w:val="21"/>
          <w:szCs w:val="21"/>
        </w:rPr>
        <w:t>日已制造并公开销售</w:t>
      </w:r>
      <w:r>
        <w:rPr>
          <w:rFonts w:ascii="Times New Roman" w:eastAsia="楷体_GB2312" w:hAnsi="Times New Roman" w:hint="eastAsia"/>
          <w:sz w:val="21"/>
          <w:szCs w:val="21"/>
        </w:rPr>
        <w:t>M-100CC</w:t>
      </w:r>
      <w:r>
        <w:rPr>
          <w:rFonts w:ascii="Times New Roman" w:eastAsia="楷体_GB2312" w:hAnsi="Times New Roman" w:hint="eastAsia"/>
          <w:sz w:val="21"/>
          <w:szCs w:val="21"/>
        </w:rPr>
        <w:t>产品。证人甲对其在以上《申领样机审批表》和《出库单》中签名的真实性均予以确认。可以根据对账单、销售样机审批表、出库单、收款收据、产品型号、证人证言等认定</w:t>
      </w:r>
      <w:r>
        <w:rPr>
          <w:rFonts w:ascii="Times New Roman" w:eastAsia="楷体_GB2312" w:hAnsi="Times New Roman" w:hint="eastAsia"/>
          <w:sz w:val="21"/>
          <w:szCs w:val="21"/>
        </w:rPr>
        <w:t>A</w:t>
      </w:r>
      <w:r>
        <w:rPr>
          <w:rFonts w:ascii="Times New Roman" w:eastAsia="楷体_GB2312" w:hAnsi="Times New Roman" w:hint="eastAsia"/>
          <w:sz w:val="21"/>
          <w:szCs w:val="21"/>
        </w:rPr>
        <w:t>公司生产的产品在涉案专利申请日</w:t>
      </w:r>
      <w:r>
        <w:rPr>
          <w:rFonts w:ascii="Times New Roman" w:eastAsia="楷体_GB2312" w:hAnsi="Times New Roman" w:hint="eastAsia"/>
          <w:sz w:val="21"/>
          <w:szCs w:val="21"/>
        </w:rPr>
        <w:t>2005</w:t>
      </w:r>
      <w:r>
        <w:rPr>
          <w:rFonts w:ascii="Times New Roman" w:eastAsia="楷体_GB2312" w:hAnsi="Times New Roman" w:hint="eastAsia"/>
          <w:sz w:val="21"/>
          <w:szCs w:val="21"/>
        </w:rPr>
        <w:t>年</w:t>
      </w:r>
      <w:r>
        <w:rPr>
          <w:rFonts w:ascii="Times New Roman" w:eastAsia="楷体_GB2312" w:hAnsi="Times New Roman" w:hint="eastAsia"/>
          <w:sz w:val="21"/>
          <w:szCs w:val="21"/>
        </w:rPr>
        <w:t>2</w:t>
      </w:r>
      <w:r>
        <w:rPr>
          <w:rFonts w:ascii="Times New Roman" w:eastAsia="楷体_GB2312" w:hAnsi="Times New Roman" w:hint="eastAsia"/>
          <w:sz w:val="21"/>
          <w:szCs w:val="21"/>
        </w:rPr>
        <w:t>月</w:t>
      </w:r>
      <w:r>
        <w:rPr>
          <w:rFonts w:ascii="Times New Roman" w:eastAsia="楷体_GB2312" w:hAnsi="Times New Roman" w:hint="eastAsia"/>
          <w:sz w:val="21"/>
          <w:szCs w:val="21"/>
        </w:rPr>
        <w:t>4</w:t>
      </w:r>
      <w:r>
        <w:rPr>
          <w:rFonts w:ascii="Times New Roman" w:eastAsia="楷体_GB2312" w:hAnsi="Times New Roman" w:hint="eastAsia"/>
          <w:sz w:val="21"/>
          <w:szCs w:val="21"/>
        </w:rPr>
        <w:t>日前已经公开销售。某市知识产权局在对上述证据构成的证据链进行确认后，认定现有技术抗辩成立。</w:t>
      </w:r>
    </w:p>
    <w:p w:rsidR="00800760" w:rsidRDefault="00235733">
      <w:pPr>
        <w:pStyle w:val="4"/>
        <w:spacing w:before="240"/>
        <w:ind w:firstLine="444"/>
        <w:rPr>
          <w:rFonts w:ascii="Times New Roman" w:hAnsi="Times New Roman"/>
        </w:rPr>
      </w:pPr>
      <w:r>
        <w:rPr>
          <w:rFonts w:ascii="Times New Roman" w:hAnsi="Times New Roman" w:hint="eastAsia"/>
        </w:rPr>
        <w:t>（三）以其他方式公开的现有技术或者现有设计的证据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为公众所知的其他方式主要是指口头公开，例如口头交谈、报告、讨论会发言、广播、电视、电影等能够使公众得知技术内容的方式。口头交谈、报告、讨论会发言以其发生之日为公开日；公众可接收的广播、电视或电影的报道，以其播放日为公开日。</w:t>
      </w:r>
    </w:p>
    <w:p w:rsidR="00800760" w:rsidRDefault="00800760">
      <w:pPr>
        <w:ind w:firstLine="723"/>
        <w:jc w:val="center"/>
        <w:rPr>
          <w:b/>
          <w:sz w:val="36"/>
          <w:szCs w:val="36"/>
        </w:rPr>
      </w:pPr>
    </w:p>
    <w:p w:rsidR="00800760" w:rsidRDefault="00235733">
      <w:pPr>
        <w:pStyle w:val="2"/>
        <w:ind w:firstLineChars="0" w:firstLine="0"/>
        <w:rPr>
          <w:rFonts w:ascii="Times New Roman" w:hAnsi="Times New Roman"/>
        </w:rPr>
      </w:pPr>
      <w:bookmarkStart w:id="2821" w:name="_Toc5120"/>
      <w:bookmarkStart w:id="2822" w:name="_Toc26087"/>
      <w:bookmarkStart w:id="2823" w:name="_Toc15202"/>
      <w:bookmarkStart w:id="2824" w:name="_Toc18170"/>
      <w:bookmarkStart w:id="2825" w:name="_Toc13367"/>
      <w:bookmarkStart w:id="2826" w:name="_Toc31526"/>
      <w:bookmarkStart w:id="2827" w:name="_Toc12294"/>
      <w:bookmarkStart w:id="2828" w:name="_Toc9430"/>
      <w:bookmarkStart w:id="2829" w:name="_Toc3301"/>
      <w:bookmarkStart w:id="2830" w:name="_Toc25976"/>
      <w:bookmarkStart w:id="2831" w:name="_Toc1494"/>
      <w:bookmarkStart w:id="2832" w:name="_Toc15623"/>
      <w:bookmarkStart w:id="2833" w:name="_Toc336"/>
      <w:bookmarkStart w:id="2834" w:name="_Toc14952"/>
      <w:bookmarkStart w:id="2835" w:name="_Toc9402"/>
      <w:bookmarkStart w:id="2836" w:name="_Toc10363"/>
      <w:bookmarkStart w:id="2837" w:name="_Toc13913"/>
      <w:bookmarkStart w:id="2838" w:name="_Toc28527"/>
      <w:bookmarkStart w:id="2839" w:name="_Toc15685"/>
      <w:bookmarkStart w:id="2840" w:name="_Toc15960"/>
      <w:bookmarkStart w:id="2841" w:name="_Toc17312"/>
      <w:bookmarkStart w:id="2842" w:name="_Toc20399"/>
      <w:bookmarkStart w:id="2843" w:name="_Toc28682"/>
      <w:bookmarkStart w:id="2844" w:name="_Toc10364"/>
      <w:bookmarkStart w:id="2845" w:name="_Toc5553"/>
      <w:bookmarkStart w:id="2846" w:name="_Toc6017"/>
      <w:bookmarkStart w:id="2847" w:name="_Toc229114384"/>
      <w:bookmarkStart w:id="2848" w:name="_Toc13011"/>
      <w:bookmarkStart w:id="2849" w:name="_Toc6219"/>
      <w:bookmarkStart w:id="2850" w:name="_Toc14142"/>
      <w:bookmarkStart w:id="2851" w:name="_Toc4267"/>
      <w:bookmarkStart w:id="2852" w:name="_Toc6636"/>
      <w:bookmarkStart w:id="2853" w:name="_Toc27767"/>
      <w:bookmarkStart w:id="2854" w:name="_Toc820"/>
      <w:bookmarkStart w:id="2855" w:name="_Toc9372"/>
      <w:bookmarkStart w:id="2856" w:name="_Toc25765"/>
      <w:bookmarkStart w:id="2857" w:name="_Toc20950"/>
      <w:bookmarkStart w:id="2858" w:name="_Toc31834"/>
      <w:bookmarkStart w:id="2859" w:name="_Toc24117"/>
      <w:bookmarkStart w:id="2860" w:name="_Toc229225480"/>
      <w:r>
        <w:rPr>
          <w:rFonts w:ascii="Times New Roman" w:hAnsi="Times New Roman" w:hint="eastAsia"/>
        </w:rPr>
        <w:t>第二节</w:t>
      </w:r>
      <w:r>
        <w:rPr>
          <w:rFonts w:ascii="Times New Roman" w:hAnsi="Times New Roman" w:hint="eastAsia"/>
          <w:kern w:val="2"/>
        </w:rPr>
        <w:t xml:space="preserve">　</w:t>
      </w:r>
      <w:r>
        <w:rPr>
          <w:rFonts w:ascii="Times New Roman" w:hAnsi="Times New Roman" w:hint="eastAsia"/>
        </w:rPr>
        <w:t>证据类型及表现形式</w:t>
      </w:r>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p>
    <w:p w:rsidR="00800760" w:rsidRDefault="00235733">
      <w:pPr>
        <w:pStyle w:val="3"/>
        <w:spacing w:before="240"/>
        <w:ind w:firstLine="444"/>
        <w:rPr>
          <w:rFonts w:ascii="Times New Roman" w:hAnsi="Times New Roman"/>
        </w:rPr>
      </w:pPr>
      <w:bookmarkStart w:id="2861" w:name="_Toc21351"/>
      <w:bookmarkStart w:id="2862" w:name="_Toc2993"/>
      <w:bookmarkStart w:id="2863" w:name="_Toc31606"/>
      <w:bookmarkStart w:id="2864" w:name="_Toc31541"/>
      <w:bookmarkStart w:id="2865" w:name="_Toc28570"/>
      <w:bookmarkStart w:id="2866" w:name="_Toc13408"/>
      <w:bookmarkStart w:id="2867" w:name="_Toc2089"/>
      <w:bookmarkStart w:id="2868" w:name="_Toc8073"/>
      <w:bookmarkStart w:id="2869" w:name="_Toc27446"/>
      <w:bookmarkStart w:id="2870" w:name="_Toc13618"/>
      <w:bookmarkStart w:id="2871" w:name="_Toc26502"/>
      <w:bookmarkStart w:id="2872" w:name="_Toc142"/>
      <w:bookmarkStart w:id="2873" w:name="_Toc2443"/>
      <w:bookmarkStart w:id="2874" w:name="_Toc9435"/>
      <w:bookmarkStart w:id="2875" w:name="_Toc31729"/>
      <w:bookmarkStart w:id="2876" w:name="_Toc4822"/>
      <w:bookmarkStart w:id="2877" w:name="_Toc19772"/>
      <w:bookmarkStart w:id="2878" w:name="_Toc9307"/>
      <w:bookmarkStart w:id="2879" w:name="_Toc10969"/>
      <w:bookmarkStart w:id="2880" w:name="_Toc14171"/>
      <w:bookmarkStart w:id="2881" w:name="_Toc25987"/>
      <w:bookmarkStart w:id="2882" w:name="_Toc9878"/>
      <w:bookmarkStart w:id="2883" w:name="_Toc18345"/>
      <w:bookmarkStart w:id="2884" w:name="_Toc5589"/>
      <w:bookmarkStart w:id="2885" w:name="_Toc29351"/>
      <w:bookmarkStart w:id="2886" w:name="_Toc664"/>
      <w:bookmarkStart w:id="2887" w:name="_Toc5721"/>
      <w:bookmarkStart w:id="2888" w:name="_Toc16123"/>
      <w:bookmarkStart w:id="2889" w:name="_Toc23295"/>
      <w:bookmarkStart w:id="2890" w:name="_Toc8439"/>
      <w:bookmarkStart w:id="2891" w:name="_Toc29462"/>
      <w:bookmarkStart w:id="2892" w:name="_Toc19776"/>
      <w:bookmarkStart w:id="2893" w:name="_Toc229114385"/>
      <w:bookmarkStart w:id="2894" w:name="_Toc29369"/>
      <w:bookmarkStart w:id="2895" w:name="_Toc407"/>
      <w:bookmarkStart w:id="2896" w:name="_Toc9770"/>
      <w:bookmarkStart w:id="2897" w:name="_Toc16472"/>
      <w:bookmarkStart w:id="2898" w:name="_Toc13773"/>
      <w:bookmarkStart w:id="2899" w:name="_Toc24201"/>
      <w:bookmarkStart w:id="2900" w:name="_Toc229225481"/>
      <w:r>
        <w:rPr>
          <w:rFonts w:ascii="Times New Roman" w:hAnsi="Times New Roman" w:hint="eastAsia"/>
        </w:rPr>
        <w:t>一、专利侵权纠纷案件中的证据类型</w:t>
      </w:r>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根据证据提交主体的不同，专利侵权纠纷案件中常见的证据可以分为三种类型：请求人提供的证据、被请求人提供的证据、管理专利工作的部门依职权调查收集的证据。请求人和被请求人</w:t>
      </w:r>
      <w:r>
        <w:rPr>
          <w:rFonts w:ascii="Times New Roman" w:eastAsia="宋体" w:hAnsi="Times New Roman"/>
          <w:sz w:val="21"/>
          <w:szCs w:val="21"/>
        </w:rPr>
        <w:t>向管理专利工作的部门提交的证据和证明材料，应当真实、合法。</w:t>
      </w:r>
    </w:p>
    <w:p w:rsidR="00800760" w:rsidRDefault="00235733">
      <w:pPr>
        <w:pStyle w:val="4"/>
        <w:spacing w:before="240"/>
        <w:ind w:firstLine="444"/>
        <w:rPr>
          <w:rFonts w:ascii="Times New Roman" w:hAnsi="Times New Roman"/>
        </w:rPr>
      </w:pPr>
      <w:r>
        <w:rPr>
          <w:rFonts w:ascii="Times New Roman" w:hAnsi="Times New Roman" w:hint="eastAsia"/>
        </w:rPr>
        <w:t>（一）请求人提供的证据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根据拟证明的对象或者内容，请求人提供的证据可分为三类。</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涉及请求人主体资格和权利的证据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专利权人或其利害关系人请求管理专利工作的部门处理专利侵权纠纷，必须首先证明其具有提起请求的主体资格且其主张的专利权合法有效。为此，请求人可以提供以下证明文件：</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人主体资格证明。请求人为自然人的，应当提供身份证或其他有效证明文件；请求人是法人或其他组织的，应当要求其提交营业执照、事业单位法人证书或者其他相关证明材料，以及法定代表人或者负责人证明。请求人为外国主体的，应当提供相关证明文件。</w:t>
      </w:r>
    </w:p>
    <w:p w:rsidR="00800760" w:rsidRDefault="00C22A7B">
      <w:pPr>
        <w:pStyle w:val="12"/>
        <w:topLinePunct/>
        <w:spacing w:line="336" w:lineRule="auto"/>
        <w:ind w:firstLine="640"/>
        <w:rPr>
          <w:rFonts w:ascii="Times New Roman" w:eastAsia="宋体" w:hAnsi="Times New Roman"/>
          <w:sz w:val="21"/>
          <w:szCs w:val="21"/>
        </w:rPr>
      </w:pPr>
      <w:r>
        <w:rPr>
          <w:szCs w:val="21"/>
        </w:rPr>
        <w:fldChar w:fldCharType="begin"/>
      </w:r>
      <w:r w:rsidR="00235733">
        <w:rPr>
          <w:rFonts w:ascii="Times New Roman" w:eastAsia="宋体" w:hAnsi="Times New Roman"/>
          <w:sz w:val="21"/>
          <w:szCs w:val="21"/>
        </w:rPr>
        <w:instrText>= 2 \* GB3</w:instrText>
      </w:r>
      <w:r>
        <w:rPr>
          <w:szCs w:val="21"/>
        </w:rPr>
        <w:fldChar w:fldCharType="separate"/>
      </w:r>
      <w:r w:rsidR="00235733">
        <w:rPr>
          <w:rFonts w:ascii="Times New Roman" w:eastAsia="宋体" w:hAnsi="Times New Roman" w:hint="eastAsia"/>
          <w:sz w:val="21"/>
          <w:szCs w:val="21"/>
        </w:rPr>
        <w:t>②</w:t>
      </w:r>
      <w:r>
        <w:rPr>
          <w:szCs w:val="21"/>
        </w:rPr>
        <w:fldChar w:fldCharType="end"/>
      </w:r>
      <w:r w:rsidR="00235733">
        <w:rPr>
          <w:rFonts w:ascii="Times New Roman" w:eastAsia="宋体" w:hAnsi="Times New Roman" w:hint="eastAsia"/>
          <w:sz w:val="21"/>
          <w:szCs w:val="21"/>
        </w:rPr>
        <w:t>专利登记簿副本。用于证明专利权的法律状态。当权利人没有提供专利登记簿副本时，管理专利工作的部门应当要求其提供。</w:t>
      </w:r>
    </w:p>
    <w:p w:rsidR="00800760" w:rsidRDefault="00235733">
      <w:pPr>
        <w:pStyle w:val="12"/>
        <w:topLinePunct/>
        <w:spacing w:line="336" w:lineRule="auto"/>
        <w:ind w:firstLine="420"/>
        <w:rPr>
          <w:rFonts w:ascii="Times New Roman" w:eastAsia="宋体" w:hAnsi="Times New Roman"/>
          <w:sz w:val="21"/>
          <w:szCs w:val="21"/>
        </w:rPr>
      </w:pPr>
      <w:r>
        <w:rPr>
          <w:rFonts w:ascii="宋体" w:eastAsia="宋体" w:hAnsi="宋体" w:cs="宋体" w:hint="eastAsia"/>
          <w:sz w:val="21"/>
          <w:szCs w:val="21"/>
        </w:rPr>
        <w:t>③</w:t>
      </w:r>
      <w:r>
        <w:rPr>
          <w:rFonts w:ascii="Times New Roman" w:eastAsia="宋体" w:hAnsi="Times New Roman" w:hint="eastAsia"/>
          <w:sz w:val="21"/>
          <w:szCs w:val="21"/>
        </w:rPr>
        <w:t>专利授权公告文本。发明或实用新型专利的授权公告文本为权利要求书、说明书及附图、说明书摘要及摘要附图，外观设计专利的授权公告文本为公告授权的图片或照片及简要说明。</w:t>
      </w:r>
    </w:p>
    <w:p w:rsidR="00800760" w:rsidRDefault="00235733">
      <w:pPr>
        <w:pStyle w:val="12"/>
        <w:topLinePunct/>
        <w:spacing w:line="336" w:lineRule="auto"/>
        <w:ind w:firstLine="420"/>
        <w:rPr>
          <w:rFonts w:ascii="Times New Roman" w:eastAsia="宋体" w:hAnsi="Times New Roman"/>
          <w:sz w:val="21"/>
          <w:szCs w:val="21"/>
        </w:rPr>
      </w:pPr>
      <w:r>
        <w:rPr>
          <w:rFonts w:ascii="宋体" w:eastAsia="宋体" w:hAnsi="宋体" w:cs="宋体" w:hint="eastAsia"/>
          <w:sz w:val="21"/>
          <w:szCs w:val="21"/>
        </w:rPr>
        <w:t>④</w:t>
      </w:r>
      <w:r>
        <w:rPr>
          <w:rFonts w:ascii="Times New Roman" w:eastAsia="宋体" w:hAnsi="Times New Roman" w:hint="eastAsia"/>
          <w:sz w:val="21"/>
          <w:szCs w:val="21"/>
        </w:rPr>
        <w:t>实用新型、外观设计专利权评价报告。请求处理侵犯实用新型或外观设计专利侵权纠纷的请求人，可以主动或者应管理专利工作的部门要求出具由国家知识产权局作出的专利权评价报告。</w:t>
      </w:r>
    </w:p>
    <w:p w:rsidR="00800760" w:rsidRDefault="00235733">
      <w:pPr>
        <w:pStyle w:val="12"/>
        <w:topLinePunct/>
        <w:spacing w:line="336" w:lineRule="auto"/>
        <w:ind w:firstLine="420"/>
        <w:rPr>
          <w:rFonts w:ascii="Times New Roman" w:eastAsia="宋体" w:hAnsi="Times New Roman"/>
          <w:sz w:val="21"/>
          <w:szCs w:val="21"/>
        </w:rPr>
      </w:pPr>
      <w:r>
        <w:rPr>
          <w:rFonts w:ascii="宋体" w:eastAsia="宋体" w:hAnsi="宋体" w:cs="宋体" w:hint="eastAsia"/>
          <w:sz w:val="21"/>
          <w:szCs w:val="21"/>
        </w:rPr>
        <w:t>⑤</w:t>
      </w:r>
      <w:r>
        <w:rPr>
          <w:rFonts w:ascii="Times New Roman" w:eastAsia="宋体" w:hAnsi="Times New Roman" w:hint="eastAsia"/>
          <w:sz w:val="21"/>
          <w:szCs w:val="21"/>
        </w:rPr>
        <w:t>被许可人还应当提供有关专利实施许可合同及其在国家知识产权局备案的证明材料，未经备案的应当提交专利权人的证明，或者证明其享有权利的其他证据。</w:t>
      </w:r>
    </w:p>
    <w:p w:rsidR="00800760" w:rsidRDefault="00235733">
      <w:pPr>
        <w:pStyle w:val="12"/>
        <w:topLinePunct/>
        <w:spacing w:line="336" w:lineRule="auto"/>
        <w:ind w:firstLine="420"/>
        <w:rPr>
          <w:rFonts w:ascii="Times New Roman" w:eastAsia="宋体" w:hAnsi="Times New Roman"/>
          <w:sz w:val="21"/>
          <w:szCs w:val="21"/>
        </w:rPr>
      </w:pPr>
      <w:r>
        <w:rPr>
          <w:rFonts w:ascii="宋体" w:eastAsia="宋体" w:hAnsi="宋体" w:cs="宋体" w:hint="eastAsia"/>
          <w:sz w:val="21"/>
          <w:szCs w:val="21"/>
        </w:rPr>
        <w:t>⑥</w:t>
      </w:r>
      <w:r>
        <w:rPr>
          <w:rFonts w:ascii="Times New Roman" w:eastAsia="宋体" w:hAnsi="Times New Roman" w:hint="eastAsia"/>
          <w:sz w:val="21"/>
          <w:szCs w:val="21"/>
        </w:rPr>
        <w:t>排他实施许可合同的被许可人单独提出处理请求的，应当提交专利权人放弃提出处理请求的证明材料。</w:t>
      </w:r>
    </w:p>
    <w:p w:rsidR="00800760" w:rsidRDefault="00235733">
      <w:pPr>
        <w:pStyle w:val="12"/>
        <w:topLinePunct/>
        <w:spacing w:line="336" w:lineRule="auto"/>
        <w:ind w:firstLine="420"/>
        <w:rPr>
          <w:rFonts w:ascii="Times New Roman" w:eastAsia="宋体" w:hAnsi="Times New Roman"/>
          <w:sz w:val="21"/>
          <w:szCs w:val="21"/>
        </w:rPr>
      </w:pPr>
      <w:r>
        <w:rPr>
          <w:rFonts w:ascii="宋体" w:eastAsia="宋体" w:hAnsi="宋体" w:cs="宋体" w:hint="eastAsia"/>
          <w:sz w:val="21"/>
          <w:szCs w:val="21"/>
        </w:rPr>
        <w:t>⑦</w:t>
      </w:r>
      <w:r>
        <w:rPr>
          <w:rFonts w:ascii="Times New Roman" w:eastAsia="宋体" w:hAnsi="Times New Roman" w:hint="eastAsia"/>
          <w:sz w:val="21"/>
          <w:szCs w:val="21"/>
        </w:rPr>
        <w:t>专利财产权利的继承人应当提交已经继承或者正在继承的证据材料。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涉及侵权行为的证据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专利权人或其利害关系人请求管理专利工作的部门处理专利侵权纠纷，应当提交被请求人存在侵权行为的相关证据，包括：</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被控侵权人实施侵犯专利权行为的证据，如对购买涉嫌侵权产品的过程及购得的涉嫌侵权产品进行公证保存的证据，或对涉嫌侵权现场（如许诺销售）、涉嫌侵权产品的安装地进行勘查后取得的证据，以及产品宣传册、销售侵权产品人员的名片、购货发票或收据、销售发票、购销合同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与被控侵权产品或方法相关的证据，如从市场上或其他渠道获得的涉嫌侵权产品的实物、照片、产品目录、工艺、配方以及生产步骤等。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其他证据，如其他部门查处各类违法行为的过程中取得的与专利侵权有关的证据。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请求人主张被请求人侵犯其新产品制造方法的发明专利的，为证明被请求人生产的产品与自己依照专利方法直接获得的产品属于同样的产品，可以提交被请求人的产品和</w:t>
      </w:r>
      <w:r w:rsidR="00235733">
        <w:rPr>
          <w:rFonts w:ascii="Times New Roman" w:eastAsia="宋体" w:hAnsi="Times New Roman"/>
          <w:sz w:val="21"/>
          <w:szCs w:val="21"/>
        </w:rPr>
        <w:t>/</w:t>
      </w:r>
      <w:r w:rsidR="00235733">
        <w:rPr>
          <w:rFonts w:ascii="Times New Roman" w:eastAsia="宋体" w:hAnsi="Times New Roman" w:hint="eastAsia"/>
          <w:sz w:val="21"/>
          <w:szCs w:val="21"/>
        </w:rPr>
        <w:t>或其产品说明书、第三方出具的鉴定报告等证据。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涉及权利人利益损失的证据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专利权人或其利害关系人在请求管理专利工作的部门就专利侵权纠纷进行调处时，应当提供证明其损失的证据，比如：</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专利实施许可合同。专利权人与他人签订的专利实施许可合同中约定的许可使用费可以作为请求赔偿的依据。当专利权人或其利害关系人提交的专利实施许可合同是与其业务单位签订的专利实施许可合同且缺少其他证据予以佐证时，合同约定的许可使用费能否作为赔偿的参照依据需要管理专利工作的部门根据具体案情加以识别与判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人因侵权所受损失的证据。请求人主张以自己所受到的损失作为赔偿数额的依据时，需要提供自己单位产品销售数量减少情况以及销售利润的财务账册资料或财务数据。请求人因被请求人侵权造成销售量减少的总数与每件被控侵权产品销售的合理利润相乘之积为请求人的损失数额的依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被请求人因侵权行为所获收益的证据。请求人主张以被请求人的获利作为赔偿数额的依据时，需要提供被请求人的相应账册，或申请管理专利工作的部门对被请求人的财务会计账册进行调查勘验。以被请求人因侵权导致的销售量增加的总数或者被请求人制造的被控侵权产品的总数，与每件被控侵权产品销售的合理利润相乘之积为被请求人所获收益的依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法定赔偿的依据。当权利人的损失、侵权人获得的利益和专利许可使用费均难以确定时，管理专利工作的部门可以要求请求人提供证明侵权人侵权行为的情节及专利产品市场价值的辅助证据，作为确定具体赔偿数额时的参照因素。</w:t>
      </w:r>
    </w:p>
    <w:p w:rsidR="00800760" w:rsidRDefault="00235733">
      <w:pPr>
        <w:pStyle w:val="4"/>
        <w:spacing w:before="240"/>
        <w:ind w:firstLine="444"/>
        <w:rPr>
          <w:rFonts w:ascii="Times New Roman" w:hAnsi="Times New Roman"/>
        </w:rPr>
      </w:pPr>
      <w:r>
        <w:rPr>
          <w:rFonts w:ascii="Times New Roman" w:hAnsi="Times New Roman" w:hint="eastAsia"/>
        </w:rPr>
        <w:t>（二）被请求人提供的证据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根据拟证明的对象或者内容，被请求人提交的证据可以分为以下几类。</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涉及权利瑕疵抗辩的证据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被请求人可以针对请求人的主体资格、专利权的归属等提出权利瑕疵抗辩，并提供相应的证据，例如请求人不具备提出专利侵权纠纷处理请求的主体资格的证据、专利权终止的证据等。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涉及不落入专利权保护范围抗辩的证据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被请求人主张涉嫌侵权产品未落入专利权保护范围的，可以提供证据加以证明。</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被请求人提供的证据一般包括技术词典、教科书等证据，用以证明权利要求中某术语或技术特征的确切含义。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请求人以禁止反悔原则主张不侵权的，应当提供专利审查档案，包括初步审查、实质审查、复审请求审查、无效宣告请求审查中的档案及当事人在上述程序中的书面及口头陈述意见作为证据，管理专利工作的部门也可以要求被请求人提供相关的专利审查文档。</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涉及现有技术（设计）抗辩的证据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被请求人主张本人实施的技术为现有技术或现有设计的，可以提供现有技术出版物，或者有确切来源、销售或使用时间的产品实物以及有关的辅助凭证，如产品说明书、产品图册、销售发票以及证人证言等。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涉及先用权抗辩的证据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被请求人主张先用权抗辩的，可以提供以下证据：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在涉案专利的申请日前其已经制造、使用涉嫌侵权产品或方法的证据；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在涉案专利的申请日前其尚未制造、使用，但已经作好制造、使用涉嫌侵权产品或方法准备的证据，如：在涉案专利的申请日之前其已完成的设计图纸和工艺文件，在涉案专利的申请日之前其已购置的设备、原材料及产能的资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涉及合法来源抗辩的证据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被请求人主张合法来源抗辩的，可以提供证明合法来源的证据，如买卖合同、租赁合同、发票、运输单据等，以及其他证明交易合法成立的证据；必要时，也可以提供封存的样品、产品的图片等相关证据。</w:t>
      </w:r>
    </w:p>
    <w:p w:rsidR="00800760" w:rsidRDefault="00235733">
      <w:pPr>
        <w:pStyle w:val="4"/>
        <w:spacing w:before="240"/>
        <w:ind w:firstLine="444"/>
        <w:rPr>
          <w:rFonts w:ascii="Times New Roman" w:hAnsi="Times New Roman"/>
        </w:rPr>
      </w:pPr>
      <w:r>
        <w:rPr>
          <w:rFonts w:ascii="Times New Roman" w:hAnsi="Times New Roman" w:hint="eastAsia"/>
        </w:rPr>
        <w:t>（三）管理专利工作的部门收集的证据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管理专利工作的部门收集的证据主要分为两种类型。</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就专门技术问题委托鉴定的证据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将案件争议的技术问题委托具有一定权威性的机构组织专家进行鉴定，鉴定人将鉴定意见以证据的形式提交给管理专利工作的部门，经当事人质证后作为定案依据。鉴定可以采用委托专门机构进行技术鉴定、召开专家咨询或专家论证会、专家证人参与等方式。鉴定意见通常为书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依申请或依职权调取的证据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管理专利工作的部门依据当事人的申请或依职权调取的证据通常包括：</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查阅、复制的与案件有关的合同、账册、生产记录等书证；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采用拍照、摄像等方式对被控侵权产品、被控侵权方法的生产操作过程、场所布置情况等进行登记保存形成的视听资料证据；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采用复制计算机数据、电子文档等方式形成的电子证据；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对易于调取的书证、产品实物等采用登记保存、抽样等方式提取的证据；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对不易搬动的大件物品或被控侵权产品等采用测量等方式进行现场勘验或检查形成的勘验或检查笔录；</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⑥</w:t>
      </w:r>
      <w:r>
        <w:rPr>
          <w:rFonts w:ascii="Times New Roman" w:eastAsia="宋体" w:hAnsi="Times New Roman"/>
          <w:sz w:val="21"/>
          <w:szCs w:val="21"/>
        </w:rPr>
        <w:fldChar w:fldCharType="end"/>
      </w:r>
      <w:r w:rsidR="00235733">
        <w:rPr>
          <w:rFonts w:ascii="Times New Roman" w:eastAsia="宋体" w:hAnsi="Times New Roman" w:hint="eastAsia"/>
          <w:sz w:val="21"/>
          <w:szCs w:val="21"/>
        </w:rPr>
        <w:t>在勘验现场时对相关人员进行调查、询问等形成的录音资料或调查询问笔录。</w:t>
      </w:r>
    </w:p>
    <w:p w:rsidR="00800760" w:rsidRDefault="00235733">
      <w:pPr>
        <w:pStyle w:val="3"/>
        <w:topLinePunct/>
        <w:spacing w:before="240"/>
        <w:ind w:firstLine="444"/>
        <w:rPr>
          <w:rFonts w:ascii="Times New Roman" w:hAnsi="Times New Roman"/>
        </w:rPr>
      </w:pPr>
      <w:bookmarkStart w:id="2901" w:name="_Toc24781"/>
      <w:bookmarkStart w:id="2902" w:name="_Toc3362"/>
      <w:bookmarkStart w:id="2903" w:name="_Toc6699"/>
      <w:bookmarkStart w:id="2904" w:name="_Toc9744"/>
      <w:bookmarkStart w:id="2905" w:name="_Toc16160"/>
      <w:bookmarkStart w:id="2906" w:name="_Toc3750"/>
      <w:bookmarkStart w:id="2907" w:name="_Toc16134"/>
      <w:bookmarkStart w:id="2908" w:name="_Toc31703"/>
      <w:bookmarkStart w:id="2909" w:name="_Toc2592"/>
      <w:bookmarkStart w:id="2910" w:name="_Toc10201"/>
      <w:bookmarkStart w:id="2911" w:name="_Toc16905"/>
      <w:bookmarkStart w:id="2912" w:name="_Toc32178"/>
      <w:bookmarkStart w:id="2913" w:name="_Toc15540"/>
      <w:bookmarkStart w:id="2914" w:name="_Toc29103"/>
      <w:bookmarkStart w:id="2915" w:name="_Toc9657"/>
      <w:bookmarkStart w:id="2916" w:name="_Toc13154"/>
      <w:bookmarkStart w:id="2917" w:name="_Toc2478"/>
      <w:bookmarkStart w:id="2918" w:name="_Toc7033"/>
      <w:bookmarkStart w:id="2919" w:name="_Toc20242"/>
      <w:bookmarkStart w:id="2920" w:name="_Toc20391"/>
      <w:bookmarkStart w:id="2921" w:name="_Toc9669"/>
      <w:bookmarkStart w:id="2922" w:name="_Toc18609"/>
      <w:bookmarkStart w:id="2923" w:name="_Toc30777"/>
      <w:bookmarkStart w:id="2924" w:name="_Toc29620"/>
      <w:bookmarkStart w:id="2925" w:name="_Toc9730"/>
      <w:bookmarkStart w:id="2926" w:name="_Toc2789"/>
      <w:bookmarkStart w:id="2927" w:name="_Toc31464"/>
      <w:bookmarkStart w:id="2928" w:name="_Toc943"/>
      <w:bookmarkStart w:id="2929" w:name="_Toc11252"/>
      <w:bookmarkStart w:id="2930" w:name="_Toc21227"/>
      <w:bookmarkStart w:id="2931" w:name="_Toc29563"/>
      <w:bookmarkStart w:id="2932" w:name="_Toc4400"/>
      <w:bookmarkStart w:id="2933" w:name="_Toc22717"/>
      <w:bookmarkStart w:id="2934" w:name="_Toc15948"/>
      <w:bookmarkStart w:id="2935" w:name="_Toc22942"/>
      <w:bookmarkStart w:id="2936" w:name="_Toc3305"/>
      <w:bookmarkStart w:id="2937" w:name="_Toc30372"/>
      <w:bookmarkStart w:id="2938" w:name="_Toc229114386"/>
      <w:bookmarkStart w:id="2939" w:name="_Toc12412"/>
      <w:bookmarkStart w:id="2940" w:name="_Toc229225482"/>
      <w:r>
        <w:rPr>
          <w:rFonts w:ascii="Times New Roman" w:hAnsi="Times New Roman" w:hint="eastAsia"/>
        </w:rPr>
        <w:t>二、证据的分类</w:t>
      </w:r>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p>
    <w:p w:rsidR="00800760" w:rsidRDefault="00235733">
      <w:pPr>
        <w:pStyle w:val="4"/>
        <w:spacing w:before="240"/>
        <w:ind w:firstLine="444"/>
        <w:rPr>
          <w:rFonts w:ascii="Times New Roman" w:hAnsi="Times New Roman"/>
        </w:rPr>
      </w:pPr>
      <w:r>
        <w:rPr>
          <w:rFonts w:ascii="Times New Roman" w:hAnsi="Times New Roman" w:hint="eastAsia"/>
        </w:rPr>
        <w:t>（一）原始证据与传来证据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按照证据的不同来源，可以将证据划分为原始证据与传来证据。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凡是直接来源于案件事实本身的证据材料即为原始证据，例如专利证书的原件、专利侵权产品原物。凡是经过中间传抄、转述环节获取的证据材料即为传来证据，也称为派生证据，例如证人转述的别人所说的情况等。</w:t>
      </w:r>
    </w:p>
    <w:p w:rsidR="00800760" w:rsidRDefault="00235733">
      <w:pPr>
        <w:pStyle w:val="4"/>
        <w:spacing w:before="240"/>
        <w:ind w:firstLine="444"/>
        <w:rPr>
          <w:rFonts w:ascii="Times New Roman" w:hAnsi="Times New Roman"/>
        </w:rPr>
      </w:pPr>
      <w:r>
        <w:rPr>
          <w:rFonts w:ascii="Times New Roman" w:hAnsi="Times New Roman" w:hint="eastAsia"/>
        </w:rPr>
        <w:t>（二）直接证据与间接证据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根据证据与待证事实的关系，可以将证据划分为直接证据与间接证据。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凡是能够单独证明案件主要事实的证据为直接证据，例如直接见证销售侵权产品的公证书。凡是只能证明案件事实的某一个侧面或者某一个环节，需要与其他证据结合使用才能证明案件事实的证据为间接证据。例如，销售某款产品的销售发票，虽然能证明发票开具日以前已经销售了某款产品，但是，该产品的形状、内部结构需要结合其他证据才能确定。</w:t>
      </w:r>
    </w:p>
    <w:p w:rsidR="00800760" w:rsidRDefault="00235733">
      <w:pPr>
        <w:pStyle w:val="4"/>
        <w:spacing w:before="240"/>
        <w:ind w:firstLine="444"/>
        <w:rPr>
          <w:rFonts w:ascii="Times New Roman" w:hAnsi="Times New Roman"/>
        </w:rPr>
      </w:pPr>
      <w:r>
        <w:rPr>
          <w:rFonts w:ascii="Times New Roman" w:hAnsi="Times New Roman" w:hint="eastAsia"/>
        </w:rPr>
        <w:t>（三）言词证据与实物证据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根据证据的表现形式，可以将证据划分为言词证据与实物证据。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凡是能够证明案件情况的事实是通过自然人的陈述形式表现出来的证据，称为言词证据，例如销售人员出具的在某时某地销售某产品的证言。凡是能够证明案件情况的事实是通过物品的外部形态特征或者记载的内容思想表现出来的证据，称为实物证据，例如涉嫌侵权的产品或者产品使用说明书。</w:t>
      </w:r>
    </w:p>
    <w:p w:rsidR="00800760" w:rsidRDefault="00235733">
      <w:pPr>
        <w:pStyle w:val="4"/>
        <w:spacing w:before="240"/>
        <w:ind w:firstLine="444"/>
        <w:rPr>
          <w:rFonts w:ascii="Times New Roman" w:hAnsi="Times New Roman"/>
        </w:rPr>
      </w:pPr>
      <w:r>
        <w:rPr>
          <w:rFonts w:ascii="Times New Roman" w:hAnsi="Times New Roman" w:hint="eastAsia"/>
        </w:rPr>
        <w:t>（四）本证与反证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w:t>
      </w:r>
      <w:r>
        <w:rPr>
          <w:rFonts w:ascii="Times New Roman" w:eastAsia="宋体" w:hAnsi="Times New Roman" w:hint="eastAsia"/>
          <w:bCs/>
          <w:sz w:val="21"/>
          <w:szCs w:val="21"/>
        </w:rPr>
        <w:t>证据与证明责任承担者的关系</w:t>
      </w:r>
      <w:r>
        <w:rPr>
          <w:rFonts w:ascii="Times New Roman" w:eastAsia="宋体" w:hAnsi="Times New Roman" w:hint="eastAsia"/>
          <w:sz w:val="21"/>
          <w:szCs w:val="21"/>
        </w:rPr>
        <w:t>，可以将证据分为本证与反证。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凡是由负有证明责任的一方当事人提出的用来证明该方主张事实的证据，即为本证。凡是为了推翻对方所主张的事实而提出的与对方相反的即相抵消的事实根据，称为反证。</w:t>
      </w:r>
    </w:p>
    <w:p w:rsidR="00800760" w:rsidRDefault="00235733">
      <w:pPr>
        <w:pStyle w:val="3"/>
        <w:topLinePunct/>
        <w:spacing w:before="240"/>
        <w:ind w:firstLine="444"/>
        <w:rPr>
          <w:rFonts w:ascii="Times New Roman" w:hAnsi="Times New Roman"/>
        </w:rPr>
      </w:pPr>
      <w:bookmarkStart w:id="2941" w:name="_Toc10628"/>
      <w:bookmarkStart w:id="2942" w:name="_Toc25526"/>
      <w:bookmarkStart w:id="2943" w:name="_Toc31157"/>
      <w:bookmarkStart w:id="2944" w:name="_Toc26493"/>
      <w:bookmarkStart w:id="2945" w:name="_Toc23868"/>
      <w:bookmarkStart w:id="2946" w:name="_Toc12138"/>
      <w:bookmarkStart w:id="2947" w:name="_Toc32495"/>
      <w:bookmarkStart w:id="2948" w:name="_Toc16412"/>
      <w:bookmarkStart w:id="2949" w:name="_Toc679"/>
      <w:bookmarkStart w:id="2950" w:name="_Toc19899"/>
      <w:bookmarkStart w:id="2951" w:name="_Toc7006"/>
      <w:bookmarkStart w:id="2952" w:name="_Toc31711"/>
      <w:bookmarkStart w:id="2953" w:name="_Toc18937"/>
      <w:bookmarkStart w:id="2954" w:name="_Toc17602"/>
      <w:bookmarkStart w:id="2955" w:name="_Toc9996"/>
      <w:bookmarkStart w:id="2956" w:name="_Toc29414"/>
      <w:bookmarkStart w:id="2957" w:name="_Toc6964"/>
      <w:bookmarkStart w:id="2958" w:name="_Toc32087"/>
      <w:bookmarkStart w:id="2959" w:name="_Toc22336"/>
      <w:bookmarkStart w:id="2960" w:name="_Toc13196"/>
      <w:bookmarkStart w:id="2961" w:name="_Toc6102"/>
      <w:bookmarkStart w:id="2962" w:name="_Toc1426"/>
      <w:bookmarkStart w:id="2963" w:name="_Toc21325"/>
      <w:bookmarkStart w:id="2964" w:name="_Toc27777"/>
      <w:bookmarkStart w:id="2965" w:name="_Toc25427"/>
      <w:bookmarkStart w:id="2966" w:name="_Toc15381"/>
      <w:bookmarkStart w:id="2967" w:name="_Toc26377"/>
      <w:bookmarkStart w:id="2968" w:name="_Toc28586"/>
      <w:bookmarkStart w:id="2969" w:name="_Toc19169"/>
      <w:bookmarkStart w:id="2970" w:name="_Toc6335"/>
      <w:bookmarkStart w:id="2971" w:name="_Toc21399"/>
      <w:bookmarkStart w:id="2972" w:name="_Toc229114387"/>
      <w:bookmarkStart w:id="2973" w:name="_Toc18622"/>
      <w:bookmarkStart w:id="2974" w:name="_Toc7884"/>
      <w:bookmarkStart w:id="2975" w:name="_Toc30185"/>
      <w:bookmarkStart w:id="2976" w:name="_Toc16899"/>
      <w:bookmarkStart w:id="2977" w:name="_Toc18980"/>
      <w:bookmarkStart w:id="2978" w:name="_Toc26867"/>
      <w:bookmarkStart w:id="2979" w:name="_Toc5813"/>
      <w:bookmarkStart w:id="2980" w:name="_Toc229225483"/>
      <w:r>
        <w:rPr>
          <w:rFonts w:ascii="Times New Roman" w:hAnsi="Times New Roman" w:hint="eastAsia"/>
        </w:rPr>
        <w:t>三、证据的表现形式</w:t>
      </w:r>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根据证据的不同表现形式，证据一般分为八种法定形式。</w:t>
      </w:r>
    </w:p>
    <w:p w:rsidR="00800760" w:rsidRDefault="00235733">
      <w:pPr>
        <w:pStyle w:val="4"/>
        <w:spacing w:before="240"/>
        <w:ind w:firstLine="444"/>
        <w:rPr>
          <w:rFonts w:ascii="Times New Roman" w:hAnsi="Times New Roman"/>
        </w:rPr>
      </w:pPr>
      <w:r>
        <w:rPr>
          <w:rFonts w:ascii="Times New Roman" w:hAnsi="Times New Roman" w:hint="eastAsia"/>
        </w:rPr>
        <w:t>（一）书证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书证是指用文字、符号或图形所表达的思想内容来证明案件事实的证据，是以其内容来证明待证事实的有关情况的文字材料。凡是以文字来记载人的思想和行为以及采用各种符号、图案来表达人的思想，其内容对待证事实具有证明作用的物品都是书证。书证形式上取决于它所采用的书面形式，内容上取决于它所记载或表达的思想内涵与案情具有关联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专利纠纷中常见的书证包括各个国家、地区的专利说明书、公证书、期刊、报纸、杂志、发票、单据、合同等。</w:t>
      </w:r>
    </w:p>
    <w:p w:rsidR="00800760" w:rsidRDefault="00235733">
      <w:pPr>
        <w:pStyle w:val="4"/>
        <w:spacing w:before="240"/>
        <w:ind w:firstLine="444"/>
        <w:rPr>
          <w:rFonts w:ascii="Times New Roman" w:hAnsi="Times New Roman"/>
        </w:rPr>
      </w:pPr>
      <w:r>
        <w:rPr>
          <w:rFonts w:ascii="Times New Roman" w:hAnsi="Times New Roman" w:hint="eastAsia"/>
        </w:rPr>
        <w:t>（二）物证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物证，即以物品、痕迹等客观物质实体的外形、性状、质地、规格等证明案件事实的证据，如被控侵权产品等。</w:t>
      </w:r>
    </w:p>
    <w:p w:rsidR="00800760" w:rsidRDefault="00235733">
      <w:pPr>
        <w:pStyle w:val="4"/>
        <w:spacing w:before="240"/>
        <w:ind w:firstLine="444"/>
        <w:rPr>
          <w:rFonts w:ascii="Times New Roman" w:hAnsi="Times New Roman"/>
        </w:rPr>
      </w:pPr>
      <w:r>
        <w:rPr>
          <w:rFonts w:ascii="Times New Roman" w:hAnsi="Times New Roman" w:hint="eastAsia"/>
        </w:rPr>
        <w:t>（三）视听资料</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视听资料是指以音响、图像等方式记录有信息的载体。视听资料一般可分为三种类型：</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视觉资料</w:t>
      </w:r>
      <w:r w:rsidR="00235733">
        <w:rPr>
          <w:rFonts w:ascii="Times New Roman" w:eastAsia="宋体" w:hAnsi="Times New Roman"/>
          <w:sz w:val="21"/>
          <w:szCs w:val="21"/>
        </w:rPr>
        <w:t>，</w:t>
      </w:r>
      <w:r w:rsidR="00235733">
        <w:rPr>
          <w:rFonts w:ascii="Times New Roman" w:eastAsia="宋体" w:hAnsi="Times New Roman" w:hint="eastAsia"/>
          <w:sz w:val="21"/>
          <w:szCs w:val="21"/>
        </w:rPr>
        <w:t>也称无声录像资料，包括图片、摄影胶卷、幻灯片、投影片、无声录像带、无声影片、无声机读件等。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听觉资料</w:t>
      </w:r>
      <w:r w:rsidR="00235733">
        <w:rPr>
          <w:rFonts w:ascii="Times New Roman" w:eastAsia="宋体" w:hAnsi="Times New Roman"/>
          <w:sz w:val="21"/>
          <w:szCs w:val="21"/>
        </w:rPr>
        <w:t>，</w:t>
      </w:r>
      <w:r w:rsidR="00235733">
        <w:rPr>
          <w:rFonts w:ascii="Times New Roman" w:eastAsia="宋体" w:hAnsi="Times New Roman" w:hint="eastAsia"/>
          <w:sz w:val="21"/>
          <w:szCs w:val="21"/>
        </w:rPr>
        <w:t>也称录音资料，包括唱片、录音带等。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声像资料，也称音像资料或音形资料，包括电影片、电视片、录音录像片、声像光盘等。</w:t>
      </w:r>
    </w:p>
    <w:p w:rsidR="00800760" w:rsidRDefault="00235733">
      <w:pPr>
        <w:pStyle w:val="4"/>
        <w:spacing w:before="240"/>
        <w:ind w:firstLine="444"/>
        <w:rPr>
          <w:rFonts w:ascii="Times New Roman" w:hAnsi="Times New Roman"/>
        </w:rPr>
      </w:pPr>
      <w:r>
        <w:rPr>
          <w:rFonts w:ascii="Times New Roman" w:hAnsi="Times New Roman" w:hint="eastAsia"/>
        </w:rPr>
        <w:t>（四）证人证言</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证人证言，是证人就其所感知的案件情况所作的陈述。以本人所知道的情况对案件事实作证的人，称为证人。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纠纷中，证人证言通常包括两种类型：自然人证言和单位证明。其中，单位证明形式上是一种书证，但实质上还是一种证人证言。对于单位行政职权范围内的证明内容，通常不需出庭质证即可认定其真实性（内容），但对于非行政职权范围内的证明内容，需要派员出庭质证并可能需要与其他证据结合使用才能认定其真实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证人证言有口头形式与书面形式、录音形式、视听资料形式等，无论以何种形式表现的证人证言，都应按照内容划为证人证言，而不应按照载体来划分为书证、视听资料等。</w:t>
      </w:r>
    </w:p>
    <w:p w:rsidR="00800760" w:rsidRDefault="00235733">
      <w:pPr>
        <w:pStyle w:val="4"/>
        <w:spacing w:before="240"/>
        <w:ind w:firstLine="444"/>
        <w:rPr>
          <w:rFonts w:ascii="Times New Roman" w:hAnsi="Times New Roman"/>
        </w:rPr>
      </w:pPr>
      <w:r>
        <w:rPr>
          <w:rFonts w:ascii="Times New Roman" w:hAnsi="Times New Roman" w:hint="eastAsia"/>
        </w:rPr>
        <w:t>（五）当事人陈述</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当事人陈述是当事人就案件事实向合议组所作的陈述。广义上，当事人陈述还包括当事人关于请求的陈述、关于与案件有关的其他事实的陈述以及关于案件性质和法律问题的陈述。</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作为证据形式的当事人陈述是以询问当事人本人为手段所获得的关于案件事实的证据。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代理人的承认视为当事人的承认。但是，未经特别授权的代理人对事实的承认直接导致承认对方请求的除外；当事人在场但对其代理人的承认不作否认表示的，视为当事人的承认。</w:t>
      </w:r>
    </w:p>
    <w:p w:rsidR="00800760" w:rsidRDefault="00235733">
      <w:pPr>
        <w:pStyle w:val="4"/>
        <w:spacing w:before="240"/>
        <w:ind w:firstLine="444"/>
        <w:rPr>
          <w:rFonts w:ascii="Times New Roman" w:hAnsi="Times New Roman"/>
        </w:rPr>
      </w:pPr>
      <w:r>
        <w:rPr>
          <w:rFonts w:ascii="Times New Roman" w:hAnsi="Times New Roman" w:hint="eastAsia"/>
        </w:rPr>
        <w:t>（六）鉴定意见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鉴定意见，是具有某方面知识的专家凭自己的专业知识、技能，利用相关工艺以及各种科学仪器、设备等，对特定事实及专门性问题进行分析鉴别后所作的专门性意见。该证据的产生依赖科学技术方法而不是对有关情况的回忆。</w:t>
      </w:r>
    </w:p>
    <w:p w:rsidR="00800760" w:rsidRDefault="00235733">
      <w:pPr>
        <w:pStyle w:val="4"/>
        <w:spacing w:before="240"/>
        <w:ind w:firstLine="444"/>
        <w:rPr>
          <w:rFonts w:ascii="Times New Roman" w:hAnsi="Times New Roman"/>
        </w:rPr>
      </w:pPr>
      <w:r>
        <w:rPr>
          <w:rFonts w:ascii="Times New Roman" w:hAnsi="Times New Roman" w:hint="eastAsia"/>
        </w:rPr>
        <w:t>（七）勘验笔录</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勘验笔录，是管理专利工作的部门指派的勘验人员对案件涉及的标的物和有关证据经过现场勘验、调查所作的记录。</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勘验笔录可以用文字记载，也可以附以拍照、摄像、绘图或制作模型等。勘验人应当将勘验情况和结果制作笔录，由勘验人、当事人和被邀请参加人签名或者盖章。</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管理专利工作的部门可以依当事人的申请勘验现场，也可以依职权主动对现场进行勘验。</w:t>
      </w:r>
    </w:p>
    <w:p w:rsidR="00800760" w:rsidRDefault="00235733">
      <w:pPr>
        <w:pStyle w:val="4"/>
        <w:spacing w:before="240"/>
        <w:ind w:firstLine="444"/>
        <w:rPr>
          <w:rFonts w:ascii="Times New Roman" w:hAnsi="Times New Roman"/>
        </w:rPr>
      </w:pPr>
      <w:r>
        <w:rPr>
          <w:rFonts w:ascii="Times New Roman" w:hAnsi="Times New Roman" w:hint="eastAsia"/>
        </w:rPr>
        <w:t>（八）电子证据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电子证据是指基于电子技术生成、以数字化形式存在于磁盘、光盘、存储卡、手机等各种电子设备载体，其内容可与载体分离，并可多次复制到其他载体的文件。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电子证据可以分为以下几种类型</w:t>
      </w:r>
      <w:r>
        <w:rPr>
          <w:rFonts w:ascii="Times New Roman" w:eastAsia="宋体" w:hAnsi="Times New Roman"/>
          <w:sz w:val="21"/>
          <w:szCs w:val="21"/>
        </w:rPr>
        <w:t>：</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文字处理文件：通过文字处理系统形成的文件，由文字、标点、表格、各种符号或其他编码文本组成。</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图形处理文件：由专门的计算机软件系统辅助设计或辅助制造的图形数据，通过图形人们可以直观地了解非连续性数据间的关系，使得复杂的信息变得生动明晰。</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数据库文件：由若干原始数据记录所组成的文件。数据库系统的功能是输入和存储数据、查询记录以及按照指令输出结果，它具有很高的信息价值，但只有经过整理汇总之后，才具有实际的用途和价值。</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程序文件：计算机进行人机交流的工具，软件就是由若干个程序文件组成的。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影、音、像文件：即通常所说的“多媒体”文件，通常经过扫描识别、视频捕捉、音频录入等综合编辑而成。</w:t>
      </w: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235733">
      <w:pPr>
        <w:pStyle w:val="2"/>
        <w:ind w:firstLineChars="0" w:firstLine="0"/>
        <w:rPr>
          <w:rFonts w:ascii="Times New Roman" w:hAnsi="Times New Roman"/>
        </w:rPr>
      </w:pPr>
      <w:bookmarkStart w:id="2981" w:name="_Toc3901"/>
      <w:bookmarkStart w:id="2982" w:name="_Toc26296"/>
      <w:bookmarkStart w:id="2983" w:name="_Toc21374"/>
      <w:bookmarkStart w:id="2984" w:name="_Toc22028"/>
      <w:bookmarkStart w:id="2985" w:name="_Toc19474"/>
      <w:bookmarkStart w:id="2986" w:name="_Toc4317"/>
      <w:bookmarkStart w:id="2987" w:name="_Toc15985"/>
      <w:bookmarkStart w:id="2988" w:name="_Toc25538"/>
      <w:bookmarkStart w:id="2989" w:name="_Toc23201"/>
      <w:bookmarkStart w:id="2990" w:name="_Toc11185"/>
      <w:bookmarkStart w:id="2991" w:name="_Toc19175"/>
      <w:bookmarkStart w:id="2992" w:name="_Toc8016"/>
      <w:bookmarkStart w:id="2993" w:name="_Toc8081"/>
      <w:bookmarkStart w:id="2994" w:name="_Toc22843"/>
      <w:bookmarkStart w:id="2995" w:name="_Toc12924"/>
      <w:bookmarkStart w:id="2996" w:name="_Toc3468"/>
      <w:bookmarkStart w:id="2997" w:name="_Toc28807"/>
      <w:bookmarkStart w:id="2998" w:name="_Toc30813"/>
      <w:bookmarkStart w:id="2999" w:name="_Toc1999"/>
      <w:bookmarkStart w:id="3000" w:name="_Toc30581"/>
      <w:bookmarkStart w:id="3001" w:name="_Toc30734"/>
      <w:bookmarkStart w:id="3002" w:name="_Toc6746"/>
      <w:bookmarkStart w:id="3003" w:name="_Toc915"/>
      <w:bookmarkStart w:id="3004" w:name="_Toc30187"/>
      <w:bookmarkStart w:id="3005" w:name="_Toc31348"/>
      <w:bookmarkStart w:id="3006" w:name="_Toc9518"/>
      <w:bookmarkStart w:id="3007" w:name="_Toc24811"/>
      <w:bookmarkStart w:id="3008" w:name="_Toc994"/>
      <w:bookmarkStart w:id="3009" w:name="_Toc1958"/>
      <w:bookmarkStart w:id="3010" w:name="_Toc30245"/>
      <w:bookmarkStart w:id="3011" w:name="_Toc14219"/>
      <w:bookmarkStart w:id="3012" w:name="_Toc4"/>
      <w:bookmarkStart w:id="3013" w:name="_Toc20128"/>
      <w:bookmarkStart w:id="3014" w:name="_Toc229114388"/>
      <w:bookmarkStart w:id="3015" w:name="_Toc21343"/>
      <w:bookmarkStart w:id="3016" w:name="_Toc18390"/>
      <w:bookmarkStart w:id="3017" w:name="_Toc11990"/>
      <w:bookmarkStart w:id="3018" w:name="_Toc229225484"/>
      <w:r>
        <w:rPr>
          <w:rFonts w:ascii="Times New Roman" w:hAnsi="Times New Roman" w:hint="eastAsia"/>
        </w:rPr>
        <w:t>第三节</w:t>
      </w:r>
      <w:r>
        <w:rPr>
          <w:rFonts w:ascii="Times New Roman" w:hAnsi="Times New Roman" w:hint="eastAsia"/>
          <w:kern w:val="2"/>
        </w:rPr>
        <w:t xml:space="preserve">　</w:t>
      </w:r>
      <w:r>
        <w:rPr>
          <w:rFonts w:ascii="Times New Roman" w:hAnsi="Times New Roman" w:hint="eastAsia"/>
        </w:rPr>
        <w:t>证据调查</w:t>
      </w:r>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p>
    <w:p w:rsidR="00800760" w:rsidRDefault="00235733">
      <w:pPr>
        <w:pStyle w:val="3"/>
        <w:topLinePunct/>
        <w:spacing w:before="240"/>
        <w:ind w:firstLine="444"/>
        <w:rPr>
          <w:rFonts w:ascii="Times New Roman" w:hAnsi="Times New Roman"/>
        </w:rPr>
      </w:pPr>
      <w:bookmarkStart w:id="3019" w:name="_Toc9489"/>
      <w:bookmarkStart w:id="3020" w:name="_Toc15100"/>
      <w:bookmarkStart w:id="3021" w:name="_Toc21994"/>
      <w:bookmarkStart w:id="3022" w:name="_Toc17095"/>
      <w:bookmarkStart w:id="3023" w:name="_Toc29825"/>
      <w:bookmarkStart w:id="3024" w:name="_Toc16027"/>
      <w:bookmarkStart w:id="3025" w:name="_Toc16316"/>
      <w:bookmarkStart w:id="3026" w:name="_Toc24583"/>
      <w:bookmarkStart w:id="3027" w:name="_Toc30928"/>
      <w:bookmarkStart w:id="3028" w:name="_Toc11899"/>
      <w:bookmarkStart w:id="3029" w:name="_Toc12713"/>
      <w:bookmarkStart w:id="3030" w:name="_Toc31350"/>
      <w:bookmarkStart w:id="3031" w:name="_Toc10377"/>
      <w:bookmarkStart w:id="3032" w:name="_Toc22952"/>
      <w:bookmarkStart w:id="3033" w:name="_Toc1166"/>
      <w:bookmarkStart w:id="3034" w:name="_Toc18753"/>
      <w:bookmarkStart w:id="3035" w:name="_Toc17645"/>
      <w:bookmarkStart w:id="3036" w:name="_Toc1503"/>
      <w:bookmarkStart w:id="3037" w:name="_Toc11212"/>
      <w:bookmarkStart w:id="3038" w:name="_Toc5414"/>
      <w:bookmarkStart w:id="3039" w:name="_Toc9441"/>
      <w:bookmarkStart w:id="3040" w:name="_Toc20112"/>
      <w:bookmarkStart w:id="3041" w:name="_Toc25811"/>
      <w:bookmarkStart w:id="3042" w:name="_Toc15217"/>
      <w:bookmarkStart w:id="3043" w:name="_Toc12223"/>
      <w:bookmarkStart w:id="3044" w:name="_Toc7440"/>
      <w:bookmarkStart w:id="3045" w:name="_Toc30841"/>
      <w:bookmarkStart w:id="3046" w:name="_Toc30855"/>
      <w:bookmarkStart w:id="3047" w:name="_Toc14744"/>
      <w:bookmarkStart w:id="3048" w:name="_Toc6178"/>
      <w:bookmarkStart w:id="3049" w:name="_Toc15207"/>
      <w:bookmarkStart w:id="3050" w:name="_Toc9339"/>
      <w:bookmarkStart w:id="3051" w:name="_Toc19111"/>
      <w:bookmarkStart w:id="3052" w:name="_Toc20446"/>
      <w:bookmarkStart w:id="3053" w:name="_Toc229114389"/>
      <w:bookmarkStart w:id="3054" w:name="_Toc5194"/>
      <w:bookmarkStart w:id="3055" w:name="_Toc24051"/>
      <w:bookmarkStart w:id="3056" w:name="_Toc229225485"/>
      <w:r>
        <w:rPr>
          <w:rFonts w:ascii="Times New Roman" w:hAnsi="Times New Roman" w:hint="eastAsia"/>
        </w:rPr>
        <w:t>一、当事人举证</w:t>
      </w:r>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p>
    <w:p w:rsidR="00800760" w:rsidRDefault="00235733">
      <w:pPr>
        <w:pStyle w:val="4"/>
        <w:spacing w:before="240"/>
        <w:ind w:firstLine="444"/>
        <w:rPr>
          <w:rFonts w:ascii="Times New Roman" w:hAnsi="Times New Roman"/>
        </w:rPr>
      </w:pPr>
      <w:r>
        <w:rPr>
          <w:rFonts w:ascii="Times New Roman" w:hAnsi="Times New Roman" w:hint="eastAsia"/>
        </w:rPr>
        <w:t>（一）举证责任的分配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请求人和被请求人</w:t>
      </w:r>
      <w:r>
        <w:rPr>
          <w:rFonts w:ascii="Times New Roman" w:eastAsia="宋体" w:hAnsi="Times New Roman"/>
          <w:sz w:val="21"/>
          <w:szCs w:val="21"/>
        </w:rPr>
        <w:t>在案件中对自己的主张有提供证据证实的责任，对其提供的证据或者证明材料的真实性负责，承担举证不力的法律后果。</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专利侵权纠纷案件中，当事人及其代理人因客观原因不能自行收集证据的，代理人可以申请管理专利工作的部门签发调查通知书，由代理人持调查通知书向接受调查的单位或者个人调查收集不涉及国家秘密、商业秘密或者个人隐私的相关证据。有关单位或者个人应当予以配合。</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1. “</w:t>
      </w:r>
      <w:r>
        <w:rPr>
          <w:rFonts w:ascii="Times New Roman" w:eastAsia="黑体" w:hAnsi="黑体" w:cs="Times New Roman"/>
          <w:sz w:val="21"/>
          <w:szCs w:val="21"/>
        </w:rPr>
        <w:t>谁主张谁举证</w:t>
      </w:r>
      <w:r>
        <w:rPr>
          <w:rFonts w:ascii="Times New Roman" w:eastAsia="黑体" w:hAnsi="Times New Roman" w:cs="Times New Roman"/>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 xml:space="preserve"> </w:t>
      </w:r>
      <w:r>
        <w:rPr>
          <w:rFonts w:ascii="Times New Roman" w:eastAsia="宋体" w:hAnsi="Times New Roman" w:hint="eastAsia"/>
          <w:sz w:val="21"/>
          <w:szCs w:val="21"/>
        </w:rPr>
        <w:t>“谁主张谁举证”就是当事人对自己提出的主张有义务提供证据并加以证明。在专利侵权纠纷处理中，“谁主张谁举证”一般体现为请求人提供证据来证明被请求人存在侵权事实，被请求人提供证据证明不构成侵权。</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若被请求人承认存在侵权事实，则构成自认，此时无需请求人证明，即可将自认事实作为决定的依据；若被请求人否认侵权事实的存在，则请求人对存在侵权事实承担举证责任。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无论是请求人对存在侵权事实的举证，还是被请求人对不构成侵权的举证，举证若达不到相应的证明标准，负有举证责任的当事人即需承担举证不能或不利的后果。</w:t>
      </w:r>
    </w:p>
    <w:p w:rsidR="00800760" w:rsidRDefault="00235733">
      <w:pPr>
        <w:pStyle w:val="af6"/>
        <w:spacing w:before="120"/>
        <w:ind w:firstLine="420"/>
      </w:pPr>
      <w:r>
        <w:rPr>
          <w:rFonts w:hint="eastAsia"/>
        </w:rPr>
        <w:t>【案例4-3-1】</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获得的“竹块不夹发枕席”实用新型专利在有效期内。请求人认为被请求人所生产的竹块枕席侵犯了其专利权，向所在地知识产权局提出专利侵权纠纷处理请求。被请求人在口头审理过程中陈述认为：涉案专利的申请日之前，在</w:t>
      </w:r>
      <w:r>
        <w:rPr>
          <w:rFonts w:ascii="Times New Roman" w:eastAsia="楷体_GB2312" w:hAnsi="Times New Roman" w:hint="eastAsia"/>
          <w:sz w:val="21"/>
          <w:szCs w:val="21"/>
        </w:rPr>
        <w:t>20</w:t>
      </w:r>
      <w:r>
        <w:rPr>
          <w:rFonts w:ascii="Times New Roman" w:eastAsia="楷体_GB2312" w:hAnsi="Times New Roman" w:hint="eastAsia"/>
          <w:sz w:val="21"/>
          <w:szCs w:val="21"/>
        </w:rPr>
        <w:t>世纪</w:t>
      </w:r>
      <w:r>
        <w:rPr>
          <w:rFonts w:ascii="Times New Roman" w:eastAsia="楷体_GB2312" w:hAnsi="Times New Roman" w:hint="eastAsia"/>
          <w:sz w:val="21"/>
          <w:szCs w:val="21"/>
        </w:rPr>
        <w:t>90</w:t>
      </w:r>
      <w:r>
        <w:rPr>
          <w:rFonts w:ascii="Times New Roman" w:eastAsia="楷体_GB2312" w:hAnsi="Times New Roman" w:hint="eastAsia"/>
          <w:sz w:val="21"/>
          <w:szCs w:val="21"/>
        </w:rPr>
        <w:t>年代初期，浙江义乌的小商品市场上早已有这种结构的枕席出现。但被请求人未提交相关证据。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经处理，被请求人生产的枕席落入涉案专利的保护范围，且虽然被请求人主张其使用的是现有技术，但未提供相关证据，合议组最终对被请求人的现有技术抗辩主张不予支持。</w:t>
      </w:r>
    </w:p>
    <w:p w:rsidR="00800760" w:rsidRDefault="00235733">
      <w:pPr>
        <w:pStyle w:val="12"/>
        <w:topLinePunct/>
        <w:spacing w:line="336" w:lineRule="auto"/>
        <w:ind w:firstLine="420"/>
        <w:rPr>
          <w:rFonts w:ascii="Times New Roman" w:eastAsia="华文隶书"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本案中，被请求人主张涉嫌侵权产品已于</w:t>
      </w:r>
      <w:r>
        <w:rPr>
          <w:rFonts w:ascii="Times New Roman" w:eastAsia="楷体_GB2312" w:hAnsi="Times New Roman" w:hint="eastAsia"/>
          <w:sz w:val="21"/>
          <w:szCs w:val="21"/>
        </w:rPr>
        <w:t>20</w:t>
      </w:r>
      <w:r>
        <w:rPr>
          <w:rFonts w:ascii="Times New Roman" w:eastAsia="楷体_GB2312" w:hAnsi="Times New Roman" w:hint="eastAsia"/>
          <w:sz w:val="21"/>
          <w:szCs w:val="21"/>
        </w:rPr>
        <w:t>世纪</w:t>
      </w:r>
      <w:r>
        <w:rPr>
          <w:rFonts w:ascii="Times New Roman" w:eastAsia="楷体_GB2312" w:hAnsi="Times New Roman" w:hint="eastAsia"/>
          <w:sz w:val="21"/>
          <w:szCs w:val="21"/>
        </w:rPr>
        <w:t>90</w:t>
      </w:r>
      <w:r>
        <w:rPr>
          <w:rFonts w:ascii="Times New Roman" w:eastAsia="楷体_GB2312" w:hAnsi="Times New Roman" w:hint="eastAsia"/>
          <w:sz w:val="21"/>
          <w:szCs w:val="21"/>
        </w:rPr>
        <w:t>年代初期进行生产、销售，即涉嫌侵权产品实施的是现有技术。但是，被请求人并未提交任何能够证明涉嫌侵权产品实施的是现有技术的证据，未能完成对所主张的不构成侵权的事实承担的举证责任，因此其主张不能获得支持。</w:t>
      </w:r>
    </w:p>
    <w:p w:rsidR="00800760" w:rsidRDefault="00235733">
      <w:pPr>
        <w:pStyle w:val="af6"/>
        <w:spacing w:before="120"/>
        <w:ind w:firstLine="420"/>
      </w:pPr>
      <w:r>
        <w:rPr>
          <w:rFonts w:hint="eastAsia"/>
        </w:rPr>
        <w:t>【案例4-3-2】</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获得的“墨盒”发明专利在有效期内。请求人认为被请求人销售的若干型号的某品牌墨盒在产品技术特征上与涉案专利完全一致，向所在地知识产权局提出专利侵权纠纷处理请求。处理过程中，被请求人辩称：被请求人自公司成立之日起从未制造墨盒，所销售的墨盒是从其他企业购买再进行分销的，对所购买的墨盒是否涉嫌侵权并不知晓。被请求人提交了营业执照、销售合同原件作为证据，同时出示了从某公司处购买墨盒的合同原件、发货凭证、增值税发票原件等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审查，合议组认为：首先，被请求人持有的营业执照上所表明的经营范围以及销售合同均限于分销墨盒等产品，并不涉及生产墨盒；其次，从被请求人提交的购买墨盒的合同、发货凭证等证据来看，被请求人虽然销售了涉嫌侵权产品，且未经专利权人许可，但其销售的墨盒具有合法来源，因此可免除其赔偿责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被请求人主张其并未生产墨盒，其销售的墨盒也具有合法来源，不应承担赔偿责任，并且提交了相关证据以证明其并未生产涉嫌侵权产品，同时进一步提供证据证明所分销的涉嫌侵权产品具有合法来源。在这些证据均能被认可的情况下，被请求人完成了对其所主张的事实应承担的举证责任，因此，其主张得到了合议组的支持。</w:t>
      </w:r>
    </w:p>
    <w:p w:rsidR="00800760" w:rsidRDefault="00235733">
      <w:pPr>
        <w:pStyle w:val="af6"/>
        <w:spacing w:before="120"/>
        <w:ind w:firstLine="420"/>
      </w:pPr>
      <w:r>
        <w:rPr>
          <w:rFonts w:hint="eastAsia"/>
        </w:rPr>
        <w:t>【案例4-3-3】</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获得的“瓷盘”外观设计专利在有效期内。请求人认为某厂生产、销售的彩色瓷盘侵犯其外观设计专利权，于是向所在地知识产权局提出专利侵权纠纷处理请求，同时提交了一份公证书复印件。公证内容是：在某商场购买彩色瓷盘并拍照、封存所购买的彩色瓷盘。公证书后附有购买彩色瓷盘的发票复印件以及所拍摄的彩色瓷盘照片。在口头审理当庭，请求人提交公证书原件，并将公证时封存的瓷盘当庭开封。</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经处理，合议组对请求人所提供的证据予以采信。经技术特征对比，认定被请求人生产并销售的该彩色瓷盘落入了涉案专利的保护范围，构成侵权。</w:t>
      </w:r>
    </w:p>
    <w:p w:rsidR="00800760" w:rsidRDefault="00235733">
      <w:pPr>
        <w:pStyle w:val="12"/>
        <w:keepNext/>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请求人主张某厂生产并销售的彩色瓷盘侵犯其外观设计专利权。为证明被请求人存在侵权事实，请求人通过公证购买、封存所购买产品的方式固定证据，提交了相关公证书和涉嫌侵权产品的样品作为证明被请求人存在侵权事实的证据。可见，请求人已经完成了相应的举证责任，所提交的证据也足以支持其主张。</w:t>
      </w:r>
    </w:p>
    <w:p w:rsidR="00800760" w:rsidRDefault="00235733">
      <w:pPr>
        <w:pStyle w:val="af6"/>
        <w:spacing w:before="120"/>
        <w:ind w:firstLine="420"/>
      </w:pPr>
      <w:r>
        <w:rPr>
          <w:rFonts w:hint="eastAsia"/>
        </w:rPr>
        <w:t>【案例4-3-4】</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请求人获得的“作弊探测器”实用新型专利在有效期内，该专利的申请日为</w:t>
      </w:r>
      <w:r>
        <w:rPr>
          <w:rFonts w:ascii="Times New Roman" w:eastAsia="楷体_GB2312" w:hAnsi="Times New Roman" w:hint="eastAsia"/>
          <w:sz w:val="21"/>
          <w:szCs w:val="21"/>
        </w:rPr>
        <w:t>2006</w:t>
      </w:r>
      <w:r>
        <w:rPr>
          <w:rFonts w:ascii="Times New Roman" w:eastAsia="楷体_GB2312" w:hAnsi="Times New Roman" w:hint="eastAsia"/>
          <w:sz w:val="21"/>
          <w:szCs w:val="21"/>
        </w:rPr>
        <w:t>年</w:t>
      </w:r>
      <w:r>
        <w:rPr>
          <w:rFonts w:ascii="Times New Roman" w:eastAsia="楷体_GB2312" w:hAnsi="Times New Roman" w:hint="eastAsia"/>
          <w:sz w:val="21"/>
          <w:szCs w:val="21"/>
        </w:rPr>
        <w:t>1</w:t>
      </w:r>
      <w:r>
        <w:rPr>
          <w:rFonts w:ascii="Times New Roman" w:eastAsia="楷体_GB2312" w:hAnsi="Times New Roman" w:hint="eastAsia"/>
          <w:sz w:val="21"/>
          <w:szCs w:val="21"/>
        </w:rPr>
        <w:t>月</w:t>
      </w:r>
      <w:r>
        <w:rPr>
          <w:rFonts w:ascii="Times New Roman" w:eastAsia="楷体_GB2312" w:hAnsi="Times New Roman" w:hint="eastAsia"/>
          <w:sz w:val="21"/>
          <w:szCs w:val="21"/>
        </w:rPr>
        <w:t>4</w:t>
      </w:r>
      <w:r>
        <w:rPr>
          <w:rFonts w:ascii="Times New Roman" w:eastAsia="楷体_GB2312" w:hAnsi="Times New Roman" w:hint="eastAsia"/>
          <w:sz w:val="21"/>
          <w:szCs w:val="21"/>
        </w:rPr>
        <w:t>日。请求人认为被请求人在未获得其允许的情况下生产和销售名为“作弊克”的产品构成侵权，于是向所在地知识产权局提出专利侵权纠纷处理请求。</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经审查，被请求人生产并销售的产品“作弊克”落入了涉案专利的保护范围。被请求人辩称，“作弊克”在涉案专利申请日前就已经投放市场，为此，被请求人提交了一系列证据，其中包括如下证据：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hint="eastAsia"/>
          <w:sz w:val="21"/>
          <w:szCs w:val="21"/>
        </w:rPr>
        <w:t>1</w:t>
      </w:r>
      <w:r>
        <w:rPr>
          <w:rFonts w:ascii="Times New Roman" w:eastAsia="楷体_GB2312" w:hAnsi="Times New Roman" w:hint="eastAsia"/>
          <w:sz w:val="21"/>
          <w:szCs w:val="21"/>
        </w:rPr>
        <w:t>：</w:t>
      </w:r>
      <w:r>
        <w:rPr>
          <w:rFonts w:ascii="Times New Roman" w:eastAsia="楷体_GB2312" w:hAnsi="Times New Roman" w:hint="eastAsia"/>
          <w:sz w:val="21"/>
          <w:szCs w:val="21"/>
        </w:rPr>
        <w:t>2006</w:t>
      </w:r>
      <w:r>
        <w:rPr>
          <w:rFonts w:ascii="Times New Roman" w:eastAsia="楷体_GB2312" w:hAnsi="Times New Roman" w:hint="eastAsia"/>
          <w:sz w:val="21"/>
          <w:szCs w:val="21"/>
        </w:rPr>
        <w:t>年</w:t>
      </w:r>
      <w:r>
        <w:rPr>
          <w:rFonts w:ascii="Times New Roman" w:eastAsia="楷体_GB2312" w:hAnsi="Times New Roman" w:hint="eastAsia"/>
          <w:sz w:val="21"/>
          <w:szCs w:val="21"/>
        </w:rPr>
        <w:t>1</w:t>
      </w:r>
      <w:r>
        <w:rPr>
          <w:rFonts w:ascii="Times New Roman" w:eastAsia="楷体_GB2312" w:hAnsi="Times New Roman" w:hint="eastAsia"/>
          <w:sz w:val="21"/>
          <w:szCs w:val="21"/>
        </w:rPr>
        <w:t>月</w:t>
      </w:r>
      <w:r>
        <w:rPr>
          <w:rFonts w:ascii="Times New Roman" w:eastAsia="楷体_GB2312" w:hAnsi="Times New Roman" w:hint="eastAsia"/>
          <w:sz w:val="21"/>
          <w:szCs w:val="21"/>
        </w:rPr>
        <w:t>6</w:t>
      </w:r>
      <w:r>
        <w:rPr>
          <w:rFonts w:ascii="Times New Roman" w:eastAsia="楷体_GB2312" w:hAnsi="Times New Roman" w:hint="eastAsia"/>
          <w:sz w:val="21"/>
          <w:szCs w:val="21"/>
        </w:rPr>
        <w:t>日的《×××晨报》原件，其上刊登有：“考场‘黑匣子’在××研制成功”一文，文中记载：“近日，在进行全国大学英语四、六级考试×××大学考场中，巡考教师手中的‘黑匣子’吸引了众人的目光。这是由×××大学科研团队自发研制成功的‘隐形耳机作弊探测仪’（学名作弊克）。”</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hint="eastAsia"/>
          <w:sz w:val="21"/>
          <w:szCs w:val="21"/>
        </w:rPr>
        <w:t>2</w:t>
      </w:r>
      <w:r>
        <w:rPr>
          <w:rFonts w:ascii="Times New Roman" w:eastAsia="楷体_GB2312" w:hAnsi="Times New Roman" w:hint="eastAsia"/>
          <w:sz w:val="21"/>
          <w:szCs w:val="21"/>
        </w:rPr>
        <w:t>：某省招考办中招字某号文件，其上记载：全国大学英语四、六级考试的时间为</w:t>
      </w:r>
      <w:r>
        <w:rPr>
          <w:rFonts w:ascii="Times New Roman" w:eastAsia="楷体_GB2312" w:hAnsi="Times New Roman" w:hint="eastAsia"/>
          <w:sz w:val="21"/>
          <w:szCs w:val="21"/>
        </w:rPr>
        <w:t>2005</w:t>
      </w:r>
      <w:r>
        <w:rPr>
          <w:rFonts w:ascii="Times New Roman" w:eastAsia="楷体_GB2312" w:hAnsi="Times New Roman" w:hint="eastAsia"/>
          <w:sz w:val="21"/>
          <w:szCs w:val="21"/>
        </w:rPr>
        <w:t>年</w:t>
      </w:r>
      <w:r>
        <w:rPr>
          <w:rFonts w:ascii="Times New Roman" w:eastAsia="楷体_GB2312" w:hAnsi="Times New Roman" w:hint="eastAsia"/>
          <w:sz w:val="21"/>
          <w:szCs w:val="21"/>
        </w:rPr>
        <w:t>12</w:t>
      </w:r>
      <w:r>
        <w:rPr>
          <w:rFonts w:ascii="Times New Roman" w:eastAsia="楷体_GB2312" w:hAnsi="Times New Roman" w:hint="eastAsia"/>
          <w:sz w:val="21"/>
          <w:szCs w:val="21"/>
        </w:rPr>
        <w:t>月</w:t>
      </w:r>
      <w:r>
        <w:rPr>
          <w:rFonts w:ascii="Times New Roman" w:eastAsia="楷体_GB2312" w:hAnsi="Times New Roman" w:hint="eastAsia"/>
          <w:sz w:val="21"/>
          <w:szCs w:val="21"/>
        </w:rPr>
        <w:t>24</w:t>
      </w:r>
      <w:r>
        <w:rPr>
          <w:rFonts w:ascii="Times New Roman" w:eastAsia="楷体_GB2312" w:hAnsi="Times New Roman" w:hint="eastAsia"/>
          <w:sz w:val="21"/>
          <w:szCs w:val="21"/>
        </w:rPr>
        <w:t>日。</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hint="eastAsia"/>
          <w:sz w:val="21"/>
          <w:szCs w:val="21"/>
        </w:rPr>
        <w:t>3</w:t>
      </w:r>
      <w:r>
        <w:rPr>
          <w:rFonts w:ascii="Times New Roman" w:eastAsia="楷体_GB2312" w:hAnsi="Times New Roman" w:hint="eastAsia"/>
          <w:sz w:val="21"/>
          <w:szCs w:val="21"/>
        </w:rPr>
        <w:t>：某大学研制的“作弊克”产品实物。</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经审查，合议组认定这些证据表明“作弊克”于涉案专利申请日前已投放市场使用，被请求人的现有技术抗辩成立，“作弊克”未侵犯涉案专利权。</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被请求人主张涉嫌侵权产品已于涉案专利申请日之前投放市场使用，即该涉嫌侵权产品使用的技术属于现有技术。为证明该主张，被请求人提交了报刊、招考文件等作为证明涉嫌侵权产品使用的技术属于现有技术的证据，完成了对所主张的不构成侵权的事实所应承担的举证责任。鉴于其所提交的证据均可采信，并形成了完整的证据链，因此其主张得到了合议组的支持。</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举证责任倒置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专利纠纷行政裁决中，涉及举证责任倒置的法定情形仅有一种，即对于新产品制造方法发明专利，不是由请求人举证被控方法侵权，而是由被请求人对其产品制造方法不同于专利方法承担举证责任。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被请求人承担证明其产品制造方法不同于专利方法的举证责任需要满足一定的前提条件，即请求人必须举证证明两项内容：</w:t>
      </w:r>
      <w:r w:rsidR="00C22A7B">
        <w:rPr>
          <w:rFonts w:ascii="Times New Roman" w:eastAsia="宋体" w:hAnsi="Times New Roman"/>
          <w:sz w:val="21"/>
          <w:szCs w:val="21"/>
        </w:rPr>
        <w:fldChar w:fldCharType="begin"/>
      </w:r>
      <w:r>
        <w:rPr>
          <w:rFonts w:ascii="Times New Roman" w:eastAsia="宋体" w:hAnsi="Times New Roman"/>
          <w:sz w:val="21"/>
          <w:szCs w:val="21"/>
        </w:rPr>
        <w:instrText>= 1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1</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依照所述制造方法权利要求获得的产品为“新产品”；</w:t>
      </w:r>
      <w:r w:rsidR="00C22A7B">
        <w:rPr>
          <w:rFonts w:ascii="Times New Roman" w:eastAsia="宋体" w:hAnsi="Times New Roman"/>
          <w:sz w:val="21"/>
          <w:szCs w:val="21"/>
        </w:rPr>
        <w:fldChar w:fldCharType="begin"/>
      </w:r>
      <w:r>
        <w:rPr>
          <w:rFonts w:ascii="Times New Roman" w:eastAsia="宋体" w:hAnsi="Times New Roman"/>
          <w:sz w:val="21"/>
          <w:szCs w:val="21"/>
        </w:rPr>
        <w:instrText>= 2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2</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被控侵权产品与依照专利方法直接获得的产品相同。如果请求人未完成以上两项内容的证明责任，则举证责任不能转移，被请求人无须举证证明“其产品制造方法不同于专利方法”。</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被请求人应当就其制造方法不同于专利方法举证，而不是提供证据证明使用不同于专利方法的另外一种方法也可以制造出相同产品。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1</w:t>
      </w:r>
      <w:r>
        <w:rPr>
          <w:rFonts w:ascii="Times New Roman" w:eastAsia="宋体" w:hAnsi="Times New Roman" w:hint="eastAsia"/>
          <w:sz w:val="21"/>
          <w:szCs w:val="21"/>
        </w:rPr>
        <w:t>）“新产品”的举证责任分配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请求人对于“新产品”的举证应当是初步举证。请求人完成该初步举证责任的形式可以是提供该产品在某一国家被授予专利权的证明、提供相关部门出具的检索报告等。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请求人能够初步举证，则举证证明该产品是已知产品的责任就转移给被请求人。如果被请求人不能提供相应的证据证明该产品是已知产品或者制备该产品的技术方案在专利申请日前已为公众所知，则认为请求人已经完成了证明其专利方法获得的产品为新产品的举证责任。</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w:t>
      </w:r>
      <w:r>
        <w:rPr>
          <w:rFonts w:ascii="Times New Roman" w:eastAsia="宋体" w:hAnsi="Times New Roman"/>
          <w:sz w:val="21"/>
          <w:szCs w:val="21"/>
        </w:rPr>
        <w:t>产品或者产品制造方法的技术方案在专利申请日以前可以为国内外公众所知的，管理专利工作的部门应当认定该产品不属于新产品。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“被控侵权产品与依照专利方法直接获得的产品相同”的举证责任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请求人举证证明“被控侵权产品与依照专利方法直接获得的产品相同”可能采用多种形式，例如提供司法鉴定中心出具的鉴定报告、被控侵权产品的产品说明书等。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关于依照专利方法直接获得的产品的认定，参见本指南第三章第一节第六部分之（二）“‘依照专利方法直接获得的产品’的含义”中相关内容。</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rPr>
        <w:t>4-3-5</w:t>
      </w:r>
      <w:r>
        <w:rPr>
          <w:rFonts w:ascii="Times New Roman" w:hAnsi="Times New Roman"/>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的“以亮菌为原料制备液体口服药物的方法”获得发明专利权。请求人曾与被请求人（某制药公司）签订合作生产该药品的合同，但在该合同解除后，被请求人仍在生产亮菌口服液。请求人因此向所在地知识产权局提出专利侵权纠纷处理请求。其除了提交经某公证处公证封存的被请求人生产的亮菌口服液实物、从某药店公证购买亮菌口服液的公证书之外，还提交了两份证据：证据一是国家知识产权局专利检索咨询中心出具的检索报告，称在涉案专利之前未检索到与涉案专利相同的亮菌口服液；证据二是某司法鉴定中心出具的鉴定报告，该中心在对被请求人的亮菌口服液进行鉴定后认为，其与请求人专利中的组成完全相同。但请求人未提供涉嫌侵权的口服液制造方法的相关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辩称：该专利是产品制造方法专利，其生产销售的亮菌口服液的生产方法与专利生产方法相比，在工艺、原料配比上存在重大不同，为此提交经批准的《亮菌口服液生产工艺规程》。同时，被请求人申请当地知识产权局办案人员前往口服液生产车间了解口服液生产过程。当地知识产权局办案人员赴其生产场所对口服液生产车间进行现场勘验，并详细记录了其生产方法的流程、处方等内容。最终判定被控侵权技术方案没有落入专利权保护范围，不构成侵权。</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涉及产品制造方法的发明专利，根据《专利法》第六十六条第一款的规定，“专利侵权纠纷涉及新产品制造方法的发明专利”的，“制造同样产品的单位或者个人应当提供其产品制造方法不同于专利方法的证明”。本案实行举证责任倒置，即由被请求人举证证明其口服液生产工艺与专利方法不同的前提条件是，请求人需要举证证明专利方法中亮菌口服液是新产品，同时被请求人生产的亮菌口服液与专利方法得到的亮菌口服液相同。请求人提交的证据一和证据二分别证明了以上内容，因此，提供其产品制造方法不同于专利方法的证明责任转移到被请求人。</w:t>
      </w:r>
    </w:p>
    <w:p w:rsidR="00800760" w:rsidRDefault="00235733">
      <w:pPr>
        <w:pStyle w:val="12"/>
        <w:topLinePunct/>
        <w:spacing w:line="336" w:lineRule="auto"/>
        <w:ind w:firstLine="420"/>
        <w:rPr>
          <w:rFonts w:ascii="Times New Roman" w:eastAsia="楷体_GB2312" w:hAnsi="Times New Roman"/>
          <w:spacing w:val="2"/>
          <w:sz w:val="21"/>
          <w:szCs w:val="21"/>
        </w:rPr>
      </w:pPr>
      <w:r>
        <w:rPr>
          <w:rFonts w:ascii="Times New Roman" w:eastAsia="楷体_GB2312" w:hAnsi="Times New Roman" w:hint="eastAsia"/>
          <w:sz w:val="21"/>
          <w:szCs w:val="21"/>
        </w:rPr>
        <w:t>被请求人提交的证据包括《亮菌口服液生产工艺规程》，其中记载了被请求人生产亮菌口服液的工艺、处方、培养基配方、工艺标准等内容。从该规程记载的内容看，被请求人的生产方法与请求人</w:t>
      </w:r>
      <w:r>
        <w:rPr>
          <w:rFonts w:ascii="Times New Roman" w:eastAsia="楷体_GB2312" w:hAnsi="Times New Roman" w:hint="eastAsia"/>
          <w:spacing w:val="2"/>
          <w:sz w:val="21"/>
          <w:szCs w:val="21"/>
        </w:rPr>
        <w:t>的专利方法不同。进一步地，当地知识产权局现场勘验结果也表明，被请求人的亮菌口服液虽与涉案专利所要求保护的方法所得到的最终产品组成相同，但二者在培养基配方、工艺和标准方面均存在区别。</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本案中，在请求人完成了其对产品为新产品、被控侵权产品与涉案专利方法所得到的产品相同的情况下，由被请求人承担证明其生产涉嫌侵权产品的方法不同于专利方法的举证责任。</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4-3-6</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请求人已获得“空心砖”发明专利权并维持其有效。其中，权利要求保护一种制造空心砖的方法，包括特征“</w:t>
      </w:r>
      <w:r>
        <w:rPr>
          <w:rFonts w:ascii="Times New Roman" w:eastAsia="宋体" w:hAnsi="Times New Roman" w:hint="eastAsia"/>
          <w:sz w:val="21"/>
          <w:szCs w:val="21"/>
        </w:rPr>
        <w:t>……</w:t>
      </w:r>
      <w:r>
        <w:rPr>
          <w:rFonts w:ascii="Times New Roman" w:eastAsia="楷体_GB2312" w:hAnsi="Times New Roman" w:hint="eastAsia"/>
          <w:sz w:val="21"/>
          <w:szCs w:val="21"/>
        </w:rPr>
        <w:t>使得所述空心砖的空心率为</w:t>
      </w:r>
      <w:r>
        <w:rPr>
          <w:rFonts w:ascii="Times New Roman" w:eastAsia="楷体_GB2312" w:hAnsi="Times New Roman" w:hint="eastAsia"/>
          <w:sz w:val="21"/>
          <w:szCs w:val="21"/>
        </w:rPr>
        <w:t>25%</w:t>
      </w:r>
      <w:r>
        <w:rPr>
          <w:rFonts w:ascii="Times New Roman" w:eastAsia="楷体_GB2312" w:hAnsi="Times New Roman" w:hint="eastAsia"/>
          <w:sz w:val="21"/>
          <w:szCs w:val="21"/>
        </w:rPr>
        <w:t>～</w:t>
      </w:r>
      <w:r>
        <w:rPr>
          <w:rFonts w:ascii="Times New Roman" w:eastAsia="楷体_GB2312" w:hAnsi="Times New Roman" w:hint="eastAsia"/>
          <w:sz w:val="21"/>
          <w:szCs w:val="21"/>
        </w:rPr>
        <w:t>35%</w:t>
      </w:r>
      <w:r>
        <w:rPr>
          <w:rFonts w:ascii="Times New Roman" w:eastAsia="宋体" w:hAnsi="Times New Roman" w:hint="eastAsia"/>
          <w:sz w:val="21"/>
          <w:szCs w:val="21"/>
        </w:rPr>
        <w:t>……</w:t>
      </w:r>
      <w:r>
        <w:rPr>
          <w:rFonts w:ascii="Times New Roman" w:eastAsia="楷体_GB2312" w:hAnsi="Times New Roman" w:hint="eastAsia"/>
          <w:sz w:val="21"/>
          <w:szCs w:val="21"/>
        </w:rPr>
        <w:t>”。请求人认为被请求人（某空心砖厂）生产的空心砖侵犯上述专利权，向当地知识产权局提出专利侵权纠纷处理请求，并提交了购买被请求人生产的空心砖的购买凭证以及购买的空心砖样品作为证据。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被请求人辩称：其空心砖的制造方法与专利方法并不相同，不构成侵权。</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将请求人提交的空心砖样品与涉案专利权利要求进行比对，大部分特征均吻合，但涉案权利要求中还包括涉及空心率具体数值的特征，合议组要求请求人证明被请求人生产的空心砖的空心率落入权利要求所述的</w:t>
      </w:r>
      <w:r>
        <w:rPr>
          <w:rFonts w:ascii="Times New Roman" w:eastAsia="楷体_GB2312" w:hAnsi="Times New Roman" w:hint="eastAsia"/>
          <w:sz w:val="21"/>
          <w:szCs w:val="21"/>
        </w:rPr>
        <w:t>25%</w:t>
      </w:r>
      <w:r>
        <w:rPr>
          <w:rFonts w:ascii="Times New Roman" w:eastAsia="楷体_GB2312" w:hAnsi="Times New Roman" w:hint="eastAsia"/>
          <w:sz w:val="21"/>
          <w:szCs w:val="21"/>
        </w:rPr>
        <w:t>～</w:t>
      </w:r>
      <w:r>
        <w:rPr>
          <w:rFonts w:ascii="Times New Roman" w:eastAsia="楷体_GB2312" w:hAnsi="Times New Roman" w:hint="eastAsia"/>
          <w:sz w:val="21"/>
          <w:szCs w:val="21"/>
        </w:rPr>
        <w:t>35%</w:t>
      </w:r>
      <w:r>
        <w:rPr>
          <w:rFonts w:ascii="Times New Roman" w:eastAsia="楷体_GB2312" w:hAnsi="Times New Roman" w:hint="eastAsia"/>
          <w:sz w:val="21"/>
          <w:szCs w:val="21"/>
        </w:rPr>
        <w:t>的范围。对此，请求人提交了上述所购买的空心砖的随附说明书，但其中未涉及被请求人生产空心砖的空心率的具体数值。</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涉及产品制造方法的发明专利，根据《专利法》第六十六条第一款的规定，请求人除需要对依照专利方法制造的产品属于新产品初步举证外，还需要证明被控侵权产品与依照专利方法直接获得的产品相同。本案中，请求人所提交的证据无法证明被控侵权产品与涉案专利方法制造的空心砖的空心率相同，从而无法证明两产品相同，因此请求人未完成“相同产品”的证明责任，举证责任不能转移，被请求人无须举证证明“其产品制造方法不同于专利方法”。</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举证责任倒置的注意事项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举证责任倒置与被请求人举证是两个完全不同的概念。前者是指对于请求人提出的事实主张，本该由提出该主张的请求人加以举证证明，但是法律却将相应的举证责任交由被请求人承担。相对地，被请求人举证除了举证责任倒置的情形外，还存在另外一种情形，即被请求人提出某一事实主张，其需承担证明该主张成立的举证责任。例如，被请求人根据《专利法》第六十七条的规定，主张“其实施的技术或者设计属于现有技术或者现有设计”，该主张属于有利于被请求人的抗辩事实，被请求人对此作出证明，属于举证责任的一般性分配原则，即“谁主张谁举证”的范畴。</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3. </w:t>
      </w:r>
      <w:r>
        <w:rPr>
          <w:rFonts w:ascii="Times New Roman" w:eastAsia="黑体" w:hAnsi="黑体" w:cs="Times New Roman"/>
          <w:sz w:val="21"/>
          <w:szCs w:val="21"/>
        </w:rPr>
        <w:t>举证责任的免除</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以下情形，当事人可免于举证：</w:t>
      </w:r>
    </w:p>
    <w:p w:rsidR="00800760" w:rsidRDefault="00C22A7B">
      <w:pPr>
        <w:ind w:firstLineChars="150" w:firstLine="315"/>
      </w:pPr>
      <w:r>
        <w:fldChar w:fldCharType="begin"/>
      </w:r>
      <w:r w:rsidR="00235733">
        <w:instrText>= 1 \* GB2</w:instrText>
      </w:r>
      <w:r>
        <w:fldChar w:fldCharType="separate"/>
      </w:r>
      <w:r w:rsidR="00235733">
        <w:rPr>
          <w:rFonts w:hint="eastAsia"/>
        </w:rPr>
        <w:t>（</w:t>
      </w:r>
      <w:r w:rsidR="00235733">
        <w:rPr>
          <w:rFonts w:hint="eastAsia"/>
        </w:rPr>
        <w:t>1</w:t>
      </w:r>
      <w:r w:rsidR="00235733">
        <w:rPr>
          <w:rFonts w:hint="eastAsia"/>
        </w:rPr>
        <w:t>）</w:t>
      </w:r>
      <w:r>
        <w:fldChar w:fldCharType="end"/>
      </w:r>
      <w:r w:rsidR="00235733">
        <w:rPr>
          <w:rFonts w:hint="eastAsia"/>
        </w:rPr>
        <w:t>一方当事人陈述的案件事实，另一方当事人明确承认的；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众所周知的事实；</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自然规律及定理；</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根据法律规定或者已知事实和日常生活经验法则，能推定出的另一事实；</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已为人民法院发生法律效力的裁判所确认的事实；</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6</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已为仲裁机构的生效裁决所确认的事实；</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7</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已为有效公证文书所证明的事实。</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其中，第</w:t>
      </w:r>
      <w:r w:rsidR="00C22A7B">
        <w:rPr>
          <w:rFonts w:ascii="Times New Roman" w:eastAsia="宋体" w:hAnsi="Times New Roman"/>
          <w:sz w:val="21"/>
          <w:szCs w:val="21"/>
        </w:rPr>
        <w:fldChar w:fldCharType="begin"/>
      </w:r>
      <w:r>
        <w:rPr>
          <w:rFonts w:ascii="Times New Roman" w:eastAsia="宋体" w:hAnsi="Times New Roman"/>
          <w:sz w:val="21"/>
          <w:szCs w:val="21"/>
        </w:rPr>
        <w:instrText>= 2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2</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4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4</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5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5</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6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6</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w:t>
      </w:r>
      <w:r w:rsidR="00C22A7B">
        <w:rPr>
          <w:rFonts w:ascii="Times New Roman" w:eastAsia="宋体" w:hAnsi="Times New Roman"/>
          <w:sz w:val="21"/>
          <w:szCs w:val="21"/>
        </w:rPr>
        <w:fldChar w:fldCharType="begin"/>
      </w:r>
      <w:r>
        <w:rPr>
          <w:rFonts w:ascii="Times New Roman" w:eastAsia="宋体" w:hAnsi="Times New Roman"/>
          <w:sz w:val="21"/>
          <w:szCs w:val="21"/>
        </w:rPr>
        <w:instrText>= 7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7</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项，当事人有相反证据足以推翻的除外。</w:t>
      </w:r>
    </w:p>
    <w:p w:rsidR="00800760" w:rsidRDefault="00235733">
      <w:pPr>
        <w:pStyle w:val="4"/>
        <w:spacing w:before="240"/>
        <w:ind w:firstLine="444"/>
        <w:rPr>
          <w:rFonts w:ascii="Times New Roman" w:hAnsi="Times New Roman"/>
        </w:rPr>
      </w:pPr>
      <w:r>
        <w:rPr>
          <w:rFonts w:ascii="Times New Roman" w:hAnsi="Times New Roman" w:hint="eastAsia"/>
        </w:rPr>
        <w:t>（二）证据的提交要求</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1. </w:t>
      </w:r>
      <w:r>
        <w:rPr>
          <w:rFonts w:ascii="Times New Roman" w:eastAsia="黑体" w:hAnsi="黑体" w:cs="Times New Roman"/>
          <w:sz w:val="21"/>
          <w:szCs w:val="21"/>
        </w:rPr>
        <w:t>物证和书证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请求人提交被控侵权产品的样品、照片、相应的购买发票、购物收据或者购买被控侵权产品的公证文书、宣传画册等物证或者书证作为证据的，原则上应当提交原物或者原件，或者在质证时应对方当事人的要求出示原物或原件。确有困难无法提交或出示原物或原件的，应当提交经受理该案的管理专利工作的部门核对无异的复制品或者复制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仅提交复制品或者复制件未提交原物或原件，导致无法核实复制品或复制件与原物或原件是否一致，从而无法认可其真实性，同时对方当事人也不认可其真实性的，将由承担举证责任的一方当事人承担举证不利的后果。</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4-3-7</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申请了三项外观设计专利均获得专利权，分别是“双炮小礼花弹”“三炮小礼花弹”“礼花弹（四炮形）”。请求人认为被请求人（某烟花厂）制造的“双炮弹”“三炮弹”和“四炮弹”分别侵犯了其外观设计专利权，向所在地知识产权局提出专利侵权纠纷处理请求并提交了相关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被请求人辩称：上述专利申请日之前，“双炮弹”“三炮弹”和“四炮弹”已经设计并制造、销售，因此不构成对涉案专利权的侵犯。被请求人提交了如下证据：</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fldChar w:fldCharType="begin"/>
      </w:r>
      <w:r w:rsidR="00235733">
        <w:rPr>
          <w:rFonts w:ascii="Times New Roman" w:eastAsia="楷体_GB2312" w:hAnsi="Times New Roman" w:hint="eastAsia"/>
          <w:sz w:val="21"/>
          <w:szCs w:val="21"/>
        </w:rPr>
        <w:instrText>= 1 \* GB2</w:instrText>
      </w:r>
      <w:r>
        <w:rPr>
          <w:rFonts w:ascii="Times New Roman" w:eastAsia="楷体_GB2312" w:hAnsi="Times New Roman" w:hint="eastAsia"/>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1</w:t>
      </w:r>
      <w:r w:rsidR="00235733">
        <w:rPr>
          <w:rFonts w:ascii="Times New Roman" w:eastAsia="楷体_GB2312" w:hAnsi="Times New Roman" w:hint="eastAsia"/>
          <w:sz w:val="21"/>
          <w:szCs w:val="21"/>
        </w:rPr>
        <w:t>）</w:t>
      </w:r>
      <w:r>
        <w:rPr>
          <w:rFonts w:ascii="Times New Roman" w:eastAsia="楷体_GB2312" w:hAnsi="Times New Roman" w:hint="eastAsia"/>
          <w:sz w:val="21"/>
          <w:szCs w:val="21"/>
        </w:rPr>
        <w:fldChar w:fldCharType="end"/>
      </w:r>
      <w:r w:rsidR="00235733">
        <w:rPr>
          <w:rFonts w:ascii="Times New Roman" w:eastAsia="楷体_GB2312" w:hAnsi="Times New Roman" w:hint="eastAsia"/>
          <w:sz w:val="21"/>
          <w:szCs w:val="21"/>
        </w:rPr>
        <w:t>八家单位分别致被请求人的生产订单复印件，其上显示盖有相关单位的公章，生产订单上记载的时间早于上述涉案专利的申请日，涉及的产品名称包括“双炮弹”“三炮弹”“四炮弹”等，上述单位包括烟花制造有限责任公司</w:t>
      </w:r>
      <w:r w:rsidR="00235733">
        <w:rPr>
          <w:rFonts w:ascii="Times New Roman" w:eastAsia="楷体_GB2312" w:hAnsi="Times New Roman" w:hint="eastAsia"/>
          <w:sz w:val="21"/>
          <w:szCs w:val="21"/>
        </w:rPr>
        <w:t>A</w:t>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B</w:t>
      </w:r>
      <w:r w:rsidR="00235733">
        <w:rPr>
          <w:rFonts w:ascii="Times New Roman" w:eastAsia="楷体_GB2312" w:hAnsi="Times New Roman" w:hint="eastAsia"/>
          <w:sz w:val="21"/>
          <w:szCs w:val="21"/>
        </w:rPr>
        <w:t>，花炮股份有限公司</w:t>
      </w:r>
      <w:r w:rsidR="00235733">
        <w:rPr>
          <w:rFonts w:ascii="Times New Roman" w:eastAsia="楷体_GB2312" w:hAnsi="Times New Roman" w:hint="eastAsia"/>
          <w:sz w:val="21"/>
          <w:szCs w:val="21"/>
        </w:rPr>
        <w:t>C</w:t>
      </w:r>
      <w:r w:rsidR="00235733">
        <w:rPr>
          <w:rFonts w:ascii="Times New Roman" w:eastAsia="楷体_GB2312" w:hAnsi="Times New Roman" w:hint="eastAsia"/>
          <w:sz w:val="21"/>
          <w:szCs w:val="21"/>
        </w:rPr>
        <w:t>，烟花进出口有限公司</w:t>
      </w:r>
      <w:r w:rsidR="00235733">
        <w:rPr>
          <w:rFonts w:ascii="Times New Roman" w:eastAsia="楷体_GB2312" w:hAnsi="Times New Roman" w:hint="eastAsia"/>
          <w:sz w:val="21"/>
          <w:szCs w:val="21"/>
        </w:rPr>
        <w:t>D</w:t>
      </w:r>
      <w:r w:rsidR="00235733">
        <w:rPr>
          <w:rFonts w:ascii="Times New Roman" w:eastAsia="楷体_GB2312" w:hAnsi="Times New Roman" w:hint="eastAsia"/>
          <w:sz w:val="21"/>
          <w:szCs w:val="21"/>
        </w:rPr>
        <w:t>等。</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fldChar w:fldCharType="begin"/>
      </w:r>
      <w:r w:rsidR="00235733">
        <w:rPr>
          <w:rFonts w:ascii="Times New Roman" w:eastAsia="楷体_GB2312" w:hAnsi="Times New Roman" w:hint="eastAsia"/>
          <w:sz w:val="21"/>
          <w:szCs w:val="21"/>
        </w:rPr>
        <w:instrText>= 2 \* GB2</w:instrText>
      </w:r>
      <w:r>
        <w:rPr>
          <w:rFonts w:ascii="Times New Roman" w:eastAsia="楷体_GB2312" w:hAnsi="Times New Roman" w:hint="eastAsia"/>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2</w:t>
      </w:r>
      <w:r w:rsidR="00235733">
        <w:rPr>
          <w:rFonts w:ascii="Times New Roman" w:eastAsia="楷体_GB2312" w:hAnsi="Times New Roman" w:hint="eastAsia"/>
          <w:sz w:val="21"/>
          <w:szCs w:val="21"/>
        </w:rPr>
        <w:t>）</w:t>
      </w:r>
      <w:r>
        <w:rPr>
          <w:rFonts w:ascii="Times New Roman" w:eastAsia="楷体_GB2312" w:hAnsi="Times New Roman" w:hint="eastAsia"/>
          <w:sz w:val="21"/>
          <w:szCs w:val="21"/>
        </w:rPr>
        <w:fldChar w:fldCharType="end"/>
      </w:r>
      <w:r w:rsidR="00235733">
        <w:rPr>
          <w:rFonts w:ascii="Times New Roman" w:eastAsia="楷体_GB2312" w:hAnsi="Times New Roman" w:hint="eastAsia"/>
          <w:sz w:val="21"/>
          <w:szCs w:val="21"/>
        </w:rPr>
        <w:t>被请求人的财务票据复印件共</w:t>
      </w:r>
      <w:r w:rsidR="00235733">
        <w:rPr>
          <w:rFonts w:ascii="Times New Roman" w:eastAsia="楷体_GB2312" w:hAnsi="Times New Roman" w:hint="eastAsia"/>
          <w:sz w:val="21"/>
          <w:szCs w:val="21"/>
        </w:rPr>
        <w:t>17</w:t>
      </w:r>
      <w:r w:rsidR="00235733">
        <w:rPr>
          <w:rFonts w:ascii="Times New Roman" w:eastAsia="楷体_GB2312" w:hAnsi="Times New Roman" w:hint="eastAsia"/>
          <w:sz w:val="21"/>
          <w:szCs w:val="21"/>
        </w:rPr>
        <w:t>张，包括：增值税发票</w:t>
      </w:r>
      <w:r w:rsidR="00235733">
        <w:rPr>
          <w:rFonts w:ascii="Times New Roman" w:eastAsia="楷体_GB2312" w:hAnsi="Times New Roman" w:hint="eastAsia"/>
          <w:sz w:val="21"/>
          <w:szCs w:val="21"/>
        </w:rPr>
        <w:t>10</w:t>
      </w:r>
      <w:r w:rsidR="00235733">
        <w:rPr>
          <w:rFonts w:ascii="Times New Roman" w:eastAsia="楷体_GB2312" w:hAnsi="Times New Roman" w:hint="eastAsia"/>
          <w:sz w:val="21"/>
          <w:szCs w:val="21"/>
        </w:rPr>
        <w:t>张、与发票相关的销售明细表</w:t>
      </w:r>
      <w:r w:rsidR="00235733">
        <w:rPr>
          <w:rFonts w:ascii="Times New Roman" w:eastAsia="楷体_GB2312" w:hAnsi="Times New Roman" w:hint="eastAsia"/>
          <w:sz w:val="21"/>
          <w:szCs w:val="21"/>
        </w:rPr>
        <w:t>4</w:t>
      </w:r>
      <w:r w:rsidR="00235733">
        <w:rPr>
          <w:rFonts w:ascii="Times New Roman" w:eastAsia="楷体_GB2312" w:hAnsi="Times New Roman" w:hint="eastAsia"/>
          <w:sz w:val="21"/>
          <w:szCs w:val="21"/>
        </w:rPr>
        <w:t>张，以及银行转账通知单</w:t>
      </w:r>
      <w:r w:rsidR="00235733">
        <w:rPr>
          <w:rFonts w:ascii="Times New Roman" w:eastAsia="楷体_GB2312" w:hAnsi="Times New Roman" w:hint="eastAsia"/>
          <w:sz w:val="21"/>
          <w:szCs w:val="21"/>
        </w:rPr>
        <w:t>3</w:t>
      </w:r>
      <w:r w:rsidR="00235733">
        <w:rPr>
          <w:rFonts w:ascii="Times New Roman" w:eastAsia="楷体_GB2312" w:hAnsi="Times New Roman" w:hint="eastAsia"/>
          <w:sz w:val="21"/>
          <w:szCs w:val="21"/>
        </w:rPr>
        <w:t>张。上述票据开出时间均早于上述专利申请日，销售明细表记载的产品名称包括“双炮弹”“三炮弹”“四炮弹”。</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审查，合议组认为，被请求人生产的“双炮弹”“三炮弹”“四炮弹”落入涉案专利保护范围。然而，被请求人所提交的生产订单和财务票据均是复印件，在处理过程中，被请求人未能提交上述票据的原件，请求人也不认可上述票据的真实性，因此合议组对上述证据无法采信，被请求人不能证明被请求人在专利申请日前就已制造并销售涉嫌侵权产品，现有设计抗辩不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被请求人主张涉嫌侵权产品的生产时间早于涉案专利的申请日，也即主张涉嫌侵权产品使用的设计属于现有设计。被请求人提交生产订单和财务票据作为证据，但是，其仅提交了生产订单和财务票据的复印件，并未提交原件，导致无法核实复印件与原件或原物是否一致，从而无法认可其真实性，因此须承担举证不能的法律后果。</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外文证据、域外证据及在我国港澳台地区形成的证据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sz w:val="21"/>
          <w:szCs w:val="21"/>
        </w:rPr>
        <w:t>1</w:t>
      </w:r>
      <w:r>
        <w:rPr>
          <w:rFonts w:ascii="Times New Roman" w:eastAsia="宋体" w:hAnsi="Times New Roman"/>
          <w:sz w:val="21"/>
          <w:szCs w:val="21"/>
        </w:rPr>
        <w:t>）一般证明手续</w:t>
      </w:r>
    </w:p>
    <w:p w:rsidR="00800760" w:rsidRDefault="00235733">
      <w:pPr>
        <w:pStyle w:val="12"/>
        <w:topLinePunct/>
        <w:spacing w:line="336" w:lineRule="auto"/>
        <w:ind w:firstLine="420"/>
        <w:rPr>
          <w:rFonts w:ascii="Times New Roman" w:eastAsiaTheme="minorEastAsia" w:hAnsi="Times New Roman" w:cstheme="minorEastAsia"/>
          <w:sz w:val="21"/>
          <w:szCs w:val="21"/>
        </w:rPr>
      </w:pPr>
      <w:r>
        <w:rPr>
          <w:rFonts w:ascii="Times New Roman" w:eastAsiaTheme="minorEastAsia" w:hAnsi="Times New Roman" w:cstheme="minorEastAsia" w:hint="eastAsia"/>
          <w:sz w:val="21"/>
          <w:szCs w:val="21"/>
        </w:rPr>
        <w:t>对于外文证据、域外证据及在我国港澳台地区形成的证据的提交要求参见第二章第一节的相关规定。</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4-3-8</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请求人申请并获得了“茶叶袋”的外观设计专利。请求人认为被请求人销售的袋泡茶所使用的茶叶袋涉嫌侵犯其专利权，向当地知识产权局提出侵权纠纷处理请求，并提交了相关证据。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被请求人辩称，自己销售的袋泡茶早于涉案专利申请日就已进入市场，其是通过美国</w:t>
      </w:r>
      <w:r>
        <w:rPr>
          <w:rFonts w:ascii="Times New Roman" w:eastAsia="楷体_GB2312" w:hAnsi="Times New Roman" w:hint="eastAsia"/>
          <w:sz w:val="21"/>
          <w:szCs w:val="21"/>
        </w:rPr>
        <w:t>A</w:t>
      </w:r>
      <w:r>
        <w:rPr>
          <w:rFonts w:ascii="Times New Roman" w:eastAsia="楷体_GB2312" w:hAnsi="Times New Roman" w:hint="eastAsia"/>
          <w:sz w:val="21"/>
          <w:szCs w:val="21"/>
        </w:rPr>
        <w:t>公司原装进口的。被请求人提交其与</w:t>
      </w:r>
      <w:r>
        <w:rPr>
          <w:rFonts w:ascii="Times New Roman" w:eastAsia="楷体_GB2312" w:hAnsi="Times New Roman" w:hint="eastAsia"/>
          <w:sz w:val="21"/>
          <w:szCs w:val="21"/>
        </w:rPr>
        <w:t>A</w:t>
      </w:r>
      <w:r>
        <w:rPr>
          <w:rFonts w:ascii="Times New Roman" w:eastAsia="楷体_GB2312" w:hAnsi="Times New Roman" w:hint="eastAsia"/>
          <w:sz w:val="21"/>
          <w:szCs w:val="21"/>
        </w:rPr>
        <w:t>公司在国内签订的中英文合同及其随附的产品规格参数要求等文件原件，用以证明袋泡茶的进口。</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请求人对</w:t>
      </w:r>
      <w:r>
        <w:rPr>
          <w:rFonts w:ascii="Times New Roman" w:eastAsia="楷体_GB2312" w:hAnsi="Times New Roman" w:hint="eastAsia"/>
          <w:sz w:val="21"/>
          <w:szCs w:val="21"/>
        </w:rPr>
        <w:t>A</w:t>
      </w:r>
      <w:r>
        <w:rPr>
          <w:rFonts w:ascii="Times New Roman" w:eastAsia="楷体_GB2312" w:hAnsi="Times New Roman" w:hint="eastAsia"/>
          <w:sz w:val="21"/>
          <w:szCs w:val="21"/>
        </w:rPr>
        <w:t>公司质疑。被请求人随即提交如下证据以证明</w:t>
      </w:r>
      <w:r>
        <w:rPr>
          <w:rFonts w:ascii="Times New Roman" w:eastAsia="楷体_GB2312" w:hAnsi="Times New Roman" w:hint="eastAsia"/>
          <w:sz w:val="21"/>
          <w:szCs w:val="21"/>
        </w:rPr>
        <w:t>A</w:t>
      </w:r>
      <w:r>
        <w:rPr>
          <w:rFonts w:ascii="Times New Roman" w:eastAsia="楷体_GB2312" w:hAnsi="Times New Roman" w:hint="eastAsia"/>
          <w:sz w:val="21"/>
          <w:szCs w:val="21"/>
        </w:rPr>
        <w:t>公司是真实存在的美国公司：</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cs="Times New Roman"/>
          <w:sz w:val="21"/>
          <w:szCs w:val="21"/>
        </w:rPr>
        <w:t>证据</w:t>
      </w:r>
      <w:r>
        <w:rPr>
          <w:rFonts w:ascii="Times New Roman" w:eastAsia="楷体_GB2312" w:hAnsi="Times New Roman" w:cs="Times New Roman"/>
          <w:sz w:val="21"/>
          <w:szCs w:val="21"/>
        </w:rPr>
        <w:t>1</w:t>
      </w:r>
      <w:r>
        <w:rPr>
          <w:rFonts w:ascii="Times New Roman" w:eastAsia="楷体_GB2312" w:hAnsi="Times New Roman" w:cs="Times New Roman"/>
          <w:sz w:val="21"/>
          <w:szCs w:val="21"/>
        </w:rPr>
        <w:t>：</w:t>
      </w:r>
      <w:r>
        <w:rPr>
          <w:rFonts w:ascii="Times New Roman" w:eastAsia="楷体_GB2312" w:hAnsi="Times New Roman" w:hint="eastAsia"/>
          <w:sz w:val="21"/>
          <w:szCs w:val="21"/>
        </w:rPr>
        <w:t>马萨诸塞州州务卿签名并加盖州印的证明以及由某翻译公司翻译的中文译文，用以证明马萨诸塞州州务卿为</w:t>
      </w:r>
      <w:r>
        <w:rPr>
          <w:rFonts w:ascii="Times New Roman" w:eastAsia="楷体_GB2312" w:hAnsi="Times New Roman" w:hint="eastAsia"/>
          <w:sz w:val="21"/>
          <w:szCs w:val="21"/>
        </w:rPr>
        <w:t>William Francis Galvin</w:t>
      </w:r>
      <w:r>
        <w:rPr>
          <w:rFonts w:ascii="Times New Roman" w:eastAsia="楷体_GB2312" w:hAnsi="Times New Roman" w:hint="eastAsia"/>
          <w:sz w:val="21"/>
          <w:szCs w:val="21"/>
        </w:rPr>
        <w:t>，以及所附文件上其签名真实。</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cs="Times New Roman"/>
          <w:sz w:val="21"/>
          <w:szCs w:val="21"/>
        </w:rPr>
        <w:t>证据</w:t>
      </w:r>
      <w:r>
        <w:rPr>
          <w:rFonts w:ascii="Times New Roman" w:eastAsia="楷体_GB2312" w:hAnsi="Times New Roman" w:cs="Times New Roman" w:hint="eastAsia"/>
          <w:sz w:val="21"/>
          <w:szCs w:val="21"/>
        </w:rPr>
        <w:t>2</w:t>
      </w:r>
      <w:r>
        <w:rPr>
          <w:rFonts w:ascii="Times New Roman" w:eastAsia="楷体_GB2312" w:hAnsi="Times New Roman" w:cs="Times New Roman"/>
          <w:sz w:val="21"/>
          <w:szCs w:val="21"/>
        </w:rPr>
        <w:t>：</w:t>
      </w:r>
      <w:r>
        <w:rPr>
          <w:rFonts w:ascii="Times New Roman" w:eastAsia="楷体_GB2312" w:hAnsi="Times New Roman" w:hint="eastAsia"/>
          <w:sz w:val="21"/>
          <w:szCs w:val="21"/>
        </w:rPr>
        <w:t>马萨诸塞州州务卿签署的证明文件以及由某翻译公司翻译的中文译文，用以证明</w:t>
      </w:r>
      <w:r>
        <w:rPr>
          <w:rFonts w:ascii="Times New Roman" w:eastAsia="楷体_GB2312" w:hAnsi="Times New Roman" w:hint="eastAsia"/>
          <w:sz w:val="21"/>
          <w:szCs w:val="21"/>
        </w:rPr>
        <w:t>A</w:t>
      </w:r>
      <w:r>
        <w:rPr>
          <w:rFonts w:ascii="Times New Roman" w:eastAsia="楷体_GB2312" w:hAnsi="Times New Roman" w:hint="eastAsia"/>
          <w:sz w:val="21"/>
          <w:szCs w:val="21"/>
        </w:rPr>
        <w:t>公司是依法成立、合法存在并且状况良好的马萨诸塞州内公司。</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cs="Times New Roman"/>
          <w:sz w:val="21"/>
          <w:szCs w:val="21"/>
        </w:rPr>
        <w:t>证据</w:t>
      </w:r>
      <w:r>
        <w:rPr>
          <w:rFonts w:ascii="Times New Roman" w:eastAsia="楷体_GB2312" w:hAnsi="Times New Roman" w:cs="Times New Roman" w:hint="eastAsia"/>
          <w:sz w:val="21"/>
          <w:szCs w:val="21"/>
        </w:rPr>
        <w:t>3</w:t>
      </w:r>
      <w:r>
        <w:rPr>
          <w:rFonts w:ascii="Times New Roman" w:eastAsia="楷体_GB2312" w:hAnsi="Times New Roman" w:cs="Times New Roman"/>
          <w:sz w:val="21"/>
          <w:szCs w:val="21"/>
        </w:rPr>
        <w:t>：</w:t>
      </w:r>
      <w:r>
        <w:rPr>
          <w:rFonts w:ascii="Times New Roman" w:eastAsia="楷体_GB2312" w:hAnsi="Times New Roman" w:hint="eastAsia"/>
          <w:sz w:val="21"/>
          <w:szCs w:val="21"/>
        </w:rPr>
        <w:t>中华人民共和国驻纽约总领事馆出具的认证，粘贴于证据</w:t>
      </w:r>
      <w:r>
        <w:rPr>
          <w:rFonts w:ascii="Times New Roman" w:eastAsia="楷体_GB2312" w:hAnsi="Times New Roman" w:hint="eastAsia"/>
          <w:sz w:val="21"/>
          <w:szCs w:val="21"/>
        </w:rPr>
        <w:t>1</w:t>
      </w:r>
      <w:r>
        <w:rPr>
          <w:rFonts w:ascii="Times New Roman" w:eastAsia="楷体_GB2312" w:hAnsi="Times New Roman" w:hint="eastAsia"/>
          <w:sz w:val="21"/>
          <w:szCs w:val="21"/>
        </w:rPr>
        <w:t>的背面，用以证明其前面文书上美国马萨诸塞州州政府的印章和该州州务卿</w:t>
      </w:r>
      <w:r>
        <w:rPr>
          <w:rFonts w:ascii="Times New Roman" w:eastAsia="楷体_GB2312" w:hAnsi="Times New Roman" w:hint="eastAsia"/>
          <w:sz w:val="21"/>
          <w:szCs w:val="21"/>
        </w:rPr>
        <w:t>William Francis Galvin</w:t>
      </w:r>
      <w:r>
        <w:rPr>
          <w:rFonts w:ascii="Times New Roman" w:eastAsia="楷体_GB2312" w:hAnsi="Times New Roman" w:hint="eastAsia"/>
          <w:sz w:val="21"/>
          <w:szCs w:val="21"/>
        </w:rPr>
        <w:t>的签字均属实。</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口头审理当庭，请求人对被请求人提交证据</w:t>
      </w:r>
      <w:r>
        <w:rPr>
          <w:rFonts w:ascii="Times New Roman" w:eastAsia="楷体_GB2312" w:hAnsi="Times New Roman" w:hint="eastAsia"/>
          <w:sz w:val="21"/>
          <w:szCs w:val="21"/>
        </w:rPr>
        <w:t>1</w:t>
      </w:r>
      <w:r>
        <w:rPr>
          <w:rFonts w:ascii="Times New Roman" w:eastAsia="楷体_GB2312" w:hAnsi="Times New Roman" w:hint="eastAsia"/>
          <w:sz w:val="21"/>
          <w:szCs w:val="21"/>
        </w:rPr>
        <w:t>～</w:t>
      </w:r>
      <w:r>
        <w:rPr>
          <w:rFonts w:ascii="Times New Roman" w:eastAsia="楷体_GB2312" w:hAnsi="Times New Roman" w:hint="eastAsia"/>
          <w:sz w:val="21"/>
          <w:szCs w:val="21"/>
        </w:rPr>
        <w:t>3</w:t>
      </w:r>
      <w:r>
        <w:rPr>
          <w:rFonts w:ascii="Times New Roman" w:eastAsia="楷体_GB2312" w:hAnsi="Times New Roman" w:hint="eastAsia"/>
          <w:sz w:val="21"/>
          <w:szCs w:val="21"/>
        </w:rPr>
        <w:t>的真实性有异议，对其中文译文准确性无异议。合议组认为，上述证据</w:t>
      </w:r>
      <w:r>
        <w:rPr>
          <w:rFonts w:ascii="Times New Roman" w:eastAsia="楷体_GB2312" w:hAnsi="Times New Roman" w:hint="eastAsia"/>
          <w:sz w:val="21"/>
          <w:szCs w:val="21"/>
        </w:rPr>
        <w:t>1</w:t>
      </w:r>
      <w:r>
        <w:rPr>
          <w:rFonts w:ascii="Times New Roman" w:eastAsia="楷体_GB2312" w:hAnsi="Times New Roman" w:hint="eastAsia"/>
          <w:sz w:val="21"/>
          <w:szCs w:val="21"/>
        </w:rPr>
        <w:t>～</w:t>
      </w:r>
      <w:r>
        <w:rPr>
          <w:rFonts w:ascii="Times New Roman" w:eastAsia="楷体_GB2312" w:hAnsi="Times New Roman" w:hint="eastAsia"/>
          <w:sz w:val="21"/>
          <w:szCs w:val="21"/>
        </w:rPr>
        <w:t>3</w:t>
      </w:r>
      <w:r>
        <w:rPr>
          <w:rFonts w:ascii="Times New Roman" w:eastAsia="楷体_GB2312" w:hAnsi="Times New Roman" w:hint="eastAsia"/>
          <w:sz w:val="21"/>
          <w:szCs w:val="21"/>
        </w:rPr>
        <w:t>是</w:t>
      </w:r>
      <w:r>
        <w:rPr>
          <w:rFonts w:ascii="Times New Roman" w:eastAsia="楷体_GB2312" w:hAnsi="Times New Roman" w:hint="eastAsia"/>
          <w:sz w:val="21"/>
          <w:szCs w:val="21"/>
        </w:rPr>
        <w:t>A</w:t>
      </w:r>
      <w:r>
        <w:rPr>
          <w:rFonts w:ascii="Times New Roman" w:eastAsia="楷体_GB2312" w:hAnsi="Times New Roman" w:hint="eastAsia"/>
          <w:sz w:val="21"/>
          <w:szCs w:val="21"/>
        </w:rPr>
        <w:t>公司的注册地政府出具的证明，并由中华人民共和国驻纽约总领事馆认证，能够证明</w:t>
      </w:r>
      <w:r>
        <w:rPr>
          <w:rFonts w:ascii="Times New Roman" w:eastAsia="楷体_GB2312" w:hAnsi="Times New Roman" w:hint="eastAsia"/>
          <w:sz w:val="21"/>
          <w:szCs w:val="21"/>
        </w:rPr>
        <w:t>A</w:t>
      </w:r>
      <w:r>
        <w:rPr>
          <w:rFonts w:ascii="Times New Roman" w:eastAsia="楷体_GB2312" w:hAnsi="Times New Roman" w:hint="eastAsia"/>
          <w:sz w:val="21"/>
          <w:szCs w:val="21"/>
        </w:rPr>
        <w:t>公司是在美国马萨诸塞州注册并存在的一家公司，是真实、有效的证明文件。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本案中，证据</w:t>
      </w:r>
      <w:r>
        <w:rPr>
          <w:rFonts w:ascii="Times New Roman" w:eastAsia="楷体_GB2312" w:hAnsi="Times New Roman"/>
          <w:sz w:val="21"/>
          <w:szCs w:val="21"/>
        </w:rPr>
        <w:t>1</w:t>
      </w:r>
      <w:r>
        <w:rPr>
          <w:rFonts w:ascii="Times New Roman" w:eastAsia="楷体_GB2312" w:hAnsi="Times New Roman" w:hint="eastAsia"/>
          <w:sz w:val="21"/>
          <w:szCs w:val="21"/>
        </w:rPr>
        <w:t>和证据</w:t>
      </w:r>
      <w:r>
        <w:rPr>
          <w:rFonts w:ascii="Times New Roman" w:eastAsia="楷体_GB2312" w:hAnsi="Times New Roman"/>
          <w:sz w:val="21"/>
          <w:szCs w:val="21"/>
        </w:rPr>
        <w:t>2</w:t>
      </w:r>
      <w:r>
        <w:rPr>
          <w:rFonts w:ascii="Times New Roman" w:eastAsia="楷体_GB2312" w:hAnsi="Times New Roman" w:hint="eastAsia"/>
          <w:sz w:val="21"/>
          <w:szCs w:val="21"/>
        </w:rPr>
        <w:t>用于证明</w:t>
      </w:r>
      <w:r>
        <w:rPr>
          <w:rFonts w:ascii="Times New Roman" w:eastAsia="楷体_GB2312" w:hAnsi="Times New Roman"/>
          <w:sz w:val="21"/>
          <w:szCs w:val="21"/>
        </w:rPr>
        <w:t>A</w:t>
      </w:r>
      <w:r>
        <w:rPr>
          <w:rFonts w:ascii="Times New Roman" w:eastAsia="楷体_GB2312" w:hAnsi="Times New Roman" w:hint="eastAsia"/>
          <w:sz w:val="21"/>
          <w:szCs w:val="21"/>
        </w:rPr>
        <w:t>公司是真实、合法存在的。由于证据</w:t>
      </w:r>
      <w:r>
        <w:rPr>
          <w:rFonts w:ascii="Times New Roman" w:eastAsia="楷体_GB2312" w:hAnsi="Times New Roman"/>
          <w:sz w:val="21"/>
          <w:szCs w:val="21"/>
        </w:rPr>
        <w:t>1</w:t>
      </w:r>
      <w:r>
        <w:rPr>
          <w:rFonts w:ascii="Times New Roman" w:eastAsia="楷体_GB2312" w:hAnsi="Times New Roman" w:hint="eastAsia"/>
          <w:sz w:val="21"/>
          <w:szCs w:val="21"/>
        </w:rPr>
        <w:t>和证据</w:t>
      </w:r>
      <w:r>
        <w:rPr>
          <w:rFonts w:ascii="Times New Roman" w:eastAsia="楷体_GB2312" w:hAnsi="Times New Roman"/>
          <w:sz w:val="21"/>
          <w:szCs w:val="21"/>
        </w:rPr>
        <w:t>2</w:t>
      </w:r>
      <w:r>
        <w:rPr>
          <w:rFonts w:ascii="Times New Roman" w:eastAsia="楷体_GB2312" w:hAnsi="Times New Roman" w:hint="eastAsia"/>
          <w:sz w:val="21"/>
          <w:szCs w:val="21"/>
        </w:rPr>
        <w:t>形成于我国领域外，因此需要由我国驻该国使领馆对其予以认证。本案中证据</w:t>
      </w:r>
      <w:r>
        <w:rPr>
          <w:rFonts w:ascii="Times New Roman" w:eastAsia="楷体_GB2312" w:hAnsi="Times New Roman"/>
          <w:sz w:val="21"/>
          <w:szCs w:val="21"/>
        </w:rPr>
        <w:t>3</w:t>
      </w:r>
      <w:r>
        <w:rPr>
          <w:rFonts w:ascii="Times New Roman" w:eastAsia="楷体_GB2312" w:hAnsi="Times New Roman" w:hint="eastAsia"/>
          <w:sz w:val="21"/>
          <w:szCs w:val="21"/>
        </w:rPr>
        <w:t>即我国驻美领事馆出具的认证，履行了证明手续。证据</w:t>
      </w:r>
      <w:r>
        <w:rPr>
          <w:rFonts w:ascii="Times New Roman" w:eastAsia="楷体_GB2312" w:hAnsi="Times New Roman"/>
          <w:sz w:val="21"/>
          <w:szCs w:val="21"/>
        </w:rPr>
        <w:t>1</w:t>
      </w:r>
      <w:r>
        <w:rPr>
          <w:rFonts w:ascii="Times New Roman" w:eastAsia="楷体_GB2312" w:hAnsi="Times New Roman"/>
          <w:sz w:val="21"/>
          <w:szCs w:val="21"/>
        </w:rPr>
        <w:t>～</w:t>
      </w:r>
      <w:r>
        <w:rPr>
          <w:rFonts w:ascii="Times New Roman" w:eastAsia="楷体_GB2312" w:hAnsi="Times New Roman"/>
          <w:sz w:val="21"/>
          <w:szCs w:val="21"/>
        </w:rPr>
        <w:t>3</w:t>
      </w:r>
      <w:r>
        <w:rPr>
          <w:rFonts w:ascii="Times New Roman" w:eastAsia="楷体_GB2312" w:hAnsi="Times New Roman" w:hint="eastAsia"/>
          <w:sz w:val="21"/>
          <w:szCs w:val="21"/>
        </w:rPr>
        <w:t>构成证据链，应当予以采信。</w:t>
      </w:r>
    </w:p>
    <w:p w:rsidR="00800760" w:rsidRDefault="00235733">
      <w:pPr>
        <w:pStyle w:val="12"/>
        <w:topLinePunct/>
        <w:spacing w:line="336" w:lineRule="auto"/>
        <w:ind w:firstLine="420"/>
        <w:rPr>
          <w:rFonts w:ascii="Times New Roman" w:eastAsiaTheme="minorEastAsia" w:hAnsi="Times New Roman" w:cstheme="minorEastAsia"/>
          <w:sz w:val="21"/>
          <w:szCs w:val="21"/>
        </w:rPr>
      </w:pPr>
      <w:r>
        <w:rPr>
          <w:rFonts w:ascii="Times New Roman" w:eastAsiaTheme="minorEastAsia" w:hAnsi="Times New Roman" w:cstheme="minorEastAsia" w:hint="eastAsia"/>
          <w:sz w:val="21"/>
          <w:szCs w:val="21"/>
        </w:rPr>
        <w:t>（</w:t>
      </w:r>
      <w:r>
        <w:rPr>
          <w:rFonts w:ascii="Times New Roman" w:eastAsiaTheme="minorEastAsia" w:hAnsi="Times New Roman" w:cstheme="minorEastAsia"/>
          <w:sz w:val="21"/>
          <w:szCs w:val="21"/>
        </w:rPr>
        <w:t>2</w:t>
      </w:r>
      <w:r>
        <w:rPr>
          <w:rFonts w:ascii="Times New Roman" w:eastAsiaTheme="minorEastAsia" w:hAnsi="Times New Roman" w:cstheme="minorEastAsia"/>
          <w:sz w:val="21"/>
          <w:szCs w:val="21"/>
        </w:rPr>
        <w:t>）</w:t>
      </w:r>
      <w:r>
        <w:rPr>
          <w:rFonts w:ascii="Times New Roman" w:eastAsiaTheme="minorEastAsia" w:hAnsi="Times New Roman" w:cstheme="minorEastAsia" w:hint="eastAsia"/>
          <w:sz w:val="21"/>
          <w:szCs w:val="21"/>
        </w:rPr>
        <w:t>难点问题处理原则</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当双方当事人就是否属于域外证据或者是否应当办理公证、认证等证明手续存在争议时，管理专利工作的部门可以根据以下原则适当进行变通。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证明当事人主体资格的证据，例如法人或其他组织资格证明、形成于域外的授权委托书等，应当办理相应的证明手续。</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pacing w:val="2"/>
          <w:sz w:val="21"/>
          <w:szCs w:val="21"/>
        </w:rPr>
        <w:t>以下几种情况，当事人可以不履行公证、认证等证明手续：有证据证明对方当事人已经认可；已被法院生效判决或仲裁机构生效裁决确认的；能够从官方或公共渠道获得的公开出版物、专利文献等。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管理专利工作的部门在对证据关联性、真实性、合法性进行审查时，不应直接以“未履行相应的公证、认证手续”为由直接否定证据，须结合相关案情全面考虑。</w:t>
      </w:r>
    </w:p>
    <w:p w:rsidR="00800760" w:rsidRDefault="00235733">
      <w:pPr>
        <w:pStyle w:val="4"/>
        <w:spacing w:before="240"/>
        <w:ind w:firstLine="444"/>
        <w:rPr>
          <w:rFonts w:ascii="Times New Roman" w:hAnsi="Times New Roman"/>
        </w:rPr>
      </w:pPr>
      <w:r>
        <w:rPr>
          <w:rFonts w:ascii="Times New Roman" w:hAnsi="Times New Roman" w:hint="eastAsia"/>
        </w:rPr>
        <w:t>（三）举证期限</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管理专利工作的部门处理案件过程中，应当向当事人指定不少于</w:t>
      </w:r>
      <w:r>
        <w:rPr>
          <w:rFonts w:ascii="Times New Roman" w:eastAsia="宋体" w:hAnsi="Times New Roman" w:hint="eastAsia"/>
          <w:sz w:val="21"/>
          <w:szCs w:val="21"/>
        </w:rPr>
        <w:t>15</w:t>
      </w:r>
      <w:r>
        <w:rPr>
          <w:rFonts w:ascii="Times New Roman" w:eastAsia="宋体" w:hAnsi="Times New Roman" w:hint="eastAsia"/>
          <w:sz w:val="21"/>
          <w:szCs w:val="21"/>
        </w:rPr>
        <w:t>日的举证期限。举证期限也可以由当事人协商，并经管理专利工作的部门批准。该举证期限自当事人收到通知书之日起算。当事人申请延长举证期限的，管理专利工作的部门根据案情决定是否延长，并通知双方当事人。</w:t>
      </w:r>
    </w:p>
    <w:p w:rsidR="00800760" w:rsidRDefault="00235733">
      <w:pPr>
        <w:pStyle w:val="3"/>
        <w:topLinePunct/>
        <w:spacing w:before="240"/>
        <w:ind w:firstLine="444"/>
        <w:rPr>
          <w:rFonts w:ascii="Times New Roman" w:hAnsi="Times New Roman"/>
        </w:rPr>
      </w:pPr>
      <w:bookmarkStart w:id="3057" w:name="_Toc21943"/>
      <w:bookmarkStart w:id="3058" w:name="_Toc5618"/>
      <w:bookmarkStart w:id="3059" w:name="_Toc3561"/>
      <w:bookmarkStart w:id="3060" w:name="_Toc13429"/>
      <w:bookmarkStart w:id="3061" w:name="_Toc8000"/>
      <w:bookmarkStart w:id="3062" w:name="_Toc16480"/>
      <w:bookmarkStart w:id="3063" w:name="_Toc12639"/>
      <w:bookmarkStart w:id="3064" w:name="_Toc25060"/>
      <w:bookmarkStart w:id="3065" w:name="_Toc9566"/>
      <w:bookmarkStart w:id="3066" w:name="_Toc22094"/>
      <w:bookmarkStart w:id="3067" w:name="_Toc16816"/>
      <w:bookmarkStart w:id="3068" w:name="_Toc31339"/>
      <w:bookmarkStart w:id="3069" w:name="_Toc31663"/>
      <w:bookmarkStart w:id="3070" w:name="_Toc2836"/>
      <w:bookmarkStart w:id="3071" w:name="_Toc9906"/>
      <w:bookmarkStart w:id="3072" w:name="_Toc31245"/>
      <w:bookmarkStart w:id="3073" w:name="_Toc6926"/>
      <w:bookmarkStart w:id="3074" w:name="_Toc19894"/>
      <w:bookmarkStart w:id="3075" w:name="_Toc1196"/>
      <w:bookmarkStart w:id="3076" w:name="_Toc21327"/>
      <w:bookmarkStart w:id="3077" w:name="_Toc31098"/>
      <w:bookmarkStart w:id="3078" w:name="_Toc4602"/>
      <w:bookmarkStart w:id="3079" w:name="_Toc31515"/>
      <w:bookmarkStart w:id="3080" w:name="_Toc10156"/>
      <w:bookmarkStart w:id="3081" w:name="_Toc27435"/>
      <w:bookmarkStart w:id="3082" w:name="_Toc991"/>
      <w:bookmarkStart w:id="3083" w:name="_Toc16082"/>
      <w:bookmarkStart w:id="3084" w:name="_Toc31633"/>
      <w:bookmarkStart w:id="3085" w:name="_Toc18220"/>
      <w:bookmarkStart w:id="3086" w:name="_Toc229114390"/>
      <w:bookmarkStart w:id="3087" w:name="_Toc11503"/>
      <w:bookmarkStart w:id="3088" w:name="_Toc18929"/>
      <w:bookmarkStart w:id="3089" w:name="_Toc14435"/>
      <w:bookmarkStart w:id="3090" w:name="_Toc24810"/>
      <w:bookmarkStart w:id="3091" w:name="_Toc107"/>
      <w:bookmarkStart w:id="3092" w:name="_Toc10312"/>
      <w:bookmarkStart w:id="3093" w:name="_Toc10882"/>
      <w:bookmarkStart w:id="3094" w:name="_Toc229225486"/>
      <w:r>
        <w:rPr>
          <w:rFonts w:ascii="Times New Roman" w:hAnsi="Times New Roman" w:hint="eastAsia"/>
        </w:rPr>
        <w:t>二、调查收集证据</w:t>
      </w:r>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管理专利工作的部门可以根据需要依职权调查核实有关证据。当事人及其代理人因客观原因不能自行收集证据的，可以请求管理专利工作的部门调查收集证据。</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调查收集证据的途径可以是现场勘验、委托鉴定、证据登记保存等。管理专利工作的部门在调查收集证据时，应当遵守有关法律规定。对于移送的案件，移送机关调查收集的证据材料，可以作为案件的证据使用。</w:t>
      </w:r>
    </w:p>
    <w:p w:rsidR="00800760" w:rsidRDefault="00235733">
      <w:pPr>
        <w:pStyle w:val="4"/>
        <w:spacing w:before="240"/>
        <w:ind w:firstLine="444"/>
        <w:rPr>
          <w:rFonts w:ascii="Times New Roman" w:hAnsi="Times New Roman"/>
        </w:rPr>
      </w:pPr>
      <w:r>
        <w:rPr>
          <w:rFonts w:ascii="Times New Roman" w:hAnsi="Times New Roman" w:hint="eastAsia"/>
        </w:rPr>
        <w:t>（一）调查收集证据的条件</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1. </w:t>
      </w:r>
      <w:r>
        <w:rPr>
          <w:rFonts w:ascii="Times New Roman" w:eastAsia="黑体" w:hAnsi="黑体" w:cs="Times New Roman"/>
          <w:sz w:val="21"/>
          <w:szCs w:val="21"/>
        </w:rPr>
        <w:t>当事人请求调查收集证据的条件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以下情形，当事人及其代理人可以书面请求管理专利工作的部门调查收集证据：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请求调查收集的证据属于由国家有关部门保存，当事人及其代理人无权查阅调取，不能自行收集的证据材料；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当事人及其代理人确因客观原因不能自行收集的其他材料；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证据可能灭失或者以后难以取得。</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当事人及其代理人请求管理专利工作的部门调查收集证据，应当提交书面申请。管理专利工作的部门认为符合依申请调查取证条件的，应当启动调查取证程序；认为不符合调查取证条件的，可以不进行调查取证。</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4-3-9</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工业陶瓷厂申请并获得了“新型耐火隔热空心球成型机”发明专利权，后将专利权转让给某工贸公司。该工业陶瓷厂的员工甲向某科技发展公司提供了空心球成型机（本案中涉嫌侵权的产品）设备草图等技术材料、操作设备，培养操作人员，并收取报酬。该工贸公司随即向当地公安分局以甲涉嫌假冒专利为由报案，当地公安分局开展调查，查明甲在某科技发展公司帮助生产空心球成型机等基本事实。但是，公安机关认为侵犯专利权的行为属于民事行为，未予立案，因此该工贸公司（请求人）转而向所在地知识产权局提出专利侵权纠纷处理请求，请求对该科技发展公司（被请求人）侵犯其专利权进行处理，并提交了相关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当地知识产权局成立合议组对该案进行口头审理。请求人请求合议组调取此前甲涉嫌假冒专利案的相关资料。合议组认为请求人申请调查取证的请求符合相关条件，到当地公安分局调取“甲涉嫌假冒专利”案卷宗。</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曾向公安机关以涉及假冒专利为由报案，该案中的涉嫌假冒专利产品即本案的涉嫌侵权产品，公安机关展开调查取证，但由于不属于假冒专利，因此并未处理。尽管如此，相关的调查取证证据已经作为档案材料存在于公安机关。本案中，请求人针对同一产品向当地知识产权局提出侵权纠纷处理请求时，请求当地知识产权局调取公安机关在涉嫌假冒专利案件中依职权调查取得的涉及涉嫌侵权产品的证据，属于上述情形（</w:t>
      </w:r>
      <w:r>
        <w:rPr>
          <w:rFonts w:ascii="Times New Roman" w:eastAsia="楷体_GB2312" w:hAnsi="Times New Roman" w:hint="eastAsia"/>
          <w:sz w:val="21"/>
          <w:szCs w:val="21"/>
        </w:rPr>
        <w:t>1</w:t>
      </w:r>
      <w:r>
        <w:rPr>
          <w:rFonts w:ascii="Times New Roman" w:eastAsia="楷体_GB2312" w:hAnsi="Times New Roman" w:hint="eastAsia"/>
          <w:sz w:val="21"/>
          <w:szCs w:val="21"/>
        </w:rPr>
        <w:t>），即申请调查收集的证据属于国家有关部门保存并须管理专利工作的部门依职权调取的档案材料。因此，当地知识产权局认为符合依申请调查取证的条件，启动了调查取证程序，从当地公安机关调取了相关证据。</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依职权调查收集证据的条件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侵权纠纷调处中，管理专利工作的部门可以根据案情需要或者在证据可能灭失或以后难以取得的情况下，对侵权可能性大的案件依职权调查收集证据。依职权调查收集证据尤其要针对那些对解决争议可能有决定作用的事实证据。</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4-3-10</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申请并获得了“包装袋”外观设计专利权。请求人认为被请求人（某烧烤调料店）销售的“美味鲜”包装袋侵犯其专利权，向当地知识产权局提出专利侵权纠纷处理请求，同时提交了涉案专利证书复印件、授权公告文本以及年费缴费收据复印件、落款为被请求人（某烧烤调料店）的收条复印件一张、涉嫌侵权的“美味鲜”产品照片、被请求人店面照片等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当地知识产权局初步处理后认为，请求人所提交的证据表明被请求人侵权可能性很大，但是尚缺乏被请求人正在销售侵权产品的直接证据，不足以证实请求人所主张的侵权事实，因此前往被请求人处现场勘验，进行调查取证。经取证，当地知识产权局获得“美味鲜”产品的进货及销售凭证、在被请求人货架上销售“美味鲜”的货架陈列照片以及正在销售的“美味鲜”产品的样品。</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经处理，合议组认为被请求人销售的“美味鲜”包装袋侵犯了请求人的相关专利权，发出侵权纠纷行政裁决书。</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请求人提交了涉嫌侵权产品的照片以及被请求人销售涉嫌侵权产品的初步证据，从这些证据来看，被请求人存在侵权行为的可能性极大，但还不足以完全证实请求人所主张的侵权事实。由于涉嫌侵权产品的销售证据对解决争议有决定作用，因此管理专利工作的部门通过现场勘验，查证核实了相关事实。采取的取证方式包括对请求人所销售的涉嫌侵权产品抽样取证，收集能够证明其销售行为的相关证据，如对货架陈列的涉嫌侵权产品进行拍照，对其进货、销售、送货等相关凭证进行收集和取证。</w:t>
      </w:r>
    </w:p>
    <w:p w:rsidR="00800760" w:rsidRDefault="00235733">
      <w:pPr>
        <w:pStyle w:val="4"/>
        <w:spacing w:before="240"/>
        <w:ind w:firstLine="444"/>
        <w:rPr>
          <w:rFonts w:ascii="Times New Roman" w:hAnsi="Times New Roman"/>
        </w:rPr>
      </w:pPr>
      <w:r>
        <w:rPr>
          <w:rFonts w:ascii="Times New Roman" w:hAnsi="Times New Roman" w:hint="eastAsia"/>
        </w:rPr>
        <w:t>（二）调查收集证据的途径</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1. </w:t>
      </w:r>
      <w:r>
        <w:rPr>
          <w:rFonts w:ascii="Times New Roman" w:eastAsia="黑体" w:hAnsi="黑体" w:cs="Times New Roman"/>
          <w:sz w:val="21"/>
          <w:szCs w:val="21"/>
        </w:rPr>
        <w:t>现场勘验</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现场勘验系指办案人员对涉嫌专利侵权的场所进行勘验检查，采取法定方式固定、采集证据的工作。管理专利工作的部门调查收集证据可以采取抽样取证的方式。</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现场勘验方式</w:t>
      </w:r>
    </w:p>
    <w:p w:rsidR="00800760" w:rsidRDefault="00235733">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hint="eastAsia"/>
          <w:sz w:val="21"/>
          <w:szCs w:val="21"/>
        </w:rPr>
        <w:t>现场勘验中，除了对现场客观情况与环境进行取证外，办案人员也可以对相关人员进行询</w:t>
      </w:r>
      <w:r>
        <w:rPr>
          <w:rFonts w:ascii="Times New Roman" w:eastAsia="宋体" w:hAnsi="Times New Roman" w:hint="eastAsia"/>
          <w:spacing w:val="2"/>
          <w:sz w:val="21"/>
          <w:szCs w:val="21"/>
        </w:rPr>
        <w:t>问，相关人员包括当事人和证人。进行现场勘验的方式包括但不限于：</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1 \* GB3</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①</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对被请求人的生产场地、储存仓库、陈列展示柜台等有关场所进行勘验检查；</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2 \* GB3</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②</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对相关的产品、模具、模板、专用工具以及包装物等物品进行测绘、拍照；</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3 \* GB3</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③</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对现场勘验检查过程进行录音、摄像；</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4 \* GB3</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④</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对涉嫌侵权产品予以清点，可以从中抽取一部分作为样品；</w:t>
      </w:r>
      <w:r w:rsidR="00235733">
        <w:rPr>
          <w:rFonts w:ascii="Times New Roman" w:eastAsia="宋体" w:hAnsi="Times New Roman"/>
          <w:spacing w:val="2"/>
          <w:sz w:val="21"/>
          <w:szCs w:val="21"/>
        </w:rPr>
        <w:t xml:space="preserve"> </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5 \* GB3</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⑤</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对于无法进行抽样取证的证据，应当拍照、摄像或者进行证据登记保存；</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6 \* GB3</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⑥</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涉及方法专利的，要求被调查人进行现场演示，对生产方法和工艺过程进行拍照和摄像，取样时可以从涉嫌依照该方法直接获得的产品中抽取一部分作为样品；</w:t>
      </w:r>
    </w:p>
    <w:p w:rsidR="00800760" w:rsidRDefault="00235733">
      <w:pPr>
        <w:pStyle w:val="12"/>
        <w:topLinePunct/>
        <w:spacing w:line="336" w:lineRule="auto"/>
        <w:ind w:firstLineChars="150" w:firstLine="321"/>
        <w:rPr>
          <w:rFonts w:ascii="Times New Roman" w:eastAsia="宋体" w:hAnsi="Times New Roman"/>
          <w:spacing w:val="2"/>
          <w:sz w:val="21"/>
          <w:szCs w:val="21"/>
        </w:rPr>
      </w:pPr>
      <w:r>
        <w:rPr>
          <w:rFonts w:ascii="Times New Roman" w:eastAsia="宋体" w:hAnsi="Times New Roman"/>
          <w:spacing w:val="2"/>
          <w:sz w:val="21"/>
          <w:szCs w:val="21"/>
        </w:rPr>
        <w:t xml:space="preserve"> </w:t>
      </w:r>
      <w:r w:rsidR="00C22A7B">
        <w:rPr>
          <w:rFonts w:ascii="Times New Roman" w:eastAsia="宋体" w:hAnsi="Times New Roman"/>
          <w:spacing w:val="2"/>
          <w:sz w:val="21"/>
          <w:szCs w:val="21"/>
        </w:rPr>
        <w:fldChar w:fldCharType="begin"/>
      </w:r>
      <w:r>
        <w:rPr>
          <w:rFonts w:ascii="Times New Roman" w:eastAsia="宋体" w:hAnsi="Times New Roman"/>
          <w:spacing w:val="2"/>
          <w:sz w:val="21"/>
          <w:szCs w:val="21"/>
        </w:rPr>
        <w:instrText>= 7 \* GB3</w:instrText>
      </w:r>
      <w:r w:rsidR="00C22A7B">
        <w:rPr>
          <w:rFonts w:ascii="Times New Roman" w:eastAsia="宋体" w:hAnsi="Times New Roman"/>
          <w:spacing w:val="2"/>
          <w:sz w:val="21"/>
          <w:szCs w:val="21"/>
        </w:rPr>
        <w:fldChar w:fldCharType="separate"/>
      </w:r>
      <w:r>
        <w:rPr>
          <w:rFonts w:ascii="Times New Roman" w:eastAsia="宋体" w:hAnsi="Times New Roman" w:hint="eastAsia"/>
          <w:spacing w:val="2"/>
          <w:sz w:val="21"/>
          <w:szCs w:val="21"/>
        </w:rPr>
        <w:t>⑦</w:t>
      </w:r>
      <w:r w:rsidR="00C22A7B">
        <w:rPr>
          <w:rFonts w:ascii="Times New Roman" w:eastAsia="宋体" w:hAnsi="Times New Roman"/>
          <w:spacing w:val="2"/>
          <w:sz w:val="21"/>
          <w:szCs w:val="21"/>
        </w:rPr>
        <w:fldChar w:fldCharType="end"/>
      </w:r>
      <w:r>
        <w:rPr>
          <w:rFonts w:ascii="Times New Roman" w:eastAsia="宋体" w:hAnsi="Times New Roman" w:hint="eastAsia"/>
          <w:spacing w:val="2"/>
          <w:sz w:val="21"/>
          <w:szCs w:val="21"/>
        </w:rPr>
        <w:t>查阅、复制与案件有关的档案、图纸、资料、账册等证据，复制件应当要求被调查人签名并加盖公章，并将有关情况记录在勘验检查笔录中；</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8 \* GB3</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⑧</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对相关人员进行询问。</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2 \* GB2</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w:t>
      </w:r>
      <w:r w:rsidR="00235733">
        <w:rPr>
          <w:rFonts w:ascii="Times New Roman" w:eastAsia="宋体" w:hAnsi="Times New Roman" w:hint="eastAsia"/>
          <w:spacing w:val="2"/>
          <w:sz w:val="21"/>
          <w:szCs w:val="21"/>
        </w:rPr>
        <w:t>2</w:t>
      </w:r>
      <w:r w:rsidR="00235733">
        <w:rPr>
          <w:rFonts w:ascii="Times New Roman" w:eastAsia="宋体" w:hAnsi="Times New Roman" w:hint="eastAsia"/>
          <w:spacing w:val="2"/>
          <w:sz w:val="21"/>
          <w:szCs w:val="21"/>
        </w:rPr>
        <w:t>）</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现场勘验笔录</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管理专利工作的部门进行抽样取证应当制作笔录和清单，写明被抽取样品的名称、特征、数量以及保存地点，由办案人员、被调查的单位或者个人签字或者盖章。</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现场勘验检查笔录应当交由被调查的单位或者个人核对、确认，并签字或者签章；被调查的单位或者个人拒绝签名或者盖章的，办案人员应当在笔录上注明原因，并可以要求其他在场人员签名或者盖章予以证明。被调查的单位或者个人和其他在场人员拒绝签字或盖章的，由办案人员在笔录上注明情况。抽样取证清单应当交被调查人一份。</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委托鉴定</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管理专利工作的部门可以就专业性问题委托专门机构进行鉴定。</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1 \* GB2</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w:t>
      </w:r>
      <w:r w:rsidR="00235733">
        <w:rPr>
          <w:rFonts w:ascii="Times New Roman" w:eastAsia="宋体" w:hAnsi="Times New Roman" w:hint="eastAsia"/>
          <w:spacing w:val="2"/>
          <w:sz w:val="21"/>
          <w:szCs w:val="21"/>
        </w:rPr>
        <w:t>1</w:t>
      </w:r>
      <w:r w:rsidR="00235733">
        <w:rPr>
          <w:rFonts w:ascii="Times New Roman" w:eastAsia="宋体" w:hAnsi="Times New Roman" w:hint="eastAsia"/>
          <w:spacing w:val="2"/>
          <w:sz w:val="21"/>
          <w:szCs w:val="21"/>
        </w:rPr>
        <w:t>）</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技术鉴定的提出</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是否需要委托鉴定机构或专家对技术问题出具鉴定，合议组既可以根据案情需要自行决定，也可以根据当事人的书面申请决定。</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pacing w:val="2"/>
          <w:sz w:val="21"/>
          <w:szCs w:val="21"/>
        </w:rPr>
        <w:fldChar w:fldCharType="begin"/>
      </w:r>
      <w:r w:rsidR="00235733">
        <w:rPr>
          <w:rFonts w:ascii="Times New Roman" w:eastAsia="宋体" w:hAnsi="Times New Roman"/>
          <w:spacing w:val="2"/>
          <w:sz w:val="21"/>
          <w:szCs w:val="21"/>
        </w:rPr>
        <w:instrText>= 2 \* GB2</w:instrText>
      </w:r>
      <w:r>
        <w:rPr>
          <w:rFonts w:ascii="Times New Roman" w:eastAsia="宋体" w:hAnsi="Times New Roman"/>
          <w:spacing w:val="2"/>
          <w:sz w:val="21"/>
          <w:szCs w:val="21"/>
        </w:rPr>
        <w:fldChar w:fldCharType="separate"/>
      </w:r>
      <w:r w:rsidR="00235733">
        <w:rPr>
          <w:rFonts w:ascii="Times New Roman" w:eastAsia="宋体" w:hAnsi="Times New Roman" w:hint="eastAsia"/>
          <w:spacing w:val="2"/>
          <w:sz w:val="21"/>
          <w:szCs w:val="21"/>
        </w:rPr>
        <w:t>（</w:t>
      </w:r>
      <w:r w:rsidR="00235733">
        <w:rPr>
          <w:rFonts w:ascii="Times New Roman" w:eastAsia="宋体" w:hAnsi="Times New Roman" w:hint="eastAsia"/>
          <w:spacing w:val="2"/>
          <w:sz w:val="21"/>
          <w:szCs w:val="21"/>
        </w:rPr>
        <w:t>2</w:t>
      </w:r>
      <w:r w:rsidR="00235733">
        <w:rPr>
          <w:rFonts w:ascii="Times New Roman" w:eastAsia="宋体" w:hAnsi="Times New Roman" w:hint="eastAsia"/>
          <w:spacing w:val="2"/>
          <w:sz w:val="21"/>
          <w:szCs w:val="21"/>
        </w:rPr>
        <w:t>）</w:t>
      </w:r>
      <w:r>
        <w:rPr>
          <w:rFonts w:ascii="Times New Roman" w:eastAsia="宋体" w:hAnsi="Times New Roman"/>
          <w:spacing w:val="2"/>
          <w:sz w:val="21"/>
          <w:szCs w:val="21"/>
        </w:rPr>
        <w:fldChar w:fldCharType="end"/>
      </w:r>
      <w:r w:rsidR="00235733">
        <w:rPr>
          <w:rFonts w:ascii="Times New Roman" w:eastAsia="宋体" w:hAnsi="Times New Roman" w:hint="eastAsia"/>
          <w:spacing w:val="2"/>
          <w:sz w:val="21"/>
          <w:szCs w:val="21"/>
        </w:rPr>
        <w:t>鉴定机构的确定</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spacing w:val="2"/>
          <w:sz w:val="21"/>
          <w:szCs w:val="21"/>
        </w:rPr>
        <w:t>当事人在举证期限届满前书面申请就专门技术问题进行鉴定的，合议组可以组织双方当事人协商确定</w:t>
      </w:r>
      <w:r>
        <w:rPr>
          <w:rFonts w:ascii="Times New Roman" w:eastAsia="宋体" w:hAnsi="Times New Roman" w:hint="eastAsia"/>
          <w:spacing w:val="2"/>
          <w:sz w:val="21"/>
          <w:szCs w:val="21"/>
        </w:rPr>
        <w:t>具有资格的鉴定机构或者</w:t>
      </w:r>
      <w:r>
        <w:rPr>
          <w:rFonts w:ascii="Times New Roman" w:eastAsia="宋体" w:hAnsi="Times New Roman"/>
          <w:spacing w:val="2"/>
          <w:sz w:val="21"/>
          <w:szCs w:val="21"/>
        </w:rPr>
        <w:t>鉴定人，约定鉴定费用承担方式；对合议组认为不需要鉴定或者鉴定费用协商不成的，不进行鉴定；仅对确定鉴定人协商不成的，由合议组指定鉴定人。</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原则上，鉴定机构或者鉴定人应当具有鉴定资格。如果没有符合资格的鉴定机构或鉴定人，由具有相应技术水平的专业机构或专业人员进行鉴定。所称专业机构或专业人员一般是相关技术领域的权威机构或专家，应当具有相关技术领域的专门性知识和技术，并且具备必要的鉴定设备和条件。</w:t>
      </w:r>
    </w:p>
    <w:p w:rsidR="00800760" w:rsidRDefault="00235733">
      <w:pPr>
        <w:pStyle w:val="22"/>
        <w:topLinePunct/>
        <w:spacing w:line="336" w:lineRule="auto"/>
        <w:ind w:firstLine="428"/>
        <w:rPr>
          <w:rFonts w:ascii="Times New Roman" w:eastAsia="宋体" w:hAnsi="Times New Roman"/>
          <w:spacing w:val="2"/>
          <w:sz w:val="21"/>
          <w:szCs w:val="21"/>
        </w:rPr>
      </w:pPr>
      <w:r>
        <w:rPr>
          <w:rFonts w:ascii="Times New Roman" w:eastAsia="宋体" w:hAnsi="Times New Roman"/>
          <w:spacing w:val="2"/>
          <w:sz w:val="21"/>
          <w:szCs w:val="21"/>
        </w:rPr>
        <w:t>对涉及重大公共利益的，合议组可以委托具备资格的鉴定人进行鉴定。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鉴定范围的确定</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委托鉴定前，鉴定材料应当交由双方当事人认可，并在听取双方当事人意见的基础上确定鉴定范围。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当事人对鉴定范围有异议的，应当提出相应的证据予以证明，管理专利工作的部门可以结合异议人提出的证据综合确定鉴定范围和内容。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双方当事人均申请鉴定但鉴定范围不尽相同的，管理专利工作的部门应当组织双方就鉴定的范围和理由进行说明，综合确定鉴定范围。</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重新委托鉴定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对鉴定意见不服，申请重新委托鉴定的，由当事人协商决定是否重新委托新的鉴定机构；当事人不能协商达成一致意见的，由管理专利工作的部门决定是否重新委托鉴定。对于当事人提出的重新委托鉴定的理由，管理专利工作的部门应当予以严格审核。</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鉴定意见的作出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经管理专利工作的部门允许，鉴定人可以向当事人收集其认为必要的技术资料，对当事人的技术人员进行询问，查看技术实施现场，进行必要的测试检验等工作。</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鉴定意见应当包括下列内容：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委托人姓名或者名称、委托鉴定的内容；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委托鉴定的材料；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鉴定的依据及使用的科学技术手段；</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对鉴定过程的说明；</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明确的鉴定结论；</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⑥</w:t>
      </w:r>
      <w:r>
        <w:rPr>
          <w:rFonts w:ascii="Times New Roman" w:eastAsia="宋体" w:hAnsi="Times New Roman"/>
          <w:sz w:val="21"/>
          <w:szCs w:val="21"/>
        </w:rPr>
        <w:fldChar w:fldCharType="end"/>
      </w:r>
      <w:r w:rsidR="00235733">
        <w:rPr>
          <w:rFonts w:ascii="Times New Roman" w:eastAsia="宋体" w:hAnsi="Times New Roman" w:hint="eastAsia"/>
          <w:sz w:val="21"/>
          <w:szCs w:val="21"/>
        </w:rPr>
        <w:t>鉴定人的鉴定资格；</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⑦</w:t>
      </w:r>
      <w:r>
        <w:rPr>
          <w:rFonts w:ascii="Times New Roman" w:eastAsia="宋体" w:hAnsi="Times New Roman"/>
          <w:sz w:val="21"/>
          <w:szCs w:val="21"/>
        </w:rPr>
        <w:fldChar w:fldCharType="end"/>
      </w:r>
      <w:r w:rsidR="00235733">
        <w:rPr>
          <w:rFonts w:ascii="Times New Roman" w:eastAsia="宋体" w:hAnsi="Times New Roman" w:hint="eastAsia"/>
          <w:sz w:val="21"/>
          <w:szCs w:val="21"/>
        </w:rPr>
        <w:t>鉴定人员及鉴定机构签名、盖章。</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6</w:t>
      </w:r>
      <w:r>
        <w:rPr>
          <w:rFonts w:ascii="Times New Roman" w:eastAsia="宋体" w:hAnsi="Times New Roman" w:hint="eastAsia"/>
          <w:sz w:val="21"/>
          <w:szCs w:val="21"/>
        </w:rPr>
        <w:t>）鉴定人的义务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当事人对鉴定意见有异议或者合议组认为鉴定人有必要参加口头审理的，鉴定人应当参加口头审理。经合议组书面通知，鉴定人拒不参加的，鉴定意见不得作为事实认定依据。</w:t>
      </w:r>
    </w:p>
    <w:p w:rsidR="00800760" w:rsidRDefault="00235733">
      <w:pPr>
        <w:pStyle w:val="12"/>
        <w:topLinePunct/>
        <w:spacing w:line="336" w:lineRule="auto"/>
        <w:ind w:firstLine="428"/>
        <w:rPr>
          <w:rFonts w:ascii="Times New Roman" w:eastAsia="宋体" w:hAnsi="Times New Roman"/>
          <w:sz w:val="21"/>
          <w:szCs w:val="21"/>
        </w:rPr>
      </w:pPr>
      <w:r>
        <w:rPr>
          <w:rFonts w:ascii="Times New Roman" w:eastAsia="宋体" w:hAnsi="Times New Roman" w:hint="eastAsia"/>
          <w:spacing w:val="2"/>
          <w:sz w:val="21"/>
          <w:szCs w:val="21"/>
        </w:rPr>
        <w:t>管理专利工作的部门也可以就专业性问题委托专门机构提供咨询。</w:t>
      </w:r>
    </w:p>
    <w:p w:rsidR="00800760" w:rsidRDefault="00235733">
      <w:pPr>
        <w:pStyle w:val="af6"/>
        <w:spacing w:before="120"/>
        <w:ind w:firstLine="420"/>
        <w:rPr>
          <w:rFonts w:ascii="Times New Roman" w:hAnsi="Times New Roman"/>
        </w:rPr>
      </w:pPr>
      <w:bookmarkStart w:id="3095" w:name="_Toc32059"/>
      <w:bookmarkStart w:id="3096" w:name="_Toc9898"/>
      <w:bookmarkStart w:id="3097" w:name="_Toc13329"/>
      <w:bookmarkStart w:id="3098" w:name="_Toc31355"/>
      <w:bookmarkStart w:id="3099" w:name="_Toc30579"/>
      <w:bookmarkStart w:id="3100" w:name="_Toc1134"/>
      <w:bookmarkStart w:id="3101" w:name="_Toc9084"/>
      <w:bookmarkStart w:id="3102" w:name="_Toc17638"/>
      <w:bookmarkStart w:id="3103" w:name="_Toc7159"/>
      <w:bookmarkStart w:id="3104" w:name="_Toc31238"/>
      <w:bookmarkStart w:id="3105" w:name="_Toc8891"/>
      <w:bookmarkStart w:id="3106" w:name="_Toc13320"/>
      <w:bookmarkStart w:id="3107" w:name="_Toc30720"/>
      <w:bookmarkStart w:id="3108" w:name="_Toc32599"/>
      <w:bookmarkStart w:id="3109" w:name="_Toc7099"/>
      <w:bookmarkStart w:id="3110" w:name="_Toc31607"/>
      <w:bookmarkStart w:id="3111" w:name="_Toc9364"/>
      <w:bookmarkStart w:id="3112" w:name="_Toc3761"/>
      <w:bookmarkStart w:id="3113" w:name="_Toc8274"/>
      <w:bookmarkStart w:id="3114" w:name="_Toc21732"/>
      <w:bookmarkStart w:id="3115" w:name="_Toc18069"/>
      <w:bookmarkStart w:id="3116" w:name="_Toc1526"/>
      <w:bookmarkStart w:id="3117" w:name="_Toc2015"/>
      <w:bookmarkStart w:id="3118" w:name="_Toc17500"/>
      <w:bookmarkStart w:id="3119" w:name="_Toc21362"/>
      <w:bookmarkStart w:id="3120" w:name="_Toc16839"/>
      <w:bookmarkStart w:id="3121" w:name="_Toc2106"/>
      <w:bookmarkStart w:id="3122" w:name="_Toc8269"/>
      <w:bookmarkStart w:id="3123" w:name="_Toc5265"/>
      <w:bookmarkStart w:id="3124" w:name="_Toc17234"/>
      <w:bookmarkStart w:id="3125" w:name="_Toc8384"/>
      <w:bookmarkStart w:id="3126" w:name="_Toc7465"/>
      <w:bookmarkStart w:id="3127" w:name="_Toc17471"/>
      <w:bookmarkStart w:id="3128" w:name="_Toc3933"/>
      <w:bookmarkStart w:id="3129" w:name="_Toc11397"/>
      <w:bookmarkStart w:id="3130" w:name="_Toc27320"/>
      <w:r>
        <w:rPr>
          <w:rFonts w:ascii="Times New Roman" w:hAnsi="Times New Roman" w:hint="eastAsia"/>
        </w:rPr>
        <w:t>【案例</w:t>
      </w:r>
      <w:r>
        <w:rPr>
          <w:rFonts w:ascii="Times New Roman" w:hAnsi="Times New Roman"/>
        </w:rPr>
        <w:t>4-3-11</w:t>
      </w:r>
      <w:r>
        <w:rPr>
          <w:rFonts w:ascii="Times New Roman" w:hAnsi="Times New Roman"/>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请求人申请并获得了“一种能使金刚石刀头冷却的药剂”发明专利权。请求人认为被请求人生产销售的某型号冷却液侵犯其专利权，向当地知识产权局提出专利侵权纠纷处理请求并提交如下相关证据：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hint="eastAsia"/>
          <w:sz w:val="21"/>
          <w:szCs w:val="21"/>
        </w:rPr>
        <w:t>1</w:t>
      </w:r>
      <w:r>
        <w:rPr>
          <w:rFonts w:ascii="Times New Roman" w:eastAsia="楷体_GB2312" w:hAnsi="Times New Roman" w:hint="eastAsia"/>
          <w:sz w:val="21"/>
          <w:szCs w:val="21"/>
        </w:rPr>
        <w:t>：涉案专利证书的复印件以及涉案专利授权公告说明书复印件；</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hint="eastAsia"/>
          <w:sz w:val="21"/>
          <w:szCs w:val="21"/>
        </w:rPr>
        <w:t>2</w:t>
      </w:r>
      <w:r>
        <w:rPr>
          <w:rFonts w:ascii="Times New Roman" w:eastAsia="楷体_GB2312" w:hAnsi="Times New Roman" w:hint="eastAsia"/>
          <w:sz w:val="21"/>
          <w:szCs w:val="21"/>
        </w:rPr>
        <w:t>：被请求人开具的销货收据和使用配方复印件；</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hint="eastAsia"/>
          <w:sz w:val="21"/>
          <w:szCs w:val="21"/>
        </w:rPr>
        <w:t>3</w:t>
      </w:r>
      <w:r>
        <w:rPr>
          <w:rFonts w:ascii="Times New Roman" w:eastAsia="楷体_GB2312" w:hAnsi="Times New Roman" w:hint="eastAsia"/>
          <w:sz w:val="21"/>
          <w:szCs w:val="21"/>
        </w:rPr>
        <w:t>：被请求人销售的产品照片及宣传网站有关网页的打印页。</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当地知识产权局立案并开展调查。被请求人向合议组提交涉案专利申请日前被请求人开具的销货收据复印件（证据</w:t>
      </w:r>
      <w:r>
        <w:rPr>
          <w:rFonts w:ascii="Times New Roman" w:eastAsia="楷体_GB2312" w:hAnsi="Times New Roman" w:hint="eastAsia"/>
          <w:sz w:val="21"/>
          <w:szCs w:val="21"/>
        </w:rPr>
        <w:t>1</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办案人员进行现场勘验，取得如下证据：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hint="eastAsia"/>
          <w:sz w:val="21"/>
          <w:szCs w:val="21"/>
        </w:rPr>
        <w:t>A</w:t>
      </w:r>
      <w:r>
        <w:rPr>
          <w:rFonts w:ascii="Times New Roman" w:eastAsia="楷体_GB2312" w:hAnsi="Times New Roman" w:hint="eastAsia"/>
          <w:sz w:val="21"/>
          <w:szCs w:val="21"/>
        </w:rPr>
        <w:t>：办案人员现场勘验时对有关人员的调查笔录；</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hint="eastAsia"/>
          <w:sz w:val="21"/>
          <w:szCs w:val="21"/>
        </w:rPr>
        <w:t>B</w:t>
      </w:r>
      <w:r>
        <w:rPr>
          <w:rFonts w:ascii="Times New Roman" w:eastAsia="楷体_GB2312" w:hAnsi="Times New Roman" w:hint="eastAsia"/>
          <w:sz w:val="21"/>
          <w:szCs w:val="21"/>
        </w:rPr>
        <w:t>：办案人员在被请求人销售场所拍摄的销售场所照片、所销售化学品实物照片；</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hint="eastAsia"/>
          <w:sz w:val="21"/>
          <w:szCs w:val="21"/>
        </w:rPr>
        <w:t>C</w:t>
      </w:r>
      <w:r>
        <w:rPr>
          <w:rFonts w:ascii="Times New Roman" w:eastAsia="楷体_GB2312" w:hAnsi="Times New Roman" w:hint="eastAsia"/>
          <w:sz w:val="21"/>
          <w:szCs w:val="21"/>
        </w:rPr>
        <w:t>：从被请求人处提取的“冷却液”实物样本</w:t>
      </w:r>
      <w:r>
        <w:rPr>
          <w:rFonts w:ascii="Times New Roman" w:eastAsia="楷体_GB2312" w:hAnsi="Times New Roman" w:hint="eastAsia"/>
          <w:sz w:val="21"/>
          <w:szCs w:val="21"/>
        </w:rPr>
        <w:t>3</w:t>
      </w:r>
      <w:r>
        <w:rPr>
          <w:rFonts w:ascii="Times New Roman" w:eastAsia="楷体_GB2312" w:hAnsi="Times New Roman" w:hint="eastAsia"/>
          <w:sz w:val="21"/>
          <w:szCs w:val="21"/>
        </w:rPr>
        <w:t>份。</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当地知识产权局委托某市化学工业研究所对现场勘验抽样取证的冷却液样品（上述证据</w:t>
      </w:r>
      <w:r>
        <w:rPr>
          <w:rFonts w:ascii="Times New Roman" w:eastAsia="楷体_GB2312" w:hAnsi="Times New Roman" w:hint="eastAsia"/>
          <w:sz w:val="21"/>
          <w:szCs w:val="21"/>
        </w:rPr>
        <w:t>C</w:t>
      </w:r>
      <w:r>
        <w:rPr>
          <w:rFonts w:ascii="Times New Roman" w:eastAsia="楷体_GB2312" w:hAnsi="Times New Roman" w:hint="eastAsia"/>
          <w:sz w:val="21"/>
          <w:szCs w:val="21"/>
        </w:rPr>
        <w:t>）其中一份进行鉴定。该研究所出具《化学品鉴定报告》认为：所委托鉴定的样品含有与涉案专利权利要求中相同的化学成分。当地知识产权局根据鉴定意见作出行政裁决，认定涉嫌侵权产品落入涉案专利保护范围，构成专利侵权。</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被请求人对行政裁决不服，起诉到人民法院，理由如下：</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fldChar w:fldCharType="begin"/>
      </w:r>
      <w:r w:rsidR="00235733">
        <w:rPr>
          <w:rFonts w:ascii="Times New Roman" w:eastAsia="楷体_GB2312" w:hAnsi="Times New Roman" w:hint="eastAsia"/>
          <w:sz w:val="21"/>
          <w:szCs w:val="21"/>
        </w:rPr>
        <w:instrText>= 1 \* GB2</w:instrText>
      </w:r>
      <w:r>
        <w:rPr>
          <w:rFonts w:ascii="Times New Roman" w:eastAsia="楷体_GB2312" w:hAnsi="Times New Roman" w:hint="eastAsia"/>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1</w:t>
      </w:r>
      <w:r w:rsidR="00235733">
        <w:rPr>
          <w:rFonts w:ascii="Times New Roman" w:eastAsia="楷体_GB2312" w:hAnsi="Times New Roman" w:hint="eastAsia"/>
          <w:sz w:val="21"/>
          <w:szCs w:val="21"/>
        </w:rPr>
        <w:t>）</w:t>
      </w:r>
      <w:r>
        <w:rPr>
          <w:rFonts w:ascii="Times New Roman" w:eastAsia="楷体_GB2312" w:hAnsi="Times New Roman" w:hint="eastAsia"/>
          <w:sz w:val="21"/>
          <w:szCs w:val="21"/>
        </w:rPr>
        <w:fldChar w:fldCharType="end"/>
      </w:r>
      <w:r w:rsidR="00235733">
        <w:rPr>
          <w:rFonts w:ascii="Times New Roman" w:eastAsia="楷体_GB2312" w:hAnsi="Times New Roman" w:hint="eastAsia"/>
          <w:sz w:val="21"/>
          <w:szCs w:val="21"/>
        </w:rPr>
        <w:t>抽取样品的场所（即销售被请求人生产的冷却液的经销处）的营业执照上登记的经营者并不是被请求人，因此，现场抽样的被抽样人非被请求人，且当地知识产权局也无有效证据来证明被请求人当时在抽样现场；</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fldChar w:fldCharType="begin"/>
      </w:r>
      <w:r w:rsidR="00235733">
        <w:rPr>
          <w:rFonts w:ascii="Times New Roman" w:eastAsia="楷体_GB2312" w:hAnsi="Times New Roman" w:hint="eastAsia"/>
          <w:sz w:val="21"/>
          <w:szCs w:val="21"/>
        </w:rPr>
        <w:instrText>= 2 \* GB2</w:instrText>
      </w:r>
      <w:r>
        <w:rPr>
          <w:rFonts w:ascii="Times New Roman" w:eastAsia="楷体_GB2312" w:hAnsi="Times New Roman" w:hint="eastAsia"/>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2</w:t>
      </w:r>
      <w:r w:rsidR="00235733">
        <w:rPr>
          <w:rFonts w:ascii="Times New Roman" w:eastAsia="楷体_GB2312" w:hAnsi="Times New Roman" w:hint="eastAsia"/>
          <w:sz w:val="21"/>
          <w:szCs w:val="21"/>
        </w:rPr>
        <w:t>）</w:t>
      </w:r>
      <w:r>
        <w:rPr>
          <w:rFonts w:ascii="Times New Roman" w:eastAsia="楷体_GB2312" w:hAnsi="Times New Roman" w:hint="eastAsia"/>
          <w:sz w:val="21"/>
          <w:szCs w:val="21"/>
        </w:rPr>
        <w:fldChar w:fldCharType="end"/>
      </w:r>
      <w:r w:rsidR="00235733">
        <w:rPr>
          <w:rFonts w:ascii="Times New Roman" w:eastAsia="楷体_GB2312" w:hAnsi="Times New Roman" w:hint="eastAsia"/>
          <w:sz w:val="21"/>
          <w:szCs w:val="21"/>
        </w:rPr>
        <w:t>案件处理过程中，被请求人不认可送鉴样品为其销售的产品，当地知识产权局也不能提供证据证明送鉴样品为被请求人所生产销售，因此，抽样取证不符合依法行政的正当程序原则；</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fldChar w:fldCharType="begin"/>
      </w:r>
      <w:r w:rsidR="00235733">
        <w:rPr>
          <w:rFonts w:ascii="Times New Roman" w:eastAsia="楷体_GB2312" w:hAnsi="Times New Roman" w:hint="eastAsia"/>
          <w:sz w:val="21"/>
          <w:szCs w:val="21"/>
        </w:rPr>
        <w:instrText>= 3 \* GB2</w:instrText>
      </w:r>
      <w:r>
        <w:rPr>
          <w:rFonts w:ascii="Times New Roman" w:eastAsia="楷体_GB2312" w:hAnsi="Times New Roman" w:hint="eastAsia"/>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3</w:t>
      </w:r>
      <w:r w:rsidR="00235733">
        <w:rPr>
          <w:rFonts w:ascii="Times New Roman" w:eastAsia="楷体_GB2312" w:hAnsi="Times New Roman" w:hint="eastAsia"/>
          <w:sz w:val="21"/>
          <w:szCs w:val="21"/>
        </w:rPr>
        <w:t>）</w:t>
      </w:r>
      <w:r>
        <w:rPr>
          <w:rFonts w:ascii="Times New Roman" w:eastAsia="楷体_GB2312" w:hAnsi="Times New Roman" w:hint="eastAsia"/>
          <w:sz w:val="21"/>
          <w:szCs w:val="21"/>
        </w:rPr>
        <w:fldChar w:fldCharType="end"/>
      </w:r>
      <w:r w:rsidR="00235733">
        <w:rPr>
          <w:rFonts w:ascii="Times New Roman" w:eastAsia="楷体_GB2312" w:hAnsi="Times New Roman" w:hint="eastAsia"/>
          <w:sz w:val="21"/>
          <w:szCs w:val="21"/>
        </w:rPr>
        <w:t>该鉴定单位所作的《化学品鉴定报告》鉴定意见落款处只有鉴定单位公章，无鉴定人签名和鉴定人鉴定资格的说明，该报告不能作为专利纠纷处理依据。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经审理，法院判决撤销了上述行政裁决。</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查，本案现场勘验时，由于该经销处的实际控制人是被请求人，且被请求人始终在场，办案人员没有注意到该经销处的个体工商户营业执照登记的经营者为被请求人的父亲；办案人员在现场勘验、取证过程中，未取得被请求人在场并同意和确认取样相应的录像、照片证据；现场勘验时，在勘验笔录、勘验检查登记表和取样样品上签字的均是被请求人的父亲。</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将样品送鉴获得的《化学品鉴定报告》，依照检验单位的固定格式，在登记页面有检验人员签字，但是，在附页中的送鉴结论中没有鉴定人签名，且没有鉴定人鉴定资格的说明。</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本案中，现场勘验和样品鉴定环节均存在一定的瑕疵，导致证据链出现脱漏，最终使得法院未能采信勘验证据和鉴定意见。</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本案的启示在于：</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fldChar w:fldCharType="begin"/>
      </w:r>
      <w:r w:rsidR="00235733">
        <w:rPr>
          <w:rFonts w:ascii="Times New Roman" w:eastAsia="楷体_GB2312" w:hAnsi="Times New Roman" w:hint="eastAsia"/>
          <w:sz w:val="21"/>
          <w:szCs w:val="21"/>
        </w:rPr>
        <w:instrText>= 1 \* GB2</w:instrText>
      </w:r>
      <w:r>
        <w:rPr>
          <w:rFonts w:ascii="Times New Roman" w:eastAsia="楷体_GB2312" w:hAnsi="Times New Roman" w:hint="eastAsia"/>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1</w:t>
      </w:r>
      <w:r w:rsidR="00235733">
        <w:rPr>
          <w:rFonts w:ascii="Times New Roman" w:eastAsia="楷体_GB2312" w:hAnsi="Times New Roman" w:hint="eastAsia"/>
          <w:sz w:val="21"/>
          <w:szCs w:val="21"/>
        </w:rPr>
        <w:t>）</w:t>
      </w:r>
      <w:r>
        <w:rPr>
          <w:rFonts w:ascii="Times New Roman" w:eastAsia="楷体_GB2312" w:hAnsi="Times New Roman" w:hint="eastAsia"/>
          <w:sz w:val="21"/>
          <w:szCs w:val="21"/>
        </w:rPr>
        <w:fldChar w:fldCharType="end"/>
      </w:r>
      <w:r w:rsidR="00235733">
        <w:rPr>
          <w:rFonts w:ascii="Times New Roman" w:eastAsia="楷体_GB2312" w:hAnsi="Times New Roman" w:hint="eastAsia"/>
          <w:sz w:val="21"/>
          <w:szCs w:val="21"/>
        </w:rPr>
        <w:t>现场勘验时，需要注意：①应确认现场勘验取证与当事人的关联性；②勘验检查登记表应有当事人签字，当事人拒不签字的，应当有其他证明材料（录像、照片、案外人签字等）佐证；③取证过程应当采用照相、摄像、录音等措施进行记录。</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fldChar w:fldCharType="begin"/>
      </w:r>
      <w:r w:rsidR="00235733">
        <w:rPr>
          <w:rFonts w:ascii="Times New Roman" w:eastAsia="楷体_GB2312" w:hAnsi="Times New Roman" w:hint="eastAsia"/>
          <w:sz w:val="21"/>
          <w:szCs w:val="21"/>
        </w:rPr>
        <w:instrText>= 2 \* GB2</w:instrText>
      </w:r>
      <w:r>
        <w:rPr>
          <w:rFonts w:ascii="Times New Roman" w:eastAsia="楷体_GB2312" w:hAnsi="Times New Roman" w:hint="eastAsia"/>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2</w:t>
      </w:r>
      <w:r w:rsidR="00235733">
        <w:rPr>
          <w:rFonts w:ascii="Times New Roman" w:eastAsia="楷体_GB2312" w:hAnsi="Times New Roman" w:hint="eastAsia"/>
          <w:sz w:val="21"/>
          <w:szCs w:val="21"/>
        </w:rPr>
        <w:t>）</w:t>
      </w:r>
      <w:r>
        <w:rPr>
          <w:rFonts w:ascii="Times New Roman" w:eastAsia="楷体_GB2312" w:hAnsi="Times New Roman" w:hint="eastAsia"/>
          <w:sz w:val="21"/>
          <w:szCs w:val="21"/>
        </w:rPr>
        <w:fldChar w:fldCharType="end"/>
      </w:r>
      <w:r w:rsidR="00235733">
        <w:rPr>
          <w:rFonts w:ascii="Times New Roman" w:eastAsia="楷体_GB2312" w:hAnsi="Times New Roman" w:hint="eastAsia"/>
          <w:sz w:val="21"/>
          <w:szCs w:val="21"/>
        </w:rPr>
        <w:t>委托鉴定时，需要注意：①需要鉴定的，鉴定机构可由双方当事人协商确定，协商不成的可以由合议组指定；②由具备资质的鉴定机构提供的书面鉴定意见应当由出具该意见的单位加盖公章，同时由制作人员签字并附具鉴定单位的资质证明。</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3. </w:t>
      </w:r>
      <w:r>
        <w:rPr>
          <w:rFonts w:ascii="Times New Roman" w:eastAsia="黑体" w:hAnsi="黑体" w:cs="Times New Roman"/>
          <w:sz w:val="21"/>
          <w:szCs w:val="21"/>
        </w:rPr>
        <w:t>登记保存</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登记保存的条件</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申请管理专利工作的部门对证据进行登记保存或者管理专利工作的部门根据实际需要依职权对证据进行登记保存，经管理专利工作的部门负责人批准，管理专利工作的部门可以对证据进行登记保存，并在七日内作出决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进行登记保存的证据应当满足以下条件：</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证据可能灭失或者以后难以取得；</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请求或者需要登记保存的证据对待证事实有证明作用；</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请求或者需要登记保存的证据的线索清晰。</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登记保存的方式</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进行登记保存应当制作笔录和清单，写明被登记保存证据的名称、特征、数量以及保存地点，由办案人员、被调查的单位或者个人签字或者盖章。被调查的单位或者个人拒绝签字或者盖章的，由办案人员在笔录上注明。登记保存清单应当交被调查人一份。</w:t>
      </w:r>
    </w:p>
    <w:p w:rsidR="00800760" w:rsidRDefault="00235733">
      <w:pPr>
        <w:pStyle w:val="12"/>
        <w:topLinePunct/>
        <w:spacing w:line="336" w:lineRule="auto"/>
        <w:ind w:firstLine="412"/>
        <w:rPr>
          <w:rFonts w:ascii="Times New Roman" w:eastAsia="宋体" w:hAnsi="Times New Roman"/>
          <w:spacing w:val="-2"/>
          <w:sz w:val="21"/>
          <w:szCs w:val="21"/>
        </w:rPr>
      </w:pPr>
      <w:r>
        <w:rPr>
          <w:rFonts w:ascii="Times New Roman" w:eastAsia="宋体" w:hAnsi="Times New Roman" w:hint="eastAsia"/>
          <w:spacing w:val="-2"/>
          <w:sz w:val="21"/>
          <w:szCs w:val="21"/>
        </w:rPr>
        <w:t>登记保存时，应当根据证据的不同特点采取不同的方法，以客观地反映案件的真实情况：</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对于证人证言，可以采取制作笔录或录音、摄像的方法；</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对于物证，如涉嫌专利侵权的机器、设备及其他物品，可以采取登记保存、拍照、摄像的方法，同时清点涉嫌专利侵权物品的数量并制作笔录；</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对于书证，如财务账册等，可以采取登记保存、或就地封存的方式并辅之以复制、拍照等方法；</w:t>
      </w:r>
    </w:p>
    <w:p w:rsidR="00800760" w:rsidRDefault="00C22A7B">
      <w:pPr>
        <w:pStyle w:val="2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对于计算机软件等证据材料，可以采取下载、拆下硬盘、由双方当事人指派的专家当场对内存上的软件进行比对并制作笔录等方法。</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经登记保存的证据，被调查的单位或者个人不得销毁或者转移。</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4-3-12</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在网上发现被请求人在未经许可的情况下使用请求人的烫印机专利技术，生产销售某型号液压烫印机。请求人向当地知识产权局提出侵权纠纷处理请求，并提交了涉案专利证书原件、被请求人宣传其产品的相关网页打印件作为证据。同时提出因被请求人生产经营活动私密，难以取得证据，请求当地知识产权局依职权调取相关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当地知识产权局办案人员赴被请求人生产厂勘验取证，但该厂工作人员称不能私自打开厂房，当天未能完成登记保存。办案人员次日再次进行勘验，在厂房内发现正在组装的烫印机</w:t>
      </w:r>
      <w:r>
        <w:rPr>
          <w:rFonts w:ascii="Times New Roman" w:eastAsia="楷体_GB2312" w:hAnsi="Times New Roman" w:hint="eastAsia"/>
          <w:sz w:val="21"/>
          <w:szCs w:val="21"/>
        </w:rPr>
        <w:t>15</w:t>
      </w:r>
      <w:r>
        <w:rPr>
          <w:rFonts w:ascii="Times New Roman" w:eastAsia="楷体_GB2312" w:hAnsi="Times New Roman" w:hint="eastAsia"/>
          <w:sz w:val="21"/>
          <w:szCs w:val="21"/>
        </w:rPr>
        <w:t>台，但缺少关键部件，被请求人称上述烫印机正在研发阶段，尚未进行销售。经仔细检查，办案人员在仓库中发现已经组装完毕、部件完全的烫印机</w:t>
      </w:r>
      <w:r>
        <w:rPr>
          <w:rFonts w:ascii="Times New Roman" w:eastAsia="楷体_GB2312" w:hAnsi="Times New Roman" w:hint="eastAsia"/>
          <w:sz w:val="21"/>
          <w:szCs w:val="21"/>
        </w:rPr>
        <w:t>1</w:t>
      </w:r>
      <w:r>
        <w:rPr>
          <w:rFonts w:ascii="Times New Roman" w:eastAsia="楷体_GB2312" w:hAnsi="Times New Roman" w:hint="eastAsia"/>
          <w:sz w:val="21"/>
          <w:szCs w:val="21"/>
        </w:rPr>
        <w:t>台，办案人员对组装完毕的烫印机进行了拍照、封存等登记保存措施。经处理，被请求人生产的烫印机构成侵权。</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由于请求人无法进入被请求人的生产经营场所，难以取得证据，因此向管理专利工作的部门书面提交调取相关证据的请求。经审查，该请求符合相关规定，依请求人的请求，办案人员进行调查取证。在第一次勘验由于被请求人方不能配合打开厂房而未能进行的情况下，被请求人得知已存在专利侵权纠纷请求后将涉嫌侵权产品的关键部件转移的可能性很大。此时证据容易被转移或灭失而难以取得，因此在再次进行勘验时，当发现装配完毕的涉嫌侵权产品时，应及时对其进行登记保存。对具有一定体积和重量、搬运困难的大型机械，对其与涉案专利相关部分现场进行拆解并拍照、摄像，对关键部件可采用抽样取证的方式进行登记保存，同时结合对相关人员的询问制作笔录，对事实进行周密详尽的调查。</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4. </w:t>
      </w:r>
      <w:r>
        <w:rPr>
          <w:rFonts w:ascii="Times New Roman" w:eastAsia="黑体" w:hAnsi="黑体" w:cs="Times New Roman"/>
          <w:sz w:val="21"/>
          <w:szCs w:val="21"/>
        </w:rPr>
        <w:t>协助调查</w:t>
      </w:r>
    </w:p>
    <w:p w:rsidR="00800760" w:rsidRDefault="00235733">
      <w:pPr>
        <w:pStyle w:val="2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管理专利工作的部门需要委托异地或者下级管理专利工作的部门协助调查收集证据的，应当提出明确的要求。接受委托的部门应当及时、认真地协助调查收集证据，并尽快回复。</w:t>
      </w:r>
    </w:p>
    <w:p w:rsidR="00800760" w:rsidRDefault="00235733">
      <w:pPr>
        <w:pStyle w:val="4"/>
        <w:spacing w:before="240"/>
        <w:ind w:firstLine="444"/>
        <w:rPr>
          <w:rFonts w:ascii="Times New Roman" w:hAnsi="Times New Roman"/>
        </w:rPr>
      </w:pPr>
      <w:r>
        <w:rPr>
          <w:rFonts w:ascii="Times New Roman" w:hAnsi="Times New Roman" w:hint="eastAsia"/>
        </w:rPr>
        <w:t>（三）调查收集证据的注意事项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管理专利工作的部门依职权调查收集证据需要注意以下事项。</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1. </w:t>
      </w:r>
      <w:r>
        <w:rPr>
          <w:rFonts w:ascii="Times New Roman" w:eastAsia="黑体" w:hAnsi="黑体" w:cs="Times New Roman"/>
          <w:sz w:val="21"/>
          <w:szCs w:val="21"/>
        </w:rPr>
        <w:t>严格审查依职权调查收集证据的条件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专利侵权纠纷调处中，管理专利工作的部门应当更严格地审查是否确实存在依职权调查取证的需求、当事人是否确实无法自行收集或由公证机关公证收集证据、需要依职权调取的证据是否确实对案件事实有决定作用等，避免成为请求人的“代言人”。</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注重调查取证的方式</w:t>
      </w:r>
    </w:p>
    <w:p w:rsidR="00800760" w:rsidRDefault="00235733" w:rsidP="001B5AAD">
      <w:pPr>
        <w:pStyle w:val="12"/>
        <w:topLinePunct/>
        <w:spacing w:line="336" w:lineRule="auto"/>
        <w:ind w:firstLine="420"/>
        <w:rPr>
          <w:rFonts w:ascii="Times New Roman" w:hAnsi="Times New Roman"/>
          <w:b/>
          <w:sz w:val="36"/>
          <w:szCs w:val="36"/>
        </w:rPr>
      </w:pPr>
      <w:r>
        <w:rPr>
          <w:rFonts w:ascii="Times New Roman" w:eastAsia="宋体" w:hAnsi="Times New Roman" w:hint="eastAsia"/>
          <w:sz w:val="21"/>
          <w:szCs w:val="21"/>
        </w:rPr>
        <w:t>管理专利工作的部门调查收集证据应注重调查取证的方式方法，避免对被请求人正常生产、经营造成不必要的影响。例如，对于需要登记保存的产品采用抽样取证，对设计、生产图纸可采用复印并由当事人签字、盖章方式确认来代替直接取走原件，以笔录、照相、摄像等方式详尽记载勘验或检查的产品等。</w:t>
      </w:r>
    </w:p>
    <w:p w:rsidR="00800760" w:rsidRDefault="00235733">
      <w:pPr>
        <w:pStyle w:val="2"/>
        <w:topLinePunct/>
        <w:ind w:firstLineChars="0" w:firstLine="0"/>
        <w:rPr>
          <w:rFonts w:ascii="Times New Roman" w:hAnsi="Times New Roman"/>
          <w:color w:val="000000"/>
        </w:rPr>
      </w:pPr>
      <w:bookmarkStart w:id="3131" w:name="_Toc28593261"/>
      <w:bookmarkStart w:id="3132" w:name="_Toc17820"/>
      <w:bookmarkStart w:id="3133" w:name="_Toc21217"/>
      <w:bookmarkStart w:id="3134" w:name="_Toc5076"/>
      <w:bookmarkStart w:id="3135" w:name="_Toc14033"/>
      <w:bookmarkStart w:id="3136" w:name="_Toc8088"/>
      <w:bookmarkStart w:id="3137" w:name="_Toc5699"/>
      <w:bookmarkStart w:id="3138" w:name="_Toc30878"/>
      <w:bookmarkStart w:id="3139" w:name="_Toc16188"/>
      <w:bookmarkStart w:id="3140" w:name="_Toc12181"/>
      <w:bookmarkStart w:id="3141" w:name="_Toc9617"/>
      <w:bookmarkStart w:id="3142" w:name="_Toc5465"/>
      <w:bookmarkStart w:id="3143" w:name="_Toc17762"/>
      <w:bookmarkStart w:id="3144" w:name="_Toc29001"/>
      <w:bookmarkStart w:id="3145" w:name="_Toc28128"/>
      <w:bookmarkStart w:id="3146" w:name="_Toc6268"/>
      <w:bookmarkStart w:id="3147" w:name="_Toc8362"/>
      <w:bookmarkStart w:id="3148" w:name="_Toc31442"/>
      <w:bookmarkStart w:id="3149" w:name="_Toc30183"/>
      <w:bookmarkStart w:id="3150" w:name="_Toc29163"/>
      <w:bookmarkStart w:id="3151" w:name="_Toc27740"/>
      <w:bookmarkStart w:id="3152" w:name="_Toc22412"/>
      <w:bookmarkStart w:id="3153" w:name="_Toc11650"/>
      <w:bookmarkStart w:id="3154" w:name="_Toc26259"/>
      <w:bookmarkStart w:id="3155" w:name="_Toc16422"/>
      <w:bookmarkStart w:id="3156" w:name="_Toc8735"/>
      <w:bookmarkStart w:id="3157" w:name="_Toc4826"/>
      <w:bookmarkStart w:id="3158" w:name="_Toc22844"/>
      <w:bookmarkStart w:id="3159" w:name="_Toc1754"/>
      <w:bookmarkStart w:id="3160" w:name="_Toc12378"/>
      <w:bookmarkStart w:id="3161" w:name="_Toc17918"/>
      <w:bookmarkStart w:id="3162" w:name="_Toc13072"/>
      <w:bookmarkStart w:id="3163" w:name="_Toc27726"/>
      <w:bookmarkStart w:id="3164" w:name="_Toc13207"/>
      <w:bookmarkStart w:id="3165" w:name="_Toc6979"/>
      <w:bookmarkStart w:id="3166" w:name="_Toc25385"/>
      <w:bookmarkStart w:id="3167" w:name="_Toc229114391"/>
      <w:bookmarkStart w:id="3168" w:name="_Toc10301"/>
      <w:bookmarkStart w:id="3169" w:name="_Toc32099"/>
      <w:bookmarkStart w:id="3170" w:name="_Toc5560"/>
      <w:bookmarkStart w:id="3171" w:name="_Toc19765"/>
      <w:bookmarkStart w:id="3172" w:name="_Toc29639"/>
      <w:bookmarkStart w:id="3173" w:name="_Toc31690"/>
      <w:bookmarkStart w:id="3174" w:name="_Toc16965"/>
      <w:bookmarkStart w:id="3175" w:name="_Toc12714"/>
      <w:bookmarkStart w:id="3176" w:name="_Toc32449"/>
      <w:bookmarkStart w:id="3177" w:name="_Toc229225487"/>
      <w:r>
        <w:rPr>
          <w:rFonts w:ascii="Times New Roman" w:hAnsi="Times New Roman" w:hint="eastAsia"/>
          <w:color w:val="000000"/>
        </w:rPr>
        <w:t xml:space="preserve">第四节　</w:t>
      </w:r>
      <w:bookmarkEnd w:id="3131"/>
      <w:r>
        <w:rPr>
          <w:rFonts w:ascii="Times New Roman" w:hAnsi="Times New Roman" w:hint="eastAsia"/>
          <w:color w:val="000000"/>
        </w:rPr>
        <w:t>证据认定的一般规则</w:t>
      </w:r>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p>
    <w:p w:rsidR="00800760" w:rsidRDefault="00235733">
      <w:pPr>
        <w:pStyle w:val="3"/>
        <w:topLinePunct/>
        <w:spacing w:before="240"/>
        <w:ind w:firstLine="444"/>
        <w:rPr>
          <w:rFonts w:ascii="Times New Roman" w:hAnsi="Times New Roman"/>
        </w:rPr>
      </w:pPr>
      <w:bookmarkStart w:id="3178" w:name="_Toc5062"/>
      <w:bookmarkStart w:id="3179" w:name="_Toc16006"/>
      <w:bookmarkStart w:id="3180" w:name="_Toc15169"/>
      <w:bookmarkStart w:id="3181" w:name="_Toc17065"/>
      <w:bookmarkStart w:id="3182" w:name="_Toc9380"/>
      <w:bookmarkStart w:id="3183" w:name="_Toc2870"/>
      <w:bookmarkStart w:id="3184" w:name="_Toc15607"/>
      <w:bookmarkStart w:id="3185" w:name="_Toc22929"/>
      <w:bookmarkStart w:id="3186" w:name="_Toc15943"/>
      <w:bookmarkStart w:id="3187" w:name="_Toc6809"/>
      <w:bookmarkStart w:id="3188" w:name="_Toc23499"/>
      <w:bookmarkStart w:id="3189" w:name="_Toc31987"/>
      <w:bookmarkStart w:id="3190" w:name="_Toc14241"/>
      <w:bookmarkStart w:id="3191" w:name="_Toc22447"/>
      <w:bookmarkStart w:id="3192" w:name="_Toc8149"/>
      <w:bookmarkStart w:id="3193" w:name="_Toc14824"/>
      <w:bookmarkStart w:id="3194" w:name="_Toc26993"/>
      <w:bookmarkStart w:id="3195" w:name="_Toc28816"/>
      <w:bookmarkStart w:id="3196" w:name="_Toc13574"/>
      <w:bookmarkStart w:id="3197" w:name="_Toc18780"/>
      <w:bookmarkStart w:id="3198" w:name="_Toc1861"/>
      <w:bookmarkStart w:id="3199" w:name="_Toc10955"/>
      <w:bookmarkStart w:id="3200" w:name="_Toc31839"/>
      <w:bookmarkStart w:id="3201" w:name="_Toc12037"/>
      <w:bookmarkStart w:id="3202" w:name="_Toc22723"/>
      <w:bookmarkStart w:id="3203" w:name="_Toc6116"/>
      <w:bookmarkStart w:id="3204" w:name="_Toc17518"/>
      <w:bookmarkStart w:id="3205" w:name="_Toc6048"/>
      <w:bookmarkStart w:id="3206" w:name="_Toc18891"/>
      <w:bookmarkStart w:id="3207" w:name="_Toc14417"/>
      <w:bookmarkStart w:id="3208" w:name="_Toc21060"/>
      <w:bookmarkStart w:id="3209" w:name="_Toc15747"/>
      <w:bookmarkStart w:id="3210" w:name="_Toc4531"/>
      <w:bookmarkStart w:id="3211" w:name="_Toc229114392"/>
      <w:bookmarkStart w:id="3212" w:name="_Toc13558"/>
      <w:bookmarkStart w:id="3213" w:name="_Toc229225488"/>
      <w:r>
        <w:rPr>
          <w:rFonts w:ascii="Times New Roman" w:hAnsi="Times New Roman" w:hint="eastAsia"/>
        </w:rPr>
        <w:t>一、证据认定的考虑因素</w:t>
      </w:r>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管理专利工作的部门应当依照法定程序，全面、客观地对当事人提供和自行收集的证据进行审查，从各证据与案件事实的关联程度、各证据之间的联系等方面进行综合判断。</w:t>
      </w:r>
    </w:p>
    <w:p w:rsidR="00800760" w:rsidRDefault="00235733">
      <w:pPr>
        <w:pStyle w:val="4"/>
        <w:spacing w:before="240"/>
        <w:ind w:firstLine="444"/>
        <w:rPr>
          <w:rFonts w:ascii="Times New Roman" w:hAnsi="Times New Roman"/>
        </w:rPr>
      </w:pPr>
      <w:r>
        <w:rPr>
          <w:rFonts w:ascii="Times New Roman" w:hAnsi="Times New Roman" w:hint="eastAsia"/>
        </w:rPr>
        <w:t>（一）单一证据的证明力判断</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对单一证据有无证明力以及证明力大小，可以从下列方面进行审核认定：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证据是否是原件、原物，复印件、复制品与原件、原物是否相符；</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证据与本案事实是否相关；</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证据的形式、来源是否符合法律规定；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证据的内容是否真实；</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证人或者提供证据的人与当事人有无利害关系。</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4-4-1</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某专利权权属纠纷案中，甲提交了与乙共同签署的协议作为证据，欲证明甲为涉案专利的共同申请人。该协议约定甲与乙共同作为药物“得力生注射液”的研制者申报国家新药。</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发明创造的研制人与专利法所称的“发明人”并不一样。根据《专利法实施细则》第十四条的规定，发明人或者设计人，是指对发明创造的实质性特点作出创造性贡献的人。本案协议中未涉及甲对涉案专利“参芪抑癌注射液”或药物“得力生注射液”技术方案的实质性特点作出创造性贡献的事实，协议中表述的“研制人”并不能证明甲是涉案专利“参芪抑癌注射液”的共同完成人（对发明创造的实质性特点作出创造性贡献的人）。协议中对“参芪抑癌注射液”“得力生注射液”的技术方案申请专利的权利的归属并没有约定，不能证明双方是“参芪抑癌注射液”“得力生注射液”技术方案申请专利的共同权利人。根据《专利法》第八条的规定，如果合作各方没有就合作完成的发明创造申请专利的权利及专利权的归属达成协议，申请专利的权利及取得的专利权应当归属于完成或者共同完成发明创造的一方或几方。专利法中发明创造的归属原则侧重保护实际完成发明创造一方的利益，应当以是否对发明创造的实质性特点作出了创造性的贡献确定完成人，以保障共同完成人的权利，故《专利法》第八条中的“共同完成的单位或者个人”并不包括约定的研制者或发明人。本案中，即使当事人约定共同研制人的真实意思表示是将甲约定为共同发明人，从法律效果讲也仅限于甲为发明人的资格，不同于《专利法》第八条所称的“共同完成”的个人，不能延及申请专利的权利。因此，该协议在证明涉案专利的申请人问题上无证明力。</w:t>
      </w:r>
    </w:p>
    <w:p w:rsidR="00800760" w:rsidRDefault="00235733">
      <w:pPr>
        <w:pStyle w:val="4"/>
        <w:spacing w:before="240"/>
        <w:ind w:firstLine="444"/>
        <w:rPr>
          <w:rFonts w:ascii="Times New Roman" w:hAnsi="Times New Roman"/>
        </w:rPr>
      </w:pPr>
      <w:r>
        <w:rPr>
          <w:rFonts w:ascii="Times New Roman" w:hAnsi="Times New Roman" w:hint="eastAsia"/>
        </w:rPr>
        <w:t>（二）多项证据的证明力判断</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就数个证据对同一事实的证明力，可以依照下列原则认定：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国家机关以及其他职能部门依职权制作的公文文书一般优于其他书证；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鉴定结论、档案材料以及经过公证或者登记的书证一般优于其他书证、视听资料和证人证言；</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直接证据一般优于间接证据；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法定鉴定部门的鉴定结论一般优于其他鉴定部门的鉴定结论；</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原始证据一般优于传来证据；</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6</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pacing w:val="2"/>
          <w:sz w:val="21"/>
          <w:szCs w:val="21"/>
        </w:rPr>
        <w:t>其他证人证言</w:t>
      </w:r>
      <w:bookmarkStart w:id="3214" w:name="OLE_LINK2"/>
      <w:r w:rsidR="00235733">
        <w:rPr>
          <w:rFonts w:ascii="Times New Roman" w:eastAsia="宋体" w:hAnsi="Times New Roman" w:hint="eastAsia"/>
          <w:sz w:val="21"/>
          <w:szCs w:val="21"/>
        </w:rPr>
        <w:t>一般</w:t>
      </w:r>
      <w:bookmarkEnd w:id="3214"/>
      <w:r w:rsidR="00235733">
        <w:rPr>
          <w:rFonts w:ascii="Times New Roman" w:eastAsia="宋体" w:hAnsi="Times New Roman" w:hint="eastAsia"/>
          <w:spacing w:val="2"/>
          <w:sz w:val="21"/>
          <w:szCs w:val="21"/>
        </w:rPr>
        <w:t>优于与当事人有亲属关系或者其他密切关系的证人提供的对该当事人有利的证言；</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7</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参加口头审理作证的证人证言</w:t>
      </w:r>
      <w:r>
        <w:rPr>
          <w:rFonts w:ascii="Times New Roman" w:eastAsia="宋体" w:hAnsi="Times New Roman"/>
          <w:sz w:val="21"/>
          <w:szCs w:val="21"/>
        </w:rPr>
        <w:fldChar w:fldCharType="begin"/>
      </w:r>
      <w:r w:rsidR="00235733">
        <w:rPr>
          <w:rFonts w:ascii="Times New Roman" w:eastAsia="宋体" w:hAnsi="Times New Roman"/>
          <w:sz w:val="21"/>
          <w:szCs w:val="21"/>
        </w:rPr>
        <w:instrText xml:space="preserve"> </w:instrText>
      </w:r>
      <w:r w:rsidR="00235733">
        <w:rPr>
          <w:rFonts w:ascii="Times New Roman" w:eastAsia="宋体" w:hAnsi="Times New Roman" w:hint="eastAsia"/>
          <w:sz w:val="21"/>
          <w:szCs w:val="21"/>
        </w:rPr>
        <w:instrText xml:space="preserve">LINK </w:instrText>
      </w:r>
      <w:r w:rsidR="00235733">
        <w:rPr>
          <w:rFonts w:ascii="Times New Roman" w:eastAsia="宋体" w:hAnsi="Times New Roman"/>
          <w:sz w:val="21"/>
          <w:szCs w:val="21"/>
        </w:rPr>
        <w:instrText>Word.Document.12 C:\\Users\\shake\\Desktop\\</w:instrText>
      </w:r>
      <w:r w:rsidR="00235733">
        <w:rPr>
          <w:rFonts w:ascii="Times New Roman" w:eastAsia="宋体" w:hAnsi="Times New Roman"/>
          <w:sz w:val="21"/>
          <w:szCs w:val="21"/>
        </w:rPr>
        <w:instrText>专利侵权纠纷行政裁决办案指南</w:instrText>
      </w:r>
      <w:r w:rsidR="00235733">
        <w:rPr>
          <w:rFonts w:ascii="Times New Roman" w:eastAsia="宋体" w:hAnsi="Times New Roman"/>
          <w:sz w:val="21"/>
          <w:szCs w:val="21"/>
        </w:rPr>
        <w:instrText>-</w:instrText>
      </w:r>
      <w:r w:rsidR="00235733">
        <w:rPr>
          <w:rFonts w:ascii="Times New Roman" w:eastAsia="宋体" w:hAnsi="Times New Roman"/>
          <w:sz w:val="21"/>
          <w:szCs w:val="21"/>
        </w:rPr>
        <w:instrText>证据部分</w:instrText>
      </w:r>
      <w:r w:rsidR="00235733">
        <w:rPr>
          <w:rFonts w:ascii="Times New Roman" w:eastAsia="宋体" w:hAnsi="Times New Roman"/>
          <w:sz w:val="21"/>
          <w:szCs w:val="21"/>
        </w:rPr>
        <w:instrText xml:space="preserve">-20250217.docx OLE_LINK2 </w:instrText>
      </w:r>
      <w:r w:rsidR="00235733">
        <w:rPr>
          <w:rFonts w:ascii="Times New Roman" w:eastAsia="宋体" w:hAnsi="Times New Roman" w:hint="eastAsia"/>
          <w:sz w:val="21"/>
          <w:szCs w:val="21"/>
        </w:rPr>
        <w:instrText>\a \r</w:instrText>
      </w:r>
      <w:r w:rsidR="00235733">
        <w:rPr>
          <w:rFonts w:ascii="Times New Roman" w:eastAsia="宋体" w:hAnsi="Times New Roman"/>
          <w:sz w:val="21"/>
          <w:szCs w:val="21"/>
        </w:rPr>
        <w:instrText xml:space="preserve">  \* MERGEFORMAT </w:instrText>
      </w:r>
      <w:r w:rsidRPr="00C22A7B">
        <w:rPr>
          <w:rFonts w:ascii="Times New Roman" w:eastAsia="宋体" w:hAnsi="Times New Roman" w:cs="Times New Roman"/>
          <w:sz w:val="20"/>
          <w:szCs w:val="20"/>
          <w:lang w:val="en-US" w:bidi="mr-IN"/>
        </w:rPr>
        <w:fldChar w:fldCharType="separate"/>
      </w:r>
      <w:r w:rsidR="00235733">
        <w:rPr>
          <w:rFonts w:ascii="Times New Roman" w:eastAsia="宋体" w:hAnsi="Times New Roman" w:hint="eastAsia"/>
          <w:sz w:val="21"/>
          <w:szCs w:val="21"/>
          <w:lang w:val="en-GB"/>
        </w:rPr>
        <w:t>一般</w:t>
      </w:r>
      <w:r>
        <w:rPr>
          <w:rFonts w:ascii="Times New Roman" w:eastAsia="宋体" w:hAnsi="Times New Roman"/>
          <w:sz w:val="21"/>
          <w:szCs w:val="21"/>
        </w:rPr>
        <w:fldChar w:fldCharType="end"/>
      </w:r>
      <w:r w:rsidR="00235733">
        <w:rPr>
          <w:rFonts w:ascii="Times New Roman" w:eastAsia="宋体" w:hAnsi="Times New Roman" w:hint="eastAsia"/>
          <w:sz w:val="21"/>
          <w:szCs w:val="21"/>
        </w:rPr>
        <w:t>优于未参加口头审理作证的证人证言；</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8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8</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数个种类不同、内容一致的证据</w:t>
      </w:r>
      <w:r>
        <w:rPr>
          <w:rFonts w:ascii="Times New Roman" w:eastAsia="宋体" w:hAnsi="Times New Roman"/>
          <w:sz w:val="21"/>
          <w:szCs w:val="21"/>
        </w:rPr>
        <w:fldChar w:fldCharType="begin"/>
      </w:r>
      <w:r w:rsidR="00235733">
        <w:rPr>
          <w:rFonts w:ascii="Times New Roman" w:eastAsia="宋体" w:hAnsi="Times New Roman"/>
          <w:sz w:val="21"/>
          <w:szCs w:val="21"/>
        </w:rPr>
        <w:instrText xml:space="preserve"> </w:instrText>
      </w:r>
      <w:r w:rsidR="00235733">
        <w:rPr>
          <w:rFonts w:ascii="Times New Roman" w:eastAsia="宋体" w:hAnsi="Times New Roman" w:hint="eastAsia"/>
          <w:sz w:val="21"/>
          <w:szCs w:val="21"/>
        </w:rPr>
        <w:instrText xml:space="preserve">LINK </w:instrText>
      </w:r>
      <w:r w:rsidR="00235733">
        <w:rPr>
          <w:rFonts w:ascii="Times New Roman" w:eastAsia="宋体" w:hAnsi="Times New Roman"/>
          <w:sz w:val="21"/>
          <w:szCs w:val="21"/>
        </w:rPr>
        <w:instrText>Word.Document.12 C:\\Users\\shake\\Desktop\\</w:instrText>
      </w:r>
      <w:r w:rsidR="00235733">
        <w:rPr>
          <w:rFonts w:ascii="Times New Roman" w:eastAsia="宋体" w:hAnsi="Times New Roman"/>
          <w:sz w:val="21"/>
          <w:szCs w:val="21"/>
        </w:rPr>
        <w:instrText>专利侵权纠纷行政裁决办案指南</w:instrText>
      </w:r>
      <w:r w:rsidR="00235733">
        <w:rPr>
          <w:rFonts w:ascii="Times New Roman" w:eastAsia="宋体" w:hAnsi="Times New Roman"/>
          <w:sz w:val="21"/>
          <w:szCs w:val="21"/>
        </w:rPr>
        <w:instrText>-</w:instrText>
      </w:r>
      <w:r w:rsidR="00235733">
        <w:rPr>
          <w:rFonts w:ascii="Times New Roman" w:eastAsia="宋体" w:hAnsi="Times New Roman"/>
          <w:sz w:val="21"/>
          <w:szCs w:val="21"/>
        </w:rPr>
        <w:instrText>证据部分</w:instrText>
      </w:r>
      <w:r w:rsidR="00235733">
        <w:rPr>
          <w:rFonts w:ascii="Times New Roman" w:eastAsia="宋体" w:hAnsi="Times New Roman"/>
          <w:sz w:val="21"/>
          <w:szCs w:val="21"/>
        </w:rPr>
        <w:instrText xml:space="preserve">-20250217.docx OLE_LINK2 </w:instrText>
      </w:r>
      <w:r w:rsidR="00235733">
        <w:rPr>
          <w:rFonts w:ascii="Times New Roman" w:eastAsia="宋体" w:hAnsi="Times New Roman" w:hint="eastAsia"/>
          <w:sz w:val="21"/>
          <w:szCs w:val="21"/>
        </w:rPr>
        <w:instrText>\a \r</w:instrText>
      </w:r>
      <w:r w:rsidR="00235733">
        <w:rPr>
          <w:rFonts w:ascii="Times New Roman" w:eastAsia="宋体" w:hAnsi="Times New Roman"/>
          <w:sz w:val="21"/>
          <w:szCs w:val="21"/>
        </w:rPr>
        <w:instrText xml:space="preserve">  \* MERGEFORMAT </w:instrText>
      </w:r>
      <w:r w:rsidRPr="00C22A7B">
        <w:rPr>
          <w:rFonts w:ascii="Times New Roman" w:eastAsia="宋体" w:hAnsi="Times New Roman" w:cs="Times New Roman"/>
          <w:sz w:val="20"/>
          <w:szCs w:val="20"/>
          <w:lang w:val="en-US" w:bidi="mr-IN"/>
        </w:rPr>
        <w:fldChar w:fldCharType="separate"/>
      </w:r>
      <w:r w:rsidR="00235733">
        <w:rPr>
          <w:rFonts w:ascii="Times New Roman" w:eastAsia="宋体" w:hAnsi="Times New Roman" w:hint="eastAsia"/>
          <w:sz w:val="21"/>
          <w:szCs w:val="21"/>
          <w:lang w:val="en-GB"/>
        </w:rPr>
        <w:t>一般</w:t>
      </w:r>
      <w:r>
        <w:rPr>
          <w:rFonts w:ascii="Times New Roman" w:eastAsia="宋体" w:hAnsi="Times New Roman"/>
          <w:sz w:val="21"/>
          <w:szCs w:val="21"/>
        </w:rPr>
        <w:fldChar w:fldCharType="end"/>
      </w:r>
      <w:r w:rsidR="00235733">
        <w:rPr>
          <w:rFonts w:ascii="Times New Roman" w:eastAsia="宋体" w:hAnsi="Times New Roman" w:hint="eastAsia"/>
          <w:sz w:val="21"/>
          <w:szCs w:val="21"/>
        </w:rPr>
        <w:t>优于一个孤立的证据。</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4-4-2</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某专利侵权案件中，</w:t>
      </w:r>
      <w:r>
        <w:rPr>
          <w:rFonts w:ascii="Times New Roman" w:eastAsia="楷体_GB2312" w:hAnsi="Times New Roman" w:hint="eastAsia"/>
          <w:sz w:val="21"/>
          <w:szCs w:val="21"/>
        </w:rPr>
        <w:t>A</w:t>
      </w:r>
      <w:r>
        <w:rPr>
          <w:rFonts w:ascii="Times New Roman" w:eastAsia="楷体_GB2312" w:hAnsi="Times New Roman" w:hint="eastAsia"/>
          <w:sz w:val="21"/>
          <w:szCs w:val="21"/>
        </w:rPr>
        <w:t>公司提交了公证书证明</w:t>
      </w:r>
      <w:r>
        <w:rPr>
          <w:rFonts w:ascii="Times New Roman" w:eastAsia="楷体_GB2312" w:hAnsi="Times New Roman" w:hint="eastAsia"/>
          <w:sz w:val="21"/>
          <w:szCs w:val="21"/>
        </w:rPr>
        <w:t>B</w:t>
      </w:r>
      <w:r>
        <w:rPr>
          <w:rFonts w:ascii="Times New Roman" w:eastAsia="楷体_GB2312" w:hAnsi="Times New Roman" w:hint="eastAsia"/>
          <w:sz w:val="21"/>
          <w:szCs w:val="21"/>
        </w:rPr>
        <w:t>公司销售其专利产品，侵犯了其专利权。</w:t>
      </w:r>
      <w:r>
        <w:rPr>
          <w:rFonts w:ascii="Times New Roman" w:eastAsia="楷体_GB2312" w:hAnsi="Times New Roman" w:hint="eastAsia"/>
          <w:sz w:val="21"/>
          <w:szCs w:val="21"/>
        </w:rPr>
        <w:t>B</w:t>
      </w:r>
      <w:r>
        <w:rPr>
          <w:rFonts w:ascii="Times New Roman" w:eastAsia="楷体_GB2312" w:hAnsi="Times New Roman" w:hint="eastAsia"/>
          <w:sz w:val="21"/>
          <w:szCs w:val="21"/>
        </w:rPr>
        <w:t>公司辩称公证书本身就是错误的，该公证书认定“龙小姐”是</w:t>
      </w:r>
      <w:r>
        <w:rPr>
          <w:rFonts w:ascii="Times New Roman" w:eastAsia="楷体_GB2312" w:hAnsi="Times New Roman" w:hint="eastAsia"/>
          <w:sz w:val="21"/>
          <w:szCs w:val="21"/>
        </w:rPr>
        <w:t>B</w:t>
      </w:r>
      <w:r>
        <w:rPr>
          <w:rFonts w:ascii="Times New Roman" w:eastAsia="楷体_GB2312" w:hAnsi="Times New Roman" w:hint="eastAsia"/>
          <w:sz w:val="21"/>
          <w:szCs w:val="21"/>
        </w:rPr>
        <w:t>公司的员工与事实不符，违反了《公证法》的规定。</w:t>
      </w:r>
      <w:r>
        <w:rPr>
          <w:rFonts w:ascii="Times New Roman" w:eastAsia="楷体_GB2312" w:hAnsi="Times New Roman" w:hint="eastAsia"/>
          <w:sz w:val="21"/>
          <w:szCs w:val="21"/>
        </w:rPr>
        <w:t>B</w:t>
      </w:r>
      <w:r>
        <w:rPr>
          <w:rFonts w:ascii="Times New Roman" w:eastAsia="楷体_GB2312" w:hAnsi="Times New Roman" w:hint="eastAsia"/>
          <w:sz w:val="21"/>
          <w:szCs w:val="21"/>
        </w:rPr>
        <w:t>公司提供了该公司人事部门经理以及“龙小姐”出具的两份证人证言，欲证明“龙小姐”不属于</w:t>
      </w:r>
      <w:r>
        <w:rPr>
          <w:rFonts w:ascii="Times New Roman" w:eastAsia="楷体_GB2312" w:hAnsi="Times New Roman" w:hint="eastAsia"/>
          <w:sz w:val="21"/>
          <w:szCs w:val="21"/>
        </w:rPr>
        <w:t>B</w:t>
      </w:r>
      <w:r>
        <w:rPr>
          <w:rFonts w:ascii="Times New Roman" w:eastAsia="楷体_GB2312" w:hAnsi="Times New Roman" w:hint="eastAsia"/>
          <w:sz w:val="21"/>
          <w:szCs w:val="21"/>
        </w:rPr>
        <w:t>公司员工。</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合议组经处理查明，</w:t>
      </w:r>
      <w:r>
        <w:rPr>
          <w:rFonts w:ascii="Times New Roman" w:eastAsia="楷体_GB2312" w:hAnsi="Times New Roman" w:hint="eastAsia"/>
          <w:sz w:val="21"/>
          <w:szCs w:val="21"/>
        </w:rPr>
        <w:t>2008</w:t>
      </w:r>
      <w:r>
        <w:rPr>
          <w:rFonts w:ascii="Times New Roman" w:eastAsia="楷体_GB2312" w:hAnsi="Times New Roman" w:hint="eastAsia"/>
          <w:sz w:val="21"/>
          <w:szCs w:val="21"/>
        </w:rPr>
        <w:t>年</w:t>
      </w:r>
      <w:r>
        <w:rPr>
          <w:rFonts w:ascii="Times New Roman" w:eastAsia="楷体_GB2312" w:hAnsi="Times New Roman" w:hint="eastAsia"/>
          <w:sz w:val="21"/>
          <w:szCs w:val="21"/>
        </w:rPr>
        <w:t>1</w:t>
      </w:r>
      <w:r>
        <w:rPr>
          <w:rFonts w:ascii="Times New Roman" w:eastAsia="楷体_GB2312" w:hAnsi="Times New Roman" w:hint="eastAsia"/>
          <w:sz w:val="21"/>
          <w:szCs w:val="21"/>
        </w:rPr>
        <w:t>月</w:t>
      </w:r>
      <w:r>
        <w:rPr>
          <w:rFonts w:ascii="Times New Roman" w:eastAsia="楷体_GB2312" w:hAnsi="Times New Roman" w:hint="eastAsia"/>
          <w:sz w:val="21"/>
          <w:szCs w:val="21"/>
        </w:rPr>
        <w:t>22</w:t>
      </w:r>
      <w:r>
        <w:rPr>
          <w:rFonts w:ascii="Times New Roman" w:eastAsia="楷体_GB2312" w:hAnsi="Times New Roman" w:hint="eastAsia"/>
          <w:sz w:val="21"/>
          <w:szCs w:val="21"/>
        </w:rPr>
        <w:t>日，</w:t>
      </w:r>
      <w:r>
        <w:rPr>
          <w:rFonts w:ascii="Times New Roman" w:eastAsia="楷体_GB2312" w:hAnsi="Times New Roman" w:hint="eastAsia"/>
          <w:sz w:val="21"/>
          <w:szCs w:val="21"/>
        </w:rPr>
        <w:t>A</w:t>
      </w:r>
      <w:r>
        <w:rPr>
          <w:rFonts w:ascii="Times New Roman" w:eastAsia="楷体_GB2312" w:hAnsi="Times New Roman" w:hint="eastAsia"/>
          <w:sz w:val="21"/>
          <w:szCs w:val="21"/>
        </w:rPr>
        <w:t>公司的受托人来到</w:t>
      </w:r>
      <w:r>
        <w:rPr>
          <w:rFonts w:ascii="Times New Roman" w:eastAsia="楷体_GB2312" w:hAnsi="Times New Roman" w:hint="eastAsia"/>
          <w:sz w:val="21"/>
          <w:szCs w:val="21"/>
        </w:rPr>
        <w:t>B</w:t>
      </w:r>
      <w:r>
        <w:rPr>
          <w:rFonts w:ascii="Times New Roman" w:eastAsia="楷体_GB2312" w:hAnsi="Times New Roman" w:hint="eastAsia"/>
          <w:sz w:val="21"/>
          <w:szCs w:val="21"/>
        </w:rPr>
        <w:t>公司一楼，由该公司龙姓女士接待，购买了</w:t>
      </w:r>
      <w:r>
        <w:rPr>
          <w:rFonts w:ascii="Times New Roman" w:eastAsia="楷体_GB2312" w:hAnsi="Times New Roman" w:hint="eastAsia"/>
          <w:sz w:val="21"/>
          <w:szCs w:val="21"/>
        </w:rPr>
        <w:t>025</w:t>
      </w:r>
      <w:r>
        <w:rPr>
          <w:rFonts w:ascii="Times New Roman" w:eastAsia="楷体_GB2312" w:hAnsi="Times New Roman" w:hint="eastAsia"/>
          <w:sz w:val="21"/>
          <w:szCs w:val="21"/>
        </w:rPr>
        <w:t>号计步器（蓝色）一部，并从该公司当场取得收据和产品清单各</w:t>
      </w:r>
      <w:r>
        <w:rPr>
          <w:rFonts w:ascii="Times New Roman" w:eastAsia="楷体_GB2312" w:hAnsi="Times New Roman" w:hint="eastAsia"/>
          <w:sz w:val="21"/>
          <w:szCs w:val="21"/>
        </w:rPr>
        <w:t>1</w:t>
      </w:r>
      <w:r>
        <w:rPr>
          <w:rFonts w:ascii="Times New Roman" w:eastAsia="楷体_GB2312" w:hAnsi="Times New Roman" w:hint="eastAsia"/>
          <w:sz w:val="21"/>
          <w:szCs w:val="21"/>
        </w:rPr>
        <w:t>张。该收据上除有</w:t>
      </w:r>
      <w:r>
        <w:rPr>
          <w:rFonts w:ascii="Times New Roman" w:eastAsia="楷体_GB2312" w:hAnsi="Times New Roman" w:hint="eastAsia"/>
          <w:sz w:val="21"/>
          <w:szCs w:val="21"/>
        </w:rPr>
        <w:t>B</w:t>
      </w:r>
      <w:r>
        <w:rPr>
          <w:rFonts w:ascii="Times New Roman" w:eastAsia="楷体_GB2312" w:hAnsi="Times New Roman" w:hint="eastAsia"/>
          <w:sz w:val="21"/>
          <w:szCs w:val="21"/>
        </w:rPr>
        <w:t>公司的印章外，还有“</w:t>
      </w:r>
      <w:r>
        <w:rPr>
          <w:rFonts w:ascii="Times New Roman" w:eastAsia="宋体" w:hAnsi="Times New Roman" w:cs="宋体" w:hint="eastAsia"/>
          <w:sz w:val="21"/>
          <w:szCs w:val="21"/>
        </w:rPr>
        <w:t>龍</w:t>
      </w:r>
      <w:r>
        <w:rPr>
          <w:rFonts w:ascii="Times New Roman" w:eastAsia="楷体_GB2312" w:hAnsi="Times New Roman" w:cs="仿宋_GB2312" w:hint="eastAsia"/>
          <w:sz w:val="21"/>
          <w:szCs w:val="21"/>
        </w:rPr>
        <w:t>”字签名。该产品清单上载</w:t>
      </w:r>
      <w:r>
        <w:rPr>
          <w:rFonts w:ascii="Times New Roman" w:eastAsia="楷体_GB2312" w:hAnsi="Times New Roman" w:hint="eastAsia"/>
          <w:sz w:val="21"/>
          <w:szCs w:val="21"/>
        </w:rPr>
        <w:t>明，“</w:t>
      </w:r>
      <w:r>
        <w:rPr>
          <w:rFonts w:ascii="Times New Roman" w:eastAsia="楷体_GB2312" w:hAnsi="Times New Roman" w:hint="eastAsia"/>
          <w:sz w:val="21"/>
          <w:szCs w:val="21"/>
        </w:rPr>
        <w:t>1215</w:t>
      </w:r>
      <w:r>
        <w:rPr>
          <w:rFonts w:ascii="Times New Roman" w:eastAsia="楷体_GB2312" w:hAnsi="Times New Roman" w:hint="eastAsia"/>
          <w:sz w:val="21"/>
          <w:szCs w:val="21"/>
        </w:rPr>
        <w:t>，</w:t>
      </w:r>
      <w:r>
        <w:rPr>
          <w:rFonts w:ascii="Times New Roman" w:eastAsia="楷体_GB2312" w:hAnsi="Times New Roman" w:hint="eastAsia"/>
          <w:sz w:val="21"/>
          <w:szCs w:val="21"/>
        </w:rPr>
        <w:t>025</w:t>
      </w:r>
      <w:r>
        <w:rPr>
          <w:rFonts w:ascii="Times New Roman" w:eastAsia="楷体_GB2312" w:hAnsi="Times New Roman" w:hint="eastAsia"/>
          <w:sz w:val="21"/>
          <w:szCs w:val="21"/>
        </w:rPr>
        <w:t>，</w:t>
      </w:r>
      <w:r>
        <w:rPr>
          <w:rFonts w:ascii="Times New Roman" w:eastAsia="楷体_GB2312" w:hAnsi="Times New Roman" w:hint="eastAsia"/>
          <w:sz w:val="21"/>
          <w:szCs w:val="21"/>
        </w:rPr>
        <w:t>lPCS</w:t>
      </w:r>
      <w:r>
        <w:rPr>
          <w:rFonts w:ascii="Times New Roman" w:eastAsia="楷体_GB2312" w:hAnsi="Times New Roman" w:hint="eastAsia"/>
          <w:sz w:val="21"/>
          <w:szCs w:val="21"/>
        </w:rPr>
        <w:t>；</w:t>
      </w:r>
      <w:r>
        <w:rPr>
          <w:rFonts w:ascii="Times New Roman" w:eastAsia="楷体_GB2312" w:hAnsi="Times New Roman" w:hint="eastAsia"/>
          <w:sz w:val="21"/>
          <w:szCs w:val="21"/>
        </w:rPr>
        <w:t>8.00/lPCS</w:t>
      </w:r>
      <w:r>
        <w:rPr>
          <w:rFonts w:ascii="Times New Roman" w:eastAsia="楷体_GB2312" w:hAnsi="Times New Roman" w:hint="eastAsia"/>
          <w:sz w:val="21"/>
          <w:szCs w:val="21"/>
        </w:rPr>
        <w:t>，</w:t>
      </w:r>
      <w:r>
        <w:rPr>
          <w:rFonts w:ascii="Times New Roman" w:eastAsia="楷体_GB2312" w:hAnsi="Times New Roman" w:hint="eastAsia"/>
          <w:sz w:val="21"/>
          <w:szCs w:val="21"/>
        </w:rPr>
        <w:t>ABS</w:t>
      </w:r>
      <w:r>
        <w:rPr>
          <w:rFonts w:ascii="Times New Roman" w:eastAsia="楷体_GB2312" w:hAnsi="Times New Roman" w:hint="eastAsia"/>
          <w:sz w:val="21"/>
          <w:szCs w:val="21"/>
        </w:rPr>
        <w:t>透明料；</w:t>
      </w:r>
      <w:r>
        <w:rPr>
          <w:rFonts w:ascii="Times New Roman" w:eastAsia="楷体_GB2312" w:hAnsi="Times New Roman" w:hint="eastAsia"/>
          <w:sz w:val="21"/>
          <w:szCs w:val="21"/>
        </w:rPr>
        <w:t>10.0/ lPCS</w:t>
      </w:r>
      <w:r>
        <w:rPr>
          <w:rFonts w:ascii="Times New Roman" w:eastAsia="楷体_GB2312" w:hAnsi="Times New Roman" w:hint="eastAsia"/>
          <w:sz w:val="21"/>
          <w:szCs w:val="21"/>
        </w:rPr>
        <w:t>，亚克力，</w:t>
      </w:r>
      <w:r>
        <w:rPr>
          <w:rFonts w:ascii="Times New Roman" w:eastAsia="楷体_GB2312" w:hAnsi="Times New Roman" w:hint="eastAsia"/>
          <w:sz w:val="21"/>
          <w:szCs w:val="21"/>
        </w:rPr>
        <w:t>B</w:t>
      </w:r>
      <w:r>
        <w:rPr>
          <w:rFonts w:ascii="Times New Roman" w:eastAsia="楷体_GB2312" w:hAnsi="Times New Roman" w:hint="eastAsia"/>
          <w:sz w:val="21"/>
          <w:szCs w:val="21"/>
        </w:rPr>
        <w:t>公司龙小姐，</w:t>
      </w:r>
      <w:r>
        <w:rPr>
          <w:rFonts w:ascii="Times New Roman" w:eastAsia="楷体_GB2312" w:hAnsi="Times New Roman" w:hint="eastAsia"/>
          <w:sz w:val="21"/>
          <w:szCs w:val="21"/>
        </w:rPr>
        <w:t>TEL</w:t>
      </w:r>
      <w:r>
        <w:rPr>
          <w:rFonts w:ascii="Times New Roman" w:eastAsia="楷体_GB2312" w:hAnsi="Times New Roman" w:hint="eastAsia"/>
          <w:sz w:val="21"/>
          <w:szCs w:val="21"/>
        </w:rPr>
        <w:t>：</w:t>
      </w:r>
      <w:r>
        <w:rPr>
          <w:rFonts w:ascii="Times New Roman" w:eastAsia="楷体_GB2312" w:hAnsi="Times New Roman" w:hint="eastAsia"/>
          <w:sz w:val="21"/>
          <w:szCs w:val="21"/>
        </w:rPr>
        <w:t>0755-</w:t>
      </w:r>
      <w:r>
        <w:rPr>
          <w:rFonts w:ascii="Times New Roman" w:eastAsia="楷体_GB2312" w:hAnsi="Times New Roman" w:hint="eastAsia"/>
          <w:sz w:val="21"/>
          <w:szCs w:val="21"/>
        </w:rPr>
        <w:t>××××××”。广东省深圳市龙岗区公证处见证了上述过程，并出具公证书</w:t>
      </w:r>
      <w:r>
        <w:rPr>
          <w:rFonts w:ascii="Times New Roman" w:eastAsia="楷体_GB2312" w:hAnsi="Times New Roman" w:hint="eastAsia"/>
          <w:sz w:val="21"/>
          <w:szCs w:val="21"/>
        </w:rPr>
        <w:t>1</w:t>
      </w:r>
      <w:r>
        <w:rPr>
          <w:rFonts w:ascii="Times New Roman" w:eastAsia="楷体_GB2312" w:hAnsi="Times New Roman" w:hint="eastAsia"/>
          <w:sz w:val="21"/>
          <w:szCs w:val="21"/>
        </w:rPr>
        <w:t>份。</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本案涉及公证书的证据资格、证明对象及其证明力问题。</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公证书只是一种特殊形式的书证，其特殊性在于公证书记载的内容具有推定的证明力，除非有相反的证据可以推翻。对于公证书，管理专利工作的部门同样应该全面、客观地进行审核，依据法律的规定，遵循职业道德，运用逻辑推理和日常生活经验，对公证书的证据资格、证明对象及证明力作出综合认定。</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本案公证书由公证人员依法制作，具有证据资格。该公证书可以证明，一个自称为“龙小姐”的人在</w:t>
      </w:r>
      <w:r>
        <w:rPr>
          <w:rFonts w:ascii="Times New Roman" w:eastAsia="楷体_GB2312" w:hAnsi="Times New Roman" w:hint="eastAsia"/>
          <w:sz w:val="21"/>
          <w:szCs w:val="21"/>
        </w:rPr>
        <w:t>B</w:t>
      </w:r>
      <w:r>
        <w:rPr>
          <w:rFonts w:ascii="Times New Roman" w:eastAsia="楷体_GB2312" w:hAnsi="Times New Roman" w:hint="eastAsia"/>
          <w:sz w:val="21"/>
          <w:szCs w:val="21"/>
        </w:rPr>
        <w:t>公司的营业地接待了</w:t>
      </w:r>
      <w:r>
        <w:rPr>
          <w:rFonts w:ascii="Times New Roman" w:eastAsia="楷体_GB2312" w:hAnsi="Times New Roman" w:hint="eastAsia"/>
          <w:sz w:val="21"/>
          <w:szCs w:val="21"/>
        </w:rPr>
        <w:t>A</w:t>
      </w:r>
      <w:r>
        <w:rPr>
          <w:rFonts w:ascii="Times New Roman" w:eastAsia="楷体_GB2312" w:hAnsi="Times New Roman" w:hint="eastAsia"/>
          <w:sz w:val="21"/>
          <w:szCs w:val="21"/>
        </w:rPr>
        <w:t>公司的受托人，以</w:t>
      </w:r>
      <w:r>
        <w:rPr>
          <w:rFonts w:ascii="Times New Roman" w:eastAsia="楷体_GB2312" w:hAnsi="Times New Roman" w:hint="eastAsia"/>
          <w:sz w:val="21"/>
          <w:szCs w:val="21"/>
        </w:rPr>
        <w:t>B</w:t>
      </w:r>
      <w:r>
        <w:rPr>
          <w:rFonts w:ascii="Times New Roman" w:eastAsia="楷体_GB2312" w:hAnsi="Times New Roman" w:hint="eastAsia"/>
          <w:sz w:val="21"/>
          <w:szCs w:val="21"/>
        </w:rPr>
        <w:t>公司员工的名义出具了产品清单，以</w:t>
      </w:r>
      <w:r>
        <w:rPr>
          <w:rFonts w:ascii="Times New Roman" w:eastAsia="楷体_GB2312" w:hAnsi="Times New Roman" w:hint="eastAsia"/>
          <w:sz w:val="21"/>
          <w:szCs w:val="21"/>
        </w:rPr>
        <w:t>B</w:t>
      </w:r>
      <w:r>
        <w:rPr>
          <w:rFonts w:ascii="Times New Roman" w:eastAsia="楷体_GB2312" w:hAnsi="Times New Roman" w:hint="eastAsia"/>
          <w:sz w:val="21"/>
          <w:szCs w:val="21"/>
        </w:rPr>
        <w:t>公司名义出具了收据并在上面签名。因此，该公证书所证明的核心内容不在于“龙小姐”是否属于</w:t>
      </w:r>
      <w:r>
        <w:rPr>
          <w:rFonts w:ascii="Times New Roman" w:eastAsia="楷体_GB2312" w:hAnsi="Times New Roman" w:hint="eastAsia"/>
          <w:sz w:val="21"/>
          <w:szCs w:val="21"/>
        </w:rPr>
        <w:t>B</w:t>
      </w:r>
      <w:r>
        <w:rPr>
          <w:rFonts w:ascii="Times New Roman" w:eastAsia="楷体_GB2312" w:hAnsi="Times New Roman" w:hint="eastAsia"/>
          <w:sz w:val="21"/>
          <w:szCs w:val="21"/>
        </w:rPr>
        <w:t>公司的员工，而在于“龙小姐”的行为是否代表了</w:t>
      </w:r>
      <w:r>
        <w:rPr>
          <w:rFonts w:ascii="Times New Roman" w:eastAsia="楷体_GB2312" w:hAnsi="Times New Roman" w:hint="eastAsia"/>
          <w:sz w:val="21"/>
          <w:szCs w:val="21"/>
        </w:rPr>
        <w:t>B</w:t>
      </w:r>
      <w:r>
        <w:rPr>
          <w:rFonts w:ascii="Times New Roman" w:eastAsia="楷体_GB2312" w:hAnsi="Times New Roman" w:hint="eastAsia"/>
          <w:sz w:val="21"/>
          <w:szCs w:val="21"/>
        </w:rPr>
        <w:t>公司。“龙小姐”在</w:t>
      </w:r>
      <w:r>
        <w:rPr>
          <w:rFonts w:ascii="Times New Roman" w:eastAsia="楷体_GB2312" w:hAnsi="Times New Roman" w:hint="eastAsia"/>
          <w:sz w:val="21"/>
          <w:szCs w:val="21"/>
        </w:rPr>
        <w:t>B</w:t>
      </w:r>
      <w:r>
        <w:rPr>
          <w:rFonts w:ascii="Times New Roman" w:eastAsia="楷体_GB2312" w:hAnsi="Times New Roman" w:hint="eastAsia"/>
          <w:sz w:val="21"/>
          <w:szCs w:val="21"/>
        </w:rPr>
        <w:t>公司的营业地接待了</w:t>
      </w:r>
      <w:r>
        <w:rPr>
          <w:rFonts w:ascii="Times New Roman" w:eastAsia="楷体_GB2312" w:hAnsi="Times New Roman" w:hint="eastAsia"/>
          <w:sz w:val="21"/>
          <w:szCs w:val="21"/>
        </w:rPr>
        <w:t>A</w:t>
      </w:r>
      <w:r>
        <w:rPr>
          <w:rFonts w:ascii="Times New Roman" w:eastAsia="楷体_GB2312" w:hAnsi="Times New Roman" w:hint="eastAsia"/>
          <w:sz w:val="21"/>
          <w:szCs w:val="21"/>
        </w:rPr>
        <w:t>公司的受托人，销售了被控侵权产品，以</w:t>
      </w:r>
      <w:r>
        <w:rPr>
          <w:rFonts w:ascii="Times New Roman" w:eastAsia="楷体_GB2312" w:hAnsi="Times New Roman" w:hint="eastAsia"/>
          <w:sz w:val="21"/>
          <w:szCs w:val="21"/>
        </w:rPr>
        <w:t>B</w:t>
      </w:r>
      <w:r>
        <w:rPr>
          <w:rFonts w:ascii="Times New Roman" w:eastAsia="楷体_GB2312" w:hAnsi="Times New Roman" w:hint="eastAsia"/>
          <w:sz w:val="21"/>
          <w:szCs w:val="21"/>
        </w:rPr>
        <w:t>公司员工的名义出具了产品清单并在上面签名，在</w:t>
      </w:r>
      <w:r>
        <w:rPr>
          <w:rFonts w:ascii="Times New Roman" w:eastAsia="楷体_GB2312" w:hAnsi="Times New Roman" w:hint="eastAsia"/>
          <w:sz w:val="21"/>
          <w:szCs w:val="21"/>
        </w:rPr>
        <w:t>B</w:t>
      </w:r>
      <w:r>
        <w:rPr>
          <w:rFonts w:ascii="Times New Roman" w:eastAsia="楷体_GB2312" w:hAnsi="Times New Roman" w:hint="eastAsia"/>
          <w:sz w:val="21"/>
          <w:szCs w:val="21"/>
        </w:rPr>
        <w:t>公司没有证据证明“龙小姐”无权代表该公司的情况下，应该认为“龙小姐”代表</w:t>
      </w:r>
      <w:r>
        <w:rPr>
          <w:rFonts w:ascii="Times New Roman" w:eastAsia="楷体_GB2312" w:hAnsi="Times New Roman" w:hint="eastAsia"/>
          <w:sz w:val="21"/>
          <w:szCs w:val="21"/>
        </w:rPr>
        <w:t>B</w:t>
      </w:r>
      <w:r>
        <w:rPr>
          <w:rFonts w:ascii="Times New Roman" w:eastAsia="楷体_GB2312" w:hAnsi="Times New Roman" w:hint="eastAsia"/>
          <w:sz w:val="21"/>
          <w:szCs w:val="21"/>
        </w:rPr>
        <w:t>公司实施了上述销售行为，其行为所引发的责任应由</w:t>
      </w:r>
      <w:r>
        <w:rPr>
          <w:rFonts w:ascii="Times New Roman" w:eastAsia="楷体_GB2312" w:hAnsi="Times New Roman" w:hint="eastAsia"/>
          <w:sz w:val="21"/>
          <w:szCs w:val="21"/>
        </w:rPr>
        <w:t>B</w:t>
      </w:r>
      <w:r>
        <w:rPr>
          <w:rFonts w:ascii="Times New Roman" w:eastAsia="楷体_GB2312" w:hAnsi="Times New Roman" w:hint="eastAsia"/>
          <w:sz w:val="21"/>
          <w:szCs w:val="21"/>
        </w:rPr>
        <w:t>公司承担。公证书中关于“龙小姐”是</w:t>
      </w:r>
      <w:r>
        <w:rPr>
          <w:rFonts w:ascii="Times New Roman" w:eastAsia="楷体_GB2312" w:hAnsi="Times New Roman" w:hint="eastAsia"/>
          <w:sz w:val="21"/>
          <w:szCs w:val="21"/>
        </w:rPr>
        <w:t>B</w:t>
      </w:r>
      <w:r>
        <w:rPr>
          <w:rFonts w:ascii="Times New Roman" w:eastAsia="楷体_GB2312" w:hAnsi="Times New Roman" w:hint="eastAsia"/>
          <w:sz w:val="21"/>
          <w:szCs w:val="21"/>
        </w:rPr>
        <w:t>公司的职员，表述虽欠妥当，但其实质在于认定“龙小姐”代表</w:t>
      </w:r>
      <w:r>
        <w:rPr>
          <w:rFonts w:ascii="Times New Roman" w:eastAsia="楷体_GB2312" w:hAnsi="Times New Roman" w:hint="eastAsia"/>
          <w:sz w:val="21"/>
          <w:szCs w:val="21"/>
        </w:rPr>
        <w:t>B</w:t>
      </w:r>
      <w:r>
        <w:rPr>
          <w:rFonts w:ascii="Times New Roman" w:eastAsia="楷体_GB2312" w:hAnsi="Times New Roman" w:hint="eastAsia"/>
          <w:sz w:val="21"/>
          <w:szCs w:val="21"/>
        </w:rPr>
        <w:t>公司实施上述销售行为，因而并无明显不妥。</w:t>
      </w:r>
      <w:r>
        <w:rPr>
          <w:rFonts w:ascii="Times New Roman" w:eastAsia="楷体_GB2312" w:hAnsi="Times New Roman" w:hint="eastAsia"/>
          <w:sz w:val="21"/>
          <w:szCs w:val="21"/>
        </w:rPr>
        <w:t>B</w:t>
      </w:r>
      <w:r>
        <w:rPr>
          <w:rFonts w:ascii="Times New Roman" w:eastAsia="楷体_GB2312" w:hAnsi="Times New Roman" w:hint="eastAsia"/>
          <w:sz w:val="21"/>
          <w:szCs w:val="21"/>
        </w:rPr>
        <w:t>公司人事部门经理以及“龙小姐”均与</w:t>
      </w:r>
      <w:r>
        <w:rPr>
          <w:rFonts w:ascii="Times New Roman" w:eastAsia="楷体_GB2312" w:hAnsi="Times New Roman" w:hint="eastAsia"/>
          <w:sz w:val="21"/>
          <w:szCs w:val="21"/>
        </w:rPr>
        <w:t>B</w:t>
      </w:r>
      <w:r>
        <w:rPr>
          <w:rFonts w:ascii="Times New Roman" w:eastAsia="楷体_GB2312" w:hAnsi="Times New Roman" w:hint="eastAsia"/>
          <w:sz w:val="21"/>
          <w:szCs w:val="21"/>
        </w:rPr>
        <w:t>公司为利害关系人，在无其他证据证明的情况下，其证人证言不能证明“龙小姐”与</w:t>
      </w:r>
      <w:r>
        <w:rPr>
          <w:rFonts w:ascii="Times New Roman" w:eastAsia="楷体_GB2312" w:hAnsi="Times New Roman" w:hint="eastAsia"/>
          <w:sz w:val="21"/>
          <w:szCs w:val="21"/>
        </w:rPr>
        <w:t>B</w:t>
      </w:r>
      <w:r>
        <w:rPr>
          <w:rFonts w:ascii="Times New Roman" w:eastAsia="楷体_GB2312" w:hAnsi="Times New Roman" w:hint="eastAsia"/>
          <w:sz w:val="21"/>
          <w:szCs w:val="21"/>
        </w:rPr>
        <w:t>公司无关。</w:t>
      </w:r>
    </w:p>
    <w:p w:rsidR="00800760" w:rsidRDefault="00235733">
      <w:pPr>
        <w:pStyle w:val="4"/>
        <w:spacing w:before="240"/>
        <w:ind w:firstLine="444"/>
        <w:rPr>
          <w:rFonts w:ascii="Times New Roman" w:hAnsi="Times New Roman"/>
        </w:rPr>
      </w:pPr>
      <w:r>
        <w:rPr>
          <w:rFonts w:ascii="Times New Roman" w:hAnsi="Times New Roman" w:hint="eastAsia"/>
        </w:rPr>
        <w:t>（三）证明责任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证明责任是证据审核认定的一项重要内容。</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当事人对自己提出的请求所依据的事实或者反驳对方请求所依据的事实有义务提供证据加以证明。没有证据或者证据不足以证明当事人的事实主张的，由负有举证责任的当事人承担不利后果。</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因新产品制造方法发明专利引起的专利侵权纠纷，请求人就涉案产品为新产品以及涉案产品与所述新产品相同承担举证责任，制造同样产品的单位或者个人对其产品制造方法不同于涉案的专利方法承担举证责任。</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对当事人无争议的事实，无须举证、质证。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对一方当事人陈述的事实，另一方当事人既未表示承认也未否认，经办案人员充分说明并询问后，其仍不明确表示肯定或者否定的，视为对该项事实的承认。</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当事人委托代理人参加纠纷处理的，代理人的承认视为当事人的承认，但未经特别授权的代理人对事实的承认直接导致承认对方请求的除外。当事人在场但对其代理人的承认不作否认表示的，视为当事人的承认。</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4-4-3</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某专利侵权纠纷案中，</w:t>
      </w:r>
      <w:r>
        <w:rPr>
          <w:rFonts w:ascii="Times New Roman" w:eastAsia="楷体_GB2312" w:hAnsi="Times New Roman" w:hint="eastAsia"/>
          <w:sz w:val="21"/>
          <w:szCs w:val="21"/>
        </w:rPr>
        <w:t>A</w:t>
      </w:r>
      <w:r>
        <w:rPr>
          <w:rFonts w:ascii="Times New Roman" w:eastAsia="楷体_GB2312" w:hAnsi="Times New Roman" w:hint="eastAsia"/>
          <w:sz w:val="21"/>
          <w:szCs w:val="21"/>
        </w:rPr>
        <w:t>公司发明专利涉及药物</w:t>
      </w:r>
      <w:r>
        <w:rPr>
          <w:rFonts w:ascii="Times New Roman" w:eastAsia="楷体_GB2312" w:hAnsi="Times New Roman" w:hint="eastAsia"/>
          <w:sz w:val="21"/>
          <w:szCs w:val="21"/>
        </w:rPr>
        <w:t>A</w:t>
      </w:r>
      <w:r>
        <w:rPr>
          <w:rFonts w:ascii="Times New Roman" w:eastAsia="楷体_GB2312" w:hAnsi="Times New Roman" w:hint="eastAsia"/>
          <w:sz w:val="21"/>
          <w:szCs w:val="21"/>
        </w:rPr>
        <w:t>的制备方法，被控侵权人</w:t>
      </w:r>
      <w:r>
        <w:rPr>
          <w:rFonts w:ascii="Times New Roman" w:eastAsia="楷体_GB2312" w:hAnsi="Times New Roman" w:hint="eastAsia"/>
          <w:sz w:val="21"/>
          <w:szCs w:val="21"/>
        </w:rPr>
        <w:t>B</w:t>
      </w:r>
      <w:r>
        <w:rPr>
          <w:rFonts w:ascii="Times New Roman" w:eastAsia="楷体_GB2312" w:hAnsi="Times New Roman" w:hint="eastAsia"/>
          <w:sz w:val="21"/>
          <w:szCs w:val="21"/>
        </w:rPr>
        <w:t>公司生产的产品为药物</w:t>
      </w:r>
      <w:r>
        <w:rPr>
          <w:rFonts w:ascii="Times New Roman" w:eastAsia="楷体_GB2312" w:hAnsi="Times New Roman" w:hint="eastAsia"/>
          <w:sz w:val="21"/>
          <w:szCs w:val="21"/>
        </w:rPr>
        <w:t>A</w:t>
      </w:r>
      <w:r>
        <w:rPr>
          <w:rFonts w:ascii="Times New Roman" w:eastAsia="楷体_GB2312" w:hAnsi="Times New Roman" w:hint="eastAsia"/>
          <w:sz w:val="21"/>
          <w:szCs w:val="21"/>
        </w:rPr>
        <w:t>已为</w:t>
      </w:r>
      <w:r>
        <w:rPr>
          <w:rFonts w:ascii="Times New Roman" w:eastAsia="楷体_GB2312" w:hAnsi="Times New Roman" w:hint="eastAsia"/>
          <w:sz w:val="21"/>
          <w:szCs w:val="21"/>
        </w:rPr>
        <w:t>B</w:t>
      </w:r>
      <w:r>
        <w:rPr>
          <w:rFonts w:ascii="Times New Roman" w:eastAsia="楷体_GB2312" w:hAnsi="Times New Roman" w:hint="eastAsia"/>
          <w:sz w:val="21"/>
          <w:szCs w:val="21"/>
        </w:rPr>
        <w:t>公司所承认。该药物</w:t>
      </w:r>
      <w:r>
        <w:rPr>
          <w:rFonts w:ascii="Times New Roman" w:eastAsia="楷体_GB2312" w:hAnsi="Times New Roman" w:hint="eastAsia"/>
          <w:sz w:val="21"/>
          <w:szCs w:val="21"/>
        </w:rPr>
        <w:t>A</w:t>
      </w:r>
      <w:r>
        <w:rPr>
          <w:rFonts w:ascii="Times New Roman" w:eastAsia="楷体_GB2312" w:hAnsi="Times New Roman" w:hint="eastAsia"/>
          <w:sz w:val="21"/>
          <w:szCs w:val="21"/>
        </w:rPr>
        <w:t>在专利申请日前不为国内外公众所知，因此该专利属于新产品的制备方法，对此双方并无争议。</w:t>
      </w:r>
      <w:r>
        <w:rPr>
          <w:rFonts w:ascii="Times New Roman" w:eastAsia="楷体_GB2312" w:hAnsi="Times New Roman" w:hint="eastAsia"/>
          <w:sz w:val="21"/>
          <w:szCs w:val="21"/>
        </w:rPr>
        <w:t>B</w:t>
      </w:r>
      <w:r>
        <w:rPr>
          <w:rFonts w:ascii="Times New Roman" w:eastAsia="楷体_GB2312" w:hAnsi="Times New Roman" w:hint="eastAsia"/>
          <w:sz w:val="21"/>
          <w:szCs w:val="21"/>
        </w:rPr>
        <w:t>公司认为</w:t>
      </w:r>
      <w:r>
        <w:rPr>
          <w:rFonts w:ascii="Times New Roman" w:eastAsia="楷体_GB2312" w:hAnsi="Times New Roman" w:hint="eastAsia"/>
          <w:sz w:val="21"/>
          <w:szCs w:val="21"/>
        </w:rPr>
        <w:t>A</w:t>
      </w:r>
      <w:r>
        <w:rPr>
          <w:rFonts w:ascii="Times New Roman" w:eastAsia="楷体_GB2312" w:hAnsi="Times New Roman" w:hint="eastAsia"/>
          <w:sz w:val="21"/>
          <w:szCs w:val="21"/>
        </w:rPr>
        <w:t>公司并无直接证据证明</w:t>
      </w:r>
      <w:r>
        <w:rPr>
          <w:rFonts w:ascii="Times New Roman" w:eastAsia="楷体_GB2312" w:hAnsi="Times New Roman" w:hint="eastAsia"/>
          <w:sz w:val="21"/>
          <w:szCs w:val="21"/>
        </w:rPr>
        <w:t>B</w:t>
      </w:r>
      <w:r>
        <w:rPr>
          <w:rFonts w:ascii="Times New Roman" w:eastAsia="楷体_GB2312" w:hAnsi="Times New Roman" w:hint="eastAsia"/>
          <w:sz w:val="21"/>
          <w:szCs w:val="21"/>
        </w:rPr>
        <w:t>公司生产药物</w:t>
      </w:r>
      <w:r>
        <w:rPr>
          <w:rFonts w:ascii="Times New Roman" w:eastAsia="楷体_GB2312" w:hAnsi="Times New Roman" w:hint="eastAsia"/>
          <w:sz w:val="21"/>
          <w:szCs w:val="21"/>
        </w:rPr>
        <w:t>A</w:t>
      </w:r>
      <w:r>
        <w:rPr>
          <w:rFonts w:ascii="Times New Roman" w:eastAsia="楷体_GB2312" w:hAnsi="Times New Roman" w:hint="eastAsia"/>
          <w:sz w:val="21"/>
          <w:szCs w:val="21"/>
        </w:rPr>
        <w:t>的制备方法就是专利方法，没有提供充分证据证明侵权事实存在。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该药物</w:t>
      </w:r>
      <w:r>
        <w:rPr>
          <w:rFonts w:ascii="Times New Roman" w:eastAsia="楷体_GB2312" w:hAnsi="Times New Roman" w:hint="eastAsia"/>
          <w:sz w:val="21"/>
          <w:szCs w:val="21"/>
        </w:rPr>
        <w:t>A</w:t>
      </w:r>
      <w:r>
        <w:rPr>
          <w:rFonts w:ascii="Times New Roman" w:eastAsia="楷体_GB2312" w:hAnsi="Times New Roman" w:hint="eastAsia"/>
          <w:sz w:val="21"/>
          <w:szCs w:val="21"/>
        </w:rPr>
        <w:t>在专利申请日前不为国内外公众所知，对此</w:t>
      </w:r>
      <w:r>
        <w:rPr>
          <w:rFonts w:ascii="Times New Roman" w:eastAsia="楷体_GB2312" w:hAnsi="Times New Roman" w:hint="eastAsia"/>
          <w:sz w:val="21"/>
          <w:szCs w:val="21"/>
        </w:rPr>
        <w:t>B</w:t>
      </w:r>
      <w:r>
        <w:rPr>
          <w:rFonts w:ascii="Times New Roman" w:eastAsia="楷体_GB2312" w:hAnsi="Times New Roman" w:hint="eastAsia"/>
          <w:sz w:val="21"/>
          <w:szCs w:val="21"/>
        </w:rPr>
        <w:t>公司并无异议，因此该专利属于新产品的制备方法。根据《专利法》第六十六条第一款的规定，专利侵权纠纷涉及新产品制备方法的发明专利的，被控侵权人负有举证证明其产品制备方法不同于专利方法的责任。由于</w:t>
      </w:r>
      <w:r>
        <w:rPr>
          <w:rFonts w:ascii="Times New Roman" w:eastAsia="楷体_GB2312" w:hAnsi="Times New Roman" w:hint="eastAsia"/>
          <w:sz w:val="21"/>
          <w:szCs w:val="21"/>
        </w:rPr>
        <w:t>B</w:t>
      </w:r>
      <w:r>
        <w:rPr>
          <w:rFonts w:ascii="Times New Roman" w:eastAsia="楷体_GB2312" w:hAnsi="Times New Roman" w:hint="eastAsia"/>
          <w:sz w:val="21"/>
          <w:szCs w:val="21"/>
        </w:rPr>
        <w:t>公司未能证明其使用了不同于涉案专利的方法来生产药物</w:t>
      </w:r>
      <w:r>
        <w:rPr>
          <w:rFonts w:ascii="Times New Roman" w:eastAsia="楷体_GB2312" w:hAnsi="Times New Roman" w:hint="eastAsia"/>
          <w:sz w:val="21"/>
          <w:szCs w:val="21"/>
        </w:rPr>
        <w:t>A</w:t>
      </w:r>
      <w:r>
        <w:rPr>
          <w:rFonts w:ascii="Times New Roman" w:eastAsia="楷体_GB2312" w:hAnsi="Times New Roman" w:hint="eastAsia"/>
          <w:sz w:val="21"/>
          <w:szCs w:val="21"/>
        </w:rPr>
        <w:t>，故可认定其侵犯了</w:t>
      </w:r>
      <w:r>
        <w:rPr>
          <w:rFonts w:ascii="Times New Roman" w:eastAsia="楷体_GB2312" w:hAnsi="Times New Roman" w:hint="eastAsia"/>
          <w:sz w:val="21"/>
          <w:szCs w:val="21"/>
        </w:rPr>
        <w:t>A</w:t>
      </w:r>
      <w:r>
        <w:rPr>
          <w:rFonts w:ascii="Times New Roman" w:eastAsia="楷体_GB2312" w:hAnsi="Times New Roman" w:hint="eastAsia"/>
          <w:sz w:val="21"/>
          <w:szCs w:val="21"/>
        </w:rPr>
        <w:t>公司的专利权。</w:t>
      </w:r>
    </w:p>
    <w:p w:rsidR="00800760" w:rsidRDefault="00235733">
      <w:pPr>
        <w:pStyle w:val="4"/>
        <w:spacing w:before="240"/>
        <w:ind w:firstLine="444"/>
        <w:rPr>
          <w:rFonts w:ascii="Times New Roman" w:hAnsi="Times New Roman"/>
        </w:rPr>
      </w:pPr>
      <w:r>
        <w:rPr>
          <w:rFonts w:ascii="Times New Roman" w:hAnsi="Times New Roman" w:hint="eastAsia"/>
        </w:rPr>
        <w:t>（四）可以采信的证据</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一方当事人提出的下列证据，另一方当事人提出异议但没有足以反驳的相反证据的，应当确认其证明力：</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书证原件或者与书证原件核对无误的复印件、照片、副本、节录本。</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物证原物或者与物证原物核对无误的复制件、照片、录像资料等。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有其他证据佐证并以合法手段取得的、无疑点的视听资料或者与视听资料核对无误的复制件。</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一方当事人委托鉴定机构作出的鉴定结论。</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一方当事人提出的证据，另一方当事人认可或者提出的相反证据不足以反驳的，可以确认其证明力；一方当事人提出的证据，另一方当事人有异议并提出反驳证据，对方当事人对反驳证据认可的，可以确认反驳证据的证明力。</w:t>
      </w:r>
    </w:p>
    <w:p w:rsidR="00800760" w:rsidRDefault="00C22A7B">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6</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pacing w:val="2"/>
          <w:sz w:val="21"/>
          <w:szCs w:val="21"/>
        </w:rPr>
        <w:t>双方当事人对同一事实分别举出相反的证据，但都没有足够的依据否定对方证据的，应当结合案件情况，判断一方提供证据的证明力是否明显大于另一方提供证据的证明力，并对证明力较大的证据予以确认。证据的证明力无法判断，导致争议事实难以认定的，应当依据举证责任分配原则作出判断</w:t>
      </w:r>
      <w:r w:rsidR="00235733">
        <w:rPr>
          <w:rFonts w:ascii="Times New Roman" w:eastAsia="宋体" w:hAnsi="Times New Roman" w:hint="eastAsia"/>
          <w:sz w:val="21"/>
          <w:szCs w:val="21"/>
        </w:rPr>
        <w:t>。</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7</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处理过程中，当事人在请求书、答辩书、陈述及其委托代理人的代理词中承认的对己方不利的事实和认可的证据，应当予以确认，但当事人反悔并有相反证据足以推翻的除外。</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4-4-4</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某专利侵权纠纷案中，证据</w:t>
      </w:r>
      <w:r>
        <w:rPr>
          <w:rFonts w:ascii="Times New Roman" w:eastAsia="楷体_GB2312" w:hAnsi="Times New Roman" w:hint="eastAsia"/>
          <w:sz w:val="21"/>
          <w:szCs w:val="21"/>
        </w:rPr>
        <w:t>2</w:t>
      </w:r>
      <w:r>
        <w:rPr>
          <w:rFonts w:ascii="Times New Roman" w:eastAsia="楷体_GB2312" w:hAnsi="Times New Roman" w:hint="eastAsia"/>
          <w:sz w:val="21"/>
          <w:szCs w:val="21"/>
        </w:rPr>
        <w:t>是一份某纺织印染厂出具的证明，内容为证明请求人于</w:t>
      </w:r>
      <w:r>
        <w:rPr>
          <w:rFonts w:ascii="Times New Roman" w:eastAsia="楷体_GB2312" w:hAnsi="Times New Roman" w:hint="eastAsia"/>
          <w:sz w:val="21"/>
          <w:szCs w:val="21"/>
        </w:rPr>
        <w:t>2005</w:t>
      </w:r>
      <w:r>
        <w:rPr>
          <w:rFonts w:ascii="Times New Roman" w:eastAsia="楷体_GB2312" w:hAnsi="Times New Roman" w:hint="eastAsia"/>
          <w:sz w:val="21"/>
          <w:szCs w:val="21"/>
        </w:rPr>
        <w:t>年</w:t>
      </w:r>
      <w:r>
        <w:rPr>
          <w:rFonts w:ascii="Times New Roman" w:eastAsia="楷体_GB2312" w:hAnsi="Times New Roman" w:hint="eastAsia"/>
          <w:sz w:val="21"/>
          <w:szCs w:val="21"/>
        </w:rPr>
        <w:t>10</w:t>
      </w:r>
      <w:r>
        <w:rPr>
          <w:rFonts w:ascii="Times New Roman" w:eastAsia="楷体_GB2312" w:hAnsi="Times New Roman" w:hint="eastAsia"/>
          <w:sz w:val="21"/>
          <w:szCs w:val="21"/>
        </w:rPr>
        <w:t>月</w:t>
      </w:r>
      <w:r>
        <w:rPr>
          <w:rFonts w:ascii="Times New Roman" w:eastAsia="楷体_GB2312" w:hAnsi="Times New Roman" w:hint="eastAsia"/>
          <w:sz w:val="21"/>
          <w:szCs w:val="21"/>
        </w:rPr>
        <w:t>8</w:t>
      </w:r>
      <w:r>
        <w:rPr>
          <w:rFonts w:ascii="Times New Roman" w:eastAsia="楷体_GB2312" w:hAnsi="Times New Roman" w:hint="eastAsia"/>
          <w:sz w:val="21"/>
          <w:szCs w:val="21"/>
        </w:rPr>
        <w:t>日在某纺织印染厂办理证据登记保存的设备的标牌为原始标牌，未作过改动。请求人在口头审理中出示了证据</w:t>
      </w:r>
      <w:r>
        <w:rPr>
          <w:rFonts w:ascii="Times New Roman" w:eastAsia="楷体_GB2312" w:hAnsi="Times New Roman" w:hint="eastAsia"/>
          <w:sz w:val="21"/>
          <w:szCs w:val="21"/>
        </w:rPr>
        <w:t>2</w:t>
      </w:r>
      <w:r>
        <w:rPr>
          <w:rFonts w:ascii="Times New Roman" w:eastAsia="楷体_GB2312" w:hAnsi="Times New Roman" w:hint="eastAsia"/>
          <w:sz w:val="21"/>
          <w:szCs w:val="21"/>
        </w:rPr>
        <w:t>的原件，但证据</w:t>
      </w:r>
      <w:r>
        <w:rPr>
          <w:rFonts w:ascii="Times New Roman" w:eastAsia="楷体_GB2312" w:hAnsi="Times New Roman" w:hint="eastAsia"/>
          <w:sz w:val="21"/>
          <w:szCs w:val="21"/>
        </w:rPr>
        <w:t>2</w:t>
      </w:r>
      <w:r>
        <w:rPr>
          <w:rFonts w:ascii="Times New Roman" w:eastAsia="楷体_GB2312" w:hAnsi="Times New Roman" w:hint="eastAsia"/>
          <w:sz w:val="21"/>
          <w:szCs w:val="21"/>
        </w:rPr>
        <w:t>所示证明材料仅有“××纺织印染厂”“</w:t>
      </w:r>
      <w:r>
        <w:rPr>
          <w:rFonts w:ascii="Times New Roman" w:eastAsia="楷体_GB2312" w:hAnsi="Times New Roman" w:hint="eastAsia"/>
          <w:sz w:val="21"/>
          <w:szCs w:val="21"/>
        </w:rPr>
        <w:t>2005</w:t>
      </w:r>
      <w:r>
        <w:rPr>
          <w:rFonts w:ascii="Times New Roman" w:eastAsia="楷体_GB2312" w:hAnsi="Times New Roman" w:hint="eastAsia"/>
          <w:sz w:val="21"/>
          <w:szCs w:val="21"/>
        </w:rPr>
        <w:t>年</w:t>
      </w:r>
      <w:r>
        <w:rPr>
          <w:rFonts w:ascii="Times New Roman" w:eastAsia="楷体_GB2312" w:hAnsi="Times New Roman" w:hint="eastAsia"/>
          <w:sz w:val="21"/>
          <w:szCs w:val="21"/>
        </w:rPr>
        <w:t>10</w:t>
      </w:r>
      <w:r>
        <w:rPr>
          <w:rFonts w:ascii="Times New Roman" w:eastAsia="楷体_GB2312" w:hAnsi="Times New Roman" w:hint="eastAsia"/>
          <w:sz w:val="21"/>
          <w:szCs w:val="21"/>
        </w:rPr>
        <w:t>月</w:t>
      </w:r>
      <w:r>
        <w:rPr>
          <w:rFonts w:ascii="Times New Roman" w:eastAsia="楷体_GB2312" w:hAnsi="Times New Roman" w:hint="eastAsia"/>
          <w:sz w:val="21"/>
          <w:szCs w:val="21"/>
        </w:rPr>
        <w:t>8</w:t>
      </w:r>
      <w:r>
        <w:rPr>
          <w:rFonts w:ascii="Times New Roman" w:eastAsia="楷体_GB2312" w:hAnsi="Times New Roman" w:hint="eastAsia"/>
          <w:sz w:val="21"/>
          <w:szCs w:val="21"/>
        </w:rPr>
        <w:t>日”的落款和单位名称，没有该单位印章和单位负责人的签名，缺少单位出具证明文书类证据的形式要件。但是由于被请求人对该证据的真实性以及所证事实并无异议，故合议组对该证据予以采信。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某纺织印染厂出具的单位证明属证人证言，这类证言从证据形式要件角度考虑一般需要盖单位印章，同时附具单位负责人签名。如果缺少这一形式要件，同时又没有其他客观证据对相关事实加以佐证的话，该证言通常难以被采信。本案中，所述证据虽然缺少形式要件，但其仍被采信的原因在于，被请求人认可了该证据的真实性，同时对所证事实亦无异议。</w:t>
      </w:r>
    </w:p>
    <w:p w:rsidR="00800760" w:rsidRDefault="00235733">
      <w:pPr>
        <w:pStyle w:val="4"/>
        <w:spacing w:before="240"/>
        <w:ind w:firstLine="444"/>
        <w:rPr>
          <w:rFonts w:ascii="Times New Roman" w:hAnsi="Times New Roman"/>
        </w:rPr>
      </w:pPr>
      <w:r>
        <w:rPr>
          <w:rFonts w:ascii="Times New Roman" w:hAnsi="Times New Roman" w:hint="eastAsia"/>
        </w:rPr>
        <w:t>（五）不能单独采信的证据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下列证据不能单独作为认定案件事实的依据：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未成年人所作的与其年龄和智力状况不相适应的证言；</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与一方当事人有亲属关系、隶属关系或者其他密切关系的证人所作的对该当事人有利的证言，或者与一方当事人有不利关系的证人所作的对该当事人不利的证言；</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应当参加口头审理作证而无正当理由不参加口头审理作证的证人证言；</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难以识别是否经过修改的视听资料；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无法与原件、原物核对的复制件或者复制品；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6</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经一方当事人或者他人改动，对方当事人不予认可的证据材料；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7</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只有当事人本人陈述而不能提出其他相关证据的主张，不予支持，但对方当事人认可的除外；</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8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8</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其他依法不能单独作为认定案件事实依据的证据材料。</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4-4-5</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纠纷案中，被请求人提交的现有技术抗辩证据是证人证言，主张证人与被请求人所签订的技术培训协议可证明该技术为现有技术。证人并未出席口头审理，也没有证据显示其不出席口头审理有正当理由。由于未经质证的证人证言所述内容的真实性不能确定，因此不能作为定案依据，并且在只有证人证言但无其他相关证据显示该技术为现有技术的情况下，被请求人关于现有技术抗辩的主张不能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人证言系证人向办案人员所作的关于自己亲身感知的案件事实的陈述。其形成包括感知、记忆和表达三个阶段。任何一个阶段的客观性、真实性都受到诸多因素，比如证人情绪、动机等的影响，因此，直接观察证人作出证言时的细节对于证言的采信与否非常重要。这也是未经质证的证人证言不能单独作为定案依据的原因所在。本案中，所述证人证言之所以未被采信，原因在于证人无合理理由不出席口头审理，同时又没有其他客观证据与证言所述内容相佐证来证明其真实性。</w:t>
      </w:r>
    </w:p>
    <w:p w:rsidR="00800760" w:rsidRDefault="00235733">
      <w:pPr>
        <w:pStyle w:val="4"/>
        <w:spacing w:before="240"/>
        <w:ind w:firstLine="444"/>
        <w:rPr>
          <w:rFonts w:ascii="Times New Roman" w:hAnsi="Times New Roman"/>
        </w:rPr>
      </w:pPr>
      <w:r>
        <w:rPr>
          <w:rFonts w:ascii="Times New Roman" w:hAnsi="Times New Roman" w:hint="eastAsia"/>
        </w:rPr>
        <w:t>（六）不得采信的证据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凡有下列情形之一的证据不得采信：</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未经双方质证或一方有异议而无法确认的；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不能说明证据合法来源的；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非法取得的；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证人证言前后不一致，且又不能获得印证的；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5</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当事人自行委托鉴定又未得到合议组审核查实的；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6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6</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没有原件印证的复印件，且另一方有异议的；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7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7</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不能正确表达意志的人的证言或书证。</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4-4-6</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纠纷案中，请求人提交了从被请求人处购买被控侵权产品的销售发票复印件，口头审理中请求人解释该发票原件被对方当事人撕毁，并不是拒不提供原件，而是客观上无法提供。合议组认为，结合出库单、证人证言和视频录像等证据，可以认定被请求人撕毁发票的事实以及被请求人曾向请求人销售被控侵权产品的事实，对该发票复印件予以采信。法律及相关司法解释并未禁止对书证复印件证据的采用，在有其他证据与书证复印件相互印证的条件下，其仍可以作为认定事实的依据，以做到客观真实和法律真实的统一。</w:t>
      </w:r>
    </w:p>
    <w:p w:rsidR="00800760" w:rsidRDefault="00235733">
      <w:pPr>
        <w:pStyle w:val="3"/>
        <w:topLinePunct/>
        <w:spacing w:before="240"/>
        <w:ind w:firstLine="444"/>
        <w:rPr>
          <w:rFonts w:ascii="Times New Roman" w:hAnsi="Times New Roman"/>
        </w:rPr>
      </w:pPr>
      <w:bookmarkStart w:id="3215" w:name="_Toc19958"/>
      <w:bookmarkStart w:id="3216" w:name="_Toc22505"/>
      <w:bookmarkStart w:id="3217" w:name="_Toc18657"/>
      <w:bookmarkStart w:id="3218" w:name="_Toc14637"/>
      <w:bookmarkStart w:id="3219" w:name="_Toc27804"/>
      <w:bookmarkStart w:id="3220" w:name="_Toc21634"/>
      <w:bookmarkStart w:id="3221" w:name="_Toc9238"/>
      <w:bookmarkStart w:id="3222" w:name="_Toc18114"/>
      <w:bookmarkStart w:id="3223" w:name="_Toc18192"/>
      <w:bookmarkStart w:id="3224" w:name="_Toc19626"/>
      <w:bookmarkStart w:id="3225" w:name="_Toc312"/>
      <w:bookmarkStart w:id="3226" w:name="_Toc24924"/>
      <w:bookmarkStart w:id="3227" w:name="_Toc9628"/>
      <w:bookmarkStart w:id="3228" w:name="_Toc6202"/>
      <w:bookmarkStart w:id="3229" w:name="_Toc17906"/>
      <w:bookmarkStart w:id="3230" w:name="_Toc3057"/>
      <w:bookmarkStart w:id="3231" w:name="_Toc6714"/>
      <w:bookmarkStart w:id="3232" w:name="_Toc602"/>
      <w:bookmarkStart w:id="3233" w:name="_Toc30043"/>
      <w:bookmarkStart w:id="3234" w:name="_Toc17821"/>
      <w:bookmarkStart w:id="3235" w:name="_Toc23099"/>
      <w:bookmarkStart w:id="3236" w:name="_Toc3562"/>
      <w:bookmarkStart w:id="3237" w:name="_Toc14361"/>
      <w:bookmarkStart w:id="3238" w:name="_Toc16444"/>
      <w:bookmarkStart w:id="3239" w:name="_Toc26295"/>
      <w:bookmarkStart w:id="3240" w:name="_Toc17976"/>
      <w:bookmarkStart w:id="3241" w:name="_Toc229114393"/>
      <w:bookmarkStart w:id="3242" w:name="_Toc12228"/>
      <w:bookmarkStart w:id="3243" w:name="_Toc24390"/>
      <w:bookmarkStart w:id="3244" w:name="_Toc2049"/>
      <w:bookmarkStart w:id="3245" w:name="_Toc26720"/>
      <w:bookmarkStart w:id="3246" w:name="_Toc2158"/>
      <w:bookmarkStart w:id="3247" w:name="_Toc28469"/>
      <w:bookmarkStart w:id="3248" w:name="_Toc10020"/>
      <w:bookmarkStart w:id="3249" w:name="_Toc952"/>
      <w:bookmarkStart w:id="3250" w:name="_Toc25425"/>
      <w:bookmarkStart w:id="3251" w:name="_Toc32712"/>
      <w:bookmarkStart w:id="3252" w:name="_Toc229225489"/>
      <w:r>
        <w:rPr>
          <w:rFonts w:ascii="Times New Roman" w:hAnsi="Times New Roman" w:hint="eastAsia"/>
        </w:rPr>
        <w:t>二、公证书</w:t>
      </w:r>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公证是公证机构根据自然人、法人或者其他组织的申请，依照法定程序对民事法律行为、有法律意义的事实和文书的真实性、合法性予以证明的活动。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经过公证的文书，若没有相反证据足以推翻公证证明的事实，则应当直接将公证书作为确定案件事实的基础；有相反证据足以推翻公证证明的，可否定公证书的证据效力。</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公证书必须经过质证才能采信。管理专利工作的部门在审核认定公证书时，不仅要审查其形式要件，还应对其是否符合证据的真实性、合法性、关联性进行实质审查。</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如果公证文书在形式上存在严重缺陷，例如缺少公证人员签章，则该公证文书不能作为认定案件事实的依据。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公证文书的结论明显缺乏依据或者公证文书的内容存在自相矛盾之处，则相应部分的内容不能作为认定案件事实的依据。例如，公证文书仅根据证人的陈述而得出证人陈述内容具有真实性的结论，则该公证文书的结论不能作为认定案件事实的依据。</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rPr>
        <w:t>4-4-7</w:t>
      </w:r>
      <w:r>
        <w:rPr>
          <w:rFonts w:ascii="Times New Roman" w:hAnsi="Times New Roman"/>
        </w:rPr>
        <w:t>】</w:t>
      </w:r>
    </w:p>
    <w:p w:rsidR="00800760" w:rsidRDefault="00235733">
      <w:pPr>
        <w:pStyle w:val="12"/>
        <w:topLinePunct/>
        <w:spacing w:line="336" w:lineRule="auto"/>
        <w:ind w:firstLine="412"/>
        <w:rPr>
          <w:rFonts w:ascii="Times New Roman" w:eastAsia="楷体_GB2312" w:hAnsi="Times New Roman"/>
          <w:spacing w:val="-2"/>
          <w:sz w:val="21"/>
          <w:szCs w:val="21"/>
        </w:rPr>
      </w:pPr>
      <w:r>
        <w:rPr>
          <w:rFonts w:ascii="Times New Roman" w:eastAsia="楷体_GB2312" w:hAnsi="Times New Roman" w:hint="eastAsia"/>
          <w:spacing w:val="-2"/>
          <w:sz w:val="21"/>
          <w:szCs w:val="21"/>
        </w:rPr>
        <w:t>案情同【案例</w:t>
      </w:r>
      <w:r>
        <w:rPr>
          <w:rFonts w:ascii="Times New Roman" w:eastAsia="楷体_GB2312" w:hAnsi="Times New Roman" w:hint="eastAsia"/>
          <w:spacing w:val="-2"/>
          <w:sz w:val="21"/>
          <w:szCs w:val="21"/>
        </w:rPr>
        <w:t>4-4-3</w:t>
      </w:r>
      <w:r>
        <w:rPr>
          <w:rFonts w:ascii="Times New Roman" w:eastAsia="楷体_GB2312" w:hAnsi="Times New Roman" w:hint="eastAsia"/>
          <w:spacing w:val="-2"/>
          <w:sz w:val="21"/>
          <w:szCs w:val="21"/>
        </w:rPr>
        <w:t>】。该案中，请求人</w:t>
      </w:r>
      <w:r>
        <w:rPr>
          <w:rFonts w:ascii="Times New Roman" w:eastAsia="楷体_GB2312" w:hAnsi="Times New Roman" w:hint="eastAsia"/>
          <w:spacing w:val="-2"/>
          <w:sz w:val="21"/>
          <w:szCs w:val="21"/>
        </w:rPr>
        <w:t>A</w:t>
      </w:r>
      <w:r>
        <w:rPr>
          <w:rFonts w:ascii="Times New Roman" w:eastAsia="楷体_GB2312" w:hAnsi="Times New Roman" w:hint="eastAsia"/>
          <w:spacing w:val="-2"/>
          <w:sz w:val="21"/>
          <w:szCs w:val="21"/>
        </w:rPr>
        <w:t>公司提交的公证书公证了对</w:t>
      </w:r>
      <w:r>
        <w:rPr>
          <w:rFonts w:ascii="Times New Roman" w:eastAsia="楷体_GB2312" w:hAnsi="Times New Roman" w:hint="eastAsia"/>
          <w:spacing w:val="-2"/>
          <w:sz w:val="21"/>
          <w:szCs w:val="21"/>
        </w:rPr>
        <w:t>B</w:t>
      </w:r>
      <w:r>
        <w:rPr>
          <w:rFonts w:ascii="Times New Roman" w:eastAsia="楷体_GB2312" w:hAnsi="Times New Roman" w:hint="eastAsia"/>
          <w:spacing w:val="-2"/>
          <w:sz w:val="21"/>
          <w:szCs w:val="21"/>
        </w:rPr>
        <w:t>公司销售侵权产品取证的详细过程并附有相应证据，是认定</w:t>
      </w:r>
      <w:r>
        <w:rPr>
          <w:rFonts w:ascii="Times New Roman" w:eastAsia="楷体_GB2312" w:hAnsi="Times New Roman" w:hint="eastAsia"/>
          <w:spacing w:val="-2"/>
          <w:sz w:val="21"/>
          <w:szCs w:val="21"/>
        </w:rPr>
        <w:t>B</w:t>
      </w:r>
      <w:r>
        <w:rPr>
          <w:rFonts w:ascii="Times New Roman" w:eastAsia="楷体_GB2312" w:hAnsi="Times New Roman" w:hint="eastAsia"/>
          <w:spacing w:val="-2"/>
          <w:sz w:val="21"/>
          <w:szCs w:val="21"/>
        </w:rPr>
        <w:t>公司构成侵犯专利权行为的决定性证据；即使</w:t>
      </w:r>
      <w:r>
        <w:rPr>
          <w:rFonts w:ascii="Times New Roman" w:eastAsia="楷体_GB2312" w:hAnsi="Times New Roman" w:hint="eastAsia"/>
          <w:spacing w:val="-2"/>
          <w:sz w:val="21"/>
          <w:szCs w:val="21"/>
        </w:rPr>
        <w:t>B</w:t>
      </w:r>
      <w:r>
        <w:rPr>
          <w:rFonts w:ascii="Times New Roman" w:eastAsia="楷体_GB2312" w:hAnsi="Times New Roman" w:hint="eastAsia"/>
          <w:spacing w:val="-2"/>
          <w:sz w:val="21"/>
          <w:szCs w:val="21"/>
        </w:rPr>
        <w:t>公司提交的证人证言经过了公证，也仅能证明证人证言出具人确实进行了相应的意见陈述，不能代表其证人证言内容的真实。</w:t>
      </w:r>
    </w:p>
    <w:p w:rsidR="00800760" w:rsidRDefault="00235733">
      <w:pPr>
        <w:pStyle w:val="3"/>
        <w:topLinePunct/>
        <w:spacing w:before="240"/>
        <w:ind w:firstLine="444"/>
        <w:rPr>
          <w:rFonts w:ascii="Times New Roman" w:hAnsi="Times New Roman"/>
        </w:rPr>
      </w:pPr>
      <w:bookmarkStart w:id="3253" w:name="_Toc25142"/>
      <w:bookmarkStart w:id="3254" w:name="_Toc1197"/>
      <w:bookmarkStart w:id="3255" w:name="_Toc25695"/>
      <w:bookmarkStart w:id="3256" w:name="_Toc22322"/>
      <w:bookmarkStart w:id="3257" w:name="_Toc4791"/>
      <w:bookmarkStart w:id="3258" w:name="_Toc9355"/>
      <w:bookmarkStart w:id="3259" w:name="_Toc830"/>
      <w:bookmarkStart w:id="3260" w:name="_Toc30388"/>
      <w:bookmarkStart w:id="3261" w:name="_Toc15527"/>
      <w:bookmarkStart w:id="3262" w:name="_Toc16596"/>
      <w:bookmarkStart w:id="3263" w:name="_Toc14888"/>
      <w:bookmarkStart w:id="3264" w:name="_Toc12711"/>
      <w:bookmarkStart w:id="3265" w:name="_Toc4983"/>
      <w:bookmarkStart w:id="3266" w:name="_Toc17501"/>
      <w:bookmarkStart w:id="3267" w:name="_Toc6418"/>
      <w:bookmarkStart w:id="3268" w:name="_Toc126"/>
      <w:bookmarkStart w:id="3269" w:name="_Toc1604"/>
      <w:bookmarkStart w:id="3270" w:name="_Toc15741"/>
      <w:bookmarkStart w:id="3271" w:name="_Toc25254"/>
      <w:bookmarkStart w:id="3272" w:name="_Toc2048"/>
      <w:bookmarkStart w:id="3273" w:name="_Toc31601"/>
      <w:bookmarkStart w:id="3274" w:name="_Toc15770"/>
      <w:bookmarkStart w:id="3275" w:name="_Toc9626"/>
      <w:bookmarkStart w:id="3276" w:name="_Toc25274"/>
      <w:bookmarkStart w:id="3277" w:name="_Toc26512"/>
      <w:bookmarkStart w:id="3278" w:name="_Toc28674"/>
      <w:bookmarkStart w:id="3279" w:name="_Toc9087"/>
      <w:bookmarkStart w:id="3280" w:name="_Toc11430"/>
      <w:bookmarkStart w:id="3281" w:name="_Toc17870"/>
      <w:bookmarkStart w:id="3282" w:name="_Toc7535"/>
      <w:bookmarkStart w:id="3283" w:name="_Toc24461"/>
      <w:bookmarkStart w:id="3284" w:name="_Toc9706"/>
      <w:bookmarkStart w:id="3285" w:name="_Toc21240"/>
      <w:bookmarkStart w:id="3286" w:name="_Toc21612"/>
      <w:bookmarkStart w:id="3287" w:name="_Toc23479"/>
      <w:bookmarkStart w:id="3288" w:name="_Toc229114394"/>
      <w:bookmarkStart w:id="3289" w:name="_Toc25041"/>
      <w:bookmarkStart w:id="3290" w:name="_Toc229225490"/>
      <w:r>
        <w:rPr>
          <w:rFonts w:ascii="Times New Roman" w:hAnsi="Times New Roman" w:hint="eastAsia"/>
        </w:rPr>
        <w:t>三、域外证据或在我国港澳台地区形成的证据</w:t>
      </w:r>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当事人提交此类证据的，一般应当履行相关的证明手续。</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在专利行政裁决案件中，证明主体资格的此类证据应当严格要求当事人办理公证、认证等相关证明手续；对于其他此类证据，是否需要办理，视每个案件的具体情况而定。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以下三种情况，当事人可以不办理相关的证明手续：</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该证据是能够从除中国香港特别行政区、澳门特别行政区、台湾地区外的国内公共渠道获得的，如从国家知识产权局获得的国外专利文件，或者从公共图书馆获得的国外文献资料；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有其他证据足以证明该证据真实性的；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对方当事人认可该证据的真实性的。</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4-4-8</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某专利侵权纠纷案中，</w:t>
      </w:r>
      <w:r>
        <w:rPr>
          <w:rFonts w:ascii="Times New Roman" w:eastAsia="楷体_GB2312" w:hAnsi="Times New Roman" w:hint="eastAsia"/>
          <w:sz w:val="21"/>
          <w:szCs w:val="21"/>
        </w:rPr>
        <w:t>A</w:t>
      </w:r>
      <w:r>
        <w:rPr>
          <w:rFonts w:ascii="Times New Roman" w:eastAsia="楷体_GB2312" w:hAnsi="Times New Roman" w:hint="eastAsia"/>
          <w:sz w:val="21"/>
          <w:szCs w:val="21"/>
        </w:rPr>
        <w:t>公司提交了提货单和销售证明，以证明其销售给</w:t>
      </w:r>
      <w:r>
        <w:rPr>
          <w:rFonts w:ascii="Times New Roman" w:eastAsia="楷体_GB2312" w:hAnsi="Times New Roman" w:hint="eastAsia"/>
          <w:sz w:val="21"/>
          <w:szCs w:val="21"/>
        </w:rPr>
        <w:t>B</w:t>
      </w:r>
      <w:r>
        <w:rPr>
          <w:rFonts w:ascii="Times New Roman" w:eastAsia="楷体_GB2312" w:hAnsi="Times New Roman" w:hint="eastAsia"/>
          <w:sz w:val="21"/>
          <w:szCs w:val="21"/>
        </w:rPr>
        <w:t>农科公司和</w:t>
      </w:r>
      <w:r>
        <w:rPr>
          <w:rFonts w:ascii="Times New Roman" w:eastAsia="楷体_GB2312" w:hAnsi="Times New Roman" w:hint="eastAsia"/>
          <w:sz w:val="21"/>
          <w:szCs w:val="21"/>
        </w:rPr>
        <w:t>C</w:t>
      </w:r>
      <w:r>
        <w:rPr>
          <w:rFonts w:ascii="Times New Roman" w:eastAsia="楷体_GB2312" w:hAnsi="Times New Roman" w:hint="eastAsia"/>
          <w:sz w:val="21"/>
          <w:szCs w:val="21"/>
        </w:rPr>
        <w:t>作物公司委托代理人的</w:t>
      </w:r>
      <w:r>
        <w:rPr>
          <w:rFonts w:ascii="Times New Roman" w:eastAsia="楷体_GB2312" w:hAnsi="Times New Roman" w:hint="eastAsia"/>
          <w:sz w:val="21"/>
          <w:szCs w:val="21"/>
        </w:rPr>
        <w:t>500</w:t>
      </w:r>
      <w:r>
        <w:rPr>
          <w:rFonts w:ascii="Times New Roman" w:eastAsia="楷体_GB2312" w:hAnsi="Times New Roman" w:hint="eastAsia"/>
          <w:sz w:val="21"/>
          <w:szCs w:val="21"/>
        </w:rPr>
        <w:t>克氟虫腈</w:t>
      </w:r>
      <w:r>
        <w:rPr>
          <w:rFonts w:ascii="Times New Roman" w:eastAsia="楷体_GB2312" w:hAnsi="Times New Roman" w:hint="eastAsia"/>
          <w:sz w:val="21"/>
          <w:szCs w:val="21"/>
        </w:rPr>
        <w:t>800WDG</w:t>
      </w:r>
      <w:r>
        <w:rPr>
          <w:rFonts w:ascii="Times New Roman" w:eastAsia="楷体_GB2312" w:hAnsi="Times New Roman" w:hint="eastAsia"/>
          <w:sz w:val="21"/>
          <w:szCs w:val="21"/>
        </w:rPr>
        <w:t>系</w:t>
      </w:r>
      <w:r>
        <w:rPr>
          <w:rFonts w:ascii="Times New Roman" w:eastAsia="楷体_GB2312" w:hAnsi="Times New Roman" w:hint="eastAsia"/>
          <w:sz w:val="21"/>
          <w:szCs w:val="21"/>
        </w:rPr>
        <w:t>A</w:t>
      </w:r>
      <w:r>
        <w:rPr>
          <w:rFonts w:ascii="Times New Roman" w:eastAsia="楷体_GB2312" w:hAnsi="Times New Roman" w:hint="eastAsia"/>
          <w:sz w:val="21"/>
          <w:szCs w:val="21"/>
        </w:rPr>
        <w:t>公司驻越南办事处在越南北宁省蒲山购买的农药样品，具有合法来源。该提货单和销售证明由越南店主甲在越南北宁省出具。该证据系在中华人民共和国外形成，</w:t>
      </w:r>
      <w:r>
        <w:rPr>
          <w:rFonts w:ascii="Times New Roman" w:eastAsia="楷体_GB2312" w:hAnsi="Times New Roman" w:hint="eastAsia"/>
          <w:sz w:val="21"/>
          <w:szCs w:val="21"/>
        </w:rPr>
        <w:t>A</w:t>
      </w:r>
      <w:r>
        <w:rPr>
          <w:rFonts w:ascii="Times New Roman" w:eastAsia="楷体_GB2312" w:hAnsi="Times New Roman" w:hint="eastAsia"/>
          <w:sz w:val="21"/>
          <w:szCs w:val="21"/>
        </w:rPr>
        <w:t>公司对此应履行公证和认证手续。但是，</w:t>
      </w:r>
      <w:r>
        <w:rPr>
          <w:rFonts w:ascii="Times New Roman" w:eastAsia="楷体_GB2312" w:hAnsi="Times New Roman" w:hint="eastAsia"/>
          <w:sz w:val="21"/>
          <w:szCs w:val="21"/>
        </w:rPr>
        <w:t>A</w:t>
      </w:r>
      <w:r>
        <w:rPr>
          <w:rFonts w:ascii="Times New Roman" w:eastAsia="楷体_GB2312" w:hAnsi="Times New Roman" w:hint="eastAsia"/>
          <w:sz w:val="21"/>
          <w:szCs w:val="21"/>
        </w:rPr>
        <w:t>公司只对翻译乙的身份及其保证将该提货单和销售证明由越南文翻译为英文履行了公证和认证手续，对于该提货单和销售证明的出具人越南店主甲的身份及其签名的真实性并未履行公证和认证手续，也没有提供相关证据加以证明。在此情况下，该店主的身份、提货单及销售证明的真实性均难以确认，</w:t>
      </w:r>
      <w:r>
        <w:rPr>
          <w:rFonts w:ascii="Times New Roman" w:eastAsia="楷体_GB2312" w:hAnsi="Times New Roman" w:hint="eastAsia"/>
          <w:sz w:val="21"/>
          <w:szCs w:val="21"/>
        </w:rPr>
        <w:t>A</w:t>
      </w:r>
      <w:r>
        <w:rPr>
          <w:rFonts w:ascii="Times New Roman" w:eastAsia="楷体_GB2312" w:hAnsi="Times New Roman" w:hint="eastAsia"/>
          <w:sz w:val="21"/>
          <w:szCs w:val="21"/>
        </w:rPr>
        <w:t>公司据此主张其销售的本案</w:t>
      </w:r>
      <w:r>
        <w:rPr>
          <w:rFonts w:ascii="Times New Roman" w:eastAsia="楷体_GB2312" w:hAnsi="Times New Roman" w:hint="eastAsia"/>
          <w:sz w:val="21"/>
          <w:szCs w:val="21"/>
        </w:rPr>
        <w:t>500</w:t>
      </w:r>
      <w:r>
        <w:rPr>
          <w:rFonts w:ascii="Times New Roman" w:eastAsia="楷体_GB2312" w:hAnsi="Times New Roman" w:hint="eastAsia"/>
          <w:sz w:val="21"/>
          <w:szCs w:val="21"/>
        </w:rPr>
        <w:t>克氟虫腈</w:t>
      </w:r>
      <w:r>
        <w:rPr>
          <w:rFonts w:ascii="Times New Roman" w:eastAsia="楷体_GB2312" w:hAnsi="Times New Roman" w:hint="eastAsia"/>
          <w:sz w:val="21"/>
          <w:szCs w:val="21"/>
        </w:rPr>
        <w:t>800WDG</w:t>
      </w:r>
      <w:r>
        <w:rPr>
          <w:rFonts w:ascii="Times New Roman" w:eastAsia="楷体_GB2312" w:hAnsi="Times New Roman" w:hint="eastAsia"/>
          <w:sz w:val="21"/>
          <w:szCs w:val="21"/>
        </w:rPr>
        <w:t>有合法来源，证据不足。</w:t>
      </w:r>
    </w:p>
    <w:p w:rsidR="00800760" w:rsidRDefault="00235733">
      <w:pPr>
        <w:pStyle w:val="3"/>
        <w:topLinePunct/>
        <w:spacing w:before="240"/>
        <w:ind w:firstLine="444"/>
        <w:rPr>
          <w:rFonts w:ascii="Times New Roman" w:hAnsi="Times New Roman"/>
        </w:rPr>
      </w:pPr>
      <w:bookmarkStart w:id="3291" w:name="_Toc229114395"/>
      <w:bookmarkStart w:id="3292" w:name="_Toc229225491"/>
      <w:r>
        <w:rPr>
          <w:rFonts w:ascii="Times New Roman" w:hAnsi="Times New Roman" w:hint="eastAsia"/>
        </w:rPr>
        <w:t>四、自认</w:t>
      </w:r>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291"/>
      <w:bookmarkEnd w:id="3292"/>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自认，是指一方当事人就对方当事人所主张的不利于己方的事实作出明确承认，或者不明确予以否认。</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专利行政裁决中，对于当事人的自认，可遵循以下规则：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一方当事人明确认可的另外一方当事人提交的证据，管理专利工作的部门应当予以确认。但其与事实明显不符，或者有损国家利益、社会公共利益，或者当事人反悔并有相反证据足以推翻的除外。</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对一方当事人陈述的案件事实，另外一方当事人明确表示承认的，管理专利工作的部门应当予以确认。但其与事实明显不符，或者有损国家利益、社会公共利益，或者当事人反悔并有相反证据足以推翻的除外。另一方当事人既未承认也未否认，经合议组充分说明并询问后，其仍不明确表示肯定或者否定的，视为对该项事实的承认。</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委托代理人参加案件的处理的，代理人的承认视为当事人的承认。但未经特别授权的代理人对事实的承认直接导致承认对方的请求的除外；当事人在场但对其代理人的承认不作否认表示的，视为当事人的承认。</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为维护公共利益，某些情况下自认的效力应受到限制，使其不发生拘束当事人和行政机关的效力：</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应依职权调查的事项，不适用自认的规定。例如当事人资格事项、管辖事项等，不受当事人自认的约束；</w:t>
      </w:r>
    </w:p>
    <w:p w:rsidR="00800760" w:rsidRDefault="00235733">
      <w:pPr>
        <w:ind w:firstLineChars="150" w:firstLine="315"/>
      </w:pPr>
      <w:r>
        <w:rPr>
          <w:rFonts w:hint="eastAsia"/>
        </w:rPr>
        <w:t>（</w:t>
      </w:r>
      <w:r>
        <w:rPr>
          <w:rFonts w:hint="eastAsia"/>
        </w:rPr>
        <w:t>2</w:t>
      </w:r>
      <w:r>
        <w:rPr>
          <w:rFonts w:hint="eastAsia"/>
        </w:rPr>
        <w:t>）和解、调解中的让步不能视为自认；</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3</w:t>
      </w:r>
      <w:r>
        <w:rPr>
          <w:rFonts w:ascii="Times New Roman" w:eastAsia="宋体" w:hAnsi="Times New Roman" w:hint="eastAsia"/>
          <w:sz w:val="21"/>
          <w:szCs w:val="21"/>
        </w:rPr>
        <w:t>）当事人在案件处理程序以外（包括在其他案件的处理程序中）对当事人主张作出的自认，不属于本案件处理中的自认，只能作为一种证据资料，供合议组参考；</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4</w:t>
      </w:r>
      <w:r>
        <w:rPr>
          <w:rFonts w:ascii="Times New Roman" w:eastAsia="宋体" w:hAnsi="Times New Roman" w:hint="eastAsia"/>
          <w:sz w:val="21"/>
          <w:szCs w:val="21"/>
        </w:rPr>
        <w:t>）如果一方当事人的自认是因他人的欺诈、胁迫等违法犯罪行为而作出，或者是由于误解而承认了不真实的事实，允许当事人说明原因后撤回该自认，管理专利工作的部门应不予确认该自认的法律效力；</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w:t>
      </w:r>
      <w:r>
        <w:rPr>
          <w:rFonts w:ascii="Times New Roman" w:eastAsia="宋体" w:hAnsi="Times New Roman" w:hint="eastAsia"/>
          <w:sz w:val="21"/>
          <w:szCs w:val="21"/>
        </w:rPr>
        <w:t>5</w:t>
      </w:r>
      <w:r>
        <w:rPr>
          <w:rFonts w:ascii="Times New Roman" w:eastAsia="宋体" w:hAnsi="Times New Roman" w:hint="eastAsia"/>
          <w:sz w:val="21"/>
          <w:szCs w:val="21"/>
        </w:rPr>
        <w:t>）自认应针对具体事实。对于法律问题和法律后果的承认，管理专利工作的部门不应仅依据其自认来进行审查，而应在认定事实的基础上根据相应法律、法规进行法律问题的判断。</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需要注意，虽然当事人自认的事实可直接作为定案依据，但不宜仅依据当事人的自认定案。管理专利工作的部门应结合相关证据，对具体技术问题和事实进行分析认定，如果存在相反证据或自认明显与事实不符，可以否定自认。对于自认后又反悔的，应要求当事人提出反证或反证线索，不能提供反证或反证线索查证不属实的应采信自认。调查取证时当事人委托的代理人的承认视为当事人的承认，但应当提交经当事人特别授权的授权委托书；当事人在场但对其代理人的承认不作否认表示的，视为当事人的承认，但应当在询问调查笔录中进行记载。</w:t>
      </w:r>
    </w:p>
    <w:p w:rsidR="00800760" w:rsidRDefault="00235733">
      <w:pPr>
        <w:pStyle w:val="af6"/>
        <w:spacing w:before="120"/>
        <w:ind w:firstLine="420"/>
      </w:pPr>
      <w:bookmarkStart w:id="3293" w:name="_Toc4236"/>
      <w:bookmarkStart w:id="3294" w:name="_Toc9540"/>
      <w:bookmarkStart w:id="3295" w:name="_Toc21424"/>
      <w:bookmarkStart w:id="3296" w:name="_Toc20845"/>
      <w:bookmarkStart w:id="3297" w:name="_Toc11551"/>
      <w:bookmarkStart w:id="3298" w:name="_Toc12762"/>
      <w:bookmarkStart w:id="3299" w:name="_Toc32728"/>
      <w:bookmarkStart w:id="3300" w:name="_Toc24789"/>
      <w:bookmarkStart w:id="3301" w:name="_Toc3772"/>
      <w:bookmarkStart w:id="3302" w:name="_Toc10073"/>
      <w:bookmarkStart w:id="3303" w:name="_Toc26749"/>
      <w:bookmarkStart w:id="3304" w:name="_Toc19658"/>
      <w:bookmarkStart w:id="3305" w:name="_Toc30713"/>
      <w:bookmarkStart w:id="3306" w:name="_Toc689"/>
      <w:bookmarkStart w:id="3307" w:name="_Toc20194"/>
      <w:bookmarkStart w:id="3308" w:name="_Toc32370"/>
      <w:bookmarkStart w:id="3309" w:name="_Toc2021"/>
      <w:bookmarkStart w:id="3310" w:name="_Toc11383"/>
      <w:bookmarkStart w:id="3311" w:name="_Toc209"/>
      <w:bookmarkStart w:id="3312" w:name="_Toc17388"/>
      <w:bookmarkStart w:id="3313" w:name="_Toc32198"/>
      <w:bookmarkStart w:id="3314" w:name="_Toc6198"/>
      <w:bookmarkStart w:id="3315" w:name="_Toc1418"/>
      <w:bookmarkStart w:id="3316" w:name="_Toc15655"/>
      <w:bookmarkStart w:id="3317" w:name="_Toc23639"/>
      <w:bookmarkStart w:id="3318" w:name="_Toc6702"/>
      <w:bookmarkStart w:id="3319" w:name="_Toc5918"/>
      <w:bookmarkStart w:id="3320" w:name="_Toc28703"/>
      <w:bookmarkStart w:id="3321" w:name="_Toc16116"/>
      <w:bookmarkStart w:id="3322" w:name="_Toc30057"/>
      <w:bookmarkStart w:id="3323" w:name="_Toc5382"/>
      <w:bookmarkStart w:id="3324" w:name="_Toc6749"/>
      <w:bookmarkStart w:id="3325" w:name="_Toc12509"/>
      <w:bookmarkStart w:id="3326" w:name="_Toc22281"/>
      <w:bookmarkStart w:id="3327" w:name="_Toc3934"/>
      <w:bookmarkStart w:id="3328" w:name="_Toc8446"/>
      <w:r>
        <w:rPr>
          <w:rFonts w:hint="eastAsia"/>
        </w:rPr>
        <w:t>【案例4-4-9】</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某专利侵权纠纷案中，根据涉案专利的权利要求</w:t>
      </w:r>
      <w:r>
        <w:rPr>
          <w:rFonts w:ascii="Times New Roman" w:eastAsia="楷体_GB2312" w:hAnsi="Times New Roman" w:hint="eastAsia"/>
          <w:sz w:val="21"/>
          <w:szCs w:val="21"/>
        </w:rPr>
        <w:t>1</w:t>
      </w:r>
      <w:r>
        <w:rPr>
          <w:rFonts w:ascii="Times New Roman" w:eastAsia="楷体_GB2312" w:hAnsi="Times New Roman" w:hint="eastAsia"/>
          <w:sz w:val="21"/>
          <w:szCs w:val="21"/>
        </w:rPr>
        <w:t>，其技术特征应当包含：</w:t>
      </w:r>
      <w:r w:rsidR="00C22A7B">
        <w:rPr>
          <w:rFonts w:ascii="Times New Roman" w:eastAsia="楷体_GB2312" w:hAnsi="Times New Roman" w:hint="eastAsia"/>
          <w:sz w:val="21"/>
          <w:szCs w:val="21"/>
        </w:rPr>
        <w:fldChar w:fldCharType="begin"/>
      </w:r>
      <w:r>
        <w:rPr>
          <w:rFonts w:ascii="Times New Roman" w:eastAsia="楷体_GB2312" w:hAnsi="Times New Roman" w:hint="eastAsia"/>
          <w:sz w:val="21"/>
          <w:szCs w:val="21"/>
        </w:rPr>
        <w:instrText>= 1 \* GB2</w:instrText>
      </w:r>
      <w:r w:rsidR="00C22A7B">
        <w:rPr>
          <w:rFonts w:ascii="Times New Roman" w:eastAsia="楷体_GB2312" w:hAnsi="Times New Roman" w:hint="eastAsia"/>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1</w:t>
      </w:r>
      <w:r>
        <w:rPr>
          <w:rFonts w:ascii="Times New Roman" w:eastAsia="楷体_GB2312" w:hAnsi="Times New Roman" w:hint="eastAsia"/>
          <w:sz w:val="21"/>
          <w:szCs w:val="21"/>
        </w:rPr>
        <w:t>）</w:t>
      </w:r>
      <w:r w:rsidR="00C22A7B">
        <w:rPr>
          <w:rFonts w:ascii="Times New Roman" w:eastAsia="楷体_GB2312" w:hAnsi="Times New Roman" w:hint="eastAsia"/>
          <w:sz w:val="21"/>
          <w:szCs w:val="21"/>
        </w:rPr>
        <w:fldChar w:fldCharType="end"/>
      </w:r>
      <w:r>
        <w:rPr>
          <w:rFonts w:ascii="Times New Roman" w:eastAsia="楷体_GB2312" w:hAnsi="Times New Roman" w:hint="eastAsia"/>
          <w:sz w:val="21"/>
          <w:szCs w:val="21"/>
        </w:rPr>
        <w:t>一个干熄焦除尘设备的除尘单元；</w:t>
      </w:r>
      <w:r w:rsidR="00C22A7B">
        <w:rPr>
          <w:rFonts w:ascii="Times New Roman" w:eastAsia="楷体_GB2312" w:hAnsi="Times New Roman" w:hint="eastAsia"/>
          <w:sz w:val="21"/>
          <w:szCs w:val="21"/>
        </w:rPr>
        <w:fldChar w:fldCharType="begin"/>
      </w:r>
      <w:r>
        <w:rPr>
          <w:rFonts w:ascii="Times New Roman" w:eastAsia="楷体_GB2312" w:hAnsi="Times New Roman" w:hint="eastAsia"/>
          <w:sz w:val="21"/>
          <w:szCs w:val="21"/>
        </w:rPr>
        <w:instrText>= 2 \* GB2</w:instrText>
      </w:r>
      <w:r w:rsidR="00C22A7B">
        <w:rPr>
          <w:rFonts w:ascii="Times New Roman" w:eastAsia="楷体_GB2312" w:hAnsi="Times New Roman" w:hint="eastAsia"/>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2</w:t>
      </w:r>
      <w:r>
        <w:rPr>
          <w:rFonts w:ascii="Times New Roman" w:eastAsia="楷体_GB2312" w:hAnsi="Times New Roman" w:hint="eastAsia"/>
          <w:sz w:val="21"/>
          <w:szCs w:val="21"/>
        </w:rPr>
        <w:t>）</w:t>
      </w:r>
      <w:r w:rsidR="00C22A7B">
        <w:rPr>
          <w:rFonts w:ascii="Times New Roman" w:eastAsia="楷体_GB2312" w:hAnsi="Times New Roman" w:hint="eastAsia"/>
          <w:sz w:val="21"/>
          <w:szCs w:val="21"/>
        </w:rPr>
        <w:fldChar w:fldCharType="end"/>
      </w:r>
      <w:r>
        <w:rPr>
          <w:rFonts w:ascii="Times New Roman" w:eastAsia="楷体_GB2312" w:hAnsi="Times New Roman" w:hint="eastAsia"/>
          <w:sz w:val="21"/>
          <w:szCs w:val="21"/>
        </w:rPr>
        <w:t>包括旋风子、直管和螺旋导向机构，螺旋导向机构内外侧与直管、旋风子之间紧密配合；</w:t>
      </w:r>
      <w:r w:rsidR="00C22A7B">
        <w:rPr>
          <w:rFonts w:ascii="Times New Roman" w:eastAsia="楷体_GB2312" w:hAnsi="Times New Roman" w:hint="eastAsia"/>
          <w:sz w:val="21"/>
          <w:szCs w:val="21"/>
        </w:rPr>
        <w:fldChar w:fldCharType="begin"/>
      </w:r>
      <w:r>
        <w:rPr>
          <w:rFonts w:ascii="Times New Roman" w:eastAsia="楷体_GB2312" w:hAnsi="Times New Roman" w:hint="eastAsia"/>
          <w:sz w:val="21"/>
          <w:szCs w:val="21"/>
        </w:rPr>
        <w:instrText>= 3 \* GB2</w:instrText>
      </w:r>
      <w:r w:rsidR="00C22A7B">
        <w:rPr>
          <w:rFonts w:ascii="Times New Roman" w:eastAsia="楷体_GB2312" w:hAnsi="Times New Roman" w:hint="eastAsia"/>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3</w:t>
      </w:r>
      <w:r>
        <w:rPr>
          <w:rFonts w:ascii="Times New Roman" w:eastAsia="楷体_GB2312" w:hAnsi="Times New Roman" w:hint="eastAsia"/>
          <w:sz w:val="21"/>
          <w:szCs w:val="21"/>
        </w:rPr>
        <w:t>）</w:t>
      </w:r>
      <w:r w:rsidR="00C22A7B">
        <w:rPr>
          <w:rFonts w:ascii="Times New Roman" w:eastAsia="楷体_GB2312" w:hAnsi="Times New Roman" w:hint="eastAsia"/>
          <w:sz w:val="21"/>
          <w:szCs w:val="21"/>
        </w:rPr>
        <w:fldChar w:fldCharType="end"/>
      </w:r>
      <w:r>
        <w:rPr>
          <w:rFonts w:ascii="Times New Roman" w:eastAsia="楷体_GB2312" w:hAnsi="Times New Roman" w:hint="eastAsia"/>
          <w:sz w:val="21"/>
          <w:szCs w:val="21"/>
        </w:rPr>
        <w:t>螺旋导向机构与直管、旋风子制为一体。涉案专利的权利要求</w:t>
      </w:r>
      <w:r>
        <w:rPr>
          <w:rFonts w:ascii="Times New Roman" w:eastAsia="楷体_GB2312" w:hAnsi="Times New Roman" w:hint="eastAsia"/>
          <w:sz w:val="21"/>
          <w:szCs w:val="21"/>
        </w:rPr>
        <w:t>2</w:t>
      </w:r>
      <w:r>
        <w:rPr>
          <w:rFonts w:ascii="Times New Roman" w:eastAsia="楷体_GB2312" w:hAnsi="Times New Roman" w:hint="eastAsia"/>
          <w:sz w:val="21"/>
          <w:szCs w:val="21"/>
        </w:rPr>
        <w:t>又进一步强调涉案专利的三个部分之间制为一体。被控侵权物也由三部分组成，包括直管、直管导向器旋风子的综合件和旋风子的下半部分。被请求人某机械厂自认被控侵权物的三个部分之间也是必须紧密结合，否则无法实现除尘功能。合议组结合被控侵权人的解释，认定被控侵权技术覆盖了涉案专利的全部技术特征，落入了涉案专利权的保护范围。</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争议的焦点在于，被控侵权物与涉案专利的三个部分在组成及其连接关系上是否相同。除了用涉案专利的权利要求书（包括说明书）对涉案专利进行解释，结合被控侵权物相应的三个部分的作用及相互配合关系对被控侵权物作出解释，并将二者进行对比之外，被控侵权人对相关事实的自认也是合议组认定案件事实的重要依据。</w:t>
      </w:r>
    </w:p>
    <w:p w:rsidR="00800760" w:rsidRDefault="00235733">
      <w:pPr>
        <w:pStyle w:val="3"/>
        <w:topLinePunct/>
        <w:spacing w:before="240"/>
        <w:ind w:firstLine="444"/>
        <w:rPr>
          <w:rFonts w:ascii="Times New Roman" w:hAnsi="Times New Roman"/>
        </w:rPr>
      </w:pPr>
      <w:bookmarkStart w:id="3329" w:name="_Toc23628"/>
      <w:bookmarkStart w:id="3330" w:name="_Toc31621"/>
      <w:bookmarkStart w:id="3331" w:name="_Toc6673"/>
      <w:bookmarkStart w:id="3332" w:name="_Toc32185"/>
      <w:bookmarkStart w:id="3333" w:name="_Toc7367"/>
      <w:bookmarkStart w:id="3334" w:name="_Toc29379"/>
      <w:bookmarkStart w:id="3335" w:name="_Toc28373"/>
      <w:bookmarkStart w:id="3336" w:name="_Toc21847"/>
      <w:bookmarkStart w:id="3337" w:name="_Toc27218"/>
      <w:bookmarkStart w:id="3338" w:name="_Toc14998"/>
      <w:bookmarkStart w:id="3339" w:name="_Toc27877"/>
      <w:bookmarkStart w:id="3340" w:name="_Toc30141"/>
      <w:bookmarkStart w:id="3341" w:name="_Toc229114396"/>
      <w:bookmarkStart w:id="3342" w:name="_Toc342"/>
      <w:bookmarkStart w:id="3343" w:name="_Toc2221"/>
      <w:bookmarkStart w:id="3344" w:name="_Toc3324"/>
      <w:bookmarkStart w:id="3345" w:name="_Toc31334"/>
      <w:bookmarkStart w:id="3346" w:name="_Toc22686"/>
      <w:bookmarkStart w:id="3347" w:name="_Toc461"/>
      <w:bookmarkStart w:id="3348" w:name="_Toc20492"/>
      <w:bookmarkStart w:id="3349" w:name="_Toc7649"/>
      <w:bookmarkStart w:id="3350" w:name="_Toc28151"/>
      <w:bookmarkStart w:id="3351" w:name="_Toc26207"/>
      <w:bookmarkStart w:id="3352" w:name="_Toc13092"/>
      <w:bookmarkStart w:id="3353" w:name="_Toc22258"/>
      <w:bookmarkStart w:id="3354" w:name="_Toc19323"/>
      <w:bookmarkStart w:id="3355" w:name="_Toc13133"/>
      <w:bookmarkStart w:id="3356" w:name="_Toc25125"/>
      <w:bookmarkStart w:id="3357" w:name="_Toc24437"/>
      <w:bookmarkStart w:id="3358" w:name="_Toc19963"/>
      <w:bookmarkStart w:id="3359" w:name="_Toc14817"/>
      <w:bookmarkStart w:id="3360" w:name="_Toc13880"/>
      <w:bookmarkStart w:id="3361" w:name="_Toc3576"/>
      <w:bookmarkStart w:id="3362" w:name="_Toc22229"/>
      <w:bookmarkStart w:id="3363" w:name="_Toc9780"/>
      <w:bookmarkStart w:id="3364" w:name="_Toc31802"/>
      <w:bookmarkStart w:id="3365" w:name="_Toc23574"/>
      <w:bookmarkStart w:id="3366" w:name="_Toc229225492"/>
      <w:r>
        <w:rPr>
          <w:rFonts w:ascii="Times New Roman" w:hAnsi="Times New Roman" w:hint="eastAsia"/>
        </w:rPr>
        <w:t>五、认知</w:t>
      </w:r>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认知是指在案件处理过程中，对某些特定的事项无需证明而直接确认其真实的一种证明制度。认知的内容一般为常识性、公认性及部分专业性的事实，包括：众所周知的事实；自然规律及定理；法律、法规；其他明显的当事人不能提出合理争议的事实。对于认知的内容也应履行听证程序，给予当事人陈述意见和提出反证的机会。</w:t>
      </w:r>
    </w:p>
    <w:p w:rsidR="00800760" w:rsidRDefault="00235733">
      <w:pPr>
        <w:pStyle w:val="3"/>
        <w:topLinePunct/>
        <w:spacing w:before="240"/>
        <w:ind w:firstLine="444"/>
        <w:rPr>
          <w:rFonts w:ascii="Times New Roman" w:hAnsi="Times New Roman"/>
        </w:rPr>
      </w:pPr>
      <w:bookmarkStart w:id="3367" w:name="_Toc7780"/>
      <w:bookmarkStart w:id="3368" w:name="_Toc19444"/>
      <w:bookmarkStart w:id="3369" w:name="_Toc31445"/>
      <w:bookmarkStart w:id="3370" w:name="_Toc8644"/>
      <w:bookmarkStart w:id="3371" w:name="_Toc30056"/>
      <w:bookmarkStart w:id="3372" w:name="_Toc21736"/>
      <w:bookmarkStart w:id="3373" w:name="_Toc32425"/>
      <w:bookmarkStart w:id="3374" w:name="_Toc30021"/>
      <w:bookmarkStart w:id="3375" w:name="_Toc6830"/>
      <w:bookmarkStart w:id="3376" w:name="_Toc16763"/>
      <w:bookmarkStart w:id="3377" w:name="_Toc24311"/>
      <w:bookmarkStart w:id="3378" w:name="_Toc32241"/>
      <w:bookmarkStart w:id="3379" w:name="_Toc19841"/>
      <w:bookmarkStart w:id="3380" w:name="_Toc10457"/>
      <w:bookmarkStart w:id="3381" w:name="_Toc23065"/>
      <w:bookmarkStart w:id="3382" w:name="_Toc11170"/>
      <w:bookmarkStart w:id="3383" w:name="_Toc26482"/>
      <w:bookmarkStart w:id="3384" w:name="_Toc1482"/>
      <w:bookmarkStart w:id="3385" w:name="_Toc14832"/>
      <w:bookmarkStart w:id="3386" w:name="_Toc11586"/>
      <w:bookmarkStart w:id="3387" w:name="_Toc3180"/>
      <w:bookmarkStart w:id="3388" w:name="_Toc76"/>
      <w:bookmarkStart w:id="3389" w:name="_Toc7918"/>
      <w:bookmarkStart w:id="3390" w:name="_Toc11620"/>
      <w:bookmarkStart w:id="3391" w:name="_Toc10477"/>
      <w:bookmarkStart w:id="3392" w:name="_Toc10034"/>
      <w:bookmarkStart w:id="3393" w:name="_Toc19302"/>
      <w:bookmarkStart w:id="3394" w:name="_Toc1774"/>
      <w:bookmarkStart w:id="3395" w:name="_Toc12562"/>
      <w:bookmarkStart w:id="3396" w:name="_Toc1436"/>
      <w:bookmarkStart w:id="3397" w:name="_Toc10191"/>
      <w:bookmarkStart w:id="3398" w:name="_Toc229114397"/>
      <w:bookmarkStart w:id="3399" w:name="_Toc21276"/>
      <w:bookmarkStart w:id="3400" w:name="_Toc23697"/>
      <w:bookmarkStart w:id="3401" w:name="_Toc32454"/>
      <w:bookmarkStart w:id="3402" w:name="_Toc20431"/>
      <w:bookmarkStart w:id="3403" w:name="_Toc15130"/>
      <w:bookmarkStart w:id="3404" w:name="_Toc229225493"/>
      <w:r>
        <w:rPr>
          <w:rFonts w:ascii="Times New Roman" w:hAnsi="Times New Roman" w:hint="eastAsia"/>
        </w:rPr>
        <w:t>六、推定</w:t>
      </w:r>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推定是指根据已知的事实可以认定推定事实存在，除非有相反证据推翻这种推论。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color w:val="000000" w:themeColor="text1"/>
          <w:sz w:val="21"/>
          <w:szCs w:val="21"/>
        </w:rPr>
        <w:t>专利纠纷行政裁决中，</w:t>
      </w:r>
      <w:r>
        <w:rPr>
          <w:rFonts w:ascii="Times New Roman" w:eastAsia="宋体" w:hAnsi="Times New Roman"/>
          <w:color w:val="auto"/>
          <w:sz w:val="21"/>
          <w:szCs w:val="21"/>
        </w:rPr>
        <w:t>主张权利的一方提供了另一方持有相关证据的初步证据，管理专利工作的部门可以责令另一方提供其所掌握的相关证据，另一方无正当理由拒不提供或者提供虚假证据的，管理专利工作的部门可以认定主张权利的一方关于该证据的主张成立</w:t>
      </w:r>
      <w:r>
        <w:rPr>
          <w:rFonts w:ascii="Times New Roman" w:eastAsia="宋体" w:hAnsi="Times New Roman" w:hint="eastAsia"/>
          <w:sz w:val="21"/>
          <w:szCs w:val="21"/>
        </w:rPr>
        <w:t>。</w:t>
      </w:r>
    </w:p>
    <w:p w:rsidR="00800760" w:rsidRDefault="00235733">
      <w:pPr>
        <w:pStyle w:val="af6"/>
        <w:spacing w:before="120"/>
        <w:ind w:firstLine="420"/>
      </w:pPr>
      <w:r>
        <w:rPr>
          <w:rFonts w:hint="eastAsia"/>
        </w:rPr>
        <w:t>【案例4-4-10】</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某专利侵权纠纷案中，通过对专利的技术特征进行分析，可以看出专利主要由接闪装置和接地装置组成。请求人甲举证证明，从被控侵权人</w:t>
      </w:r>
      <w:r>
        <w:rPr>
          <w:rFonts w:ascii="Times New Roman" w:eastAsia="楷体_GB2312" w:hAnsi="Times New Roman" w:hint="eastAsia"/>
          <w:sz w:val="21"/>
          <w:szCs w:val="21"/>
        </w:rPr>
        <w:t>A</w:t>
      </w:r>
      <w:r>
        <w:rPr>
          <w:rFonts w:ascii="Times New Roman" w:eastAsia="楷体_GB2312" w:hAnsi="Times New Roman" w:hint="eastAsia"/>
          <w:sz w:val="21"/>
          <w:szCs w:val="21"/>
        </w:rPr>
        <w:t>百货公司所使用的避雷装置的外部形状看，被控侵权物的外部表现形式与涉案专利权利要求的接闪装置完全相同，唯一区别在于，仅从被控侵权物的外部形状无法知晓其使用的接地中和部分的结构。</w:t>
      </w:r>
      <w:r>
        <w:rPr>
          <w:rFonts w:ascii="Times New Roman" w:eastAsia="楷体_GB2312" w:hAnsi="Times New Roman" w:hint="eastAsia"/>
          <w:sz w:val="21"/>
          <w:szCs w:val="21"/>
        </w:rPr>
        <w:t>A</w:t>
      </w:r>
      <w:r>
        <w:rPr>
          <w:rFonts w:ascii="Times New Roman" w:eastAsia="楷体_GB2312" w:hAnsi="Times New Roman" w:hint="eastAsia"/>
          <w:sz w:val="21"/>
          <w:szCs w:val="21"/>
        </w:rPr>
        <w:t>百货公司未举证证明其避雷设备与涉案专利有不同之处。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作为避雷设备，接地中和部分是必备的，而这一部分的结构与设备一般不暴露在外部。本案中，被控侵权物的接地中和部分在其建筑物外部不可见，专利权人无法接触并自行取证。从技术角度讲，根据涉案专利的放电灭雷原理，该装置的稳定运行与专利要求的限流装置的功能密不可分。被控侵权的避雷设备已稳定运行多年，故可以直接推定被控侵权物采取了与涉案专利相同或等同的技术特征，解决了接闪设备放电所产生的脉冲电流的稳定、释放和中和作用。被控侵权物是否落入涉案专利的保护范围，本应由专利权人举证证明，但涉案被控侵权物由</w:t>
      </w:r>
      <w:r>
        <w:rPr>
          <w:rFonts w:ascii="Times New Roman" w:eastAsia="楷体_GB2312" w:hAnsi="Times New Roman" w:hint="eastAsia"/>
          <w:sz w:val="21"/>
          <w:szCs w:val="21"/>
        </w:rPr>
        <w:t>A</w:t>
      </w:r>
      <w:r>
        <w:rPr>
          <w:rFonts w:ascii="Times New Roman" w:eastAsia="楷体_GB2312" w:hAnsi="Times New Roman" w:hint="eastAsia"/>
          <w:sz w:val="21"/>
          <w:szCs w:val="21"/>
        </w:rPr>
        <w:t>百货公司掌控，故提交证据以证明被控侵权物内部结构的责任应由</w:t>
      </w:r>
      <w:r>
        <w:rPr>
          <w:rFonts w:ascii="Times New Roman" w:eastAsia="楷体_GB2312" w:hAnsi="Times New Roman" w:hint="eastAsia"/>
          <w:sz w:val="21"/>
          <w:szCs w:val="21"/>
        </w:rPr>
        <w:t>A</w:t>
      </w:r>
      <w:r>
        <w:rPr>
          <w:rFonts w:ascii="Times New Roman" w:eastAsia="楷体_GB2312" w:hAnsi="Times New Roman" w:hint="eastAsia"/>
          <w:sz w:val="21"/>
          <w:szCs w:val="21"/>
        </w:rPr>
        <w:t>百货公司承担。因此，在请求人甲已举证证明</w:t>
      </w:r>
      <w:r>
        <w:rPr>
          <w:rFonts w:ascii="Times New Roman" w:eastAsia="楷体_GB2312" w:hAnsi="Times New Roman" w:hint="eastAsia"/>
          <w:sz w:val="21"/>
          <w:szCs w:val="21"/>
        </w:rPr>
        <w:t>A</w:t>
      </w:r>
      <w:r>
        <w:rPr>
          <w:rFonts w:ascii="Times New Roman" w:eastAsia="楷体_GB2312" w:hAnsi="Times New Roman" w:hint="eastAsia"/>
          <w:sz w:val="21"/>
          <w:szCs w:val="21"/>
        </w:rPr>
        <w:t>百货公司的设备具有与涉案专利相同的主动灭雷功能的外部结构后，即已完成其初步举证责任。此时，</w:t>
      </w:r>
      <w:r>
        <w:rPr>
          <w:rFonts w:ascii="Times New Roman" w:eastAsia="楷体_GB2312" w:hAnsi="Times New Roman" w:hint="eastAsia"/>
          <w:sz w:val="21"/>
          <w:szCs w:val="21"/>
        </w:rPr>
        <w:t>A</w:t>
      </w:r>
      <w:r>
        <w:rPr>
          <w:rFonts w:ascii="Times New Roman" w:eastAsia="楷体_GB2312" w:hAnsi="Times New Roman" w:hint="eastAsia"/>
          <w:sz w:val="21"/>
          <w:szCs w:val="21"/>
        </w:rPr>
        <w:t>百货公司应当举证证明其设备采用了与涉案专利不同的内部结构进行避雷，但</w:t>
      </w:r>
      <w:r>
        <w:rPr>
          <w:rFonts w:ascii="Times New Roman" w:eastAsia="楷体_GB2312" w:hAnsi="Times New Roman" w:hint="eastAsia"/>
          <w:sz w:val="21"/>
          <w:szCs w:val="21"/>
        </w:rPr>
        <w:t>A</w:t>
      </w:r>
      <w:r>
        <w:rPr>
          <w:rFonts w:ascii="Times New Roman" w:eastAsia="楷体_GB2312" w:hAnsi="Times New Roman" w:hint="eastAsia"/>
          <w:sz w:val="21"/>
          <w:szCs w:val="21"/>
        </w:rPr>
        <w:t>百货公司未能完成证据提交责任，故应承担相应不利后果，因此可以认定</w:t>
      </w:r>
      <w:r>
        <w:rPr>
          <w:rFonts w:ascii="Times New Roman" w:eastAsia="楷体_GB2312" w:hAnsi="Times New Roman" w:hint="eastAsia"/>
          <w:sz w:val="21"/>
          <w:szCs w:val="21"/>
        </w:rPr>
        <w:t>A</w:t>
      </w:r>
      <w:r>
        <w:rPr>
          <w:rFonts w:ascii="Times New Roman" w:eastAsia="楷体_GB2312" w:hAnsi="Times New Roman" w:hint="eastAsia"/>
          <w:sz w:val="21"/>
          <w:szCs w:val="21"/>
        </w:rPr>
        <w:t>百货公司的避雷设备落入涉案专利的保护范围，构成专利侵权。</w:t>
      </w:r>
    </w:p>
    <w:p w:rsidR="00800760" w:rsidRDefault="00235733">
      <w:pPr>
        <w:pStyle w:val="3"/>
        <w:topLinePunct/>
        <w:spacing w:before="240"/>
        <w:ind w:firstLine="444"/>
        <w:rPr>
          <w:rFonts w:ascii="Times New Roman" w:hAnsi="Times New Roman"/>
        </w:rPr>
      </w:pPr>
      <w:bookmarkStart w:id="3405" w:name="_Toc229114398"/>
      <w:bookmarkStart w:id="3406" w:name="_Toc229225494"/>
      <w:r>
        <w:rPr>
          <w:rFonts w:ascii="Times New Roman" w:hAnsi="Times New Roman" w:hint="eastAsia"/>
        </w:rPr>
        <w:t>七、技术调查</w:t>
      </w:r>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405"/>
      <w:bookmarkEnd w:id="3406"/>
    </w:p>
    <w:p w:rsidR="00800760" w:rsidRDefault="00235733">
      <w:pPr>
        <w:spacing w:line="360" w:lineRule="auto"/>
        <w:rPr>
          <w:rFonts w:cs="MingLiU_HKSCS"/>
          <w:szCs w:val="21"/>
          <w:lang w:val="zh-CN"/>
        </w:rPr>
      </w:pPr>
      <w:r>
        <w:rPr>
          <w:rFonts w:cs="MingLiU_HKSCS" w:hint="eastAsia"/>
          <w:szCs w:val="21"/>
          <w:lang w:val="zh-CN"/>
        </w:rPr>
        <w:t>依据《知识产权行政保护技术调查官管理办法》，</w:t>
      </w:r>
      <w:r>
        <w:rPr>
          <w:rFonts w:cs="MingLiU_HKSCS"/>
          <w:szCs w:val="21"/>
          <w:lang w:val="zh-CN"/>
        </w:rPr>
        <w:t>管理专利工作的部门可以指派</w:t>
      </w:r>
      <w:r>
        <w:rPr>
          <w:rFonts w:cs="MingLiU_HKSCS" w:hint="eastAsia"/>
          <w:szCs w:val="21"/>
          <w:lang w:val="zh-CN"/>
        </w:rPr>
        <w:t>知识产权行政保护技术调查官（以下简称技术调查官）</w:t>
      </w:r>
      <w:r>
        <w:rPr>
          <w:rFonts w:cs="MingLiU_HKSCS"/>
          <w:szCs w:val="21"/>
          <w:lang w:val="zh-CN"/>
        </w:rPr>
        <w:t>参与案件处理，提出技术调查意见。</w:t>
      </w:r>
    </w:p>
    <w:p w:rsidR="00800760" w:rsidRDefault="00235733">
      <w:pPr>
        <w:spacing w:line="360" w:lineRule="auto"/>
        <w:rPr>
          <w:rFonts w:cs="MingLiU_HKSCS"/>
          <w:szCs w:val="21"/>
          <w:lang w:val="zh-CN"/>
        </w:rPr>
      </w:pPr>
      <w:r>
        <w:rPr>
          <w:rFonts w:cs="MingLiU_HKSCS" w:hint="eastAsia"/>
          <w:szCs w:val="21"/>
          <w:lang w:val="zh-CN"/>
        </w:rPr>
        <w:t>技术调查官是受知识产权管理部门的指派或调派，参与知识产权行政案件办理，为查明案件技术事实提供咨询、出具技术调查意见和其他必要技术协助的专业技术人员。</w:t>
      </w:r>
    </w:p>
    <w:p w:rsidR="00800760" w:rsidRDefault="00235733">
      <w:pPr>
        <w:spacing w:line="360" w:lineRule="auto"/>
        <w:rPr>
          <w:rFonts w:cs="MingLiU_HKSCS"/>
          <w:szCs w:val="21"/>
          <w:lang w:val="zh-CN"/>
        </w:rPr>
      </w:pPr>
      <w:r>
        <w:rPr>
          <w:rFonts w:cs="MingLiU_HKSCS"/>
          <w:szCs w:val="21"/>
          <w:lang w:val="zh-CN"/>
        </w:rPr>
        <w:t>案件主办人员</w:t>
      </w:r>
      <w:r>
        <w:rPr>
          <w:rFonts w:cs="MingLiU_HKSCS" w:hint="eastAsia"/>
          <w:szCs w:val="21"/>
          <w:lang w:val="zh-CN"/>
        </w:rPr>
        <w:t>可根据案情需要</w:t>
      </w:r>
      <w:r>
        <w:rPr>
          <w:rFonts w:cs="MingLiU_HKSCS"/>
          <w:szCs w:val="21"/>
          <w:lang w:val="zh-CN"/>
        </w:rPr>
        <w:t>提出书面申请，</w:t>
      </w:r>
      <w:r>
        <w:rPr>
          <w:rFonts w:cs="MingLiU_HKSCS" w:hint="eastAsia"/>
          <w:szCs w:val="21"/>
          <w:lang w:val="zh-CN"/>
        </w:rPr>
        <w:t>向本级管理专利工作的部门申请选派技术调查官</w:t>
      </w:r>
      <w:r>
        <w:rPr>
          <w:rFonts w:cs="MingLiU_HKSCS"/>
          <w:szCs w:val="21"/>
          <w:lang w:val="zh-CN"/>
        </w:rPr>
        <w:t>。</w:t>
      </w:r>
    </w:p>
    <w:p w:rsidR="00800760" w:rsidRDefault="00235733">
      <w:pPr>
        <w:spacing w:line="360" w:lineRule="auto"/>
        <w:rPr>
          <w:rFonts w:cs="MingLiU_HKSCS"/>
          <w:szCs w:val="21"/>
          <w:lang w:val="zh-CN"/>
        </w:rPr>
      </w:pPr>
      <w:r>
        <w:rPr>
          <w:rFonts w:cs="MingLiU_HKSCS" w:hint="eastAsia"/>
          <w:szCs w:val="21"/>
          <w:lang w:val="zh-CN"/>
        </w:rPr>
        <w:t>技术调查官在知识产权行政裁决案件办理活动中履行下列职责：</w:t>
      </w:r>
    </w:p>
    <w:p w:rsidR="00800760" w:rsidRDefault="00235733">
      <w:pPr>
        <w:rPr>
          <w:lang w:val="zh-CN"/>
        </w:rPr>
      </w:pPr>
      <w:r>
        <w:rPr>
          <w:rFonts w:hint="eastAsia"/>
          <w:lang w:val="zh-CN"/>
        </w:rPr>
        <w:t>（</w:t>
      </w:r>
      <w:r>
        <w:rPr>
          <w:rFonts w:hint="eastAsia"/>
          <w:lang w:val="en-US"/>
        </w:rPr>
        <w:t>1</w:t>
      </w:r>
      <w:r>
        <w:rPr>
          <w:rFonts w:hint="eastAsia"/>
          <w:lang w:val="zh-CN"/>
        </w:rPr>
        <w:t>）对技术事实的争议焦点以及调查范围、顺序、方法等提出建议；</w:t>
      </w:r>
    </w:p>
    <w:p w:rsidR="00800760" w:rsidRDefault="00235733">
      <w:pPr>
        <w:spacing w:line="360" w:lineRule="auto"/>
        <w:rPr>
          <w:rFonts w:cs="MingLiU_HKSCS"/>
          <w:szCs w:val="21"/>
          <w:lang w:val="zh-CN"/>
        </w:rPr>
      </w:pPr>
      <w:r>
        <w:rPr>
          <w:rFonts w:cs="MingLiU_HKSCS" w:hint="eastAsia"/>
          <w:szCs w:val="21"/>
          <w:lang w:val="zh-CN"/>
        </w:rPr>
        <w:t>（</w:t>
      </w:r>
      <w:r>
        <w:rPr>
          <w:rFonts w:cs="MingLiU_HKSCS" w:hint="eastAsia"/>
          <w:szCs w:val="21"/>
          <w:lang w:val="en-US"/>
        </w:rPr>
        <w:t>2</w:t>
      </w:r>
      <w:r>
        <w:rPr>
          <w:rFonts w:cs="MingLiU_HKSCS" w:hint="eastAsia"/>
          <w:szCs w:val="21"/>
          <w:lang w:val="zh-CN"/>
        </w:rPr>
        <w:t>）参与调查取证、勘验；</w:t>
      </w:r>
    </w:p>
    <w:p w:rsidR="00800760" w:rsidRDefault="00235733">
      <w:pPr>
        <w:spacing w:line="360" w:lineRule="auto"/>
        <w:rPr>
          <w:rFonts w:cs="MingLiU_HKSCS"/>
          <w:szCs w:val="21"/>
          <w:lang w:val="zh-CN"/>
        </w:rPr>
      </w:pPr>
      <w:r>
        <w:rPr>
          <w:rFonts w:cs="MingLiU_HKSCS" w:hint="eastAsia"/>
          <w:szCs w:val="21"/>
          <w:lang w:val="zh-CN"/>
        </w:rPr>
        <w:t>（</w:t>
      </w:r>
      <w:r>
        <w:rPr>
          <w:rFonts w:cs="MingLiU_HKSCS" w:hint="eastAsia"/>
          <w:szCs w:val="21"/>
          <w:lang w:val="en-US"/>
        </w:rPr>
        <w:t>3</w:t>
      </w:r>
      <w:r>
        <w:rPr>
          <w:rFonts w:cs="MingLiU_HKSCS" w:hint="eastAsia"/>
          <w:szCs w:val="21"/>
          <w:lang w:val="zh-CN"/>
        </w:rPr>
        <w:t>）参与询问、口头审理；</w:t>
      </w:r>
    </w:p>
    <w:p w:rsidR="00800760" w:rsidRDefault="00235733">
      <w:pPr>
        <w:spacing w:line="360" w:lineRule="auto"/>
        <w:rPr>
          <w:rFonts w:cs="MingLiU_HKSCS"/>
          <w:szCs w:val="21"/>
          <w:lang w:val="zh-CN"/>
        </w:rPr>
      </w:pPr>
      <w:r>
        <w:rPr>
          <w:rFonts w:cs="MingLiU_HKSCS" w:hint="eastAsia"/>
          <w:szCs w:val="21"/>
          <w:lang w:val="zh-CN"/>
        </w:rPr>
        <w:t>（</w:t>
      </w:r>
      <w:r>
        <w:rPr>
          <w:rFonts w:cs="MingLiU_HKSCS" w:hint="eastAsia"/>
          <w:szCs w:val="21"/>
          <w:lang w:val="en-US"/>
        </w:rPr>
        <w:t>4</w:t>
      </w:r>
      <w:r>
        <w:rPr>
          <w:rFonts w:cs="MingLiU_HKSCS" w:hint="eastAsia"/>
          <w:szCs w:val="21"/>
          <w:lang w:val="zh-CN"/>
        </w:rPr>
        <w:t>）提出技术调查意见；</w:t>
      </w:r>
    </w:p>
    <w:p w:rsidR="00800760" w:rsidRDefault="00235733">
      <w:pPr>
        <w:spacing w:line="360" w:lineRule="auto"/>
        <w:rPr>
          <w:rFonts w:cs="MingLiU_HKSCS"/>
          <w:szCs w:val="21"/>
          <w:lang w:val="zh-CN"/>
        </w:rPr>
      </w:pPr>
      <w:r>
        <w:rPr>
          <w:rFonts w:cs="MingLiU_HKSCS" w:hint="eastAsia"/>
          <w:szCs w:val="21"/>
          <w:lang w:val="zh-CN"/>
        </w:rPr>
        <w:t>（</w:t>
      </w:r>
      <w:r>
        <w:rPr>
          <w:rFonts w:cs="MingLiU_HKSCS" w:hint="eastAsia"/>
          <w:szCs w:val="21"/>
          <w:lang w:val="en-US"/>
        </w:rPr>
        <w:t>5</w:t>
      </w:r>
      <w:r>
        <w:rPr>
          <w:rFonts w:cs="MingLiU_HKSCS" w:hint="eastAsia"/>
          <w:szCs w:val="21"/>
          <w:lang w:val="zh-CN"/>
        </w:rPr>
        <w:t>）协助办案人员组织鉴定人、相关技术领域的专业人员提出意见；</w:t>
      </w:r>
    </w:p>
    <w:p w:rsidR="00800760" w:rsidRDefault="00235733">
      <w:pPr>
        <w:spacing w:line="360" w:lineRule="auto"/>
        <w:rPr>
          <w:rFonts w:cs="MingLiU_HKSCS"/>
          <w:szCs w:val="21"/>
          <w:lang w:val="zh-CN"/>
        </w:rPr>
      </w:pPr>
      <w:r>
        <w:rPr>
          <w:rFonts w:cs="MingLiU_HKSCS" w:hint="eastAsia"/>
          <w:szCs w:val="21"/>
          <w:lang w:val="zh-CN"/>
        </w:rPr>
        <w:t>（</w:t>
      </w:r>
      <w:r>
        <w:rPr>
          <w:rFonts w:cs="MingLiU_HKSCS" w:hint="eastAsia"/>
          <w:szCs w:val="21"/>
          <w:lang w:val="en-US"/>
        </w:rPr>
        <w:t>6</w:t>
      </w:r>
      <w:r>
        <w:rPr>
          <w:rFonts w:cs="MingLiU_HKSCS" w:hint="eastAsia"/>
          <w:szCs w:val="21"/>
          <w:lang w:val="zh-CN"/>
        </w:rPr>
        <w:t>）列席案件办理有关会议；</w:t>
      </w:r>
    </w:p>
    <w:p w:rsidR="00800760" w:rsidRDefault="00235733">
      <w:pPr>
        <w:spacing w:line="360" w:lineRule="auto"/>
        <w:rPr>
          <w:rFonts w:cs="MingLiU_HKSCS"/>
          <w:szCs w:val="21"/>
          <w:lang w:val="zh-CN"/>
        </w:rPr>
      </w:pPr>
      <w:r>
        <w:rPr>
          <w:rFonts w:cs="MingLiU_HKSCS" w:hint="eastAsia"/>
          <w:szCs w:val="21"/>
          <w:lang w:val="zh-CN"/>
        </w:rPr>
        <w:t>（</w:t>
      </w:r>
      <w:r>
        <w:rPr>
          <w:rFonts w:cs="MingLiU_HKSCS" w:hint="eastAsia"/>
          <w:szCs w:val="21"/>
          <w:lang w:val="en-US"/>
        </w:rPr>
        <w:t>7</w:t>
      </w:r>
      <w:r>
        <w:rPr>
          <w:rFonts w:cs="MingLiU_HKSCS" w:hint="eastAsia"/>
          <w:szCs w:val="21"/>
          <w:lang w:val="zh-CN"/>
        </w:rPr>
        <w:t>）完成其他相关工作。</w:t>
      </w:r>
    </w:p>
    <w:p w:rsidR="00800760" w:rsidRDefault="00235733">
      <w:pPr>
        <w:spacing w:line="360" w:lineRule="auto"/>
        <w:rPr>
          <w:rFonts w:cs="MingLiU_HKSCS"/>
          <w:szCs w:val="21"/>
          <w:lang w:val="zh-CN"/>
        </w:rPr>
      </w:pPr>
      <w:r>
        <w:rPr>
          <w:rFonts w:cs="MingLiU_HKSCS"/>
          <w:szCs w:val="21"/>
          <w:lang w:val="zh-CN"/>
        </w:rPr>
        <w:t>案件涉及的技术方案重大、疑难、复杂，或涉及多个技术领域，一名技术调查官无法单独完成技术事实查明工作的，可以指派两名或多名技术调查官。</w:t>
      </w:r>
    </w:p>
    <w:p w:rsidR="00800760" w:rsidRDefault="00235733">
      <w:pPr>
        <w:spacing w:line="360" w:lineRule="auto"/>
        <w:rPr>
          <w:rFonts w:cs="MingLiU_HKSCS"/>
          <w:szCs w:val="21"/>
          <w:lang w:val="zh-CN"/>
        </w:rPr>
      </w:pPr>
      <w:r>
        <w:rPr>
          <w:rFonts w:cs="MingLiU_HKSCS" w:hint="eastAsia"/>
          <w:szCs w:val="21"/>
          <w:lang w:val="zh-CN"/>
        </w:rPr>
        <w:t>技术调查官出具的</w:t>
      </w:r>
      <w:r>
        <w:rPr>
          <w:rFonts w:cs="MingLiU_HKSCS"/>
          <w:szCs w:val="21"/>
          <w:lang w:val="zh-CN"/>
        </w:rPr>
        <w:t>技术调查意见可以作为</w:t>
      </w:r>
      <w:r>
        <w:rPr>
          <w:rFonts w:cs="MingLiU_HKSCS" w:hint="eastAsia"/>
          <w:szCs w:val="21"/>
          <w:lang w:val="zh-CN"/>
        </w:rPr>
        <w:t>行政裁决</w:t>
      </w:r>
      <w:r>
        <w:rPr>
          <w:rFonts w:cs="MingLiU_HKSCS"/>
          <w:szCs w:val="21"/>
          <w:lang w:val="zh-CN"/>
        </w:rPr>
        <w:t>合议组认定技术事实的参考。技术调查官管理办法由国务院专利行政部门另行规定</w:t>
      </w:r>
      <w:r>
        <w:rPr>
          <w:rFonts w:cs="MingLiU_HKSCS" w:hint="eastAsia"/>
          <w:szCs w:val="21"/>
          <w:lang w:val="zh-CN"/>
        </w:rPr>
        <w:t>。</w:t>
      </w:r>
    </w:p>
    <w:p w:rsidR="00800760" w:rsidRDefault="00235733">
      <w:pPr>
        <w:pStyle w:val="af6"/>
        <w:spacing w:before="120"/>
        <w:ind w:firstLine="420"/>
      </w:pPr>
      <w:r>
        <w:rPr>
          <w:rFonts w:hint="eastAsia"/>
        </w:rPr>
        <w:t>【案例4-4-11】</w:t>
      </w:r>
    </w:p>
    <w:p w:rsidR="00800760" w:rsidRDefault="00235733">
      <w:pPr>
        <w:spacing w:line="360" w:lineRule="auto"/>
        <w:rPr>
          <w:rFonts w:eastAsia="楷体_GB2312" w:cs="MingLiU_HKSCS"/>
          <w:szCs w:val="21"/>
          <w:lang w:val="zh-CN"/>
        </w:rPr>
      </w:pPr>
      <w:r>
        <w:rPr>
          <w:rFonts w:eastAsia="楷体_GB2312" w:cs="MingLiU_HKSCS" w:hint="eastAsia"/>
          <w:szCs w:val="21"/>
          <w:lang w:val="zh-CN"/>
        </w:rPr>
        <w:t>某专利侵权纠纷中，请求人通过核磁</w:t>
      </w:r>
      <w:r>
        <w:rPr>
          <w:rFonts w:eastAsia="楷体_GB2312" w:cs="MingLiU_HKSCS" w:hint="eastAsia"/>
          <w:szCs w:val="21"/>
          <w:lang w:val="zh-CN"/>
        </w:rPr>
        <w:t>NMR</w:t>
      </w:r>
      <w:r>
        <w:rPr>
          <w:rFonts w:eastAsia="楷体_GB2312" w:cs="MingLiU_HKSCS" w:hint="eastAsia"/>
          <w:szCs w:val="21"/>
          <w:lang w:val="zh-CN"/>
        </w:rPr>
        <w:t>和电位滴定法两种测试方法主张涉案侵权产品落入了其专利权的保护范围，被请求人则认为请求人对核磁</w:t>
      </w:r>
      <w:r>
        <w:rPr>
          <w:rFonts w:eastAsia="楷体_GB2312" w:cs="MingLiU_HKSCS" w:hint="eastAsia"/>
          <w:szCs w:val="21"/>
          <w:lang w:val="zh-CN"/>
        </w:rPr>
        <w:t>NMR</w:t>
      </w:r>
      <w:r>
        <w:rPr>
          <w:rFonts w:eastAsia="楷体_GB2312" w:cs="MingLiU_HKSCS" w:hint="eastAsia"/>
          <w:szCs w:val="21"/>
          <w:lang w:val="zh-CN"/>
        </w:rPr>
        <w:t>和电位滴定法所得结果的解</w:t>
      </w:r>
      <w:r>
        <w:rPr>
          <w:rFonts w:eastAsia="楷体_GB2312" w:cs="MingLiU_HKSCS" w:hint="eastAsia"/>
          <w:color w:val="000000" w:themeColor="text1"/>
          <w:szCs w:val="21"/>
          <w:lang w:val="zh-CN"/>
        </w:rPr>
        <w:t>析不合理，不足以证明侵权行为成立。该案测试数据非常复杂，其中，核磁</w:t>
      </w:r>
      <w:r>
        <w:rPr>
          <w:rFonts w:eastAsia="楷体_GB2312" w:cs="MingLiU_HKSCS" w:hint="eastAsia"/>
          <w:color w:val="000000" w:themeColor="text1"/>
          <w:szCs w:val="21"/>
          <w:lang w:val="zh-CN"/>
        </w:rPr>
        <w:t>NMR</w:t>
      </w:r>
      <w:r>
        <w:rPr>
          <w:rFonts w:eastAsia="楷体_GB2312" w:cs="MingLiU_HKSCS" w:hint="eastAsia"/>
          <w:color w:val="000000" w:themeColor="text1"/>
          <w:szCs w:val="21"/>
          <w:lang w:val="zh-CN"/>
        </w:rPr>
        <w:t>数据涉及</w:t>
      </w:r>
      <w:r>
        <w:rPr>
          <w:rFonts w:eastAsia="楷体_GB2312" w:cs="MingLiU_HKSCS" w:hint="eastAsia"/>
          <w:color w:val="000000" w:themeColor="text1"/>
          <w:szCs w:val="21"/>
          <w:vertAlign w:val="superscript"/>
          <w:lang w:val="zh-CN"/>
        </w:rPr>
        <w:t>1</w:t>
      </w:r>
      <w:r>
        <w:rPr>
          <w:rFonts w:eastAsia="楷体_GB2312" w:cs="MingLiU_HKSCS" w:hint="eastAsia"/>
          <w:color w:val="000000" w:themeColor="text1"/>
          <w:szCs w:val="21"/>
          <w:lang w:val="zh-CN"/>
        </w:rPr>
        <w:t>H-NMR</w:t>
      </w:r>
      <w:r>
        <w:rPr>
          <w:rFonts w:eastAsia="楷体_GB2312" w:cs="MingLiU_HKSCS" w:hint="eastAsia"/>
          <w:color w:val="000000" w:themeColor="text1"/>
          <w:szCs w:val="21"/>
          <w:lang w:val="zh-CN"/>
        </w:rPr>
        <w:t>、</w:t>
      </w:r>
      <w:r>
        <w:rPr>
          <w:rFonts w:eastAsia="楷体_GB2312" w:cs="MingLiU_HKSCS" w:hint="eastAsia"/>
          <w:color w:val="000000" w:themeColor="text1"/>
          <w:szCs w:val="21"/>
          <w:vertAlign w:val="superscript"/>
          <w:lang w:val="zh-CN"/>
        </w:rPr>
        <w:t>13</w:t>
      </w:r>
      <w:r>
        <w:rPr>
          <w:rFonts w:eastAsia="楷体_GB2312" w:cs="MingLiU_HKSCS" w:hint="eastAsia"/>
          <w:color w:val="000000" w:themeColor="text1"/>
          <w:szCs w:val="21"/>
          <w:lang w:val="zh-CN"/>
        </w:rPr>
        <w:t>C-NMR</w:t>
      </w:r>
      <w:r>
        <w:rPr>
          <w:rFonts w:eastAsia="楷体_GB2312" w:cs="MingLiU_HKSCS" w:hint="eastAsia"/>
          <w:color w:val="000000" w:themeColor="text1"/>
          <w:szCs w:val="21"/>
          <w:lang w:val="zh-CN"/>
        </w:rPr>
        <w:t>、</w:t>
      </w:r>
      <w:r>
        <w:rPr>
          <w:rFonts w:eastAsia="楷体_GB2312" w:cs="MingLiU_HKSCS" w:hint="eastAsia"/>
          <w:color w:val="000000" w:themeColor="text1"/>
          <w:szCs w:val="21"/>
          <w:vertAlign w:val="superscript"/>
          <w:lang w:val="zh-CN"/>
        </w:rPr>
        <w:t>19</w:t>
      </w:r>
      <w:r>
        <w:rPr>
          <w:rFonts w:eastAsia="楷体_GB2312" w:cs="MingLiU_HKSCS" w:hint="eastAsia"/>
          <w:color w:val="000000" w:themeColor="text1"/>
          <w:szCs w:val="21"/>
          <w:lang w:val="zh-CN"/>
        </w:rPr>
        <w:t>F-NMR</w:t>
      </w:r>
      <w:r>
        <w:rPr>
          <w:rFonts w:eastAsia="楷体_GB2312" w:cs="MingLiU_HKSCS" w:hint="eastAsia"/>
          <w:color w:val="000000" w:themeColor="text1"/>
          <w:szCs w:val="21"/>
          <w:lang w:val="zh-CN"/>
        </w:rPr>
        <w:t>以及它们的一维谱图和二维谱图；电位滴定法测试中涉及到了涉案侵权产品的溶解度不佳、中性转变电位与涉案专利记载不一致等可能影响测试结果的不确定因素。由于案情较为复杂，办案人员</w:t>
      </w:r>
      <w:r>
        <w:rPr>
          <w:rFonts w:eastAsia="楷体_GB2312" w:cs="MingLiU_HKSCS"/>
          <w:color w:val="000000" w:themeColor="text1"/>
          <w:szCs w:val="21"/>
          <w:lang w:val="zh-CN"/>
        </w:rPr>
        <w:t>申请</w:t>
      </w:r>
      <w:r>
        <w:rPr>
          <w:rFonts w:eastAsia="楷体_GB2312" w:cs="MingLiU_HKSCS" w:hint="eastAsia"/>
          <w:color w:val="000000" w:themeColor="text1"/>
          <w:szCs w:val="21"/>
          <w:lang w:val="zh-CN"/>
        </w:rPr>
        <w:t>技术调查官参与案件的处理，</w:t>
      </w:r>
      <w:r>
        <w:rPr>
          <w:rFonts w:eastAsia="楷体_GB2312" w:cs="MingLiU_HKSCS" w:hint="eastAsia"/>
          <w:szCs w:val="21"/>
          <w:lang w:val="zh-CN"/>
        </w:rPr>
        <w:t>最终合议组依据技术调查官出具的技术调查意见结合双方当事人的意见陈述最终认定请求人所主张的侵权行为不成立。</w:t>
      </w:r>
    </w:p>
    <w:p w:rsidR="00800760" w:rsidRDefault="00235733">
      <w:pPr>
        <w:keepNext/>
        <w:widowControl w:val="0"/>
        <w:topLinePunct/>
        <w:jc w:val="both"/>
        <w:rPr>
          <w:rFonts w:eastAsia="华文隶书" w:cs="MingLiU_HKSCS"/>
          <w:szCs w:val="21"/>
          <w:lang w:val="zh-CN"/>
        </w:rPr>
      </w:pPr>
      <w:r>
        <w:rPr>
          <w:rFonts w:eastAsia="华文隶书" w:cs="MingLiU_HKSCS" w:hint="eastAsia"/>
          <w:szCs w:val="21"/>
          <w:lang w:val="zh-CN"/>
        </w:rPr>
        <w:t>分析与评述：</w:t>
      </w:r>
    </w:p>
    <w:p w:rsidR="00800760" w:rsidRDefault="00235733">
      <w:pPr>
        <w:spacing w:line="360" w:lineRule="auto"/>
        <w:rPr>
          <w:rFonts w:eastAsia="楷体_GB2312" w:cs="MingLiU_HKSCS"/>
          <w:szCs w:val="21"/>
          <w:lang w:val="zh-CN"/>
        </w:rPr>
      </w:pPr>
      <w:r>
        <w:rPr>
          <w:rFonts w:eastAsia="楷体_GB2312" w:cs="MingLiU_HKSCS" w:hint="eastAsia"/>
          <w:szCs w:val="21"/>
          <w:lang w:val="zh-CN"/>
        </w:rPr>
        <w:t>知识产权纠纷案件集法律问题和技术问题于一身，对于不具备专业技术背景的办案人员来说，技术问题的判断是一个耗时耗力的复杂过程，技术调查官参与其中能够成为办案人员的“技术参谋”，可以弥补办案人员在理工科专业背景和涉案技术知识上的不足，提高知识产权侵权纠纷案件的裁决质量。通过对涉案领域技术知识、公知常识、技术原理的解释和分析，帮助办案人员高效、准确地理解和判断复杂的技术事实，明确技术事实的争议焦点。尽管出具的技术调查意见仅为合议庭认定技术事实的参考，但是技术调查官对于案件高效、准确的裁决至关重要。</w:t>
      </w:r>
    </w:p>
    <w:p w:rsidR="00800760" w:rsidRDefault="00235733">
      <w:pPr>
        <w:pStyle w:val="2"/>
        <w:topLinePunct/>
        <w:ind w:firstLineChars="0" w:firstLine="0"/>
        <w:rPr>
          <w:rFonts w:ascii="Times New Roman" w:hAnsi="Times New Roman"/>
        </w:rPr>
      </w:pPr>
      <w:bookmarkStart w:id="3407" w:name="_Toc9802"/>
      <w:bookmarkStart w:id="3408" w:name="_Toc8608"/>
      <w:bookmarkStart w:id="3409" w:name="_Toc27592"/>
      <w:bookmarkStart w:id="3410" w:name="_Toc4406"/>
      <w:bookmarkStart w:id="3411" w:name="_Toc23489"/>
      <w:bookmarkStart w:id="3412" w:name="_Toc11057"/>
      <w:bookmarkStart w:id="3413" w:name="_Toc20110"/>
      <w:bookmarkStart w:id="3414" w:name="_Toc2518"/>
      <w:bookmarkStart w:id="3415" w:name="_Toc30188"/>
      <w:bookmarkStart w:id="3416" w:name="_Toc27486"/>
      <w:bookmarkStart w:id="3417" w:name="_Toc28532"/>
      <w:bookmarkStart w:id="3418" w:name="_Toc28741"/>
      <w:bookmarkStart w:id="3419" w:name="_Toc10688"/>
      <w:bookmarkStart w:id="3420" w:name="_Toc19439"/>
      <w:bookmarkStart w:id="3421" w:name="_Toc3161"/>
      <w:bookmarkStart w:id="3422" w:name="_Toc22343"/>
      <w:bookmarkStart w:id="3423" w:name="_Toc12618"/>
      <w:bookmarkStart w:id="3424" w:name="_Toc27019"/>
      <w:bookmarkStart w:id="3425" w:name="_Toc2671"/>
      <w:bookmarkStart w:id="3426" w:name="_Toc26943"/>
      <w:bookmarkStart w:id="3427" w:name="_Toc17390"/>
      <w:bookmarkStart w:id="3428" w:name="_Toc3566"/>
      <w:bookmarkStart w:id="3429" w:name="_Toc23140"/>
      <w:bookmarkStart w:id="3430" w:name="_Toc24156"/>
      <w:bookmarkStart w:id="3431" w:name="_Toc14114"/>
      <w:bookmarkStart w:id="3432" w:name="_Toc18766"/>
      <w:bookmarkStart w:id="3433" w:name="_Toc14362"/>
      <w:bookmarkStart w:id="3434" w:name="_Toc2169"/>
      <w:bookmarkStart w:id="3435" w:name="_Toc8193"/>
      <w:bookmarkStart w:id="3436" w:name="_Toc28088"/>
      <w:bookmarkStart w:id="3437" w:name="_Toc3349"/>
      <w:bookmarkStart w:id="3438" w:name="_Toc21891"/>
      <w:bookmarkStart w:id="3439" w:name="_Toc25243"/>
      <w:bookmarkStart w:id="3440" w:name="_Toc26375"/>
      <w:bookmarkStart w:id="3441" w:name="_Toc2553"/>
      <w:bookmarkStart w:id="3442" w:name="_Toc13012"/>
      <w:bookmarkStart w:id="3443" w:name="_Toc16271"/>
      <w:bookmarkStart w:id="3444" w:name="_Toc3921"/>
      <w:bookmarkStart w:id="3445" w:name="_Toc24088"/>
      <w:bookmarkStart w:id="3446" w:name="_Toc2706"/>
      <w:bookmarkStart w:id="3447" w:name="_Toc17780"/>
      <w:bookmarkStart w:id="3448" w:name="_Toc21379"/>
      <w:bookmarkStart w:id="3449" w:name="_Toc12392"/>
      <w:bookmarkStart w:id="3450" w:name="_Toc23803"/>
      <w:bookmarkStart w:id="3451" w:name="_Toc229114399"/>
      <w:bookmarkStart w:id="3452" w:name="_Toc229225495"/>
      <w:r>
        <w:rPr>
          <w:rFonts w:ascii="Times New Roman" w:hAnsi="Times New Roman" w:hint="eastAsia"/>
          <w:color w:val="000000"/>
        </w:rPr>
        <w:t>第五节　几种典型证据的审核认定</w:t>
      </w:r>
      <w:bookmarkStart w:id="3453" w:name="_Toc28593287"/>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p>
    <w:p w:rsidR="00800760" w:rsidRDefault="00235733">
      <w:pPr>
        <w:pStyle w:val="3"/>
        <w:topLinePunct/>
        <w:spacing w:before="240"/>
        <w:ind w:firstLine="444"/>
        <w:rPr>
          <w:rFonts w:ascii="Times New Roman" w:hAnsi="Times New Roman"/>
        </w:rPr>
      </w:pPr>
      <w:bookmarkStart w:id="3454" w:name="_Toc23802"/>
      <w:bookmarkStart w:id="3455" w:name="_Toc1414"/>
      <w:bookmarkStart w:id="3456" w:name="_Toc24734"/>
      <w:bookmarkStart w:id="3457" w:name="_Toc2010"/>
      <w:bookmarkStart w:id="3458" w:name="_Toc11007"/>
      <w:bookmarkStart w:id="3459" w:name="_Toc16187"/>
      <w:bookmarkStart w:id="3460" w:name="_Toc31471"/>
      <w:bookmarkStart w:id="3461" w:name="_Toc15925"/>
      <w:bookmarkStart w:id="3462" w:name="_Toc13395"/>
      <w:bookmarkStart w:id="3463" w:name="_Toc16718"/>
      <w:bookmarkStart w:id="3464" w:name="_Toc2709"/>
      <w:bookmarkStart w:id="3465" w:name="_Toc7859"/>
      <w:bookmarkStart w:id="3466" w:name="_Toc12512"/>
      <w:bookmarkStart w:id="3467" w:name="_Toc27303"/>
      <w:bookmarkStart w:id="3468" w:name="_Toc9429"/>
      <w:bookmarkStart w:id="3469" w:name="_Toc13338"/>
      <w:bookmarkStart w:id="3470" w:name="_Toc17324"/>
      <w:bookmarkStart w:id="3471" w:name="_Toc1390"/>
      <w:bookmarkStart w:id="3472" w:name="_Toc16750"/>
      <w:bookmarkStart w:id="3473" w:name="_Toc20439"/>
      <w:bookmarkStart w:id="3474" w:name="_Toc12069"/>
      <w:bookmarkStart w:id="3475" w:name="_Toc17856"/>
      <w:bookmarkStart w:id="3476" w:name="_Toc9964"/>
      <w:bookmarkStart w:id="3477" w:name="_Toc2715"/>
      <w:bookmarkStart w:id="3478" w:name="_Toc556"/>
      <w:bookmarkStart w:id="3479" w:name="_Toc29686"/>
      <w:bookmarkStart w:id="3480" w:name="_Toc7279"/>
      <w:bookmarkStart w:id="3481" w:name="_Toc17607"/>
      <w:bookmarkStart w:id="3482" w:name="_Toc11594"/>
      <w:bookmarkStart w:id="3483" w:name="_Toc15640"/>
      <w:bookmarkStart w:id="3484" w:name="_Toc15637"/>
      <w:bookmarkStart w:id="3485" w:name="_Toc19122"/>
      <w:bookmarkStart w:id="3486" w:name="_Toc9098"/>
      <w:bookmarkStart w:id="3487" w:name="_Toc31059"/>
      <w:bookmarkStart w:id="3488" w:name="_Toc229114400"/>
      <w:bookmarkStart w:id="3489" w:name="_Toc32068"/>
      <w:bookmarkStart w:id="3490" w:name="_Toc11792"/>
      <w:bookmarkStart w:id="3491" w:name="_Toc229225496"/>
      <w:bookmarkEnd w:id="3453"/>
      <w:r>
        <w:rPr>
          <w:rFonts w:ascii="Times New Roman" w:hAnsi="Times New Roman" w:hint="eastAsia"/>
        </w:rPr>
        <w:t>一、书证</w:t>
      </w:r>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书证是指用文字、符号或图形所表达的思想内容来证明案件事实的证据，是以其内容来证明待证事实有关情况的书面材料。</w:t>
      </w:r>
    </w:p>
    <w:p w:rsidR="00800760" w:rsidRDefault="00235733">
      <w:pPr>
        <w:pStyle w:val="4"/>
        <w:spacing w:before="240"/>
        <w:ind w:firstLine="444"/>
        <w:rPr>
          <w:rFonts w:ascii="Times New Roman" w:hAnsi="Times New Roman"/>
        </w:rPr>
      </w:pPr>
      <w:r>
        <w:rPr>
          <w:rFonts w:ascii="Times New Roman" w:hAnsi="Times New Roman" w:hint="eastAsia"/>
        </w:rPr>
        <w:t>（一）书证的种类</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1. </w:t>
      </w:r>
      <w:r>
        <w:rPr>
          <w:rFonts w:ascii="Times New Roman" w:eastAsia="黑体" w:hAnsi="黑体" w:cs="Times New Roman"/>
          <w:sz w:val="21"/>
          <w:szCs w:val="21"/>
        </w:rPr>
        <w:t>文字书证、符号书证或者图形书证</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文字书证是以文字记载的内容证明案件事实，如各类公文文书、合同、账册、票据等；符号书证是以符号表达的内容证明案件事实的书证；图形书证是以图形表现的内容证明案件事实的书证，如图纸。</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公文书证和非公文书证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公文书证，是指国家职权机关在法定职权范围内制作的文书，包括国家权力机关、行政机关、审判机关以及法律、法规授权的组织制作的公文文书，如裁判文书、行政处罚决定书、公证文书等。非公文书证，是指公文书证以外的其他文书。</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3. </w:t>
      </w:r>
      <w:r>
        <w:rPr>
          <w:rFonts w:ascii="Times New Roman" w:eastAsia="黑体" w:hAnsi="黑体" w:cs="Times New Roman"/>
          <w:sz w:val="21"/>
          <w:szCs w:val="21"/>
        </w:rPr>
        <w:t>处分性书证与报道性书证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处分性书证是以发生特定法律后果为目的而制作的书证，如行政处罚决定书、裁判文书、合同书等；报道性书证是记载了某种与案件事实有关的内容而不以发生特定法律后果为目的的书证，它是以书证中所记载或表述的内容，反映制作人对客观事实的认识或体会等，如会议记录、诊断书等。</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4. </w:t>
      </w:r>
      <w:r>
        <w:rPr>
          <w:rFonts w:ascii="Times New Roman" w:eastAsia="黑体" w:hAnsi="黑体" w:cs="Times New Roman"/>
          <w:sz w:val="21"/>
          <w:szCs w:val="21"/>
        </w:rPr>
        <w:t>一般书证与特别书证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在条件、格式和程序方面有特别要求的书证为特别书证，否则为一般书证。行政处罚决定书、裁判文书均为特别书证。</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5. </w:t>
      </w:r>
      <w:r>
        <w:rPr>
          <w:rFonts w:ascii="Times New Roman" w:eastAsia="黑体" w:hAnsi="黑体" w:cs="Times New Roman"/>
          <w:sz w:val="21"/>
          <w:szCs w:val="21"/>
        </w:rPr>
        <w:t>原本、正本、副本、节录本、影印本和译本</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原本是最初制作的书证文本，是书证的初始状态，能够最客观地反映文书所记载的内容。正本是按照原本的内容制作（抄录或印制）的对外正式使用的文本，效力等同于原本。原本一般保留在制作者手中或存档待查，正本则发送给收件人。副本是照原本全文抄录、印制而效力不同于原本的文件，一般是发送给主收件人以外的其他须知晓原本内容的有关单位或者个人。节录本是指从原本或者正本中摘抄其部分内容形成的文本。影印本是指运用影印技术将原本、正本或副本进行摄影、复印形成的文本。译本是以另一种文字将原本或者正本翻译而成的文本。</w:t>
      </w:r>
    </w:p>
    <w:p w:rsidR="00800760" w:rsidRDefault="00235733">
      <w:pPr>
        <w:pStyle w:val="4"/>
        <w:spacing w:before="240"/>
        <w:ind w:firstLine="444"/>
        <w:rPr>
          <w:rFonts w:ascii="Times New Roman" w:hAnsi="Times New Roman"/>
        </w:rPr>
      </w:pPr>
      <w:r>
        <w:rPr>
          <w:rFonts w:ascii="Times New Roman" w:hAnsi="Times New Roman" w:hint="eastAsia"/>
        </w:rPr>
        <w:t>（二）书证的提供要求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1</w:t>
      </w:r>
      <w:r>
        <w:rPr>
          <w:rFonts w:ascii="Times New Roman" w:eastAsia="宋体" w:hAnsi="Times New Roman" w:cs="Times New Roman"/>
          <w:sz w:val="21"/>
          <w:szCs w:val="21"/>
        </w:rPr>
        <w:t>）</w:t>
      </w:r>
      <w:r>
        <w:rPr>
          <w:rFonts w:ascii="Times New Roman" w:eastAsia="宋体" w:hAnsi="Times New Roman" w:hint="eastAsia"/>
          <w:sz w:val="21"/>
          <w:szCs w:val="21"/>
        </w:rPr>
        <w:t>提供书证的原件。原本、正本和副本均属于书证的原件。提供原件有困难的，可以提供与原件核对无误的复印件、照片、节录本；外文书证应当附有中文译文。</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sz w:val="21"/>
          <w:szCs w:val="21"/>
        </w:rPr>
        <w:t>（</w:t>
      </w:r>
      <w:r>
        <w:rPr>
          <w:rFonts w:ascii="Times New Roman" w:eastAsia="宋体" w:hAnsi="Times New Roman" w:cs="Times New Roman" w:hint="eastAsia"/>
          <w:sz w:val="21"/>
          <w:szCs w:val="21"/>
        </w:rPr>
        <w:t>2</w:t>
      </w:r>
      <w:r>
        <w:rPr>
          <w:rFonts w:ascii="Times New Roman" w:eastAsia="宋体" w:hAnsi="Times New Roman" w:cs="Times New Roman"/>
          <w:sz w:val="21"/>
          <w:szCs w:val="21"/>
        </w:rPr>
        <w:t>）</w:t>
      </w:r>
      <w:r>
        <w:rPr>
          <w:rFonts w:ascii="Times New Roman" w:eastAsia="宋体" w:hAnsi="Times New Roman" w:hint="eastAsia"/>
          <w:sz w:val="21"/>
          <w:szCs w:val="21"/>
        </w:rPr>
        <w:t>提供由有关部门保管的书证原件的复制件、影印件或抄录件的，应当注明出处，经该部门核对无异后加盖其印章。</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sz w:val="21"/>
          <w:szCs w:val="21"/>
        </w:rPr>
        <w:t>（</w:t>
      </w:r>
      <w:r>
        <w:rPr>
          <w:rFonts w:ascii="Times New Roman" w:eastAsia="宋体" w:hAnsi="Times New Roman" w:cs="Times New Roman" w:hint="eastAsia"/>
          <w:sz w:val="21"/>
          <w:szCs w:val="21"/>
        </w:rPr>
        <w:t>3</w:t>
      </w:r>
      <w:r>
        <w:rPr>
          <w:rFonts w:ascii="Times New Roman" w:eastAsia="宋体" w:hAnsi="Times New Roman" w:cs="Times New Roman"/>
          <w:sz w:val="21"/>
          <w:szCs w:val="21"/>
        </w:rPr>
        <w:t>）</w:t>
      </w:r>
      <w:r>
        <w:rPr>
          <w:rFonts w:ascii="Times New Roman" w:eastAsia="宋体" w:hAnsi="Times New Roman" w:hint="eastAsia"/>
          <w:sz w:val="21"/>
          <w:szCs w:val="21"/>
        </w:rPr>
        <w:t>提供报表、图纸、会计账册、专业技术资料、科技文献等书证的，应当附有说明材料。</w:t>
      </w:r>
    </w:p>
    <w:p w:rsidR="00800760" w:rsidRDefault="00235733">
      <w:pPr>
        <w:pStyle w:val="4"/>
        <w:spacing w:before="240"/>
        <w:ind w:firstLine="444"/>
        <w:rPr>
          <w:rFonts w:ascii="Times New Roman" w:hAnsi="Times New Roman"/>
        </w:rPr>
      </w:pPr>
      <w:r>
        <w:rPr>
          <w:rFonts w:ascii="Times New Roman" w:hAnsi="Times New Roman" w:hint="eastAsia"/>
        </w:rPr>
        <w:t>（三）书证的审核认定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书证的证据能力审查，主要涉及对书证在制作上的真实性和合法性进行审查，主要包括审查书证制作人的资格，审查制作书证的手续，审查制作书证的程序，审查书证有无伪造、变造的痕迹，审查书证获取的过程、是否提交原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书证的证明力认定，是指对书证所记载、表述的事实的真实性、可靠性等实质证据力进行审查，主要涉及书证的内容与待证事实的关联性。管理专利工作的部门应从以下几方面对书证的证明力加以审查认定：审查认定书证所记载、表达的内容的确切含义，审查认定书证内容是否为有关人员的真实意思表示，审查认定书证内容与待证事实是否具有内在的、必然的联系，审查认定书证内容是否与法律、法规抵触。</w:t>
      </w:r>
    </w:p>
    <w:p w:rsidR="00800760" w:rsidRDefault="00235733">
      <w:pPr>
        <w:pStyle w:val="4"/>
        <w:spacing w:before="240"/>
        <w:ind w:firstLine="444"/>
        <w:rPr>
          <w:rFonts w:ascii="Times New Roman" w:hAnsi="Times New Roman"/>
        </w:rPr>
      </w:pPr>
      <w:r>
        <w:rPr>
          <w:rFonts w:ascii="Times New Roman" w:hAnsi="Times New Roman" w:hint="eastAsia"/>
        </w:rPr>
        <w:t>（四）常见书证的审核认定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专利案件中常见书证形式有：专利文献、科技杂志、科技书籍、学术论文、专业文献、教科书、技术手册、正式公布的会议记录或者技术报告、报纸、小册子、样本、产品目录、发票、合同等。</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1. </w:t>
      </w:r>
      <w:r>
        <w:rPr>
          <w:rFonts w:ascii="Times New Roman" w:eastAsia="黑体" w:hAnsi="黑体" w:cs="Times New Roman"/>
          <w:sz w:val="21"/>
          <w:szCs w:val="21"/>
        </w:rPr>
        <w:t>专利文献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文献是各国专利局及国际性专利组织在审批专利过程中产生的官方文件及其出版物的总称。作为公开出版物的专利文献主要有：各种类型的发明专利说明书、实用新型说明书和工业品外观设计简要说明，各种类型的发明专利、实用新型和工业品外观设计公报、文摘和索引，发明和实用新型、外观设计的分类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各类专利说明书作为证据提交，一般应提交全文，仅使用部分内容的，在证明其真实性的基础上，可部分提交。发明专利的公开说明书和授权说明书由于内容和公开日期的不同，应视为不同的证据，根据情况分别审核。</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中国专利文献的真实性可以在国家知识产权局网站核实，外国或国际组织的专利文献可以在该国专利局或该组织网站核实。缺少核实途径的，应当要求当事人提交其获取途径的证明（如图书馆馆藏证明或检索机构证明）。域外形成的应办理公证认证手续。外文专利文献应提交有资质的翻译机构或翻译人员出具的译文，其中外观设计专利应至少翻译文献的国别、类型、公开日期、专利名称、简要说明、附图说明等，以满足证据审查需求为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专利文献一般构成专利法意义上的出版物，其公开日期以其记载的公开日或授权公告日为准，有证据证明其未对公众公开或未在上述日期公开的除外。</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图书类出版物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图书类出版物指的是带有国际标准书号（</w:t>
      </w:r>
      <w:r>
        <w:rPr>
          <w:rFonts w:ascii="Times New Roman" w:eastAsia="宋体" w:hAnsi="Times New Roman"/>
          <w:sz w:val="21"/>
          <w:szCs w:val="21"/>
        </w:rPr>
        <w:t>ISBN</w:t>
      </w:r>
      <w:r>
        <w:rPr>
          <w:rFonts w:ascii="Times New Roman" w:eastAsia="宋体" w:hAnsi="Times New Roman" w:hint="eastAsia"/>
          <w:sz w:val="21"/>
          <w:szCs w:val="21"/>
        </w:rPr>
        <w:t>）、国际标准刊号（</w:t>
      </w:r>
      <w:r>
        <w:rPr>
          <w:rFonts w:ascii="Times New Roman" w:eastAsia="宋体" w:hAnsi="Times New Roman"/>
          <w:sz w:val="21"/>
          <w:szCs w:val="21"/>
        </w:rPr>
        <w:t>ISSN</w:t>
      </w:r>
      <w:r>
        <w:rPr>
          <w:rFonts w:ascii="Times New Roman" w:eastAsia="宋体" w:hAnsi="Times New Roman" w:hint="eastAsia"/>
          <w:sz w:val="21"/>
          <w:szCs w:val="21"/>
        </w:rPr>
        <w:t>）、国内统一刊号且通过正规渠道出版发行的书籍、期刊等。</w:t>
      </w:r>
    </w:p>
    <w:p w:rsidR="00800760" w:rsidRDefault="00235733">
      <w:pPr>
        <w:pStyle w:val="12"/>
        <w:topLinePunct/>
        <w:spacing w:line="336" w:lineRule="auto"/>
        <w:ind w:firstLine="436"/>
        <w:rPr>
          <w:rFonts w:ascii="Times New Roman" w:eastAsia="宋体" w:hAnsi="Times New Roman"/>
          <w:spacing w:val="4"/>
          <w:sz w:val="21"/>
          <w:szCs w:val="21"/>
        </w:rPr>
      </w:pPr>
      <w:r>
        <w:rPr>
          <w:rFonts w:ascii="Times New Roman" w:eastAsia="宋体" w:hAnsi="Times New Roman" w:hint="eastAsia"/>
          <w:spacing w:val="4"/>
          <w:sz w:val="21"/>
          <w:szCs w:val="21"/>
        </w:rPr>
        <w:t>在当事人提供原件或有证据证明复印件与原件一致时，图书类出版物的真实性一般应当予以认可。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图书类出版物的印刷日视为公开日。同版次多印次或者多版次多印次的图书类出版物，一般应当将该印次的印刷日视为公开日。有证据证明实际公开日的，应当以实际公开日为准。</w:t>
      </w:r>
    </w:p>
    <w:p w:rsidR="00800760" w:rsidRDefault="00235733">
      <w:pPr>
        <w:pStyle w:val="af6"/>
        <w:spacing w:before="120"/>
        <w:ind w:firstLine="420"/>
        <w:rPr>
          <w:rFonts w:ascii="Times New Roman" w:hAnsi="Times New Roman"/>
        </w:rPr>
      </w:pPr>
      <w:bookmarkStart w:id="3492" w:name="_Toc12943"/>
      <w:bookmarkStart w:id="3493" w:name="_Toc9367"/>
      <w:bookmarkStart w:id="3494" w:name="_Toc8909"/>
      <w:bookmarkStart w:id="3495" w:name="_Toc3093"/>
      <w:bookmarkStart w:id="3496" w:name="_Toc20020"/>
      <w:bookmarkStart w:id="3497" w:name="_Toc1201"/>
      <w:bookmarkStart w:id="3498" w:name="_Toc13703"/>
      <w:bookmarkStart w:id="3499" w:name="_Toc9204"/>
      <w:bookmarkStart w:id="3500" w:name="_Toc5248"/>
      <w:bookmarkStart w:id="3501" w:name="_Toc11363"/>
      <w:bookmarkStart w:id="3502" w:name="_Toc17736"/>
      <w:bookmarkStart w:id="3503" w:name="_Toc32238"/>
      <w:bookmarkStart w:id="3504" w:name="_Toc3533"/>
      <w:bookmarkStart w:id="3505" w:name="_Toc26363"/>
      <w:bookmarkStart w:id="3506" w:name="_Toc29349"/>
      <w:bookmarkStart w:id="3507" w:name="_Toc8112"/>
      <w:bookmarkStart w:id="3508" w:name="_Toc18660"/>
      <w:bookmarkStart w:id="3509" w:name="_Toc7547"/>
      <w:bookmarkStart w:id="3510" w:name="_Toc32669"/>
      <w:bookmarkStart w:id="3511" w:name="_Toc20693"/>
      <w:bookmarkStart w:id="3512" w:name="_Toc28695"/>
      <w:bookmarkStart w:id="3513" w:name="_Toc21738"/>
      <w:bookmarkStart w:id="3514" w:name="_Toc23626"/>
      <w:bookmarkStart w:id="3515" w:name="_Toc2725"/>
      <w:bookmarkStart w:id="3516" w:name="_Toc32687"/>
      <w:bookmarkStart w:id="3517" w:name="_Toc28678"/>
      <w:bookmarkStart w:id="3518" w:name="_Toc9911"/>
      <w:bookmarkStart w:id="3519" w:name="_Toc22643"/>
      <w:bookmarkStart w:id="3520" w:name="_Toc8777"/>
      <w:bookmarkStart w:id="3521" w:name="_Toc4388"/>
      <w:bookmarkStart w:id="3522" w:name="_Toc15455"/>
      <w:bookmarkStart w:id="3523" w:name="_Toc14770"/>
      <w:bookmarkStart w:id="3524" w:name="_Toc13713"/>
      <w:bookmarkStart w:id="3525" w:name="_Toc25409"/>
      <w:bookmarkStart w:id="3526" w:name="_Toc11066"/>
      <w:bookmarkStart w:id="3527" w:name="_Toc13464"/>
      <w:r>
        <w:rPr>
          <w:rFonts w:ascii="Times New Roman" w:hAnsi="Times New Roman" w:hint="eastAsia"/>
        </w:rPr>
        <w:t>【案例</w:t>
      </w:r>
      <w:r>
        <w:rPr>
          <w:rFonts w:ascii="Times New Roman" w:hAnsi="Times New Roman" w:hint="eastAsia"/>
        </w:rPr>
        <w:t>4-5-1</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案中，被请求人提交《汽车底盘设计与构造》一书用于现有技术抗辩。经合议组审查，该书虽已印刷完毕，但存在印刷错误导致该出版物并未实际在印刷日发行，因此应当将该出版物的实际发行日视为公开日。</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4-5-2</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某专利侵权案中，被请求人为进行现有技术抗辩提交的《计算机数据结构》一书的版权页上标有“</w:t>
      </w:r>
      <w:r>
        <w:rPr>
          <w:rFonts w:ascii="Times New Roman" w:eastAsia="楷体_GB2312" w:hAnsi="Times New Roman"/>
          <w:sz w:val="21"/>
          <w:szCs w:val="21"/>
        </w:rPr>
        <w:t>1996</w:t>
      </w:r>
      <w:r>
        <w:rPr>
          <w:rFonts w:ascii="Times New Roman" w:eastAsia="楷体_GB2312" w:hAnsi="Times New Roman" w:hint="eastAsia"/>
          <w:sz w:val="21"/>
          <w:szCs w:val="21"/>
        </w:rPr>
        <w:t>年</w:t>
      </w:r>
      <w:r>
        <w:rPr>
          <w:rFonts w:ascii="Times New Roman" w:eastAsia="楷体_GB2312" w:hAnsi="Times New Roman"/>
          <w:sz w:val="21"/>
          <w:szCs w:val="21"/>
        </w:rPr>
        <w:t>10</w:t>
      </w:r>
      <w:r>
        <w:rPr>
          <w:rFonts w:ascii="Times New Roman" w:eastAsia="楷体_GB2312" w:hAnsi="Times New Roman" w:hint="eastAsia"/>
          <w:sz w:val="21"/>
          <w:szCs w:val="21"/>
        </w:rPr>
        <w:t>月第</w:t>
      </w:r>
      <w:r>
        <w:rPr>
          <w:rFonts w:ascii="Times New Roman" w:eastAsia="楷体_GB2312" w:hAnsi="Times New Roman"/>
          <w:sz w:val="21"/>
          <w:szCs w:val="21"/>
        </w:rPr>
        <w:t>1</w:t>
      </w:r>
      <w:r>
        <w:rPr>
          <w:rFonts w:ascii="Times New Roman" w:eastAsia="楷体_GB2312" w:hAnsi="Times New Roman" w:hint="eastAsia"/>
          <w:sz w:val="21"/>
          <w:szCs w:val="21"/>
        </w:rPr>
        <w:t xml:space="preserve">版　</w:t>
      </w:r>
      <w:r>
        <w:rPr>
          <w:rFonts w:ascii="Times New Roman" w:eastAsia="楷体_GB2312" w:hAnsi="Times New Roman"/>
          <w:sz w:val="21"/>
          <w:szCs w:val="21"/>
        </w:rPr>
        <w:t>1998</w:t>
      </w:r>
      <w:r>
        <w:rPr>
          <w:rFonts w:ascii="Times New Roman" w:eastAsia="楷体_GB2312" w:hAnsi="Times New Roman" w:hint="eastAsia"/>
          <w:sz w:val="21"/>
          <w:szCs w:val="21"/>
        </w:rPr>
        <w:t>年</w:t>
      </w:r>
      <w:r>
        <w:rPr>
          <w:rFonts w:ascii="Times New Roman" w:eastAsia="楷体_GB2312" w:hAnsi="Times New Roman"/>
          <w:sz w:val="21"/>
          <w:szCs w:val="21"/>
        </w:rPr>
        <w:t>6</w:t>
      </w:r>
      <w:r>
        <w:rPr>
          <w:rFonts w:ascii="Times New Roman" w:eastAsia="楷体_GB2312" w:hAnsi="Times New Roman" w:hint="eastAsia"/>
          <w:sz w:val="21"/>
          <w:szCs w:val="21"/>
        </w:rPr>
        <w:t>月第</w:t>
      </w:r>
      <w:r>
        <w:rPr>
          <w:rFonts w:ascii="Times New Roman" w:eastAsia="楷体_GB2312" w:hAnsi="Times New Roman"/>
          <w:sz w:val="21"/>
          <w:szCs w:val="21"/>
        </w:rPr>
        <w:t>2</w:t>
      </w:r>
      <w:r>
        <w:rPr>
          <w:rFonts w:ascii="Times New Roman" w:eastAsia="楷体_GB2312" w:hAnsi="Times New Roman" w:hint="eastAsia"/>
          <w:sz w:val="21"/>
          <w:szCs w:val="21"/>
        </w:rPr>
        <w:t>次印刷”的字样，该书的公开日一般应当认定为</w:t>
      </w:r>
      <w:r>
        <w:rPr>
          <w:rFonts w:ascii="Times New Roman" w:eastAsia="楷体_GB2312" w:hAnsi="Times New Roman"/>
          <w:sz w:val="21"/>
          <w:szCs w:val="21"/>
        </w:rPr>
        <w:t>1998</w:t>
      </w:r>
      <w:r>
        <w:rPr>
          <w:rFonts w:ascii="Times New Roman" w:eastAsia="楷体_GB2312" w:hAnsi="Times New Roman" w:hint="eastAsia"/>
          <w:sz w:val="21"/>
          <w:szCs w:val="21"/>
        </w:rPr>
        <w:t>年</w:t>
      </w:r>
      <w:r>
        <w:rPr>
          <w:rFonts w:ascii="Times New Roman" w:eastAsia="楷体_GB2312" w:hAnsi="Times New Roman"/>
          <w:sz w:val="21"/>
          <w:szCs w:val="21"/>
        </w:rPr>
        <w:t>6</w:t>
      </w:r>
      <w:r>
        <w:rPr>
          <w:rFonts w:ascii="Times New Roman" w:eastAsia="楷体_GB2312" w:hAnsi="Times New Roman" w:hint="eastAsia"/>
          <w:sz w:val="21"/>
          <w:szCs w:val="21"/>
        </w:rPr>
        <w:t>月</w:t>
      </w:r>
      <w:r>
        <w:rPr>
          <w:rFonts w:ascii="Times New Roman" w:eastAsia="楷体_GB2312" w:hAnsi="Times New Roman"/>
          <w:sz w:val="21"/>
          <w:szCs w:val="21"/>
        </w:rPr>
        <w:t>30</w:t>
      </w:r>
      <w:r>
        <w:rPr>
          <w:rFonts w:ascii="Times New Roman" w:eastAsia="楷体_GB2312" w:hAnsi="Times New Roman" w:hint="eastAsia"/>
          <w:sz w:val="21"/>
          <w:szCs w:val="21"/>
        </w:rPr>
        <w:t>日。但是如果有证据证明该书在</w:t>
      </w:r>
      <w:r>
        <w:rPr>
          <w:rFonts w:ascii="Times New Roman" w:eastAsia="楷体_GB2312" w:hAnsi="Times New Roman"/>
          <w:sz w:val="21"/>
          <w:szCs w:val="21"/>
        </w:rPr>
        <w:t>1996</w:t>
      </w:r>
      <w:r>
        <w:rPr>
          <w:rFonts w:ascii="Times New Roman" w:eastAsia="楷体_GB2312" w:hAnsi="Times New Roman" w:hint="eastAsia"/>
          <w:sz w:val="21"/>
          <w:szCs w:val="21"/>
        </w:rPr>
        <w:t>年</w:t>
      </w:r>
      <w:r>
        <w:rPr>
          <w:rFonts w:ascii="Times New Roman" w:eastAsia="楷体_GB2312" w:hAnsi="Times New Roman"/>
          <w:sz w:val="21"/>
          <w:szCs w:val="21"/>
        </w:rPr>
        <w:t>10</w:t>
      </w:r>
      <w:r>
        <w:rPr>
          <w:rFonts w:ascii="Times New Roman" w:eastAsia="楷体_GB2312" w:hAnsi="Times New Roman" w:hint="eastAsia"/>
          <w:sz w:val="21"/>
          <w:szCs w:val="21"/>
        </w:rPr>
        <w:t>月第一次发行以来未经任何修正或者对所使用的部分未经任何修正，则该书的公开日应当认定为</w:t>
      </w:r>
      <w:r>
        <w:rPr>
          <w:rFonts w:ascii="Times New Roman" w:eastAsia="楷体_GB2312" w:hAnsi="Times New Roman"/>
          <w:sz w:val="21"/>
          <w:szCs w:val="21"/>
        </w:rPr>
        <w:t>1996</w:t>
      </w:r>
      <w:r>
        <w:rPr>
          <w:rFonts w:ascii="Times New Roman" w:eastAsia="楷体_GB2312" w:hAnsi="Times New Roman" w:hint="eastAsia"/>
          <w:sz w:val="21"/>
          <w:szCs w:val="21"/>
        </w:rPr>
        <w:t>年</w:t>
      </w:r>
      <w:r>
        <w:rPr>
          <w:rFonts w:ascii="Times New Roman" w:eastAsia="楷体_GB2312" w:hAnsi="Times New Roman"/>
          <w:sz w:val="21"/>
          <w:szCs w:val="21"/>
        </w:rPr>
        <w:t>10</w:t>
      </w:r>
      <w:r>
        <w:rPr>
          <w:rFonts w:ascii="Times New Roman" w:eastAsia="楷体_GB2312" w:hAnsi="Times New Roman" w:hint="eastAsia"/>
          <w:sz w:val="21"/>
          <w:szCs w:val="21"/>
        </w:rPr>
        <w:t>月</w:t>
      </w:r>
      <w:r>
        <w:rPr>
          <w:rFonts w:ascii="Times New Roman" w:eastAsia="楷体_GB2312" w:hAnsi="Times New Roman"/>
          <w:sz w:val="21"/>
          <w:szCs w:val="21"/>
        </w:rPr>
        <w:t>31</w:t>
      </w:r>
      <w:r>
        <w:rPr>
          <w:rFonts w:ascii="Times New Roman" w:eastAsia="楷体_GB2312" w:hAnsi="Times New Roman" w:hint="eastAsia"/>
          <w:sz w:val="21"/>
          <w:szCs w:val="21"/>
        </w:rPr>
        <w:t>日。</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3. </w:t>
      </w:r>
      <w:r>
        <w:rPr>
          <w:rFonts w:ascii="Times New Roman" w:eastAsia="黑体" w:hAnsi="黑体" w:cs="Times New Roman"/>
          <w:sz w:val="21"/>
          <w:szCs w:val="21"/>
        </w:rPr>
        <w:t>产品样本、产品说明书类证据</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产品样本、产品说明书类证据包括产品目录、产品样本、产品说明书、产品宣传册、产品宣传页等。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带有国际标准书号、国际标准刊号、国内统一刊号的产品样本、产品说明书类证据的真实性和公开日审核认定参照图书类出版物的规定。其他产品样本、产品说明书类证据，需有其他证据佐证其真实性和公开性。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提交了产品样本、产品说明书类证据的原件，综合其他证据印证或者由证据本身载明的信息可以证明该产品样本、产品说明书类证据是专门机构（如行业协会、展会主办机构）定期出版发行的，可以认定该产品样本、产品说明书类证据的真实性和公开性。</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4-5-3</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某专利侵权案中，当事人提交了《×××行业采购大全》</w:t>
      </w:r>
      <w:r>
        <w:rPr>
          <w:rFonts w:ascii="Times New Roman" w:eastAsia="楷体_GB2312" w:hAnsi="Times New Roman"/>
          <w:sz w:val="21"/>
          <w:szCs w:val="21"/>
        </w:rPr>
        <w:t>2005</w:t>
      </w:r>
      <w:r>
        <w:rPr>
          <w:rFonts w:ascii="Times New Roman" w:eastAsia="楷体_GB2312" w:hAnsi="Times New Roman" w:hint="eastAsia"/>
          <w:sz w:val="21"/>
          <w:szCs w:val="21"/>
        </w:rPr>
        <w:t>年上期、</w:t>
      </w:r>
      <w:r>
        <w:rPr>
          <w:rFonts w:ascii="Times New Roman" w:eastAsia="楷体_GB2312" w:hAnsi="Times New Roman"/>
          <w:sz w:val="21"/>
          <w:szCs w:val="21"/>
        </w:rPr>
        <w:t>2005</w:t>
      </w:r>
      <w:r>
        <w:rPr>
          <w:rFonts w:ascii="Times New Roman" w:eastAsia="楷体_GB2312" w:hAnsi="Times New Roman" w:hint="eastAsia"/>
          <w:sz w:val="21"/>
          <w:szCs w:val="21"/>
        </w:rPr>
        <w:t>年下期、</w:t>
      </w:r>
      <w:r>
        <w:rPr>
          <w:rFonts w:ascii="Times New Roman" w:eastAsia="楷体_GB2312" w:hAnsi="Times New Roman"/>
          <w:sz w:val="21"/>
          <w:szCs w:val="21"/>
        </w:rPr>
        <w:t>2006</w:t>
      </w:r>
      <w:r>
        <w:rPr>
          <w:rFonts w:ascii="Times New Roman" w:eastAsia="楷体_GB2312" w:hAnsi="Times New Roman" w:hint="eastAsia"/>
          <w:sz w:val="21"/>
          <w:szCs w:val="21"/>
        </w:rPr>
        <w:t>年上期以及</w:t>
      </w:r>
      <w:r>
        <w:rPr>
          <w:rFonts w:ascii="Times New Roman" w:eastAsia="楷体_GB2312" w:hAnsi="Times New Roman"/>
          <w:sz w:val="21"/>
          <w:szCs w:val="21"/>
        </w:rPr>
        <w:t>2006</w:t>
      </w:r>
      <w:r>
        <w:rPr>
          <w:rFonts w:ascii="Times New Roman" w:eastAsia="楷体_GB2312" w:hAnsi="Times New Roman" w:hint="eastAsia"/>
          <w:sz w:val="21"/>
          <w:szCs w:val="21"/>
        </w:rPr>
        <w:t>年下期的原件，各期的《×××行业采购大全》封面上均印制有“××××年上期总第×期”或“××××年下期总第×期”、“××协会主编”以及该广告公司的地址、电话、传真号、索阅派发网点等信息。对方当事人虽对该证据的真实性质疑，但未提出充足的理由，也未提供证据支持其理由。在此情形下，可以认定该《×××行业采购大全》的真实性和公开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其他企业自行印制的产品样本、产品说明书类证据，即使当事人提供了原件或者提供证据证明复印件与原件一致，也需要其他证据予以佐证，才能认可其真实性。但对方当事人予以认可的除外。</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产品样本、目录类证据通常用于推销产品，一般情况下对产品感兴趣的公众可以不受限制地得到这类资料。当这类资料具有可靠的载体，其真实性可以确认时，如果该资料上还记载有能够表明其发表者以及发表时间，或者有其他证据可以佐证其公开者或公开日期，可以认定其为专利法意义上的公开出版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可以佐证产品样本、产品说明书类证据的真实性和公开性的证据通常包括可以证明其来源的印刷证据、能够证明其公开性的销售证据等。</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4-5-4</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案中，当事人提交了某企业的产品宣传册和与该产品宣传册对应的印刷合同、发票原件作为证据使用，对方当事人虽对该证据的真实性质疑，但未提出充足的理由，也未提供证据支持其理由。在此情形下，应当认定该产品宣传册的真实性。</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4. </w:t>
      </w:r>
      <w:r>
        <w:rPr>
          <w:rFonts w:ascii="Times New Roman" w:eastAsia="黑体" w:hAnsi="黑体" w:cs="Times New Roman"/>
          <w:sz w:val="21"/>
          <w:szCs w:val="21"/>
        </w:rPr>
        <w:t>带有版权标识的出版物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根据《世界版权公约》的要求，版权标记一般包括三项内容：</w:t>
      </w:r>
      <w:r w:rsidR="00C22A7B">
        <w:rPr>
          <w:rFonts w:ascii="Times New Roman" w:eastAsia="宋体" w:hAnsi="Times New Roman"/>
          <w:sz w:val="21"/>
          <w:szCs w:val="21"/>
        </w:rPr>
        <w:fldChar w:fldCharType="begin"/>
      </w:r>
      <w:r>
        <w:rPr>
          <w:rFonts w:ascii="Times New Roman" w:eastAsia="宋体" w:hAnsi="Times New Roman"/>
          <w:sz w:val="21"/>
          <w:szCs w:val="21"/>
        </w:rPr>
        <w:instrText>= 1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1</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享有著作权的声明或将声明的英文缩写字母</w:t>
      </w:r>
      <w:r>
        <w:rPr>
          <w:rFonts w:ascii="Times New Roman" w:eastAsia="宋体" w:hAnsi="Times New Roman"/>
          <w:sz w:val="21"/>
          <w:szCs w:val="21"/>
        </w:rPr>
        <w:t>C</w:t>
      </w:r>
      <w:r>
        <w:rPr>
          <w:rFonts w:ascii="Times New Roman" w:eastAsia="宋体" w:hAnsi="Times New Roman" w:hint="eastAsia"/>
          <w:sz w:val="21"/>
          <w:szCs w:val="21"/>
        </w:rPr>
        <w:t>外面加上一个正圆，对音像制品则是字母</w:t>
      </w:r>
      <w:r>
        <w:rPr>
          <w:rFonts w:ascii="Times New Roman" w:eastAsia="宋体" w:hAnsi="Times New Roman"/>
          <w:sz w:val="21"/>
          <w:szCs w:val="21"/>
        </w:rPr>
        <w:t>P</w:t>
      </w:r>
      <w:r>
        <w:rPr>
          <w:rFonts w:ascii="Times New Roman" w:eastAsia="宋体" w:hAnsi="Times New Roman" w:hint="eastAsia"/>
          <w:sz w:val="21"/>
          <w:szCs w:val="21"/>
        </w:rPr>
        <w:t>外面加上一个正圆；</w:t>
      </w:r>
      <w:r w:rsidR="00C22A7B">
        <w:rPr>
          <w:rFonts w:ascii="Times New Roman" w:eastAsia="宋体" w:hAnsi="Times New Roman"/>
          <w:sz w:val="21"/>
          <w:szCs w:val="21"/>
        </w:rPr>
        <w:fldChar w:fldCharType="begin"/>
      </w:r>
      <w:r>
        <w:rPr>
          <w:rFonts w:ascii="Times New Roman" w:eastAsia="宋体" w:hAnsi="Times New Roman"/>
          <w:sz w:val="21"/>
          <w:szCs w:val="21"/>
        </w:rPr>
        <w:instrText>= 2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2</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著作权人的姓名或名称；</w:t>
      </w:r>
      <w:r w:rsidR="00C22A7B">
        <w:rPr>
          <w:rFonts w:ascii="Times New Roman" w:eastAsia="宋体" w:hAnsi="Times New Roman"/>
          <w:sz w:val="21"/>
          <w:szCs w:val="21"/>
        </w:rPr>
        <w:fldChar w:fldCharType="begin"/>
      </w:r>
      <w:r>
        <w:rPr>
          <w:rFonts w:ascii="Times New Roman" w:eastAsia="宋体" w:hAnsi="Times New Roman"/>
          <w:sz w:val="21"/>
          <w:szCs w:val="21"/>
        </w:rPr>
        <w:instrText>= 3 \* GB2</w:instrText>
      </w:r>
      <w:r w:rsidR="00C22A7B">
        <w:rPr>
          <w:rFonts w:ascii="Times New Roman" w:eastAsia="宋体" w:hAnsi="Times New Roman"/>
          <w:sz w:val="21"/>
          <w:szCs w:val="21"/>
        </w:rPr>
        <w:fldChar w:fldCharType="separate"/>
      </w:r>
      <w:r>
        <w:rPr>
          <w:rFonts w:ascii="Times New Roman" w:eastAsia="宋体" w:hAnsi="Times New Roman" w:hint="eastAsia"/>
          <w:sz w:val="21"/>
          <w:szCs w:val="21"/>
        </w:rPr>
        <w:t>（</w:t>
      </w:r>
      <w:r>
        <w:rPr>
          <w:rFonts w:ascii="Times New Roman" w:eastAsia="宋体" w:hAnsi="Times New Roman" w:hint="eastAsia"/>
          <w:sz w:val="21"/>
          <w:szCs w:val="21"/>
        </w:rPr>
        <w:t>3</w:t>
      </w:r>
      <w:r>
        <w:rPr>
          <w:rFonts w:ascii="Times New Roman" w:eastAsia="宋体" w:hAnsi="Times New Roman" w:hint="eastAsia"/>
          <w:sz w:val="21"/>
          <w:szCs w:val="21"/>
        </w:rPr>
        <w:t>）</w:t>
      </w:r>
      <w:r w:rsidR="00C22A7B">
        <w:rPr>
          <w:rFonts w:ascii="Times New Roman" w:eastAsia="宋体" w:hAnsi="Times New Roman"/>
          <w:sz w:val="21"/>
          <w:szCs w:val="21"/>
        </w:rPr>
        <w:fldChar w:fldCharType="end"/>
      </w:r>
      <w:r>
        <w:rPr>
          <w:rFonts w:ascii="Times New Roman" w:eastAsia="宋体" w:hAnsi="Times New Roman" w:hint="eastAsia"/>
          <w:sz w:val="21"/>
          <w:szCs w:val="21"/>
        </w:rPr>
        <w:t>作品出版发行的日期。在出版物上印有版权标记，表明作者愿意或者授权他人公开发表其作品。对于该类出版物的真实性，可以参照图书类出版物的认定方式。</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其真实性可以确认的情况下，印制有版权标识的印刷品一般可以视为专利法意义上的公开出版物，但因要求保密或者限定发行范围导致其不具备公开性的除外。该类出版物版权页上版权标识后所记载的首次出版年份，一般应当以该记载确定其公开日，但有相反证据的除外。</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在当事人提供原件或有证据证明复印件与原件一致时，印制有国际标准音像制品编码（</w:t>
      </w:r>
      <w:r>
        <w:rPr>
          <w:rFonts w:ascii="Times New Roman" w:eastAsia="宋体" w:hAnsi="Times New Roman"/>
          <w:sz w:val="21"/>
          <w:szCs w:val="21"/>
        </w:rPr>
        <w:t>ISCR</w:t>
      </w:r>
      <w:r>
        <w:rPr>
          <w:rFonts w:ascii="Times New Roman" w:eastAsia="宋体" w:hAnsi="Times New Roman" w:hint="eastAsia"/>
          <w:sz w:val="21"/>
          <w:szCs w:val="21"/>
        </w:rPr>
        <w:t>）的音像制品类出版物的真实性一般应当予以认可。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国际标准音像制品编码的音像制品类出版物的录制年码可用于确定其公开日。</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4-5-5</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某专利侵权案中，被请求人提交作为证据的光盘上标有“</w:t>
      </w:r>
      <w:r>
        <w:rPr>
          <w:rFonts w:ascii="Times New Roman" w:eastAsia="楷体_GB2312" w:hAnsi="Times New Roman"/>
          <w:sz w:val="21"/>
          <w:szCs w:val="21"/>
        </w:rPr>
        <w:t>ISCR-CN-C12-97-21-0/VG4</w:t>
      </w:r>
      <w:r>
        <w:rPr>
          <w:rFonts w:ascii="Times New Roman" w:eastAsia="楷体_GB2312" w:hAnsi="Times New Roman" w:hint="eastAsia"/>
          <w:sz w:val="21"/>
          <w:szCs w:val="21"/>
        </w:rPr>
        <w:t>”的字样。以上标识中，“</w:t>
      </w:r>
      <w:r>
        <w:rPr>
          <w:rFonts w:ascii="Times New Roman" w:eastAsia="楷体_GB2312" w:hAnsi="Times New Roman"/>
          <w:sz w:val="21"/>
          <w:szCs w:val="21"/>
        </w:rPr>
        <w:t>CN</w:t>
      </w:r>
      <w:r>
        <w:rPr>
          <w:rFonts w:ascii="Times New Roman" w:eastAsia="楷体_GB2312" w:hAnsi="Times New Roman" w:hint="eastAsia"/>
          <w:sz w:val="21"/>
          <w:szCs w:val="21"/>
        </w:rPr>
        <w:t>”为国家码，代表中国；“</w:t>
      </w:r>
      <w:r>
        <w:rPr>
          <w:rFonts w:ascii="Times New Roman" w:eastAsia="楷体_GB2312" w:hAnsi="Times New Roman"/>
          <w:sz w:val="21"/>
          <w:szCs w:val="21"/>
        </w:rPr>
        <w:t>C12</w:t>
      </w:r>
      <w:r>
        <w:rPr>
          <w:rFonts w:ascii="Times New Roman" w:eastAsia="楷体_GB2312" w:hAnsi="Times New Roman" w:hint="eastAsia"/>
          <w:sz w:val="21"/>
          <w:szCs w:val="21"/>
        </w:rPr>
        <w:t>”为出版者码；“</w:t>
      </w:r>
      <w:r>
        <w:rPr>
          <w:rFonts w:ascii="Times New Roman" w:eastAsia="楷体_GB2312" w:hAnsi="Times New Roman"/>
          <w:sz w:val="21"/>
          <w:szCs w:val="21"/>
        </w:rPr>
        <w:t>97</w:t>
      </w:r>
      <w:r>
        <w:rPr>
          <w:rFonts w:ascii="Times New Roman" w:eastAsia="楷体_GB2312" w:hAnsi="Times New Roman" w:hint="eastAsia"/>
          <w:sz w:val="21"/>
          <w:szCs w:val="21"/>
        </w:rPr>
        <w:t>”为录制年码；“</w:t>
      </w:r>
      <w:r>
        <w:rPr>
          <w:rFonts w:ascii="Times New Roman" w:eastAsia="楷体_GB2312" w:hAnsi="Times New Roman"/>
          <w:sz w:val="21"/>
          <w:szCs w:val="21"/>
        </w:rPr>
        <w:t>21</w:t>
      </w:r>
      <w:r>
        <w:rPr>
          <w:rFonts w:ascii="Times New Roman" w:eastAsia="楷体_GB2312" w:hAnsi="Times New Roman" w:hint="eastAsia"/>
          <w:sz w:val="21"/>
          <w:szCs w:val="21"/>
        </w:rPr>
        <w:t>”为记录码；“</w:t>
      </w:r>
      <w:r>
        <w:rPr>
          <w:rFonts w:ascii="Times New Roman" w:eastAsia="楷体_GB2312" w:hAnsi="Times New Roman"/>
          <w:sz w:val="21"/>
          <w:szCs w:val="21"/>
        </w:rPr>
        <w:t>0/VG4</w:t>
      </w:r>
      <w:r>
        <w:rPr>
          <w:rFonts w:ascii="Times New Roman" w:eastAsia="楷体_GB2312" w:hAnsi="Times New Roman" w:hint="eastAsia"/>
          <w:sz w:val="21"/>
          <w:szCs w:val="21"/>
        </w:rPr>
        <w:t>”为记录项码。可以认定该光盘的公开日为</w:t>
      </w:r>
      <w:r>
        <w:rPr>
          <w:rFonts w:ascii="Times New Roman" w:eastAsia="楷体_GB2312" w:hAnsi="Times New Roman"/>
          <w:sz w:val="21"/>
          <w:szCs w:val="21"/>
        </w:rPr>
        <w:t>1997</w:t>
      </w:r>
      <w:r>
        <w:rPr>
          <w:rFonts w:ascii="Times New Roman" w:eastAsia="楷体_GB2312" w:hAnsi="Times New Roman" w:hint="eastAsia"/>
          <w:sz w:val="21"/>
          <w:szCs w:val="21"/>
        </w:rPr>
        <w:t>年</w:t>
      </w:r>
      <w:r>
        <w:rPr>
          <w:rFonts w:ascii="Times New Roman" w:eastAsia="楷体_GB2312" w:hAnsi="Times New Roman"/>
          <w:sz w:val="21"/>
          <w:szCs w:val="21"/>
        </w:rPr>
        <w:t>12</w:t>
      </w:r>
      <w:r>
        <w:rPr>
          <w:rFonts w:ascii="Times New Roman" w:eastAsia="楷体_GB2312" w:hAnsi="Times New Roman" w:hint="eastAsia"/>
          <w:sz w:val="21"/>
          <w:szCs w:val="21"/>
        </w:rPr>
        <w:t>月</w:t>
      </w:r>
      <w:r>
        <w:rPr>
          <w:rFonts w:ascii="Times New Roman" w:eastAsia="楷体_GB2312" w:hAnsi="Times New Roman"/>
          <w:sz w:val="21"/>
          <w:szCs w:val="21"/>
        </w:rPr>
        <w:t>31</w:t>
      </w:r>
      <w:r>
        <w:rPr>
          <w:rFonts w:ascii="Times New Roman" w:eastAsia="楷体_GB2312" w:hAnsi="Times New Roman" w:hint="eastAsia"/>
          <w:sz w:val="21"/>
          <w:szCs w:val="21"/>
        </w:rPr>
        <w:t>日。</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4-5-6</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某专利侵权案中，当事人提交一本版权页上标有“</w:t>
      </w:r>
      <w:r>
        <w:rPr>
          <w:rFonts w:ascii="Times New Roman" w:eastAsia="楷体_GB2312" w:hAnsi="Times New Roman"/>
          <w:sz w:val="21"/>
          <w:szCs w:val="21"/>
        </w:rPr>
        <w:t>printed in U.S.A</w:t>
      </w:r>
      <w:r>
        <w:rPr>
          <w:rFonts w:ascii="Times New Roman" w:eastAsia="楷体_GB2312" w:hAnsi="Times New Roman" w:hint="eastAsia"/>
          <w:sz w:val="21"/>
          <w:szCs w:val="21"/>
        </w:rPr>
        <w:t>，</w:t>
      </w:r>
      <w:r>
        <w:rPr>
          <w:rFonts w:ascii="Times New Roman" w:eastAsia="楷体_GB2312" w:hAnsi="Times New Roman"/>
          <w:sz w:val="21"/>
          <w:szCs w:val="21"/>
        </w:rPr>
        <w:t xml:space="preserve">Envirex </w:t>
      </w:r>
      <w:r>
        <w:rPr>
          <w:rFonts w:ascii="Times New Roman" w:eastAsia="楷体_GB2312" w:hAnsi="Times New Roman" w:hint="eastAsia"/>
          <w:sz w:val="21"/>
          <w:szCs w:val="21"/>
        </w:rPr>
        <w:t>I</w:t>
      </w:r>
      <w:r>
        <w:rPr>
          <w:rFonts w:ascii="Times New Roman" w:eastAsia="楷体_GB2312" w:hAnsi="Times New Roman"/>
          <w:sz w:val="21"/>
          <w:szCs w:val="21"/>
        </w:rPr>
        <w:t>nc.1989</w:t>
      </w:r>
      <w:r>
        <w:rPr>
          <w:rFonts w:ascii="Times New Roman" w:eastAsia="楷体_GB2312" w:hAnsi="Times New Roman" w:hint="eastAsia"/>
          <w:sz w:val="21"/>
          <w:szCs w:val="21"/>
        </w:rPr>
        <w:t>”的某美国公司的产品说明书，综合其他证据可以确认其真实性，且没有其他证据证明该产品说明书要求保密或者限定发行范围时，应当确认其公开日期为</w:t>
      </w:r>
      <w:r>
        <w:rPr>
          <w:rFonts w:ascii="Times New Roman" w:eastAsia="楷体_GB2312" w:hAnsi="Times New Roman"/>
          <w:sz w:val="21"/>
          <w:szCs w:val="21"/>
        </w:rPr>
        <w:t>1989</w:t>
      </w:r>
      <w:r>
        <w:rPr>
          <w:rFonts w:ascii="Times New Roman" w:eastAsia="楷体_GB2312" w:hAnsi="Times New Roman" w:hint="eastAsia"/>
          <w:sz w:val="21"/>
          <w:szCs w:val="21"/>
        </w:rPr>
        <w:t>年</w:t>
      </w:r>
      <w:r>
        <w:rPr>
          <w:rFonts w:ascii="Times New Roman" w:eastAsia="楷体_GB2312" w:hAnsi="Times New Roman"/>
          <w:sz w:val="21"/>
          <w:szCs w:val="21"/>
        </w:rPr>
        <w:t>12</w:t>
      </w:r>
      <w:r>
        <w:rPr>
          <w:rFonts w:ascii="Times New Roman" w:eastAsia="楷体_GB2312" w:hAnsi="Times New Roman" w:hint="eastAsia"/>
          <w:sz w:val="21"/>
          <w:szCs w:val="21"/>
        </w:rPr>
        <w:t>月</w:t>
      </w:r>
      <w:r>
        <w:rPr>
          <w:rFonts w:ascii="Times New Roman" w:eastAsia="楷体_GB2312" w:hAnsi="Times New Roman"/>
          <w:sz w:val="21"/>
          <w:szCs w:val="21"/>
        </w:rPr>
        <w:t>31</w:t>
      </w:r>
      <w:r>
        <w:rPr>
          <w:rFonts w:ascii="Times New Roman" w:eastAsia="楷体_GB2312" w:hAnsi="Times New Roman" w:hint="eastAsia"/>
          <w:sz w:val="21"/>
          <w:szCs w:val="21"/>
        </w:rPr>
        <w:t>日。</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5. </w:t>
      </w:r>
      <w:r>
        <w:rPr>
          <w:rFonts w:ascii="Times New Roman" w:eastAsia="黑体" w:hAnsi="黑体" w:cs="Times New Roman"/>
          <w:sz w:val="21"/>
          <w:szCs w:val="21"/>
        </w:rPr>
        <w:t>标准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为规范产品和产品生产而制定的标准包括国家标准、行业标准、地方标准和企业标准。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国家标准由国务院标准化行政主管部门制定。对没有国家标准而又需要在全国某个行业范围内统一的技术要求，通常通过制定行业标准来约束。行业标准由国务院有关行政主管部门制定，并报国务院标准化行政主管部门备案。对没有国家标准和行业标准而又需要在省、自治区、直辖市范围内统一的工业产品的安全、卫生要求，根据规定应当制定地方标准。企业生产的产品没有国家标准和行业标准的，根据规定应当制定企业标准，作为组织生产的依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通常情况下，国家标准、行业标准、地方标准都属于专利法意义上的公开出版物；企业标准是内部标准，不能视为专利法意义上的公开出版物。</w:t>
      </w:r>
    </w:p>
    <w:p w:rsidR="00800760" w:rsidRDefault="00235733">
      <w:pPr>
        <w:pStyle w:val="12"/>
        <w:topLinePunct/>
        <w:spacing w:line="336" w:lineRule="auto"/>
        <w:ind w:firstLine="420"/>
        <w:rPr>
          <w:rFonts w:ascii="Times New Roman" w:eastAsia="宋体" w:hAnsi="Times New Roman"/>
          <w:spacing w:val="2"/>
          <w:sz w:val="21"/>
          <w:szCs w:val="21"/>
        </w:rPr>
      </w:pPr>
      <w:r>
        <w:rPr>
          <w:rFonts w:ascii="Times New Roman" w:eastAsia="宋体" w:hAnsi="Times New Roman" w:hint="eastAsia"/>
          <w:sz w:val="21"/>
          <w:szCs w:val="21"/>
        </w:rPr>
        <w:t>药品领域中的《中国药典》、部颁药品标准汇编本、地方药品标准汇编，其他领域的国家标准、行业标准、地方标准一般应认定为专利法意义上的公开出版物。药品领域中进口药品标准一般不应认</w:t>
      </w:r>
      <w:r>
        <w:rPr>
          <w:rFonts w:ascii="Times New Roman" w:eastAsia="宋体" w:hAnsi="Times New Roman" w:hint="eastAsia"/>
          <w:spacing w:val="2"/>
          <w:sz w:val="21"/>
          <w:szCs w:val="21"/>
        </w:rPr>
        <w:t>定为专利法意义上的公开出版物。药品领域中未汇编成册的部颁标准、地方药品标准、企业药品标准和其他领域的企业标准是否属于专利法意义上的公开出版物应当结合相关法规、规章及其他证据认定。</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4-5-7</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专利权人甲指控</w:t>
      </w:r>
      <w:r>
        <w:rPr>
          <w:rFonts w:ascii="Times New Roman" w:eastAsia="楷体_GB2312" w:hAnsi="Times New Roman" w:hint="eastAsia"/>
          <w:sz w:val="21"/>
          <w:szCs w:val="21"/>
        </w:rPr>
        <w:t>A</w:t>
      </w:r>
      <w:r>
        <w:rPr>
          <w:rFonts w:ascii="Times New Roman" w:eastAsia="楷体_GB2312" w:hAnsi="Times New Roman" w:hint="eastAsia"/>
          <w:sz w:val="21"/>
          <w:szCs w:val="21"/>
        </w:rPr>
        <w:t>公司侵犯其专利权，其专利申请日为</w:t>
      </w:r>
      <w:r>
        <w:rPr>
          <w:rFonts w:ascii="Times New Roman" w:eastAsia="楷体_GB2312" w:hAnsi="Times New Roman"/>
          <w:sz w:val="21"/>
          <w:szCs w:val="21"/>
        </w:rPr>
        <w:t>2003</w:t>
      </w:r>
      <w:r>
        <w:rPr>
          <w:rFonts w:ascii="Times New Roman" w:eastAsia="楷体_GB2312" w:hAnsi="Times New Roman" w:hint="eastAsia"/>
          <w:sz w:val="21"/>
          <w:szCs w:val="21"/>
        </w:rPr>
        <w:t>年</w:t>
      </w:r>
      <w:r>
        <w:rPr>
          <w:rFonts w:ascii="Times New Roman" w:eastAsia="楷体_GB2312" w:hAnsi="Times New Roman"/>
          <w:sz w:val="21"/>
          <w:szCs w:val="21"/>
        </w:rPr>
        <w:t>1</w:t>
      </w:r>
      <w:r>
        <w:rPr>
          <w:rFonts w:ascii="Times New Roman" w:eastAsia="楷体_GB2312" w:hAnsi="Times New Roman" w:hint="eastAsia"/>
          <w:sz w:val="21"/>
          <w:szCs w:val="21"/>
        </w:rPr>
        <w:t>月</w:t>
      </w:r>
      <w:r>
        <w:rPr>
          <w:rFonts w:ascii="Times New Roman" w:eastAsia="楷体_GB2312" w:hAnsi="Times New Roman"/>
          <w:sz w:val="21"/>
          <w:szCs w:val="21"/>
        </w:rPr>
        <w:t>20</w:t>
      </w:r>
      <w:r>
        <w:rPr>
          <w:rFonts w:ascii="Times New Roman" w:eastAsia="楷体_GB2312" w:hAnsi="Times New Roman" w:hint="eastAsia"/>
          <w:sz w:val="21"/>
          <w:szCs w:val="21"/>
        </w:rPr>
        <w:t>日。</w:t>
      </w:r>
      <w:r>
        <w:rPr>
          <w:rFonts w:ascii="Times New Roman" w:eastAsia="楷体_GB2312" w:hAnsi="Times New Roman" w:hint="eastAsia"/>
          <w:sz w:val="21"/>
          <w:szCs w:val="21"/>
        </w:rPr>
        <w:t>A</w:t>
      </w:r>
      <w:r>
        <w:rPr>
          <w:rFonts w:ascii="Times New Roman" w:eastAsia="楷体_GB2312" w:hAnsi="Times New Roman" w:hint="eastAsia"/>
          <w:sz w:val="21"/>
          <w:szCs w:val="21"/>
        </w:rPr>
        <w:t>公司主张，根据《国家中成药标准汇编</w:t>
      </w:r>
      <w:r>
        <w:rPr>
          <w:rFonts w:ascii="Times New Roman" w:eastAsia="宋体" w:hAnsi="Times New Roman" w:hint="eastAsia"/>
          <w:sz w:val="21"/>
          <w:szCs w:val="21"/>
        </w:rPr>
        <w:t>——</w:t>
      </w:r>
      <w:r>
        <w:rPr>
          <w:rFonts w:ascii="Times New Roman" w:eastAsia="楷体_GB2312" w:hAnsi="Times New Roman" w:hint="eastAsia"/>
          <w:sz w:val="21"/>
          <w:szCs w:val="21"/>
        </w:rPr>
        <w:t>中成药地方标准上升国家标准部分（骨伤科分册）》（以下简称“汇编”）一书可知，</w:t>
      </w:r>
      <w:r>
        <w:rPr>
          <w:rFonts w:ascii="Times New Roman" w:eastAsia="楷体_GB2312" w:hAnsi="Times New Roman" w:hint="eastAsia"/>
          <w:sz w:val="21"/>
          <w:szCs w:val="21"/>
        </w:rPr>
        <w:t>A</w:t>
      </w:r>
      <w:r>
        <w:rPr>
          <w:rFonts w:ascii="Times New Roman" w:eastAsia="楷体_GB2312" w:hAnsi="Times New Roman" w:hint="eastAsia"/>
          <w:sz w:val="21"/>
          <w:szCs w:val="21"/>
        </w:rPr>
        <w:t>公司实施的技术为现有技术，因此不应承担侵权责任。甲认可该汇编的真实性，但认为，该汇编没有标明出版发行号、书号、条码、定价等国家规定的正规出版图书所应有的特征标识，不是国家公开出版发行物，也没有印刷日期，其公开日期也不能确定，因此不能作为现有技术抗辩证据使用。经查，该汇编封面上盖有“成都力思特制药股份有限公司资料专用章”，有“国家药品监督管理局编　二ОО二年”字样，前言页记载“从</w:t>
      </w:r>
      <w:r>
        <w:rPr>
          <w:rFonts w:ascii="Times New Roman" w:eastAsia="楷体_GB2312" w:hAnsi="Times New Roman"/>
          <w:sz w:val="21"/>
          <w:szCs w:val="21"/>
        </w:rPr>
        <w:t>2001</w:t>
      </w:r>
      <w:r>
        <w:rPr>
          <w:rFonts w:ascii="Times New Roman" w:eastAsia="楷体_GB2312" w:hAnsi="Times New Roman" w:hint="eastAsia"/>
          <w:sz w:val="21"/>
          <w:szCs w:val="21"/>
        </w:rPr>
        <w:t>年初开始，我局对尚未纳入国家药品标准管理的中成药地方标准进行了清理整顿工作。在广大中医、药学专家的帮助下，此项工作已全面完成</w:t>
      </w:r>
      <w:r>
        <w:rPr>
          <w:rFonts w:ascii="Times New Roman" w:eastAsia="宋体" w:hAnsi="Times New Roman" w:hint="eastAsia"/>
          <w:sz w:val="21"/>
          <w:szCs w:val="21"/>
        </w:rPr>
        <w:t>……</w:t>
      </w:r>
      <w:r>
        <w:rPr>
          <w:rFonts w:ascii="Times New Roman" w:eastAsia="楷体_GB2312" w:hAnsi="Times New Roman" w:hint="eastAsia"/>
          <w:sz w:val="21"/>
          <w:szCs w:val="21"/>
        </w:rPr>
        <w:t>标准的试行日期为自</w:t>
      </w:r>
      <w:r>
        <w:rPr>
          <w:rFonts w:ascii="Times New Roman" w:eastAsia="楷体_GB2312" w:hAnsi="Times New Roman"/>
          <w:sz w:val="21"/>
          <w:szCs w:val="21"/>
        </w:rPr>
        <w:t>2002</w:t>
      </w:r>
      <w:r>
        <w:rPr>
          <w:rFonts w:ascii="Times New Roman" w:eastAsia="楷体_GB2312" w:hAnsi="Times New Roman" w:hint="eastAsia"/>
          <w:sz w:val="21"/>
          <w:szCs w:val="21"/>
        </w:rPr>
        <w:t>年</w:t>
      </w:r>
      <w:r>
        <w:rPr>
          <w:rFonts w:ascii="Times New Roman" w:eastAsia="楷体_GB2312" w:hAnsi="Times New Roman"/>
          <w:sz w:val="21"/>
          <w:szCs w:val="21"/>
        </w:rPr>
        <w:t>12</w:t>
      </w:r>
      <w:r>
        <w:rPr>
          <w:rFonts w:ascii="Times New Roman" w:eastAsia="楷体_GB2312" w:hAnsi="Times New Roman" w:hint="eastAsia"/>
          <w:sz w:val="21"/>
          <w:szCs w:val="21"/>
        </w:rPr>
        <w:t>月</w:t>
      </w:r>
      <w:r>
        <w:rPr>
          <w:rFonts w:ascii="Times New Roman" w:eastAsia="楷体_GB2312" w:hAnsi="Times New Roman"/>
          <w:sz w:val="21"/>
          <w:szCs w:val="21"/>
        </w:rPr>
        <w:t>1</w:t>
      </w:r>
      <w:r>
        <w:rPr>
          <w:rFonts w:ascii="Times New Roman" w:eastAsia="楷体_GB2312" w:hAnsi="Times New Roman" w:hint="eastAsia"/>
          <w:sz w:val="21"/>
          <w:szCs w:val="21"/>
        </w:rPr>
        <w:t>日起”和落款日期“</w:t>
      </w:r>
      <w:r>
        <w:rPr>
          <w:rFonts w:ascii="Times New Roman" w:eastAsia="楷体_GB2312" w:hAnsi="Times New Roman"/>
          <w:sz w:val="21"/>
          <w:szCs w:val="21"/>
        </w:rPr>
        <w:t>2002</w:t>
      </w:r>
      <w:r>
        <w:rPr>
          <w:rFonts w:ascii="Times New Roman" w:eastAsia="楷体_GB2312" w:hAnsi="Times New Roman" w:hint="eastAsia"/>
          <w:sz w:val="21"/>
          <w:szCs w:val="21"/>
        </w:rPr>
        <w:t>年</w:t>
      </w:r>
      <w:r>
        <w:rPr>
          <w:rFonts w:ascii="Times New Roman" w:eastAsia="楷体_GB2312" w:hAnsi="Times New Roman"/>
          <w:sz w:val="21"/>
          <w:szCs w:val="21"/>
        </w:rPr>
        <w:t>11</w:t>
      </w:r>
      <w:r>
        <w:rPr>
          <w:rFonts w:ascii="Times New Roman" w:eastAsia="楷体_GB2312" w:hAnsi="Times New Roman" w:hint="eastAsia"/>
          <w:sz w:val="21"/>
          <w:szCs w:val="21"/>
        </w:rPr>
        <w:t>月</w:t>
      </w:r>
      <w:r>
        <w:rPr>
          <w:rFonts w:ascii="Times New Roman" w:eastAsia="楷体_GB2312" w:hAnsi="Times New Roman"/>
          <w:sz w:val="21"/>
          <w:szCs w:val="21"/>
        </w:rPr>
        <w:t>20</w:t>
      </w:r>
      <w:r>
        <w:rPr>
          <w:rFonts w:ascii="Times New Roman" w:eastAsia="楷体_GB2312" w:hAnsi="Times New Roman" w:hint="eastAsia"/>
          <w:sz w:val="21"/>
          <w:szCs w:val="21"/>
        </w:rPr>
        <w:t>日”。</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法意义上的公开出版物，应当以其在申请日以前处于能够为社会公众获得的状态即可，并不以该出版物是否具有出版发行号、书号、条码等信息为必要条件。仅以汇编没有记载上述信息为由而否定其为公开出版物，依据不足。该汇编是由负责国家药品监督管理的行政部门编纂发行的药品标准汇编，目的是在全国范围内统一药品的生产工艺和质量标准，因此这种药品标准的汇编本是任何人不受约束都可获得的，理应处于公众想得知就能够得知的状态。该汇编上盖有“成都力思特制药股份有限公司资料专用章”，而该公司并不是此药品标准的提出单位，这也佐证了其是公开发行的，是公众可获得的。而对于该汇编的具体公开日期，根据封面和前言的记载可知，该书在</w:t>
      </w:r>
      <w:r>
        <w:rPr>
          <w:rFonts w:ascii="Times New Roman" w:eastAsia="楷体_GB2312" w:hAnsi="Times New Roman"/>
          <w:sz w:val="21"/>
          <w:szCs w:val="21"/>
        </w:rPr>
        <w:t>2002</w:t>
      </w:r>
      <w:r>
        <w:rPr>
          <w:rFonts w:ascii="Times New Roman" w:eastAsia="楷体_GB2312" w:hAnsi="Times New Roman" w:hint="eastAsia"/>
          <w:sz w:val="21"/>
          <w:szCs w:val="21"/>
        </w:rPr>
        <w:t>年</w:t>
      </w:r>
      <w:r>
        <w:rPr>
          <w:rFonts w:ascii="Times New Roman" w:eastAsia="楷体_GB2312" w:hAnsi="Times New Roman"/>
          <w:sz w:val="21"/>
          <w:szCs w:val="21"/>
        </w:rPr>
        <w:t>11</w:t>
      </w:r>
      <w:r>
        <w:rPr>
          <w:rFonts w:ascii="Times New Roman" w:eastAsia="楷体_GB2312" w:hAnsi="Times New Roman" w:hint="eastAsia"/>
          <w:sz w:val="21"/>
          <w:szCs w:val="21"/>
        </w:rPr>
        <w:t>月</w:t>
      </w:r>
      <w:r>
        <w:rPr>
          <w:rFonts w:ascii="Times New Roman" w:eastAsia="楷体_GB2312" w:hAnsi="Times New Roman"/>
          <w:sz w:val="21"/>
          <w:szCs w:val="21"/>
        </w:rPr>
        <w:t>20</w:t>
      </w:r>
      <w:r>
        <w:rPr>
          <w:rFonts w:ascii="Times New Roman" w:eastAsia="楷体_GB2312" w:hAnsi="Times New Roman" w:hint="eastAsia"/>
          <w:sz w:val="21"/>
          <w:szCs w:val="21"/>
        </w:rPr>
        <w:t>日已汇编完成，其标准于</w:t>
      </w:r>
      <w:r>
        <w:rPr>
          <w:rFonts w:ascii="Times New Roman" w:eastAsia="楷体_GB2312" w:hAnsi="Times New Roman"/>
          <w:sz w:val="21"/>
          <w:szCs w:val="21"/>
        </w:rPr>
        <w:t>2002</w:t>
      </w:r>
      <w:r>
        <w:rPr>
          <w:rFonts w:ascii="Times New Roman" w:eastAsia="楷体_GB2312" w:hAnsi="Times New Roman" w:hint="eastAsia"/>
          <w:sz w:val="21"/>
          <w:szCs w:val="21"/>
        </w:rPr>
        <w:t>年</w:t>
      </w:r>
      <w:r>
        <w:rPr>
          <w:rFonts w:ascii="Times New Roman" w:eastAsia="楷体_GB2312" w:hAnsi="Times New Roman"/>
          <w:sz w:val="21"/>
          <w:szCs w:val="21"/>
        </w:rPr>
        <w:t>12</w:t>
      </w:r>
      <w:r>
        <w:rPr>
          <w:rFonts w:ascii="Times New Roman" w:eastAsia="楷体_GB2312" w:hAnsi="Times New Roman" w:hint="eastAsia"/>
          <w:sz w:val="21"/>
          <w:szCs w:val="21"/>
        </w:rPr>
        <w:t>月</w:t>
      </w:r>
      <w:r>
        <w:rPr>
          <w:rFonts w:ascii="Times New Roman" w:eastAsia="楷体_GB2312" w:hAnsi="Times New Roman"/>
          <w:sz w:val="21"/>
          <w:szCs w:val="21"/>
        </w:rPr>
        <w:t>1</w:t>
      </w:r>
      <w:r>
        <w:rPr>
          <w:rFonts w:ascii="Times New Roman" w:eastAsia="楷体_GB2312" w:hAnsi="Times New Roman" w:hint="eastAsia"/>
          <w:sz w:val="21"/>
          <w:szCs w:val="21"/>
        </w:rPr>
        <w:t>日开始试行。出于在全国范围内统一药品的生产工艺和质量标准的目的，该汇编应当在试行起始日</w:t>
      </w:r>
      <w:r>
        <w:rPr>
          <w:rFonts w:ascii="Times New Roman" w:eastAsia="楷体_GB2312" w:hAnsi="Times New Roman"/>
          <w:sz w:val="21"/>
          <w:szCs w:val="21"/>
        </w:rPr>
        <w:t>2002</w:t>
      </w:r>
      <w:r>
        <w:rPr>
          <w:rFonts w:ascii="Times New Roman" w:eastAsia="楷体_GB2312" w:hAnsi="Times New Roman" w:hint="eastAsia"/>
          <w:sz w:val="21"/>
          <w:szCs w:val="21"/>
        </w:rPr>
        <w:t>年</w:t>
      </w:r>
      <w:r>
        <w:rPr>
          <w:rFonts w:ascii="Times New Roman" w:eastAsia="楷体_GB2312" w:hAnsi="Times New Roman"/>
          <w:sz w:val="21"/>
          <w:szCs w:val="21"/>
        </w:rPr>
        <w:t>12</w:t>
      </w:r>
      <w:r>
        <w:rPr>
          <w:rFonts w:ascii="Times New Roman" w:eastAsia="楷体_GB2312" w:hAnsi="Times New Roman" w:hint="eastAsia"/>
          <w:sz w:val="21"/>
          <w:szCs w:val="21"/>
        </w:rPr>
        <w:t>月</w:t>
      </w:r>
      <w:r>
        <w:rPr>
          <w:rFonts w:ascii="Times New Roman" w:eastAsia="楷体_GB2312" w:hAnsi="Times New Roman"/>
          <w:sz w:val="21"/>
          <w:szCs w:val="21"/>
        </w:rPr>
        <w:t>1</w:t>
      </w:r>
      <w:r>
        <w:rPr>
          <w:rFonts w:ascii="Times New Roman" w:eastAsia="楷体_GB2312" w:hAnsi="Times New Roman" w:hint="eastAsia"/>
          <w:sz w:val="21"/>
          <w:szCs w:val="21"/>
        </w:rPr>
        <w:t>日前公开发行。即便考虑到从汇编完成到印刷完成的合理时间，其最迟公开日也应早于</w:t>
      </w:r>
      <w:r>
        <w:rPr>
          <w:rFonts w:ascii="Times New Roman" w:eastAsia="楷体_GB2312" w:hAnsi="Times New Roman"/>
          <w:sz w:val="21"/>
          <w:szCs w:val="21"/>
        </w:rPr>
        <w:t>2003</w:t>
      </w:r>
      <w:r>
        <w:rPr>
          <w:rFonts w:ascii="Times New Roman" w:eastAsia="楷体_GB2312" w:hAnsi="Times New Roman" w:hint="eastAsia"/>
          <w:sz w:val="21"/>
          <w:szCs w:val="21"/>
        </w:rPr>
        <w:t>年。综上，该汇编属于专利法意义上的公开出版物，公开日早于涉案专利申请日，可以作为本案现有技术抗辩的证据使用。</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4-5-8</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A</w:t>
      </w:r>
      <w:r>
        <w:rPr>
          <w:rFonts w:ascii="Times New Roman" w:eastAsia="楷体_GB2312" w:hAnsi="Times New Roman" w:hint="eastAsia"/>
          <w:sz w:val="21"/>
          <w:szCs w:val="21"/>
        </w:rPr>
        <w:t>公司指控</w:t>
      </w:r>
      <w:r>
        <w:rPr>
          <w:rFonts w:ascii="Times New Roman" w:eastAsia="楷体_GB2312" w:hAnsi="Times New Roman"/>
          <w:sz w:val="21"/>
          <w:szCs w:val="21"/>
        </w:rPr>
        <w:t>B</w:t>
      </w:r>
      <w:r>
        <w:rPr>
          <w:rFonts w:ascii="Times New Roman" w:eastAsia="楷体_GB2312" w:hAnsi="Times New Roman" w:hint="eastAsia"/>
          <w:sz w:val="21"/>
          <w:szCs w:val="21"/>
        </w:rPr>
        <w:t>公司的产品侵犯其专利权。</w:t>
      </w:r>
      <w:r>
        <w:rPr>
          <w:rFonts w:ascii="Times New Roman" w:eastAsia="楷体_GB2312" w:hAnsi="Times New Roman"/>
          <w:sz w:val="21"/>
          <w:szCs w:val="21"/>
        </w:rPr>
        <w:t>B</w:t>
      </w:r>
      <w:r>
        <w:rPr>
          <w:rFonts w:ascii="Times New Roman" w:eastAsia="楷体_GB2312" w:hAnsi="Times New Roman" w:hint="eastAsia"/>
          <w:sz w:val="21"/>
          <w:szCs w:val="21"/>
        </w:rPr>
        <w:t>公司则主张，其依据《上海市××企业标准</w:t>
      </w:r>
      <w:r>
        <w:rPr>
          <w:rFonts w:ascii="Times New Roman" w:eastAsia="宋体" w:hAnsi="Times New Roman"/>
          <w:sz w:val="21"/>
          <w:szCs w:val="21"/>
        </w:rPr>
        <w:t>——</w:t>
      </w:r>
      <w:r>
        <w:rPr>
          <w:rFonts w:ascii="Times New Roman" w:eastAsia="楷体_GB2312" w:hAnsi="Times New Roman" w:hint="eastAsia"/>
          <w:sz w:val="21"/>
          <w:szCs w:val="21"/>
        </w:rPr>
        <w:t>××系列腰椎固定带》制造所述产品，该产品属于现有技术，因此不侵犯</w:t>
      </w:r>
      <w:r>
        <w:rPr>
          <w:rFonts w:ascii="Times New Roman" w:eastAsia="楷体_GB2312" w:hAnsi="Times New Roman"/>
          <w:sz w:val="21"/>
          <w:szCs w:val="21"/>
        </w:rPr>
        <w:t>A</w:t>
      </w:r>
      <w:r>
        <w:rPr>
          <w:rFonts w:ascii="Times New Roman" w:eastAsia="楷体_GB2312" w:hAnsi="Times New Roman" w:hint="eastAsia"/>
          <w:sz w:val="21"/>
          <w:szCs w:val="21"/>
        </w:rPr>
        <w:t>公司的专利权。对此，</w:t>
      </w:r>
      <w:r>
        <w:rPr>
          <w:rFonts w:ascii="Times New Roman" w:eastAsia="楷体_GB2312" w:hAnsi="Times New Roman"/>
          <w:sz w:val="21"/>
          <w:szCs w:val="21"/>
        </w:rPr>
        <w:t>A</w:t>
      </w:r>
      <w:r>
        <w:rPr>
          <w:rFonts w:ascii="Times New Roman" w:eastAsia="楷体_GB2312" w:hAnsi="Times New Roman" w:hint="eastAsia"/>
          <w:sz w:val="21"/>
          <w:szCs w:val="21"/>
        </w:rPr>
        <w:t>公司认为，该标准为企业标准，不属于公开出版物，因此不能作为现有技术抗辩的证据使用。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《上海市××企业标准</w:t>
      </w:r>
      <w:r>
        <w:rPr>
          <w:rFonts w:ascii="Times New Roman" w:eastAsia="宋体" w:hAnsi="Times New Roman"/>
          <w:sz w:val="21"/>
          <w:szCs w:val="21"/>
        </w:rPr>
        <w:t>——</w:t>
      </w:r>
      <w:r>
        <w:rPr>
          <w:rFonts w:ascii="Times New Roman" w:eastAsia="楷体_GB2312" w:hAnsi="Times New Roman" w:hint="eastAsia"/>
          <w:sz w:val="21"/>
          <w:szCs w:val="21"/>
        </w:rPr>
        <w:t>××系列腰椎固定带》属于企业内部标准，双方对这一事实均予以确认。但是，在一般情况下，企业标准是内部标准，没有公开渠道能够查询其内容的，难以认定为专利法意义上的公开出版物。本案中，</w:t>
      </w:r>
      <w:r>
        <w:rPr>
          <w:rFonts w:ascii="Times New Roman" w:eastAsia="楷体_GB2312" w:hAnsi="Times New Roman"/>
          <w:sz w:val="21"/>
          <w:szCs w:val="21"/>
        </w:rPr>
        <w:t>B</w:t>
      </w:r>
      <w:r>
        <w:rPr>
          <w:rFonts w:ascii="Times New Roman" w:eastAsia="楷体_GB2312" w:hAnsi="Times New Roman" w:hint="eastAsia"/>
          <w:sz w:val="21"/>
          <w:szCs w:val="21"/>
        </w:rPr>
        <w:t>公司并未提交其他证据佐证该标准可以从公众渠道获得，该标准自身也未标注任何能够确认其公开时间的信息。在此情形下，即便该标准披露了被控侵权产品的技术方案，也不能认定</w:t>
      </w:r>
      <w:r>
        <w:rPr>
          <w:rFonts w:ascii="Times New Roman" w:eastAsia="楷体_GB2312" w:hAnsi="Times New Roman"/>
          <w:sz w:val="21"/>
          <w:szCs w:val="21"/>
        </w:rPr>
        <w:t>B</w:t>
      </w:r>
      <w:r>
        <w:rPr>
          <w:rFonts w:ascii="Times New Roman" w:eastAsia="楷体_GB2312" w:hAnsi="Times New Roman" w:hint="eastAsia"/>
          <w:sz w:val="21"/>
          <w:szCs w:val="21"/>
        </w:rPr>
        <w:t>公司的现有技术抗辩主张成立。</w:t>
      </w:r>
    </w:p>
    <w:p w:rsidR="00800760" w:rsidRDefault="00235733" w:rsidP="008175D7">
      <w:pPr>
        <w:pStyle w:val="12"/>
        <w:spacing w:line="336" w:lineRule="auto"/>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6. </w:t>
      </w:r>
      <w:r>
        <w:rPr>
          <w:rFonts w:ascii="Times New Roman" w:eastAsia="黑体" w:hAnsi="黑体" w:cs="Times New Roman"/>
          <w:sz w:val="21"/>
          <w:szCs w:val="21"/>
        </w:rPr>
        <w:t>合同、票据、单据类</w:t>
      </w:r>
    </w:p>
    <w:p w:rsidR="00800760" w:rsidRDefault="00235733" w:rsidP="008175D7">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合同是平等民事主体之间设立、变更、终止民事权利义务关系的协议。通常与其他证据结合，证明某种产品销售行为的发生。票据是依法签发和流通的、反映债权债务关系、以无条件支付一定金额为目的的有价证券，包括汇票、本票和支票。单据通常是指办理货物的交付和货款的支付的一种依据，以及提取货物的货权凭证，其种类包括发票、保险单、订货单、销售单、出库单、运货单、提货单、装箱单、商检报告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商业发票由税务机关统一监制，由指定的印刷单位统一印刷，并由税务机关统一登记、发放和管理，与其他普通单据相比，具有较强的防伪性，其真实性容易得到确认。发票一般还记载货物名称、数量、单价、货款、买卖双方名称等，对于销售行为的发生具有较强的证明力。发票一般不会记载产品的技术内容，通常无法单独证明销售产品构成侵权，需要有其他证据佐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送货单、收据等的印制和发放不受税务机关的监督和管理，其真实性较难确认。对于送货单、收据等单据的真实性和证明力，应结合全案证据综合加以考虑，不能一概不予认定，也不能不加分析当作证据链中证明销售行为的主要证据一概接受。</w:t>
      </w:r>
    </w:p>
    <w:p w:rsidR="00800760" w:rsidRDefault="00235733">
      <w:pPr>
        <w:pStyle w:val="af6"/>
        <w:spacing w:before="120"/>
        <w:ind w:firstLine="420"/>
      </w:pPr>
      <w:r>
        <w:rPr>
          <w:rFonts w:hint="eastAsia"/>
        </w:rPr>
        <w:t>【案例4-5-9】</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甲是某汽车锁专利的专利权人。</w:t>
      </w:r>
      <w:r>
        <w:rPr>
          <w:rFonts w:ascii="Times New Roman" w:eastAsia="楷体_GB2312" w:hAnsi="Times New Roman"/>
          <w:sz w:val="21"/>
          <w:szCs w:val="21"/>
        </w:rPr>
        <w:t>2008</w:t>
      </w:r>
      <w:r>
        <w:rPr>
          <w:rFonts w:ascii="Times New Roman" w:eastAsia="楷体_GB2312" w:hAnsi="Times New Roman" w:hint="eastAsia"/>
          <w:sz w:val="21"/>
          <w:szCs w:val="21"/>
        </w:rPr>
        <w:t>年</w:t>
      </w:r>
      <w:r>
        <w:rPr>
          <w:rFonts w:ascii="Times New Roman" w:eastAsia="楷体_GB2312" w:hAnsi="Times New Roman"/>
          <w:sz w:val="21"/>
          <w:szCs w:val="21"/>
        </w:rPr>
        <w:t>8</w:t>
      </w:r>
      <w:r>
        <w:rPr>
          <w:rFonts w:ascii="Times New Roman" w:eastAsia="楷体_GB2312" w:hAnsi="Times New Roman" w:hint="eastAsia"/>
          <w:sz w:val="21"/>
          <w:szCs w:val="21"/>
        </w:rPr>
        <w:t>月</w:t>
      </w:r>
      <w:r>
        <w:rPr>
          <w:rFonts w:ascii="Times New Roman" w:eastAsia="楷体_GB2312" w:hAnsi="Times New Roman"/>
          <w:sz w:val="21"/>
          <w:szCs w:val="21"/>
        </w:rPr>
        <w:t>21</w:t>
      </w:r>
      <w:r>
        <w:rPr>
          <w:rFonts w:ascii="Times New Roman" w:eastAsia="楷体_GB2312" w:hAnsi="Times New Roman" w:hint="eastAsia"/>
          <w:sz w:val="21"/>
          <w:szCs w:val="21"/>
        </w:rPr>
        <w:t>日，甲请求公证处对某网站（</w:t>
      </w:r>
      <w:r>
        <w:rPr>
          <w:rFonts w:ascii="Times New Roman" w:eastAsia="楷体_GB2312" w:hAnsi="Times New Roman"/>
          <w:sz w:val="21"/>
          <w:szCs w:val="21"/>
        </w:rPr>
        <w:t>www.y888y.com</w:t>
      </w:r>
      <w:r>
        <w:rPr>
          <w:rFonts w:ascii="Times New Roman" w:eastAsia="楷体_GB2312" w:hAnsi="Times New Roman" w:hint="eastAsia"/>
          <w:sz w:val="21"/>
          <w:szCs w:val="21"/>
        </w:rPr>
        <w:t>）的相关网页内容进行了公证，该网页显示所有者为“</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万某公司”，营业地址为“××市××区××路</w:t>
      </w:r>
      <w:r>
        <w:rPr>
          <w:rFonts w:ascii="Times New Roman" w:eastAsia="楷体_GB2312" w:hAnsi="Times New Roman"/>
          <w:sz w:val="21"/>
          <w:szCs w:val="21"/>
        </w:rPr>
        <w:t>1</w:t>
      </w:r>
      <w:r>
        <w:rPr>
          <w:rFonts w:ascii="Times New Roman" w:eastAsia="楷体_GB2312" w:hAnsi="Times New Roman" w:hint="eastAsia"/>
          <w:sz w:val="21"/>
          <w:szCs w:val="21"/>
        </w:rPr>
        <w:t>号”。随后，甲和公证员来到××市××区××路</w:t>
      </w:r>
      <w:r>
        <w:rPr>
          <w:rFonts w:ascii="Times New Roman" w:eastAsia="楷体_GB2312" w:hAnsi="Times New Roman"/>
          <w:sz w:val="21"/>
          <w:szCs w:val="21"/>
        </w:rPr>
        <w:t>1</w:t>
      </w:r>
      <w:r>
        <w:rPr>
          <w:rFonts w:ascii="Times New Roman" w:eastAsia="楷体_GB2312" w:hAnsi="Times New Roman" w:hint="eastAsia"/>
          <w:sz w:val="21"/>
          <w:szCs w:val="21"/>
        </w:rPr>
        <w:t>号，向自称为“</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万某公司”业务经理的乙公证购买了车锁一台，取得加盖“</w:t>
      </w:r>
      <w:r>
        <w:rPr>
          <w:rFonts w:ascii="Times New Roman" w:eastAsia="楷体_GB2312" w:hAnsi="Times New Roman" w:hint="eastAsia"/>
          <w:sz w:val="21"/>
          <w:szCs w:val="21"/>
        </w:rPr>
        <w:t>A</w:t>
      </w:r>
      <w:r>
        <w:rPr>
          <w:rFonts w:ascii="Times New Roman" w:eastAsia="楷体_GB2312" w:hAnsi="Times New Roman" w:hint="eastAsia"/>
          <w:sz w:val="21"/>
          <w:szCs w:val="21"/>
        </w:rPr>
        <w:t>某龙销售中心”财务专用章的发票一张，还取得一份载有</w:t>
      </w:r>
      <w:r>
        <w:rPr>
          <w:rFonts w:ascii="Times New Roman" w:eastAsia="楷体_GB2312" w:hAnsi="Times New Roman"/>
          <w:sz w:val="21"/>
          <w:szCs w:val="21"/>
        </w:rPr>
        <w:t>www.y888y.com</w:t>
      </w:r>
      <w:r>
        <w:rPr>
          <w:rFonts w:ascii="Times New Roman" w:eastAsia="楷体_GB2312" w:hAnsi="Times New Roman" w:hint="eastAsia"/>
          <w:sz w:val="21"/>
          <w:szCs w:val="21"/>
        </w:rPr>
        <w:t>网址的产品宣传册。甲请求××市知识产权局对</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万某公司的侵权行为进行处理。</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万某公司辩称：公证书中销售发票落款是“</w:t>
      </w:r>
      <w:r>
        <w:rPr>
          <w:rFonts w:ascii="Times New Roman" w:eastAsia="楷体_GB2312" w:hAnsi="Times New Roman" w:hint="eastAsia"/>
          <w:sz w:val="21"/>
          <w:szCs w:val="21"/>
        </w:rPr>
        <w:t>A</w:t>
      </w:r>
      <w:r>
        <w:rPr>
          <w:rFonts w:ascii="Times New Roman" w:eastAsia="楷体_GB2312" w:hAnsi="Times New Roman" w:hint="eastAsia"/>
          <w:sz w:val="21"/>
          <w:szCs w:val="21"/>
        </w:rPr>
        <w:t>某龙销售中心”，与</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万某公司无关。甲主张：虽然销售发票落款是“</w:t>
      </w:r>
      <w:r>
        <w:rPr>
          <w:rFonts w:ascii="Times New Roman" w:eastAsia="楷体_GB2312" w:hAnsi="Times New Roman" w:hint="eastAsia"/>
          <w:sz w:val="21"/>
          <w:szCs w:val="21"/>
        </w:rPr>
        <w:t>A</w:t>
      </w:r>
      <w:r>
        <w:rPr>
          <w:rFonts w:ascii="Times New Roman" w:eastAsia="楷体_GB2312" w:hAnsi="Times New Roman" w:hint="eastAsia"/>
          <w:sz w:val="21"/>
          <w:szCs w:val="21"/>
        </w:rPr>
        <w:t>某龙销售中心”，而不是“</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万某公司”，但一个公司两块牌子很常见，只要公证的全过程真实可靠，对具有公信力的公证行为都应予认定。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虽然销售发票上加盖的是“</w:t>
      </w:r>
      <w:r>
        <w:rPr>
          <w:rFonts w:ascii="Times New Roman" w:eastAsia="楷体_GB2312" w:hAnsi="Times New Roman" w:hint="eastAsia"/>
          <w:sz w:val="21"/>
          <w:szCs w:val="21"/>
        </w:rPr>
        <w:t>A</w:t>
      </w:r>
      <w:r>
        <w:rPr>
          <w:rFonts w:ascii="Times New Roman" w:eastAsia="楷体_GB2312" w:hAnsi="Times New Roman" w:hint="eastAsia"/>
          <w:sz w:val="21"/>
          <w:szCs w:val="21"/>
        </w:rPr>
        <w:t>某龙销售中心”财务专用章，并非“</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万某公司”，但实践中一个公司借用或者以其他机构的名义出具发票属于常见情形，并且，本案公证取证的地点与</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万某公司网站中所载明的该公司地址一致，在</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万某公司没有相反证据的情况下，在该营业场所接待客户并进行销售的人应推定为该公司的销售人员，其行为所引发的责任应由</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万某公司承担。因此，××市知识产权局认定</w:t>
      </w:r>
      <w:r>
        <w:rPr>
          <w:rFonts w:ascii="Times New Roman" w:eastAsia="楷体_GB2312" w:hAnsi="Times New Roman" w:hint="eastAsia"/>
          <w:sz w:val="21"/>
          <w:szCs w:val="21"/>
        </w:rPr>
        <w:t>A</w:t>
      </w:r>
      <w:r>
        <w:rPr>
          <w:rFonts w:ascii="Times New Roman" w:eastAsia="楷体_GB2312" w:hAnsi="Times New Roman" w:hint="eastAsia"/>
          <w:sz w:val="21"/>
          <w:szCs w:val="21"/>
        </w:rPr>
        <w:t>万某公司实施了销售行为。</w:t>
      </w:r>
    </w:p>
    <w:p w:rsidR="00800760" w:rsidRDefault="00235733">
      <w:pPr>
        <w:pStyle w:val="af6"/>
        <w:spacing w:before="120"/>
        <w:ind w:firstLine="420"/>
      </w:pPr>
      <w:r>
        <w:rPr>
          <w:rFonts w:hint="eastAsia"/>
        </w:rPr>
        <w:t>【案例4-5-10】</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专利权人甲指控</w:t>
      </w:r>
      <w:r>
        <w:rPr>
          <w:rFonts w:ascii="Times New Roman" w:eastAsia="楷体_GB2312" w:hAnsi="Times New Roman" w:hint="eastAsia"/>
          <w:sz w:val="21"/>
          <w:szCs w:val="21"/>
        </w:rPr>
        <w:t>A</w:t>
      </w:r>
      <w:r>
        <w:rPr>
          <w:rFonts w:ascii="Times New Roman" w:eastAsia="楷体_GB2312" w:hAnsi="Times New Roman" w:hint="eastAsia"/>
          <w:sz w:val="21"/>
          <w:szCs w:val="21"/>
        </w:rPr>
        <w:t>公司制造的</w:t>
      </w:r>
      <w:r>
        <w:rPr>
          <w:rFonts w:ascii="Times New Roman" w:eastAsia="楷体_GB2312" w:hAnsi="Times New Roman"/>
          <w:sz w:val="21"/>
          <w:szCs w:val="21"/>
        </w:rPr>
        <w:t>M-100CC</w:t>
      </w:r>
      <w:r>
        <w:rPr>
          <w:rFonts w:ascii="Times New Roman" w:eastAsia="楷体_GB2312" w:hAnsi="Times New Roman" w:hint="eastAsia"/>
          <w:sz w:val="21"/>
          <w:szCs w:val="21"/>
        </w:rPr>
        <w:t>型号产品侵犯其专利权。</w:t>
      </w:r>
      <w:r>
        <w:rPr>
          <w:rFonts w:ascii="Times New Roman" w:eastAsia="楷体_GB2312" w:hAnsi="Times New Roman" w:hint="eastAsia"/>
          <w:sz w:val="21"/>
          <w:szCs w:val="21"/>
        </w:rPr>
        <w:t>A</w:t>
      </w:r>
      <w:r>
        <w:rPr>
          <w:rFonts w:ascii="Times New Roman" w:eastAsia="楷体_GB2312" w:hAnsi="Times New Roman" w:hint="eastAsia"/>
          <w:sz w:val="21"/>
          <w:szCs w:val="21"/>
        </w:rPr>
        <w:t>公司辩称，被控侵权产品虽落入专利保护范围，但甲原为</w:t>
      </w:r>
      <w:r>
        <w:rPr>
          <w:rFonts w:ascii="Times New Roman" w:eastAsia="楷体_GB2312" w:hAnsi="Times New Roman" w:hint="eastAsia"/>
          <w:sz w:val="21"/>
          <w:szCs w:val="21"/>
        </w:rPr>
        <w:t>A</w:t>
      </w:r>
      <w:r>
        <w:rPr>
          <w:rFonts w:ascii="Times New Roman" w:eastAsia="楷体_GB2312" w:hAnsi="Times New Roman" w:hint="eastAsia"/>
          <w:sz w:val="21"/>
          <w:szCs w:val="21"/>
        </w:rPr>
        <w:t>公司工作人员，申请日前甲向其领取过该产品，证明</w:t>
      </w:r>
      <w:r>
        <w:rPr>
          <w:rFonts w:ascii="Times New Roman" w:eastAsia="楷体_GB2312" w:hAnsi="Times New Roman" w:hint="eastAsia"/>
          <w:sz w:val="21"/>
          <w:szCs w:val="21"/>
        </w:rPr>
        <w:t>A</w:t>
      </w:r>
      <w:r>
        <w:rPr>
          <w:rFonts w:ascii="Times New Roman" w:eastAsia="楷体_GB2312" w:hAnsi="Times New Roman" w:hint="eastAsia"/>
          <w:sz w:val="21"/>
          <w:szCs w:val="21"/>
        </w:rPr>
        <w:t>公司在申请日前已经制造相同产品，</w:t>
      </w:r>
      <w:r>
        <w:rPr>
          <w:rFonts w:ascii="Times New Roman" w:eastAsia="楷体_GB2312" w:hAnsi="Times New Roman" w:hint="eastAsia"/>
          <w:sz w:val="21"/>
          <w:szCs w:val="21"/>
        </w:rPr>
        <w:t>A</w:t>
      </w:r>
      <w:r>
        <w:rPr>
          <w:rFonts w:ascii="Times New Roman" w:eastAsia="楷体_GB2312" w:hAnsi="Times New Roman" w:hint="eastAsia"/>
          <w:sz w:val="21"/>
          <w:szCs w:val="21"/>
        </w:rPr>
        <w:t>公司享有先用权，不侵犯该专利权。</w:t>
      </w:r>
      <w:r>
        <w:rPr>
          <w:rFonts w:ascii="Times New Roman" w:eastAsia="楷体_GB2312" w:hAnsi="Times New Roman" w:hint="eastAsia"/>
          <w:sz w:val="21"/>
          <w:szCs w:val="21"/>
        </w:rPr>
        <w:t>A</w:t>
      </w:r>
      <w:r>
        <w:rPr>
          <w:rFonts w:ascii="Times New Roman" w:eastAsia="楷体_GB2312" w:hAnsi="Times New Roman" w:hint="eastAsia"/>
          <w:sz w:val="21"/>
          <w:szCs w:val="21"/>
        </w:rPr>
        <w:t>公司提交了《申领样机审批表》和《出库单》对这一事实予以证明。甲认为，《申领样机审批表》和《出库单》上甲的签名为自己所写，但《申领样机审批表》上的产品型号</w:t>
      </w:r>
      <w:r>
        <w:rPr>
          <w:rFonts w:ascii="Times New Roman" w:eastAsia="楷体_GB2312" w:hAnsi="Times New Roman"/>
          <w:sz w:val="21"/>
          <w:szCs w:val="21"/>
        </w:rPr>
        <w:t>M-100CC</w:t>
      </w:r>
      <w:r>
        <w:rPr>
          <w:rFonts w:ascii="Times New Roman" w:eastAsia="楷体_GB2312" w:hAnsi="Times New Roman" w:hint="eastAsia"/>
          <w:sz w:val="21"/>
          <w:szCs w:val="21"/>
        </w:rPr>
        <w:t>并非自己所写，是</w:t>
      </w:r>
      <w:r>
        <w:rPr>
          <w:rFonts w:ascii="Times New Roman" w:eastAsia="楷体_GB2312" w:hAnsi="Times New Roman" w:hint="eastAsia"/>
          <w:sz w:val="21"/>
          <w:szCs w:val="21"/>
        </w:rPr>
        <w:t>A</w:t>
      </w:r>
      <w:r>
        <w:rPr>
          <w:rFonts w:ascii="Times New Roman" w:eastAsia="楷体_GB2312" w:hAnsi="Times New Roman" w:hint="eastAsia"/>
          <w:sz w:val="21"/>
          <w:szCs w:val="21"/>
        </w:rPr>
        <w:t>公司后添加上去的，因此其不能证明该申领产品为</w:t>
      </w:r>
      <w:r>
        <w:rPr>
          <w:rFonts w:ascii="Times New Roman" w:eastAsia="楷体_GB2312" w:hAnsi="Times New Roman"/>
          <w:sz w:val="21"/>
          <w:szCs w:val="21"/>
        </w:rPr>
        <w:t>M-100CC</w:t>
      </w:r>
      <w:r>
        <w:rPr>
          <w:rFonts w:ascii="Times New Roman" w:eastAsia="楷体_GB2312" w:hAnsi="Times New Roman" w:hint="eastAsia"/>
          <w:sz w:val="21"/>
          <w:szCs w:val="21"/>
        </w:rPr>
        <w:t>产品；此外，即便其型号为真，相隔数年生产都标明型号是</w:t>
      </w:r>
      <w:r>
        <w:rPr>
          <w:rFonts w:ascii="Times New Roman" w:eastAsia="楷体_GB2312" w:hAnsi="Times New Roman"/>
          <w:sz w:val="21"/>
          <w:szCs w:val="21"/>
        </w:rPr>
        <w:t>M-100CC</w:t>
      </w:r>
      <w:r>
        <w:rPr>
          <w:rFonts w:ascii="Times New Roman" w:eastAsia="楷体_GB2312" w:hAnsi="Times New Roman" w:hint="eastAsia"/>
          <w:sz w:val="21"/>
          <w:szCs w:val="21"/>
        </w:rPr>
        <w:t>的产品，并不必然是同样的产品。</w:t>
      </w:r>
      <w:r>
        <w:rPr>
          <w:rFonts w:ascii="Times New Roman" w:eastAsia="楷体_GB2312" w:hAnsi="Times New Roman" w:hint="eastAsia"/>
          <w:sz w:val="21"/>
          <w:szCs w:val="21"/>
        </w:rPr>
        <w:t>A</w:t>
      </w:r>
      <w:r>
        <w:rPr>
          <w:rFonts w:ascii="Times New Roman" w:eastAsia="楷体_GB2312" w:hAnsi="Times New Roman" w:hint="eastAsia"/>
          <w:sz w:val="21"/>
          <w:szCs w:val="21"/>
        </w:rPr>
        <w:t>公司</w:t>
      </w:r>
      <w:r>
        <w:rPr>
          <w:rFonts w:ascii="Times New Roman" w:eastAsia="楷体_GB2312" w:hAnsi="Times New Roman"/>
          <w:sz w:val="21"/>
          <w:szCs w:val="21"/>
        </w:rPr>
        <w:t>M-100CC</w:t>
      </w:r>
      <w:r>
        <w:rPr>
          <w:rFonts w:ascii="Times New Roman" w:eastAsia="楷体_GB2312" w:hAnsi="Times New Roman" w:hint="eastAsia"/>
          <w:sz w:val="21"/>
          <w:szCs w:val="21"/>
        </w:rPr>
        <w:t>型号产品并未经有关部门备案或批准。所谓</w:t>
      </w:r>
      <w:r>
        <w:rPr>
          <w:rFonts w:ascii="Times New Roman" w:eastAsia="楷体_GB2312" w:hAnsi="Times New Roman"/>
          <w:sz w:val="21"/>
          <w:szCs w:val="21"/>
        </w:rPr>
        <w:t>M-100CC</w:t>
      </w:r>
      <w:r>
        <w:rPr>
          <w:rFonts w:ascii="Times New Roman" w:eastAsia="楷体_GB2312" w:hAnsi="Times New Roman" w:hint="eastAsia"/>
          <w:sz w:val="21"/>
          <w:szCs w:val="21"/>
        </w:rPr>
        <w:t>完全是其自己所编制，其执行自己的型号带有很大的随意性。</w:t>
      </w:r>
      <w:r>
        <w:rPr>
          <w:rFonts w:ascii="Times New Roman" w:eastAsia="楷体_GB2312" w:hAnsi="Times New Roman" w:hint="eastAsia"/>
          <w:sz w:val="21"/>
          <w:szCs w:val="21"/>
        </w:rPr>
        <w:t>A</w:t>
      </w:r>
      <w:r>
        <w:rPr>
          <w:rFonts w:ascii="Times New Roman" w:eastAsia="楷体_GB2312" w:hAnsi="Times New Roman" w:hint="eastAsia"/>
          <w:sz w:val="21"/>
          <w:szCs w:val="21"/>
        </w:rPr>
        <w:t>公司对于产品型号并非甲所写予以确认，但否认为事后添加，而是其他工作人员先填写型号由甲随后签字确认。</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pacing w:val="2"/>
          <w:sz w:val="21"/>
          <w:szCs w:val="21"/>
        </w:rPr>
      </w:pPr>
      <w:r>
        <w:rPr>
          <w:rFonts w:ascii="Times New Roman" w:eastAsia="楷体_GB2312" w:hAnsi="Times New Roman" w:hint="eastAsia"/>
          <w:sz w:val="21"/>
          <w:szCs w:val="21"/>
        </w:rPr>
        <w:t>《申领样机审批表》上记载甲领取型号为</w:t>
      </w:r>
      <w:r>
        <w:rPr>
          <w:rFonts w:ascii="Times New Roman" w:eastAsia="楷体_GB2312" w:hAnsi="Times New Roman"/>
          <w:sz w:val="21"/>
          <w:szCs w:val="21"/>
        </w:rPr>
        <w:t>M-100CC</w:t>
      </w:r>
      <w:r>
        <w:rPr>
          <w:rFonts w:ascii="Times New Roman" w:eastAsia="楷体_GB2312" w:hAnsi="Times New Roman" w:hint="eastAsia"/>
          <w:sz w:val="21"/>
          <w:szCs w:val="21"/>
        </w:rPr>
        <w:t>的样品，《出库单》也载明甲领取了</w:t>
      </w:r>
      <w:r>
        <w:rPr>
          <w:rFonts w:ascii="Times New Roman" w:eastAsia="楷体_GB2312" w:hAnsi="Times New Roman"/>
          <w:sz w:val="21"/>
          <w:szCs w:val="21"/>
        </w:rPr>
        <w:t>M-100CC</w:t>
      </w:r>
      <w:r>
        <w:rPr>
          <w:rFonts w:ascii="Times New Roman" w:eastAsia="楷体_GB2312" w:hAnsi="Times New Roman" w:hint="eastAsia"/>
          <w:sz w:val="21"/>
          <w:szCs w:val="21"/>
        </w:rPr>
        <w:t>产品。虽然甲否认《申领样机审批表》上的产品型号“</w:t>
      </w:r>
      <w:r>
        <w:rPr>
          <w:rFonts w:ascii="Times New Roman" w:eastAsia="楷体_GB2312" w:hAnsi="Times New Roman"/>
          <w:sz w:val="21"/>
          <w:szCs w:val="21"/>
        </w:rPr>
        <w:t>M-100CC</w:t>
      </w:r>
      <w:r>
        <w:rPr>
          <w:rFonts w:ascii="Times New Roman" w:eastAsia="楷体_GB2312" w:hAnsi="Times New Roman" w:hint="eastAsia"/>
          <w:sz w:val="21"/>
          <w:szCs w:val="21"/>
        </w:rPr>
        <w:t>”是其所写，但其承认《出库单》上的型号为其所写，也承认两份证据上的签名为自己所写，也即甲并未否认《出库单》的真实性。在此情形下，由于《出库单》的佐证支持，</w:t>
      </w:r>
      <w:r>
        <w:rPr>
          <w:rFonts w:ascii="Times New Roman" w:eastAsia="楷体_GB2312" w:hAnsi="Times New Roman" w:hint="eastAsia"/>
          <w:sz w:val="21"/>
          <w:szCs w:val="21"/>
        </w:rPr>
        <w:t>A</w:t>
      </w:r>
      <w:r>
        <w:rPr>
          <w:rFonts w:ascii="Times New Roman" w:eastAsia="楷体_GB2312" w:hAnsi="Times New Roman" w:hint="eastAsia"/>
          <w:sz w:val="21"/>
          <w:szCs w:val="21"/>
        </w:rPr>
        <w:t>公司关于《申领样机审批表》上型号并非事后添加的解释更为合理，应予采纳。因此，上述两份证据的真实性能够确认，两者相互印证可以证明</w:t>
      </w:r>
      <w:r>
        <w:rPr>
          <w:rFonts w:ascii="Times New Roman" w:eastAsia="楷体_GB2312" w:hAnsi="Times New Roman" w:hint="eastAsia"/>
          <w:sz w:val="21"/>
          <w:szCs w:val="21"/>
        </w:rPr>
        <w:t>A</w:t>
      </w:r>
      <w:r>
        <w:rPr>
          <w:rFonts w:ascii="Times New Roman" w:eastAsia="楷体_GB2312" w:hAnsi="Times New Roman" w:hint="eastAsia"/>
          <w:sz w:val="21"/>
          <w:szCs w:val="21"/>
        </w:rPr>
        <w:t>公司在申请日前已制造型号为</w:t>
      </w:r>
      <w:r>
        <w:rPr>
          <w:rFonts w:ascii="Times New Roman" w:eastAsia="楷体_GB2312" w:hAnsi="Times New Roman"/>
          <w:sz w:val="21"/>
          <w:szCs w:val="21"/>
        </w:rPr>
        <w:t>M-100CC</w:t>
      </w:r>
      <w:r>
        <w:rPr>
          <w:rFonts w:ascii="Times New Roman" w:eastAsia="楷体_GB2312" w:hAnsi="Times New Roman" w:hint="eastAsia"/>
          <w:sz w:val="21"/>
          <w:szCs w:val="21"/>
        </w:rPr>
        <w:t>的产品。依惯例，同一公司生产的同一型号的产品通常具有相同的结构和组成，根据“谁主张</w:t>
      </w:r>
      <w:r>
        <w:rPr>
          <w:rFonts w:ascii="Times New Roman" w:eastAsia="楷体_GB2312" w:hAnsi="Times New Roman" w:hint="eastAsia"/>
          <w:spacing w:val="2"/>
          <w:sz w:val="21"/>
          <w:szCs w:val="21"/>
        </w:rPr>
        <w:t>谁举证”的举证责任分配原则，甲如认为证据中的</w:t>
      </w:r>
      <w:r>
        <w:rPr>
          <w:rFonts w:ascii="Times New Roman" w:eastAsia="楷体_GB2312" w:hAnsi="Times New Roman"/>
          <w:spacing w:val="2"/>
          <w:sz w:val="21"/>
          <w:szCs w:val="21"/>
        </w:rPr>
        <w:t>M-100CC</w:t>
      </w:r>
      <w:r>
        <w:rPr>
          <w:rFonts w:ascii="Times New Roman" w:eastAsia="楷体_GB2312" w:hAnsi="Times New Roman" w:hint="eastAsia"/>
          <w:spacing w:val="2"/>
          <w:sz w:val="21"/>
          <w:szCs w:val="21"/>
        </w:rPr>
        <w:t>产品与本案被控侵权产品不同，应该举证予以证明。在没有相反证据的情况下，应推定两者结构相同。因此，</w:t>
      </w:r>
      <w:r>
        <w:rPr>
          <w:rFonts w:ascii="Times New Roman" w:eastAsia="楷体_GB2312" w:hAnsi="Times New Roman" w:hint="eastAsia"/>
          <w:spacing w:val="2"/>
          <w:sz w:val="21"/>
          <w:szCs w:val="21"/>
        </w:rPr>
        <w:t>A</w:t>
      </w:r>
      <w:r>
        <w:rPr>
          <w:rFonts w:ascii="Times New Roman" w:eastAsia="楷体_GB2312" w:hAnsi="Times New Roman" w:hint="eastAsia"/>
          <w:spacing w:val="2"/>
          <w:sz w:val="21"/>
          <w:szCs w:val="21"/>
        </w:rPr>
        <w:t>公司享有先用权，不侵犯甲的专利权。</w:t>
      </w:r>
    </w:p>
    <w:p w:rsidR="00800760" w:rsidRDefault="00235733">
      <w:pPr>
        <w:pStyle w:val="3"/>
        <w:topLinePunct/>
        <w:spacing w:before="240"/>
        <w:ind w:firstLine="444"/>
        <w:rPr>
          <w:rFonts w:ascii="Times New Roman" w:hAnsi="Times New Roman"/>
        </w:rPr>
      </w:pPr>
      <w:bookmarkStart w:id="3528" w:name="_Toc5482"/>
      <w:bookmarkStart w:id="3529" w:name="_Toc8537"/>
      <w:bookmarkStart w:id="3530" w:name="_Toc27415"/>
      <w:bookmarkStart w:id="3531" w:name="_Toc14521"/>
      <w:bookmarkStart w:id="3532" w:name="_Toc19893"/>
      <w:bookmarkStart w:id="3533" w:name="_Toc30961"/>
      <w:bookmarkStart w:id="3534" w:name="_Toc7001"/>
      <w:bookmarkStart w:id="3535" w:name="_Toc20043"/>
      <w:bookmarkStart w:id="3536" w:name="_Toc29184"/>
      <w:bookmarkStart w:id="3537" w:name="_Toc10871"/>
      <w:bookmarkStart w:id="3538" w:name="_Toc11225"/>
      <w:bookmarkStart w:id="3539" w:name="_Toc6564"/>
      <w:bookmarkStart w:id="3540" w:name="_Toc29195"/>
      <w:bookmarkStart w:id="3541" w:name="_Toc2727"/>
      <w:bookmarkStart w:id="3542" w:name="_Toc1161"/>
      <w:bookmarkStart w:id="3543" w:name="_Toc14261"/>
      <w:bookmarkStart w:id="3544" w:name="_Toc27812"/>
      <w:bookmarkStart w:id="3545" w:name="_Toc229114401"/>
      <w:bookmarkStart w:id="3546" w:name="_Toc26802"/>
      <w:bookmarkStart w:id="3547" w:name="_Toc12028"/>
      <w:bookmarkStart w:id="3548" w:name="_Toc20573"/>
      <w:bookmarkStart w:id="3549" w:name="_Toc18724"/>
      <w:bookmarkStart w:id="3550" w:name="_Toc5079"/>
      <w:bookmarkStart w:id="3551" w:name="_Toc31418"/>
      <w:bookmarkStart w:id="3552" w:name="_Toc15366"/>
      <w:bookmarkStart w:id="3553" w:name="_Toc20686"/>
      <w:bookmarkStart w:id="3554" w:name="_Toc17763"/>
      <w:bookmarkStart w:id="3555" w:name="_Toc4178"/>
      <w:bookmarkStart w:id="3556" w:name="_Toc11201"/>
      <w:bookmarkStart w:id="3557" w:name="_Toc18586"/>
      <w:bookmarkStart w:id="3558" w:name="_Toc32127"/>
      <w:bookmarkStart w:id="3559" w:name="_Toc32305"/>
      <w:bookmarkStart w:id="3560" w:name="_Toc10654"/>
      <w:bookmarkStart w:id="3561" w:name="_Toc18828"/>
      <w:bookmarkStart w:id="3562" w:name="_Toc1969"/>
      <w:bookmarkStart w:id="3563" w:name="_Toc18559"/>
      <w:bookmarkStart w:id="3564" w:name="_Toc18620"/>
      <w:bookmarkStart w:id="3565" w:name="_Toc229225497"/>
      <w:r>
        <w:rPr>
          <w:rFonts w:ascii="Times New Roman" w:hAnsi="Times New Roman" w:hint="eastAsia"/>
        </w:rPr>
        <w:t>二、物证</w:t>
      </w:r>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物证是能够证明案件事实的物品或者痕迹。物证一般不能直接用来证明案件事实，需要与其他证据结合发挥证明作用。</w:t>
      </w:r>
    </w:p>
    <w:p w:rsidR="00800760" w:rsidRDefault="00235733">
      <w:pPr>
        <w:pStyle w:val="4"/>
        <w:spacing w:before="240"/>
        <w:ind w:firstLine="444"/>
        <w:rPr>
          <w:rFonts w:ascii="Times New Roman" w:hAnsi="Times New Roman"/>
        </w:rPr>
      </w:pPr>
      <w:r>
        <w:rPr>
          <w:rFonts w:ascii="Times New Roman" w:hAnsi="Times New Roman" w:hint="eastAsia"/>
        </w:rPr>
        <w:t>（一）物证的种类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物证有原物和派生物之分。原物是指直接来源于案件事实本身，并以自身存在的外形、重量、规格、损坏程度等特征来证明案件事实的一部分或者全部的物品或者痕迹。派生物是指并非直接来源于案件本身，但记载了能证明案件事实的物品或者痕迹的外形、重量、规格、损坏程度等特征的载体，比如物证的照片、复制品等。</w:t>
      </w:r>
    </w:p>
    <w:p w:rsidR="00800760" w:rsidRDefault="00235733">
      <w:pPr>
        <w:pStyle w:val="4"/>
        <w:spacing w:before="240"/>
        <w:ind w:firstLine="444"/>
        <w:rPr>
          <w:rFonts w:ascii="Times New Roman" w:hAnsi="Times New Roman"/>
        </w:rPr>
      </w:pPr>
      <w:r>
        <w:rPr>
          <w:rFonts w:ascii="Times New Roman" w:hAnsi="Times New Roman" w:hint="eastAsia"/>
        </w:rPr>
        <w:t>（二）物证的提交要求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提供物证应当符合下列要求：</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提供原物。提供原物确有困难的，例如对于不便移动、保存或者提取的物品以及无法提取的大型物品，可以提供与原物核对无误的复制件或者证明该物证的照片、录像等其他证据。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物为数量较多的种类物的，提供其中的一部分。</w:t>
      </w:r>
    </w:p>
    <w:p w:rsidR="00800760" w:rsidRDefault="00235733">
      <w:pPr>
        <w:pStyle w:val="4"/>
        <w:spacing w:before="240"/>
        <w:ind w:firstLine="444"/>
        <w:rPr>
          <w:rFonts w:ascii="Times New Roman" w:hAnsi="Times New Roman"/>
        </w:rPr>
      </w:pPr>
      <w:r>
        <w:rPr>
          <w:rFonts w:ascii="Times New Roman" w:hAnsi="Times New Roman" w:hint="eastAsia"/>
        </w:rPr>
        <w:t>（三）物证的审核认定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物证的审核认定一般包括：</w:t>
      </w:r>
    </w:p>
    <w:p w:rsidR="00800760" w:rsidRDefault="00C22A7B">
      <w:pPr>
        <w:ind w:firstLineChars="150" w:firstLine="315"/>
      </w:pPr>
      <w:r>
        <w:fldChar w:fldCharType="begin"/>
      </w:r>
      <w:r w:rsidR="00235733">
        <w:instrText>= 1 \* GB2</w:instrText>
      </w:r>
      <w:r>
        <w:fldChar w:fldCharType="separate"/>
      </w:r>
      <w:r w:rsidR="00235733">
        <w:rPr>
          <w:rFonts w:hint="eastAsia"/>
        </w:rPr>
        <w:t>（</w:t>
      </w:r>
      <w:r w:rsidR="00235733">
        <w:rPr>
          <w:rFonts w:hint="eastAsia"/>
        </w:rPr>
        <w:t>1</w:t>
      </w:r>
      <w:r w:rsidR="00235733">
        <w:rPr>
          <w:rFonts w:hint="eastAsia"/>
        </w:rPr>
        <w:t>）</w:t>
      </w:r>
      <w:r>
        <w:fldChar w:fldCharType="end"/>
      </w:r>
      <w:r w:rsidR="00235733">
        <w:rPr>
          <w:rFonts w:hint="eastAsia"/>
        </w:rPr>
        <w:t>审查判断物证是否伪造和有无发生变形、变色或变质的情况；</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审查判断物证与案件事实有无客观联系；</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审查判断物证的来源，查明物证是原物还是同类物或复制品。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原物的证明力优于复制品。无法与原物核对的复制品不能单独作为定案依据。当事人无正当理由拒不提供原物，又无其他证据印证，且对方当事人不予认可的证据的复制品不能作为定案依据。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物证，可以先对关联性、合法性、真实性进行认定，然后决定是否对其证明力进行认定。若经初步判断，能够确定所提交的物证材料不具有合法性或与案件不具有关联性的，可以不进一步认定其真实性；证据提交方无法证明其提交的物证的真实性，在对方当事人对该证据的真实性不予认可的情形下，可以不进一步判断其证明力；若经初步质证，可以认定物证真实性的，应当于口头审理当庭展示，审核其证明力。对于无法从外部直接得知其技术结构的物证，应当于口头审理当庭拆卸。对于公证保存的证据，在出示前，应当请双方当事人共同确认封条是否完整，详细记录当事人的意见和证据的封存情况，于口头审理当庭打开封存，演示证据，并详细记录演示情况；演示结束后如果有必要，可以制作封条，恢复封存，并请双方当事人在封条上签字确认。对于不作为证据的产品实物的一般性演示，其演示目的主要在于帮助合议组了解技术方案，仅供合议组参考，不能作为定案的依据，可不严格进行质证程序。</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物证演示过程中，应注意以下内容的调查：</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设备铭牌所反映的信息，包括型号、生产厂家、出厂日期等。这些信息是物证与其他证据的关联性所在，决定物证是否可以与其他证据（如发票、合同等）构成证据链。</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派生物能否反映原物的结构，如复制件是否与原物相一致，照片、录像等是否是对原物结构的真实记录。</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实物所反映的具体结构。对于某些仅能演示产品功能的实物，关于其功能是如何实现的，应特别注意调查。</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对涉案专利的特征比对。</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4-5-11</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w:t>
      </w:r>
      <w:r>
        <w:rPr>
          <w:rFonts w:ascii="Times New Roman" w:eastAsia="楷体_GB2312" w:hAnsi="Times New Roman"/>
          <w:sz w:val="21"/>
          <w:szCs w:val="21"/>
        </w:rPr>
        <w:t>A</w:t>
      </w:r>
      <w:r>
        <w:rPr>
          <w:rFonts w:ascii="Times New Roman" w:eastAsia="楷体_GB2312" w:hAnsi="Times New Roman" w:hint="eastAsia"/>
          <w:sz w:val="21"/>
          <w:szCs w:val="21"/>
        </w:rPr>
        <w:t>公司请求某市知识产权局处理被请求人</w:t>
      </w:r>
      <w:r>
        <w:rPr>
          <w:rFonts w:ascii="Times New Roman" w:eastAsia="楷体_GB2312" w:hAnsi="Times New Roman"/>
          <w:sz w:val="21"/>
          <w:szCs w:val="21"/>
        </w:rPr>
        <w:t>B</w:t>
      </w:r>
      <w:r>
        <w:rPr>
          <w:rFonts w:ascii="Times New Roman" w:eastAsia="楷体_GB2312" w:hAnsi="Times New Roman" w:hint="eastAsia"/>
          <w:sz w:val="21"/>
          <w:szCs w:val="21"/>
        </w:rPr>
        <w:t>公司侵犯其“泪道探通导引针”实用新型专利权。请求人</w:t>
      </w:r>
      <w:r>
        <w:rPr>
          <w:rFonts w:ascii="Times New Roman" w:eastAsia="楷体_GB2312" w:hAnsi="Times New Roman"/>
          <w:sz w:val="21"/>
          <w:szCs w:val="21"/>
        </w:rPr>
        <w:t>A</w:t>
      </w:r>
      <w:r>
        <w:rPr>
          <w:rFonts w:ascii="Times New Roman" w:eastAsia="楷体_GB2312" w:hAnsi="Times New Roman" w:hint="eastAsia"/>
          <w:sz w:val="21"/>
          <w:szCs w:val="21"/>
        </w:rPr>
        <w:t>公司称</w:t>
      </w:r>
      <w:r>
        <w:rPr>
          <w:rFonts w:ascii="Times New Roman" w:eastAsia="楷体_GB2312" w:hAnsi="Times New Roman"/>
          <w:sz w:val="21"/>
          <w:szCs w:val="21"/>
        </w:rPr>
        <w:t>B</w:t>
      </w:r>
      <w:r>
        <w:rPr>
          <w:rFonts w:ascii="Times New Roman" w:eastAsia="楷体_GB2312" w:hAnsi="Times New Roman" w:hint="eastAsia"/>
          <w:sz w:val="21"/>
          <w:szCs w:val="21"/>
        </w:rPr>
        <w:t>公司仿制其专利产品，大量印制宣传资料宣传推广并招收代理商销售，请求责令被请求人立即停止生产销售的侵权行为。</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请求人为证明其主张的事实存在，向合议组提交了以下证据：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sz w:val="21"/>
          <w:szCs w:val="21"/>
        </w:rPr>
        <w:t>1</w:t>
      </w:r>
      <w:r>
        <w:rPr>
          <w:rFonts w:ascii="Times New Roman" w:eastAsia="楷体_GB2312" w:hAnsi="Times New Roman" w:hint="eastAsia"/>
          <w:sz w:val="21"/>
          <w:szCs w:val="21"/>
        </w:rPr>
        <w:t>：被请求人的产品“鼻泪管支架”“泪道探通引导针、导丝”实物；</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sz w:val="21"/>
          <w:szCs w:val="21"/>
        </w:rPr>
        <w:t>2</w:t>
      </w:r>
      <w:r>
        <w:rPr>
          <w:rFonts w:ascii="Times New Roman" w:eastAsia="楷体_GB2312" w:hAnsi="Times New Roman" w:hint="eastAsia"/>
          <w:sz w:val="21"/>
          <w:szCs w:val="21"/>
        </w:rPr>
        <w:t>：被请求人的产品网站资料公证书；</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sz w:val="21"/>
          <w:szCs w:val="21"/>
        </w:rPr>
        <w:t>3</w:t>
      </w:r>
      <w:r>
        <w:rPr>
          <w:rFonts w:ascii="Times New Roman" w:eastAsia="楷体_GB2312" w:hAnsi="Times New Roman" w:hint="eastAsia"/>
          <w:sz w:val="21"/>
          <w:szCs w:val="21"/>
        </w:rPr>
        <w:t>：被请求人的产品宣传彩页；</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sz w:val="21"/>
          <w:szCs w:val="21"/>
        </w:rPr>
        <w:t>4</w:t>
      </w:r>
      <w:r>
        <w:rPr>
          <w:rFonts w:ascii="Times New Roman" w:eastAsia="楷体_GB2312" w:hAnsi="Times New Roman" w:hint="eastAsia"/>
          <w:sz w:val="21"/>
          <w:szCs w:val="21"/>
        </w:rPr>
        <w:t>：被请求人的宣传光碟；</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sz w:val="21"/>
          <w:szCs w:val="21"/>
        </w:rPr>
        <w:t>5</w:t>
      </w:r>
      <w:r>
        <w:rPr>
          <w:rFonts w:ascii="Times New Roman" w:eastAsia="楷体_GB2312" w:hAnsi="Times New Roman" w:hint="eastAsia"/>
          <w:sz w:val="21"/>
          <w:szCs w:val="21"/>
        </w:rPr>
        <w:t>：被请求人的产品说明书。</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辩称：请求人的专利是一种泪道探通导引针，请求人提交的证据记载的内容中找不到请求人专利权利要求记载的技术特征。而判断被控侵权产品是否构成侵权，需要严格按照《专利法》相关规定进行对比，从而判断是否构成侵权。因此，请求人提供的证据不构成其指控被请求人侵犯其专利的依据。请求某市知识产权局驳回请求人的请求事项。</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口头审理中，双方当事人对请求人提交的五份证据进行了质证，并发表了质证意见。被请求人意见如下：</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对证据</w:t>
      </w:r>
      <w:r>
        <w:rPr>
          <w:rFonts w:ascii="Times New Roman" w:eastAsia="楷体_GB2312" w:hAnsi="Times New Roman"/>
          <w:sz w:val="21"/>
          <w:szCs w:val="21"/>
        </w:rPr>
        <w:t>1</w:t>
      </w:r>
      <w:r>
        <w:rPr>
          <w:rFonts w:ascii="Times New Roman" w:eastAsia="楷体_GB2312" w:hAnsi="Times New Roman" w:hint="eastAsia"/>
          <w:sz w:val="21"/>
          <w:szCs w:val="21"/>
        </w:rPr>
        <w:t>“鼻泪管支架”“泪道探通引导针、导丝”实物的真实性有异议，认为请求人不能证明其合法来源。</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对证据</w:t>
      </w:r>
      <w:r>
        <w:rPr>
          <w:rFonts w:ascii="Times New Roman" w:eastAsia="楷体_GB2312" w:hAnsi="Times New Roman"/>
          <w:sz w:val="21"/>
          <w:szCs w:val="21"/>
        </w:rPr>
        <w:t>2</w:t>
      </w:r>
      <w:r>
        <w:rPr>
          <w:rFonts w:ascii="Times New Roman" w:eastAsia="楷体_GB2312" w:hAnsi="Times New Roman" w:hint="eastAsia"/>
          <w:sz w:val="21"/>
          <w:szCs w:val="21"/>
        </w:rPr>
        <w:t>“被请求人产品网站资料公证书”的真实性无异议，但认为与本案无关联性，网站内容只是宣传意向，没有说明被请求人生产销售涉嫌侵权产品，而且网站内容没有涉嫌侵权产品的结构。</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对证据</w:t>
      </w:r>
      <w:r>
        <w:rPr>
          <w:rFonts w:ascii="Times New Roman" w:eastAsia="楷体_GB2312" w:hAnsi="Times New Roman"/>
          <w:sz w:val="21"/>
          <w:szCs w:val="21"/>
        </w:rPr>
        <w:t>3</w:t>
      </w:r>
      <w:r>
        <w:rPr>
          <w:rFonts w:ascii="Times New Roman" w:eastAsia="楷体_GB2312" w:hAnsi="Times New Roman" w:hint="eastAsia"/>
          <w:sz w:val="21"/>
          <w:szCs w:val="21"/>
        </w:rPr>
        <w:t>“被请求人产品宣传彩页”的真实性有异议，没有相关证据证明该宣传彩页是被请求人的，不能作为证据使用。</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对证据</w:t>
      </w:r>
      <w:r>
        <w:rPr>
          <w:rFonts w:ascii="Times New Roman" w:eastAsia="楷体_GB2312" w:hAnsi="Times New Roman"/>
          <w:sz w:val="21"/>
          <w:szCs w:val="21"/>
        </w:rPr>
        <w:t>4</w:t>
      </w:r>
      <w:r>
        <w:rPr>
          <w:rFonts w:ascii="Times New Roman" w:eastAsia="楷体_GB2312" w:hAnsi="Times New Roman" w:hint="eastAsia"/>
          <w:sz w:val="21"/>
          <w:szCs w:val="21"/>
        </w:rPr>
        <w:t>“被请求人宣传光碟”的真实性有异议，没有相关证据证明该光碟是被请求人的，不能作为证据使用。</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对证据</w:t>
      </w:r>
      <w:r>
        <w:rPr>
          <w:rFonts w:ascii="Times New Roman" w:eastAsia="楷体_GB2312" w:hAnsi="Times New Roman"/>
          <w:sz w:val="21"/>
          <w:szCs w:val="21"/>
        </w:rPr>
        <w:t>5</w:t>
      </w:r>
      <w:r>
        <w:rPr>
          <w:rFonts w:ascii="Times New Roman" w:eastAsia="楷体_GB2312" w:hAnsi="Times New Roman" w:hint="eastAsia"/>
          <w:sz w:val="21"/>
          <w:szCs w:val="21"/>
        </w:rPr>
        <w:t>“被请求人产品说明书”的真实性有异议，“鼻泪管支架”包装盒是打开的，因此无法证明说明书是包装盒内的。并且，说明书仅仅是文字说明，没有产品结构说明。</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合议组经处理后认为，请求人提交的证据</w:t>
      </w:r>
      <w:r>
        <w:rPr>
          <w:rFonts w:ascii="Times New Roman" w:eastAsia="楷体_GB2312" w:hAnsi="Times New Roman"/>
          <w:sz w:val="21"/>
          <w:szCs w:val="21"/>
        </w:rPr>
        <w:t>1</w:t>
      </w:r>
      <w:r>
        <w:rPr>
          <w:rFonts w:ascii="Times New Roman" w:eastAsia="楷体_GB2312" w:hAnsi="Times New Roman" w:hint="eastAsia"/>
          <w:sz w:val="21"/>
          <w:szCs w:val="21"/>
        </w:rPr>
        <w:t>“鼻泪管支架”实物包装盒已开封，“泪道探通引导针、导丝”实物无生产企业标识，不能证明该“泪道探通引导针、导丝”实物是“鼻泪管支架”实物包装盒内的产品，请求人无法证明其合法来源，该证据不予采信。</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请求人提交的证据</w:t>
      </w:r>
      <w:r>
        <w:rPr>
          <w:rFonts w:ascii="Times New Roman" w:eastAsia="楷体_GB2312" w:hAnsi="Times New Roman"/>
          <w:sz w:val="21"/>
          <w:szCs w:val="21"/>
        </w:rPr>
        <w:t>2</w:t>
      </w:r>
      <w:r>
        <w:rPr>
          <w:rFonts w:ascii="Times New Roman" w:eastAsia="楷体_GB2312" w:hAnsi="Times New Roman" w:hint="eastAsia"/>
          <w:sz w:val="21"/>
          <w:szCs w:val="21"/>
        </w:rPr>
        <w:t>“被请求人产品网站资料公证书”形式无瑕疵，被请求人也认可该证据真实性，对该证据予以采信。</w:t>
      </w:r>
    </w:p>
    <w:p w:rsidR="00800760" w:rsidRDefault="00235733">
      <w:pPr>
        <w:pStyle w:val="12"/>
        <w:topLinePunct/>
        <w:spacing w:line="336" w:lineRule="auto"/>
        <w:ind w:firstLine="428"/>
        <w:rPr>
          <w:rFonts w:ascii="Times New Roman" w:eastAsia="楷体_GB2312" w:hAnsi="Times New Roman"/>
          <w:spacing w:val="2"/>
          <w:sz w:val="21"/>
          <w:szCs w:val="21"/>
        </w:rPr>
      </w:pPr>
      <w:r>
        <w:rPr>
          <w:rFonts w:ascii="Times New Roman" w:eastAsia="楷体_GB2312" w:hAnsi="Times New Roman" w:hint="eastAsia"/>
          <w:spacing w:val="2"/>
          <w:sz w:val="21"/>
          <w:szCs w:val="21"/>
        </w:rPr>
        <w:t>请求人提交的证据</w:t>
      </w:r>
      <w:r>
        <w:rPr>
          <w:rFonts w:ascii="Times New Roman" w:eastAsia="楷体_GB2312" w:hAnsi="Times New Roman"/>
          <w:spacing w:val="2"/>
          <w:sz w:val="21"/>
          <w:szCs w:val="21"/>
        </w:rPr>
        <w:t>3</w:t>
      </w:r>
      <w:r>
        <w:rPr>
          <w:rFonts w:ascii="Times New Roman" w:eastAsia="楷体_GB2312" w:hAnsi="Times New Roman" w:hint="eastAsia"/>
          <w:spacing w:val="2"/>
          <w:sz w:val="21"/>
          <w:szCs w:val="21"/>
        </w:rPr>
        <w:t>“宣传彩页”，由于请求人无法证明宣传彩页的合法来源，对该证据不予采信。</w:t>
      </w:r>
    </w:p>
    <w:p w:rsidR="00800760" w:rsidRDefault="00235733">
      <w:pPr>
        <w:pStyle w:val="12"/>
        <w:topLinePunct/>
        <w:spacing w:line="336" w:lineRule="auto"/>
        <w:ind w:firstLine="428"/>
        <w:rPr>
          <w:rFonts w:ascii="Times New Roman" w:eastAsia="楷体_GB2312" w:hAnsi="Times New Roman"/>
          <w:spacing w:val="2"/>
          <w:sz w:val="21"/>
          <w:szCs w:val="21"/>
        </w:rPr>
      </w:pPr>
      <w:r>
        <w:rPr>
          <w:rFonts w:ascii="Times New Roman" w:eastAsia="楷体_GB2312" w:hAnsi="Times New Roman" w:hint="eastAsia"/>
          <w:spacing w:val="2"/>
          <w:sz w:val="21"/>
          <w:szCs w:val="21"/>
        </w:rPr>
        <w:t>请求人提交的证据</w:t>
      </w:r>
      <w:r>
        <w:rPr>
          <w:rFonts w:ascii="Times New Roman" w:eastAsia="楷体_GB2312" w:hAnsi="Times New Roman"/>
          <w:spacing w:val="2"/>
          <w:sz w:val="21"/>
          <w:szCs w:val="21"/>
        </w:rPr>
        <w:t>4</w:t>
      </w:r>
      <w:r>
        <w:rPr>
          <w:rFonts w:ascii="Times New Roman" w:eastAsia="楷体_GB2312" w:hAnsi="Times New Roman" w:hint="eastAsia"/>
          <w:spacing w:val="2"/>
          <w:sz w:val="21"/>
          <w:szCs w:val="21"/>
        </w:rPr>
        <w:t>“宣传光碟”，因请求人无法证明该宣传光碟的合法来源，对该证据不予采信。</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请求人提交的证据</w:t>
      </w:r>
      <w:r>
        <w:rPr>
          <w:rFonts w:ascii="Times New Roman" w:eastAsia="楷体_GB2312" w:hAnsi="Times New Roman"/>
          <w:sz w:val="21"/>
          <w:szCs w:val="21"/>
        </w:rPr>
        <w:t>5</w:t>
      </w:r>
      <w:r>
        <w:rPr>
          <w:rFonts w:ascii="Times New Roman" w:eastAsia="楷体_GB2312" w:hAnsi="Times New Roman" w:hint="eastAsia"/>
          <w:sz w:val="21"/>
          <w:szCs w:val="21"/>
        </w:rPr>
        <w:t>“‘鼻泪管支架’产品说明书”，因“鼻泪管支架”包装盒是打开的，无法证明说明书是包装盒内的，无法证明其真实性，对该证据不予采信。</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由证据</w:t>
      </w:r>
      <w:r>
        <w:rPr>
          <w:rFonts w:ascii="Times New Roman" w:eastAsia="楷体_GB2312" w:hAnsi="Times New Roman"/>
          <w:sz w:val="21"/>
          <w:szCs w:val="21"/>
        </w:rPr>
        <w:t>2</w:t>
      </w:r>
      <w:r>
        <w:rPr>
          <w:rFonts w:ascii="Times New Roman" w:eastAsia="楷体_GB2312" w:hAnsi="Times New Roman" w:hint="eastAsia"/>
          <w:sz w:val="21"/>
          <w:szCs w:val="21"/>
        </w:rPr>
        <w:t>“被请求人产品网站公证书”中的网站图片可以看出被控侵权产品的部分技术特征。但从图片中无法看出“针芯在针管内自由拉动，针管的针头端封闭呈钝圆锥形，针管的针头端有一定长度的实体段，倾斜面与侧壁孔的后壁成钝角”等涉案专利权利要求记载的技术特征，不能认定其落入涉案专利权的保护范围，构成专利侵权。请求人提交的证据缺乏证明力，不足以支持其主张的事实，应当承担举证不能的法律后果。</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于物证而言，如果取证过程中未能将证据来源予以固定，且该证据本身又不具有与其他证据相联系的信息，则该物证通常无法证明特定的使用和销售事实。对于经公证的网络证据，公证本身仅能确认证据形式上的真实性，对于证据内容的可靠性以及在案件中的证明作用，还需进一步判断。对于宣传彩页等制作随意性较大的书证，如果证据提交方不能证明其证据来源，对方当事人亦不认可的，通常难以确认其真实性。</w:t>
      </w:r>
    </w:p>
    <w:p w:rsidR="00800760" w:rsidRDefault="00235733">
      <w:pPr>
        <w:pStyle w:val="af6"/>
        <w:spacing w:before="120"/>
        <w:ind w:firstLine="420"/>
      </w:pPr>
      <w:r>
        <w:rPr>
          <w:rFonts w:hint="eastAsia"/>
        </w:rPr>
        <w:t>【案例4-5-12】</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A</w:t>
      </w:r>
      <w:r>
        <w:rPr>
          <w:rFonts w:ascii="Times New Roman" w:eastAsia="楷体_GB2312" w:hAnsi="Times New Roman" w:hint="eastAsia"/>
          <w:sz w:val="21"/>
          <w:szCs w:val="21"/>
        </w:rPr>
        <w:t>公司指控</w:t>
      </w:r>
      <w:r>
        <w:rPr>
          <w:rFonts w:ascii="Times New Roman" w:eastAsia="楷体_GB2312" w:hAnsi="Times New Roman"/>
          <w:sz w:val="21"/>
          <w:szCs w:val="21"/>
        </w:rPr>
        <w:t>B</w:t>
      </w:r>
      <w:r>
        <w:rPr>
          <w:rFonts w:ascii="Times New Roman" w:eastAsia="楷体_GB2312" w:hAnsi="Times New Roman" w:hint="eastAsia"/>
          <w:sz w:val="21"/>
          <w:szCs w:val="21"/>
        </w:rPr>
        <w:t>公司销售的制动器总成侵犯其专利权，提供了从</w:t>
      </w:r>
      <w:r>
        <w:rPr>
          <w:rFonts w:ascii="Times New Roman" w:eastAsia="楷体_GB2312" w:hAnsi="Times New Roman"/>
          <w:sz w:val="21"/>
          <w:szCs w:val="21"/>
        </w:rPr>
        <w:t>B</w:t>
      </w:r>
      <w:r>
        <w:rPr>
          <w:rFonts w:ascii="Times New Roman" w:eastAsia="楷体_GB2312" w:hAnsi="Times New Roman" w:hint="eastAsia"/>
          <w:sz w:val="21"/>
          <w:szCs w:val="21"/>
        </w:rPr>
        <w:t>公司公证购买的发票和实物予以证明。</w:t>
      </w:r>
      <w:r>
        <w:rPr>
          <w:rFonts w:ascii="Times New Roman" w:eastAsia="楷体_GB2312" w:hAnsi="Times New Roman"/>
          <w:sz w:val="21"/>
          <w:szCs w:val="21"/>
        </w:rPr>
        <w:t>B</w:t>
      </w:r>
      <w:r>
        <w:rPr>
          <w:rFonts w:ascii="Times New Roman" w:eastAsia="楷体_GB2312" w:hAnsi="Times New Roman" w:hint="eastAsia"/>
          <w:sz w:val="21"/>
          <w:szCs w:val="21"/>
        </w:rPr>
        <w:t>公司辩称，该制动器总成并非自己制造，而是购买于</w:t>
      </w:r>
      <w:r>
        <w:rPr>
          <w:rFonts w:ascii="Times New Roman" w:eastAsia="楷体_GB2312" w:hAnsi="Times New Roman"/>
          <w:sz w:val="21"/>
          <w:szCs w:val="21"/>
        </w:rPr>
        <w:t>C</w:t>
      </w:r>
      <w:r>
        <w:rPr>
          <w:rFonts w:ascii="Times New Roman" w:eastAsia="楷体_GB2312" w:hAnsi="Times New Roman" w:hint="eastAsia"/>
          <w:sz w:val="21"/>
          <w:szCs w:val="21"/>
        </w:rPr>
        <w:t>公司，为此提供了增值税专用发票和照片为证，证明被控侵权产品有合法来源，不承担侵权赔偿责任。</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经查，增值税专用发票记载</w:t>
      </w:r>
      <w:r>
        <w:rPr>
          <w:rFonts w:ascii="Times New Roman" w:eastAsia="楷体_GB2312" w:hAnsi="Times New Roman"/>
          <w:sz w:val="21"/>
          <w:szCs w:val="21"/>
        </w:rPr>
        <w:t>C</w:t>
      </w:r>
      <w:r>
        <w:rPr>
          <w:rFonts w:ascii="Times New Roman" w:eastAsia="楷体_GB2312" w:hAnsi="Times New Roman" w:hint="eastAsia"/>
          <w:sz w:val="21"/>
          <w:szCs w:val="21"/>
        </w:rPr>
        <w:t>公司向</w:t>
      </w:r>
      <w:r>
        <w:rPr>
          <w:rFonts w:ascii="Times New Roman" w:eastAsia="楷体_GB2312" w:hAnsi="Times New Roman"/>
          <w:sz w:val="21"/>
          <w:szCs w:val="21"/>
        </w:rPr>
        <w:t>B</w:t>
      </w:r>
      <w:r>
        <w:rPr>
          <w:rFonts w:ascii="Times New Roman" w:eastAsia="楷体_GB2312" w:hAnsi="Times New Roman" w:hint="eastAsia"/>
          <w:sz w:val="21"/>
          <w:szCs w:val="21"/>
        </w:rPr>
        <w:t>公司出售的产品为“</w:t>
      </w:r>
      <w:r>
        <w:rPr>
          <w:rFonts w:ascii="Times New Roman" w:eastAsia="楷体_GB2312" w:hAnsi="Times New Roman"/>
          <w:sz w:val="21"/>
          <w:szCs w:val="21"/>
        </w:rPr>
        <w:t>1058</w:t>
      </w:r>
      <w:r>
        <w:rPr>
          <w:rFonts w:ascii="Times New Roman" w:eastAsia="楷体_GB2312" w:hAnsi="Times New Roman" w:hint="eastAsia"/>
          <w:sz w:val="21"/>
          <w:szCs w:val="21"/>
        </w:rPr>
        <w:t>汽刹制动器”，照片中反映的制动器总成上印有产品型号“</w:t>
      </w:r>
      <w:r>
        <w:rPr>
          <w:rFonts w:ascii="Times New Roman" w:eastAsia="楷体_GB2312" w:hAnsi="Times New Roman"/>
          <w:sz w:val="21"/>
          <w:szCs w:val="21"/>
        </w:rPr>
        <w:t>1058</w:t>
      </w:r>
      <w:r>
        <w:rPr>
          <w:rFonts w:ascii="Times New Roman" w:eastAsia="楷体_GB2312" w:hAnsi="Times New Roman" w:hint="eastAsia"/>
          <w:sz w:val="21"/>
          <w:szCs w:val="21"/>
        </w:rPr>
        <w:t>”和</w:t>
      </w:r>
      <w:r>
        <w:rPr>
          <w:rFonts w:ascii="Times New Roman" w:eastAsia="楷体_GB2312" w:hAnsi="Times New Roman"/>
          <w:sz w:val="21"/>
          <w:szCs w:val="21"/>
        </w:rPr>
        <w:t>C</w:t>
      </w:r>
      <w:r>
        <w:rPr>
          <w:rFonts w:ascii="Times New Roman" w:eastAsia="楷体_GB2312" w:hAnsi="Times New Roman" w:hint="eastAsia"/>
          <w:sz w:val="21"/>
          <w:szCs w:val="21"/>
        </w:rPr>
        <w:t>公司名称，但看不到内部结构，被控侵权物与照片中产品外形相似，但外表无产品型号和制造厂商名称等信息。</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B</w:t>
      </w:r>
      <w:r>
        <w:rPr>
          <w:rFonts w:ascii="Times New Roman" w:eastAsia="楷体_GB2312" w:hAnsi="Times New Roman" w:hint="eastAsia"/>
          <w:sz w:val="21"/>
          <w:szCs w:val="21"/>
        </w:rPr>
        <w:t>公司虽声称照片所摄为从</w:t>
      </w:r>
      <w:r>
        <w:rPr>
          <w:rFonts w:ascii="Times New Roman" w:eastAsia="楷体_GB2312" w:hAnsi="Times New Roman"/>
          <w:sz w:val="21"/>
          <w:szCs w:val="21"/>
        </w:rPr>
        <w:t>C</w:t>
      </w:r>
      <w:r>
        <w:rPr>
          <w:rFonts w:ascii="Times New Roman" w:eastAsia="楷体_GB2312" w:hAnsi="Times New Roman" w:hint="eastAsia"/>
          <w:sz w:val="21"/>
          <w:szCs w:val="21"/>
        </w:rPr>
        <w:t>公司购买的产品，且其上具有产品型号和</w:t>
      </w:r>
      <w:r>
        <w:rPr>
          <w:rFonts w:ascii="Times New Roman" w:eastAsia="楷体_GB2312" w:hAnsi="Times New Roman"/>
          <w:sz w:val="21"/>
          <w:szCs w:val="21"/>
        </w:rPr>
        <w:t>C</w:t>
      </w:r>
      <w:r>
        <w:rPr>
          <w:rFonts w:ascii="Times New Roman" w:eastAsia="楷体_GB2312" w:hAnsi="Times New Roman" w:hint="eastAsia"/>
          <w:sz w:val="21"/>
          <w:szCs w:val="21"/>
        </w:rPr>
        <w:t>公司名称，可以与增值税发票相互印证，但由于照片形成时间和过程不明，无法认定照片中的产品即为增值税发票中所指产品。在此情形下，即便</w:t>
      </w:r>
      <w:r>
        <w:rPr>
          <w:rFonts w:ascii="Times New Roman" w:eastAsia="楷体_GB2312" w:hAnsi="Times New Roman"/>
          <w:sz w:val="21"/>
          <w:szCs w:val="21"/>
        </w:rPr>
        <w:t>B</w:t>
      </w:r>
      <w:r>
        <w:rPr>
          <w:rFonts w:ascii="Times New Roman" w:eastAsia="楷体_GB2312" w:hAnsi="Times New Roman" w:hint="eastAsia"/>
          <w:sz w:val="21"/>
          <w:szCs w:val="21"/>
        </w:rPr>
        <w:t>公司确实曾向</w:t>
      </w:r>
      <w:r>
        <w:rPr>
          <w:rFonts w:ascii="Times New Roman" w:eastAsia="楷体_GB2312" w:hAnsi="Times New Roman"/>
          <w:sz w:val="21"/>
          <w:szCs w:val="21"/>
        </w:rPr>
        <w:t>C</w:t>
      </w:r>
      <w:r>
        <w:rPr>
          <w:rFonts w:ascii="Times New Roman" w:eastAsia="楷体_GB2312" w:hAnsi="Times New Roman" w:hint="eastAsia"/>
          <w:sz w:val="21"/>
          <w:szCs w:val="21"/>
        </w:rPr>
        <w:t>公司购买过</w:t>
      </w:r>
      <w:r>
        <w:rPr>
          <w:rFonts w:ascii="Times New Roman" w:eastAsia="楷体_GB2312" w:hAnsi="Times New Roman"/>
          <w:sz w:val="21"/>
          <w:szCs w:val="21"/>
        </w:rPr>
        <w:t>1058</w:t>
      </w:r>
      <w:r>
        <w:rPr>
          <w:rFonts w:ascii="Times New Roman" w:eastAsia="楷体_GB2312" w:hAnsi="Times New Roman" w:hint="eastAsia"/>
          <w:sz w:val="21"/>
          <w:szCs w:val="21"/>
        </w:rPr>
        <w:t>汽刹制动器，但增值税发票所指产品与被控侵权产品无任何客观联系，不能证明后者有合法来源；其次，即便认定照片中产品即为</w:t>
      </w:r>
      <w:r>
        <w:rPr>
          <w:rFonts w:ascii="Times New Roman" w:eastAsia="楷体_GB2312" w:hAnsi="Times New Roman"/>
          <w:sz w:val="21"/>
          <w:szCs w:val="21"/>
        </w:rPr>
        <w:t>1058</w:t>
      </w:r>
      <w:r>
        <w:rPr>
          <w:rFonts w:ascii="Times New Roman" w:eastAsia="楷体_GB2312" w:hAnsi="Times New Roman" w:hint="eastAsia"/>
          <w:sz w:val="21"/>
          <w:szCs w:val="21"/>
        </w:rPr>
        <w:t>汽刹制动器，但被控侵权物外表无产品型号和制造厂商名称等信息，照片中的产品也无法看到内部结构，不能确定两者技术特征相一致，即照片中产品并非与被控侵权产品指向相同，仍不能合理推断出被控侵权产品即为</w:t>
      </w:r>
      <w:r>
        <w:rPr>
          <w:rFonts w:ascii="Times New Roman" w:eastAsia="楷体_GB2312" w:hAnsi="Times New Roman"/>
          <w:sz w:val="21"/>
          <w:szCs w:val="21"/>
        </w:rPr>
        <w:t>1058</w:t>
      </w:r>
      <w:r>
        <w:rPr>
          <w:rFonts w:ascii="Times New Roman" w:eastAsia="楷体_GB2312" w:hAnsi="Times New Roman" w:hint="eastAsia"/>
          <w:sz w:val="21"/>
          <w:szCs w:val="21"/>
        </w:rPr>
        <w:t>汽刹制动器。因此，</w:t>
      </w:r>
      <w:r>
        <w:rPr>
          <w:rFonts w:ascii="Times New Roman" w:eastAsia="楷体_GB2312" w:hAnsi="Times New Roman"/>
          <w:sz w:val="21"/>
          <w:szCs w:val="21"/>
        </w:rPr>
        <w:t>B</w:t>
      </w:r>
      <w:r>
        <w:rPr>
          <w:rFonts w:ascii="Times New Roman" w:eastAsia="楷体_GB2312" w:hAnsi="Times New Roman" w:hint="eastAsia"/>
          <w:sz w:val="21"/>
          <w:szCs w:val="21"/>
        </w:rPr>
        <w:t>公司有关产品合法来源的抗辩主张不能成立。</w:t>
      </w:r>
    </w:p>
    <w:p w:rsidR="00800760" w:rsidRDefault="00235733">
      <w:pPr>
        <w:pStyle w:val="af6"/>
        <w:spacing w:before="120"/>
        <w:ind w:firstLine="420"/>
      </w:pPr>
      <w:r>
        <w:rPr>
          <w:rFonts w:hint="eastAsia"/>
        </w:rPr>
        <w:t>【案例4-5-13】</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专利权人甲拥有名称为“茶叶包装盒”的外观设计专利，上述专利授权公告日为</w:t>
      </w:r>
      <w:r>
        <w:rPr>
          <w:rFonts w:ascii="Times New Roman" w:eastAsia="楷体_GB2312" w:hAnsi="Times New Roman"/>
          <w:sz w:val="21"/>
          <w:szCs w:val="21"/>
        </w:rPr>
        <w:t>2003</w:t>
      </w:r>
      <w:r>
        <w:rPr>
          <w:rFonts w:ascii="Times New Roman" w:eastAsia="楷体_GB2312" w:hAnsi="Times New Roman" w:hint="eastAsia"/>
          <w:sz w:val="21"/>
          <w:szCs w:val="21"/>
        </w:rPr>
        <w:t>年</w:t>
      </w:r>
      <w:r>
        <w:rPr>
          <w:rFonts w:ascii="Times New Roman" w:eastAsia="楷体_GB2312" w:hAnsi="Times New Roman"/>
          <w:sz w:val="21"/>
          <w:szCs w:val="21"/>
        </w:rPr>
        <w:t>10</w:t>
      </w:r>
      <w:r>
        <w:rPr>
          <w:rFonts w:ascii="Times New Roman" w:eastAsia="楷体_GB2312" w:hAnsi="Times New Roman" w:hint="eastAsia"/>
          <w:sz w:val="21"/>
          <w:szCs w:val="21"/>
        </w:rPr>
        <w:t>月</w:t>
      </w:r>
      <w:r>
        <w:rPr>
          <w:rFonts w:ascii="Times New Roman" w:eastAsia="楷体_GB2312" w:hAnsi="Times New Roman"/>
          <w:sz w:val="21"/>
          <w:szCs w:val="21"/>
        </w:rPr>
        <w:t>25</w:t>
      </w:r>
      <w:r>
        <w:rPr>
          <w:rFonts w:ascii="Times New Roman" w:eastAsia="楷体_GB2312" w:hAnsi="Times New Roman" w:hint="eastAsia"/>
          <w:sz w:val="21"/>
          <w:szCs w:val="21"/>
        </w:rPr>
        <w:t>日。甲称，</w:t>
      </w:r>
      <w:r>
        <w:rPr>
          <w:rFonts w:ascii="Times New Roman" w:eastAsia="楷体_GB2312" w:hAnsi="Times New Roman"/>
          <w:sz w:val="21"/>
          <w:szCs w:val="21"/>
        </w:rPr>
        <w:t>2004</w:t>
      </w:r>
      <w:r>
        <w:rPr>
          <w:rFonts w:ascii="Times New Roman" w:eastAsia="楷体_GB2312" w:hAnsi="Times New Roman" w:hint="eastAsia"/>
          <w:sz w:val="21"/>
          <w:szCs w:val="21"/>
        </w:rPr>
        <w:t>年</w:t>
      </w:r>
      <w:r>
        <w:rPr>
          <w:rFonts w:ascii="Times New Roman" w:eastAsia="楷体_GB2312" w:hAnsi="Times New Roman"/>
          <w:sz w:val="21"/>
          <w:szCs w:val="21"/>
        </w:rPr>
        <w:t>11</w:t>
      </w:r>
      <w:r>
        <w:rPr>
          <w:rFonts w:ascii="Times New Roman" w:eastAsia="楷体_GB2312" w:hAnsi="Times New Roman" w:hint="eastAsia"/>
          <w:sz w:val="21"/>
          <w:szCs w:val="21"/>
        </w:rPr>
        <w:t>月</w:t>
      </w:r>
      <w:r>
        <w:rPr>
          <w:rFonts w:ascii="Times New Roman" w:eastAsia="楷体_GB2312" w:hAnsi="Times New Roman"/>
          <w:sz w:val="21"/>
          <w:szCs w:val="21"/>
        </w:rPr>
        <w:t>26</w:t>
      </w:r>
      <w:r>
        <w:rPr>
          <w:rFonts w:ascii="Times New Roman" w:eastAsia="楷体_GB2312" w:hAnsi="Times New Roman" w:hint="eastAsia"/>
          <w:sz w:val="21"/>
          <w:szCs w:val="21"/>
        </w:rPr>
        <w:t>日，自己在</w:t>
      </w:r>
      <w:r>
        <w:rPr>
          <w:rFonts w:ascii="Times New Roman" w:eastAsia="楷体_GB2312" w:hAnsi="Times New Roman" w:hint="eastAsia"/>
          <w:sz w:val="21"/>
          <w:szCs w:val="21"/>
        </w:rPr>
        <w:t>A</w:t>
      </w:r>
      <w:r>
        <w:rPr>
          <w:rFonts w:ascii="Times New Roman" w:eastAsia="楷体_GB2312" w:hAnsi="Times New Roman" w:hint="eastAsia"/>
          <w:sz w:val="21"/>
          <w:szCs w:val="21"/>
        </w:rPr>
        <w:t>茶叶批发部发现被控侵权产品，遂购买了被控侵权产品一个，该批发部出具了一张饮食业发票，由包装可知，该产品为</w:t>
      </w:r>
      <w:r>
        <w:rPr>
          <w:rFonts w:ascii="Times New Roman" w:eastAsia="楷体_GB2312" w:hAnsi="Times New Roman" w:hint="eastAsia"/>
          <w:sz w:val="21"/>
          <w:szCs w:val="21"/>
        </w:rPr>
        <w:t>A</w:t>
      </w:r>
      <w:r>
        <w:rPr>
          <w:rFonts w:ascii="Times New Roman" w:eastAsia="楷体_GB2312" w:hAnsi="Times New Roman" w:hint="eastAsia"/>
          <w:sz w:val="21"/>
          <w:szCs w:val="21"/>
        </w:rPr>
        <w:t>公司生产，因此</w:t>
      </w:r>
      <w:r>
        <w:rPr>
          <w:rFonts w:ascii="Times New Roman" w:eastAsia="楷体_GB2312" w:hAnsi="Times New Roman" w:hint="eastAsia"/>
          <w:sz w:val="21"/>
          <w:szCs w:val="21"/>
        </w:rPr>
        <w:t>A</w:t>
      </w:r>
      <w:r>
        <w:rPr>
          <w:rFonts w:ascii="Times New Roman" w:eastAsia="楷体_GB2312" w:hAnsi="Times New Roman" w:hint="eastAsia"/>
          <w:sz w:val="21"/>
          <w:szCs w:val="21"/>
        </w:rPr>
        <w:t>公司应承担侵权责任。甲提供了如下证据：</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1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1</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被控侵权产品包装盒；</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2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2</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饮食业定额发票</w:t>
      </w:r>
      <w:r>
        <w:rPr>
          <w:rFonts w:ascii="Times New Roman" w:eastAsia="楷体_GB2312" w:hAnsi="Times New Roman"/>
          <w:sz w:val="21"/>
          <w:szCs w:val="21"/>
        </w:rPr>
        <w:t>1</w:t>
      </w:r>
      <w:r>
        <w:rPr>
          <w:rFonts w:ascii="Times New Roman" w:eastAsia="楷体_GB2312" w:hAnsi="Times New Roman" w:hint="eastAsia"/>
          <w:sz w:val="21"/>
          <w:szCs w:val="21"/>
        </w:rPr>
        <w:t>张。</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经查，被控侵权产品茶叶包装盒上印有“</w:t>
      </w:r>
      <w:r>
        <w:rPr>
          <w:rFonts w:ascii="Times New Roman" w:eastAsia="楷体_GB2312" w:hAnsi="Times New Roman" w:hint="eastAsia"/>
          <w:sz w:val="21"/>
          <w:szCs w:val="21"/>
        </w:rPr>
        <w:t>A</w:t>
      </w:r>
      <w:r>
        <w:rPr>
          <w:rFonts w:ascii="Times New Roman" w:eastAsia="楷体_GB2312" w:hAnsi="Times New Roman" w:hint="eastAsia"/>
          <w:sz w:val="21"/>
          <w:szCs w:val="21"/>
        </w:rPr>
        <w:t>公司荣誉出品”“</w:t>
      </w:r>
      <w:r>
        <w:rPr>
          <w:rFonts w:ascii="Times New Roman" w:eastAsia="楷体_GB2312" w:hAnsi="Times New Roman" w:hint="eastAsia"/>
          <w:sz w:val="21"/>
          <w:szCs w:val="21"/>
        </w:rPr>
        <w:t>A</w:t>
      </w:r>
      <w:r>
        <w:rPr>
          <w:rFonts w:ascii="Times New Roman" w:eastAsia="楷体_GB2312" w:hAnsi="Times New Roman" w:hint="eastAsia"/>
          <w:sz w:val="21"/>
          <w:szCs w:val="21"/>
        </w:rPr>
        <w:t>”等字样，盒侧面贴有一张白色标贴，该标贴覆盖了茶盒上的部分说明文字，其上注有“生产日期</w:t>
      </w:r>
      <w:r>
        <w:rPr>
          <w:rFonts w:ascii="Times New Roman" w:eastAsia="楷体_GB2312" w:hAnsi="Times New Roman"/>
          <w:sz w:val="21"/>
          <w:szCs w:val="21"/>
        </w:rPr>
        <w:t>2004</w:t>
      </w:r>
      <w:r>
        <w:rPr>
          <w:rFonts w:ascii="Times New Roman" w:eastAsia="楷体_GB2312" w:hAnsi="Times New Roman" w:hint="eastAsia"/>
          <w:sz w:val="21"/>
          <w:szCs w:val="21"/>
        </w:rPr>
        <w:t>年</w:t>
      </w:r>
      <w:r>
        <w:rPr>
          <w:rFonts w:ascii="Times New Roman" w:eastAsia="楷体_GB2312" w:hAnsi="Times New Roman"/>
          <w:sz w:val="21"/>
          <w:szCs w:val="21"/>
        </w:rPr>
        <w:t>3</w:t>
      </w:r>
      <w:r>
        <w:rPr>
          <w:rFonts w:ascii="Times New Roman" w:eastAsia="楷体_GB2312" w:hAnsi="Times New Roman" w:hint="eastAsia"/>
          <w:sz w:val="21"/>
          <w:szCs w:val="21"/>
        </w:rPr>
        <w:t>月</w:t>
      </w:r>
      <w:r>
        <w:rPr>
          <w:rFonts w:ascii="Times New Roman" w:eastAsia="楷体_GB2312" w:hAnsi="Times New Roman"/>
          <w:sz w:val="21"/>
          <w:szCs w:val="21"/>
        </w:rPr>
        <w:t>17</w:t>
      </w:r>
      <w:r>
        <w:rPr>
          <w:rFonts w:ascii="Times New Roman" w:eastAsia="楷体_GB2312" w:hAnsi="Times New Roman" w:hint="eastAsia"/>
          <w:sz w:val="21"/>
          <w:szCs w:val="21"/>
        </w:rPr>
        <w:t>日”等字样。饮食业定额发票上盖有“</w:t>
      </w:r>
      <w:r>
        <w:rPr>
          <w:rFonts w:ascii="Times New Roman" w:eastAsia="楷体_GB2312" w:hAnsi="Times New Roman" w:hint="eastAsia"/>
          <w:sz w:val="21"/>
          <w:szCs w:val="21"/>
        </w:rPr>
        <w:t>A</w:t>
      </w:r>
      <w:r>
        <w:rPr>
          <w:rFonts w:ascii="Times New Roman" w:eastAsia="楷体_GB2312" w:hAnsi="Times New Roman" w:hint="eastAsia"/>
          <w:sz w:val="21"/>
          <w:szCs w:val="21"/>
        </w:rPr>
        <w:t>茶业批发部茶楼宾馆专用章”，但“客户名称”以及“开具日期”栏均为空白。对此，</w:t>
      </w:r>
      <w:r>
        <w:rPr>
          <w:rFonts w:ascii="Times New Roman" w:eastAsia="楷体_GB2312" w:hAnsi="Times New Roman" w:hint="eastAsia"/>
          <w:sz w:val="21"/>
          <w:szCs w:val="21"/>
        </w:rPr>
        <w:t>A</w:t>
      </w:r>
      <w:r>
        <w:rPr>
          <w:rFonts w:ascii="Times New Roman" w:eastAsia="楷体_GB2312" w:hAnsi="Times New Roman" w:hint="eastAsia"/>
          <w:sz w:val="21"/>
          <w:szCs w:val="21"/>
        </w:rPr>
        <w:t>公司认为，被控侵权产品上的生产日期覆盖了包装上的产品介绍内容，违反了国家有关规定；饮食业定额发票与其购买的被控侵权产品之间无互相印证关系，因此，不能证明</w:t>
      </w:r>
      <w:r>
        <w:rPr>
          <w:rFonts w:ascii="Times New Roman" w:eastAsia="楷体_GB2312" w:hAnsi="Times New Roman" w:hint="eastAsia"/>
          <w:sz w:val="21"/>
          <w:szCs w:val="21"/>
        </w:rPr>
        <w:t>A</w:t>
      </w:r>
      <w:r>
        <w:rPr>
          <w:rFonts w:ascii="Times New Roman" w:eastAsia="楷体_GB2312" w:hAnsi="Times New Roman" w:hint="eastAsia"/>
          <w:sz w:val="21"/>
          <w:szCs w:val="21"/>
        </w:rPr>
        <w:t>公司制造、销售了被控侵权产品。</w:t>
      </w:r>
      <w:r>
        <w:rPr>
          <w:rFonts w:ascii="Times New Roman" w:eastAsia="楷体_GB2312" w:hAnsi="Times New Roman" w:hint="eastAsia"/>
          <w:sz w:val="21"/>
          <w:szCs w:val="21"/>
        </w:rPr>
        <w:t>A</w:t>
      </w:r>
      <w:r>
        <w:rPr>
          <w:rFonts w:ascii="Times New Roman" w:eastAsia="楷体_GB2312" w:hAnsi="Times New Roman" w:hint="eastAsia"/>
          <w:sz w:val="21"/>
          <w:szCs w:val="21"/>
        </w:rPr>
        <w:t>公司出示了其生产的部分茶叶产品包装，以证明其生产日期系以喷码形式印制。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甲提供的被控侵权产品上虽印有</w:t>
      </w:r>
      <w:r>
        <w:rPr>
          <w:rFonts w:ascii="Times New Roman" w:eastAsia="楷体_GB2312" w:hAnsi="Times New Roman" w:hint="eastAsia"/>
          <w:sz w:val="21"/>
          <w:szCs w:val="21"/>
        </w:rPr>
        <w:t>A</w:t>
      </w:r>
      <w:r>
        <w:rPr>
          <w:rFonts w:ascii="Times New Roman" w:eastAsia="楷体_GB2312" w:hAnsi="Times New Roman" w:hint="eastAsia"/>
          <w:sz w:val="21"/>
          <w:szCs w:val="21"/>
        </w:rPr>
        <w:t>公司的相关信息，但用于证明该产品生产日期的标贴系另行贴附于包装盒上，容易拆卸，被控侵权产品的生产日期标注方式亦与</w:t>
      </w:r>
      <w:r>
        <w:rPr>
          <w:rFonts w:ascii="Times New Roman" w:eastAsia="楷体_GB2312" w:hAnsi="Times New Roman" w:hint="eastAsia"/>
          <w:sz w:val="21"/>
          <w:szCs w:val="21"/>
        </w:rPr>
        <w:t>A</w:t>
      </w:r>
      <w:r>
        <w:rPr>
          <w:rFonts w:ascii="Times New Roman" w:eastAsia="楷体_GB2312" w:hAnsi="Times New Roman" w:hint="eastAsia"/>
          <w:sz w:val="21"/>
          <w:szCs w:val="21"/>
        </w:rPr>
        <w:t>公司在先产品中以喷涂方式标注生产日期的方式明显不同。甲提供的饮食业定额发票中虽盖有“</w:t>
      </w:r>
      <w:r>
        <w:rPr>
          <w:rFonts w:ascii="Times New Roman" w:eastAsia="楷体_GB2312" w:hAnsi="Times New Roman" w:hint="eastAsia"/>
          <w:sz w:val="21"/>
          <w:szCs w:val="21"/>
        </w:rPr>
        <w:t>A</w:t>
      </w:r>
      <w:r>
        <w:rPr>
          <w:rFonts w:ascii="Times New Roman" w:eastAsia="楷体_GB2312" w:hAnsi="Times New Roman" w:hint="eastAsia"/>
          <w:sz w:val="21"/>
          <w:szCs w:val="21"/>
        </w:rPr>
        <w:t>茶业批发部茶楼宾馆专用章”，但“客户名称”以及“开具日期”栏均为空白，不符合国家有关发票的管理制度，并且其为定额发票，其对应的产品也不明确，发票与被控侵权产品不能相互印证，无法证明</w:t>
      </w:r>
      <w:r>
        <w:rPr>
          <w:rFonts w:ascii="Times New Roman" w:eastAsia="楷体_GB2312" w:hAnsi="Times New Roman" w:hint="eastAsia"/>
          <w:sz w:val="21"/>
          <w:szCs w:val="21"/>
        </w:rPr>
        <w:t>A</w:t>
      </w:r>
      <w:r>
        <w:rPr>
          <w:rFonts w:ascii="Times New Roman" w:eastAsia="楷体_GB2312" w:hAnsi="Times New Roman" w:hint="eastAsia"/>
          <w:sz w:val="21"/>
          <w:szCs w:val="21"/>
        </w:rPr>
        <w:t>公司销售了被控侵权产品。</w:t>
      </w:r>
    </w:p>
    <w:p w:rsidR="00800760" w:rsidRDefault="00235733">
      <w:pPr>
        <w:pStyle w:val="3"/>
        <w:topLinePunct/>
        <w:spacing w:before="240"/>
        <w:ind w:firstLine="444"/>
        <w:rPr>
          <w:rFonts w:ascii="Times New Roman" w:hAnsi="Times New Roman"/>
        </w:rPr>
      </w:pPr>
      <w:bookmarkStart w:id="3566" w:name="_Toc229114402"/>
      <w:bookmarkStart w:id="3567" w:name="_Toc229225498"/>
      <w:r>
        <w:rPr>
          <w:rFonts w:ascii="Times New Roman" w:hAnsi="Times New Roman" w:hint="eastAsia"/>
        </w:rPr>
        <w:t>三、视听资料</w:t>
      </w:r>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66"/>
      <w:bookmarkEnd w:id="3567"/>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视听资料是指采用先进的科学技术，利用图像、音响及电脑等储存反映的数据资料等来证明案件情况的一种证据形式。</w:t>
      </w:r>
    </w:p>
    <w:p w:rsidR="00800760" w:rsidRDefault="00235733">
      <w:pPr>
        <w:pStyle w:val="4"/>
        <w:spacing w:before="240"/>
        <w:ind w:firstLine="444"/>
        <w:rPr>
          <w:rFonts w:ascii="Times New Roman" w:hAnsi="Times New Roman"/>
        </w:rPr>
      </w:pPr>
      <w:r>
        <w:rPr>
          <w:rFonts w:ascii="Times New Roman" w:hAnsi="Times New Roman" w:hint="eastAsia"/>
        </w:rPr>
        <w:t>（一）表现形式</w:t>
      </w:r>
    </w:p>
    <w:p w:rsidR="00800760" w:rsidRDefault="00235733">
      <w:pPr>
        <w:pStyle w:val="12"/>
        <w:topLinePunct/>
        <w:spacing w:line="336" w:lineRule="auto"/>
        <w:ind w:firstLine="428"/>
        <w:rPr>
          <w:rFonts w:ascii="Times New Roman" w:eastAsia="宋体" w:hAnsi="Times New Roman"/>
          <w:spacing w:val="2"/>
          <w:sz w:val="21"/>
          <w:szCs w:val="21"/>
        </w:rPr>
      </w:pPr>
      <w:r>
        <w:rPr>
          <w:rFonts w:ascii="Times New Roman" w:eastAsia="宋体" w:hAnsi="Times New Roman" w:hint="eastAsia"/>
          <w:spacing w:val="2"/>
          <w:sz w:val="21"/>
          <w:szCs w:val="21"/>
        </w:rPr>
        <w:t>视听资料表现为录像带、录音带、传真资料、微型胶卷、电话录音、电脑储存数据和资料等具体形式。</w:t>
      </w:r>
    </w:p>
    <w:p w:rsidR="00800760" w:rsidRDefault="00235733">
      <w:pPr>
        <w:pStyle w:val="4"/>
        <w:spacing w:before="240"/>
        <w:ind w:firstLine="444"/>
        <w:rPr>
          <w:rFonts w:ascii="Times New Roman" w:hAnsi="Times New Roman"/>
        </w:rPr>
      </w:pPr>
      <w:r>
        <w:rPr>
          <w:rFonts w:ascii="Times New Roman" w:hAnsi="Times New Roman" w:hint="eastAsia"/>
        </w:rPr>
        <w:t>（二）视听资料的提交要求</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当事人应当提供有关资料的原始载体。提供原始载体确有困难的，可以提供复制件。提供复制件的，应当说明其来源和制作经过。</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注明制作方法、制作时间、制作人和证明对象等。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声音资料应当附有该声音内容的文字记录。</w:t>
      </w:r>
    </w:p>
    <w:p w:rsidR="00800760" w:rsidRDefault="00235733">
      <w:pPr>
        <w:pStyle w:val="4"/>
        <w:spacing w:before="240"/>
        <w:ind w:firstLine="444"/>
        <w:rPr>
          <w:rFonts w:ascii="Times New Roman" w:hAnsi="Times New Roman"/>
        </w:rPr>
      </w:pPr>
      <w:r>
        <w:rPr>
          <w:rFonts w:ascii="Times New Roman" w:hAnsi="Times New Roman" w:hint="eastAsia"/>
        </w:rPr>
        <w:t>（三）视听资料的审核认定</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1. </w:t>
      </w:r>
      <w:r>
        <w:rPr>
          <w:rFonts w:ascii="Times New Roman" w:eastAsia="黑体" w:hAnsi="黑体" w:cs="Times New Roman"/>
          <w:sz w:val="21"/>
          <w:szCs w:val="21"/>
        </w:rPr>
        <w:t>证据资格审核认定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视听资料证据资格主要审核证据的合法性，即证据是否为非法取得。所谓非法取得，主要指是否以窃听等违反法律禁止性规定的手段取得，或是否以侵害他人合法权益的方式取得。</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证明力审核认定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视听资料载体、制作过程是否可靠</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审查视听资料所依赖的设备、软件是否达到一定的质量标准，是否具备一定的灵敏度，使用期限如何等；视听资料制作、存储、传递的方法是否科学，程序是否合理。</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视听资料的真实性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审查视听资料有无被加工、改造的可能，必要时，可以运用鉴定方法。被当事人或者他人进行技术处理而无法辨认真伪的证据材料不能作为定案依据。难以识别是否经过修改的视听资料不能单独作为定案依据。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3</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视听资料形成时的条件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审查视听资料的制作主体、方式，形成时间、地点、条件及周边环境，确认由何人录制、摄制、输入，制作具体地点、时间和具体环境情况。例如，对于录音、录像资料，应当查明当事人的有关言辞陈述是否出于自愿或真实意思表示，是否是在受到威胁的情况下被迫作出的。</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4</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视听资料的证明力判断标准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视听资料载体及其制作过程可靠性强，证明力也强。存有疑点的视听资料不能单独作为认定案件事实的依据。</w:t>
      </w:r>
    </w:p>
    <w:p w:rsidR="00800760" w:rsidRDefault="00235733">
      <w:pPr>
        <w:pStyle w:val="3"/>
        <w:topLinePunct/>
        <w:spacing w:before="240"/>
        <w:ind w:firstLine="444"/>
        <w:rPr>
          <w:rFonts w:ascii="Times New Roman" w:hAnsi="Times New Roman"/>
        </w:rPr>
      </w:pPr>
      <w:bookmarkStart w:id="3568" w:name="_Toc10242"/>
      <w:bookmarkStart w:id="3569" w:name="_Toc5024"/>
      <w:bookmarkStart w:id="3570" w:name="_Toc2083"/>
      <w:bookmarkStart w:id="3571" w:name="_Toc9546"/>
      <w:bookmarkStart w:id="3572" w:name="_Toc30511"/>
      <w:bookmarkStart w:id="3573" w:name="_Toc27079"/>
      <w:bookmarkStart w:id="3574" w:name="_Toc24787"/>
      <w:bookmarkStart w:id="3575" w:name="_Toc31595"/>
      <w:bookmarkStart w:id="3576" w:name="_Toc25034"/>
      <w:bookmarkStart w:id="3577" w:name="_Toc31019"/>
      <w:bookmarkStart w:id="3578" w:name="_Toc3060"/>
      <w:bookmarkStart w:id="3579" w:name="_Toc23584"/>
      <w:bookmarkStart w:id="3580" w:name="_Toc14187"/>
      <w:bookmarkStart w:id="3581" w:name="_Toc18667"/>
      <w:bookmarkStart w:id="3582" w:name="_Toc23233"/>
      <w:bookmarkStart w:id="3583" w:name="_Toc23674"/>
      <w:bookmarkStart w:id="3584" w:name="_Toc15559"/>
      <w:bookmarkStart w:id="3585" w:name="_Toc8729"/>
      <w:bookmarkStart w:id="3586" w:name="_Toc28361"/>
      <w:bookmarkStart w:id="3587" w:name="_Toc25816"/>
      <w:bookmarkStart w:id="3588" w:name="_Toc29224"/>
      <w:bookmarkStart w:id="3589" w:name="_Toc6025"/>
      <w:bookmarkStart w:id="3590" w:name="_Toc730"/>
      <w:bookmarkStart w:id="3591" w:name="_Toc25433"/>
      <w:bookmarkStart w:id="3592" w:name="_Toc15462"/>
      <w:bookmarkStart w:id="3593" w:name="_Toc304"/>
      <w:bookmarkStart w:id="3594" w:name="_Toc29703"/>
      <w:bookmarkStart w:id="3595" w:name="_Toc8815"/>
      <w:bookmarkStart w:id="3596" w:name="_Toc27268"/>
      <w:bookmarkStart w:id="3597" w:name="_Toc16352"/>
      <w:bookmarkStart w:id="3598" w:name="_Toc11512"/>
      <w:bookmarkStart w:id="3599" w:name="_Toc11903"/>
      <w:bookmarkStart w:id="3600" w:name="_Toc7569"/>
      <w:bookmarkStart w:id="3601" w:name="_Toc17343"/>
      <w:bookmarkStart w:id="3602" w:name="_Toc229114403"/>
      <w:bookmarkStart w:id="3603" w:name="_Toc21588"/>
      <w:bookmarkStart w:id="3604" w:name="_Toc25594"/>
      <w:bookmarkStart w:id="3605" w:name="_Toc229225499"/>
      <w:r>
        <w:rPr>
          <w:rFonts w:ascii="Times New Roman" w:hAnsi="Times New Roman" w:hint="eastAsia"/>
        </w:rPr>
        <w:t>四、当事人陈述及证人证言</w:t>
      </w:r>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p>
    <w:p w:rsidR="00800760" w:rsidRDefault="00235733">
      <w:pPr>
        <w:pStyle w:val="4"/>
        <w:spacing w:before="240"/>
        <w:ind w:firstLine="444"/>
        <w:rPr>
          <w:rFonts w:ascii="Times New Roman" w:hAnsi="Times New Roman"/>
        </w:rPr>
      </w:pPr>
      <w:r>
        <w:rPr>
          <w:rFonts w:ascii="Times New Roman" w:hAnsi="Times New Roman" w:hint="eastAsia"/>
        </w:rPr>
        <w:t>（一）当事人陈述</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陈述是当事人就有关案件的事实情况向管理专利工作的部门所作出的陈述，包括当事人自己说明的案件事实以及对案件事实的承认。当事人陈述通常缺乏可靠性，难以单独作为定案依据。相比当事人作出的利己陈述，其作出的不利于己、只有利于对方当事人的事实陈述，可信度相对较高。</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当事人陈述，主要审查当事人陈述与其他证据有无矛盾、是否能够相互印证。不仅要审查一方当事人陈述与其所提供的其他证据是否存在相互抵触，还要审查该当事人陈述与对方当事人及所提供的其他证据是否存在矛盾。</w:t>
      </w:r>
    </w:p>
    <w:p w:rsidR="00800760" w:rsidRDefault="00235733">
      <w:pPr>
        <w:pStyle w:val="4"/>
        <w:spacing w:before="240"/>
        <w:ind w:firstLine="444"/>
        <w:rPr>
          <w:rFonts w:ascii="Times New Roman" w:hAnsi="Times New Roman"/>
        </w:rPr>
      </w:pPr>
      <w:r>
        <w:rPr>
          <w:rFonts w:ascii="Times New Roman" w:hAnsi="Times New Roman" w:hint="eastAsia"/>
        </w:rPr>
        <w:t>（二）证人证言</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证人证言是人们对客观发生事件在头脑中所形成印象的一种表达。</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1. </w:t>
      </w:r>
      <w:r>
        <w:rPr>
          <w:rFonts w:ascii="Times New Roman" w:eastAsia="黑体" w:hAnsi="黑体" w:cs="Times New Roman"/>
          <w:sz w:val="21"/>
          <w:szCs w:val="21"/>
        </w:rPr>
        <w:t>证人资格</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不能正确表达意志的人，不能作为证人，其证言不能作为定案依据。待证事实与其年龄、智力状况或者精神健康状况相适应的无民事行为能力人和限制民事行为能力人，可以作为证人。</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证人证言的审核认定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证人作证的基本要求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人应当陈述其亲历的具体事实。证人根据其经历所作的判断、推测或者评论，不能作为定案的依据。证人证言的质证应当结合提交的书面证言，围绕证人的感知、记忆能力、证言内容的真实性、证人身份及证人与案件的利害关系等进行。出庭作证的证人应当客观陈述其亲身感知的事实。证人为聋哑人的，可以其他表达方式作证。证人作证时，不得使用猜测、推断或者评论性的语言。</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当事人提供证人证言的，应当符合下列要求：</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写明证人的姓名、年龄、性别、职业、住址等基本情况；</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有证人的签名，不能签名的，应当以盖章等方式证明；</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注明出具日期；</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附有居民身份证复印件等证明证人身份的文件。</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2</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询问证人的程序和注意事项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询问证人应当包括如下步骤：</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核实证人身份（核对身份证件，并要求其提供复印件）；</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询问证人的姓名、年龄、性别、职业、住址等基本情况；</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告知证人有如实作证的义务及作伪证的责任；</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双方当事人对证人证言质证：</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rPr>
        <w:t>a</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提供证言一方询问和反方询问；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rPr>
        <w:t>b</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正方再询问和反方再询问；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alphabetic</w:instrText>
      </w:r>
      <w:r>
        <w:rPr>
          <w:rFonts w:ascii="Times New Roman" w:eastAsia="宋体" w:hAnsi="Times New Roman"/>
          <w:sz w:val="21"/>
          <w:szCs w:val="21"/>
        </w:rPr>
        <w:fldChar w:fldCharType="separate"/>
      </w:r>
      <w:r w:rsidR="00235733">
        <w:rPr>
          <w:rFonts w:ascii="Times New Roman" w:eastAsia="宋体" w:hAnsi="Times New Roman"/>
          <w:sz w:val="21"/>
          <w:szCs w:val="21"/>
        </w:rPr>
        <w:t>c</w:t>
      </w:r>
      <w:r>
        <w:rPr>
          <w:rFonts w:ascii="Times New Roman" w:eastAsia="宋体" w:hAnsi="Times New Roman"/>
          <w:sz w:val="21"/>
          <w:szCs w:val="21"/>
        </w:rPr>
        <w:fldChar w:fldCharType="end"/>
      </w:r>
      <w:r w:rsidR="00235733">
        <w:rPr>
          <w:rFonts w:ascii="Times New Roman" w:eastAsia="宋体" w:hAnsi="Times New Roman"/>
          <w:sz w:val="21"/>
          <w:szCs w:val="21"/>
        </w:rPr>
        <w:t>.</w:t>
      </w:r>
      <w:r w:rsidR="00235733">
        <w:rPr>
          <w:rFonts w:ascii="Times New Roman" w:eastAsia="宋体" w:hAnsi="Times New Roman" w:hint="eastAsia"/>
          <w:sz w:val="21"/>
          <w:szCs w:val="21"/>
        </w:rPr>
        <w:t>如有多个证人，可以让证人对质；</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5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⑤</w:t>
      </w:r>
      <w:r>
        <w:rPr>
          <w:rFonts w:ascii="Times New Roman" w:eastAsia="宋体" w:hAnsi="Times New Roman"/>
          <w:sz w:val="21"/>
          <w:szCs w:val="21"/>
        </w:rPr>
        <w:fldChar w:fldCharType="end"/>
      </w:r>
      <w:r w:rsidR="00235733">
        <w:rPr>
          <w:rFonts w:ascii="Times New Roman" w:eastAsia="宋体" w:hAnsi="Times New Roman" w:hint="eastAsia"/>
          <w:sz w:val="21"/>
          <w:szCs w:val="21"/>
        </w:rPr>
        <w:t>合议组成员对未予明确的问题询问。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合议组对证人的询问不得使用诱导性语言；合议组可以根据案件的具体情况，选择不同的询问方法，以查明证人的感知、记忆和表述能力，证人是否亲历其作证事实，证人与当事人或代理人有无利害关系，证言前后有无矛盾之处，证言与其他客观证据有无矛盾之处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对证人询问不得使用诱导性的语言，不得威胁、侮辱证人，询问的事项应当与案件事实相关。询问和质证内容应当形成文字材料，可以在口头审理过程中记录并由证人签名，也可以由本人书写，并注明日期。出席口头审理作证的证人不得旁听案件的审理。合议组询问证人时，其他证人不得在场，但组织证人对质的除外。</w:t>
      </w:r>
    </w:p>
    <w:p w:rsidR="00800760" w:rsidRDefault="00C22A7B">
      <w:r>
        <w:fldChar w:fldCharType="begin"/>
      </w:r>
      <w:r w:rsidR="00235733">
        <w:instrText>= 3 \* GB2</w:instrText>
      </w:r>
      <w:r>
        <w:fldChar w:fldCharType="separate"/>
      </w:r>
      <w:r w:rsidR="00235733">
        <w:rPr>
          <w:rFonts w:hint="eastAsia"/>
        </w:rPr>
        <w:t>（</w:t>
      </w:r>
      <w:r w:rsidR="00235733">
        <w:rPr>
          <w:rFonts w:hint="eastAsia"/>
        </w:rPr>
        <w:t>3</w:t>
      </w:r>
      <w:r w:rsidR="00235733">
        <w:rPr>
          <w:rFonts w:hint="eastAsia"/>
        </w:rPr>
        <w:t>）</w:t>
      </w:r>
      <w:r>
        <w:fldChar w:fldCharType="end"/>
      </w:r>
      <w:r w:rsidR="00235733">
        <w:rPr>
          <w:rFonts w:hint="eastAsia"/>
        </w:rPr>
        <w:t>证人证言证明力的判断</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对于证人证言的证明力，应通过对证人的智力状况、品德、知识、经验、法律意识和专业技能等的综合分析作出判断。针对同一事实，有多个证人证言的，应当综合分析、判断、相互印证。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其他证人证言一般优于与当事人有亲属关系或者其他密切关系的证人提供的对该当事人有利的证言；出庭作证的证人证言一般优于未出庭作证的证人证言。未成年人所作的与其年龄和智力状况不相适应的证言，与一方当事人有亲属关系或者其他密切关系的证人所作的对该当事人有利的证言，或者与一方当事人有不利关系的证人所作的对该当事人不利的证言，均不能单独作为定案依据。</w:t>
      </w:r>
    </w:p>
    <w:p w:rsidR="00800760" w:rsidRDefault="00C22A7B">
      <w:r>
        <w:fldChar w:fldCharType="begin"/>
      </w:r>
      <w:r w:rsidR="00235733">
        <w:instrText>= 4 \* GB2</w:instrText>
      </w:r>
      <w:r>
        <w:fldChar w:fldCharType="separate"/>
      </w:r>
      <w:r w:rsidR="00235733">
        <w:rPr>
          <w:rFonts w:hint="eastAsia"/>
        </w:rPr>
        <w:t>（</w:t>
      </w:r>
      <w:r w:rsidR="00235733">
        <w:rPr>
          <w:rFonts w:hint="eastAsia"/>
        </w:rPr>
        <w:t>4</w:t>
      </w:r>
      <w:r w:rsidR="00235733">
        <w:rPr>
          <w:rFonts w:hint="eastAsia"/>
        </w:rPr>
        <w:t>）</w:t>
      </w:r>
      <w:r>
        <w:fldChar w:fldCharType="end"/>
      </w:r>
      <w:r w:rsidR="00235733">
        <w:rPr>
          <w:rFonts w:hint="eastAsia"/>
        </w:rPr>
        <w:t>证人不能出庭的情形</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证人确有困难不能出庭的情形，经管理专利工作的部门许可，证人可以提交书面证言或者视听资料或者通过双向视听传输技术手段作证。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如果证人无正当理由不出庭作证，其证言不能单独作为认定事实的依据。</w:t>
      </w:r>
    </w:p>
    <w:p w:rsidR="00800760" w:rsidRDefault="00C22A7B">
      <w:r>
        <w:fldChar w:fldCharType="begin"/>
      </w:r>
      <w:r w:rsidR="00235733">
        <w:instrText>= 5 \* GB2</w:instrText>
      </w:r>
      <w:r>
        <w:fldChar w:fldCharType="separate"/>
      </w:r>
      <w:r w:rsidR="00235733">
        <w:rPr>
          <w:rFonts w:hint="eastAsia"/>
        </w:rPr>
        <w:t>（</w:t>
      </w:r>
      <w:r w:rsidR="00235733">
        <w:rPr>
          <w:rFonts w:hint="eastAsia"/>
        </w:rPr>
        <w:t>5</w:t>
      </w:r>
      <w:r w:rsidR="00235733">
        <w:rPr>
          <w:rFonts w:hint="eastAsia"/>
        </w:rPr>
        <w:t>）</w:t>
      </w:r>
      <w:r>
        <w:fldChar w:fldCharType="end"/>
      </w:r>
      <w:r w:rsidR="00235733">
        <w:rPr>
          <w:rFonts w:hint="eastAsia"/>
        </w:rPr>
        <w:t>证人证言是否公证对证明力的影响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经过公证的证言仍然属于证人证言的范畴，只能证明证人作出了如书面证言所述的陈述，不能证明其所述情况属实。</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3. </w:t>
      </w:r>
      <w:r>
        <w:rPr>
          <w:rFonts w:ascii="Times New Roman" w:eastAsia="黑体" w:hAnsi="黑体" w:cs="Times New Roman"/>
          <w:sz w:val="21"/>
          <w:szCs w:val="21"/>
        </w:rPr>
        <w:t>单位证明</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单位证明是指以法人单位或者其他非法人组织的名义作出的，以其文字内容来证明案件事实情况的证明材料，如市场监督管理部门出具的企业法人变更登记情况表、国家图书馆出具的馆藏证明、档案馆出具的馆藏证明、企业单位出具的对产品销售情况的陈述、行业协会出具的意见等。</w:t>
      </w:r>
    </w:p>
    <w:p w:rsidR="00800760" w:rsidRDefault="00235733">
      <w:r>
        <w:t>（</w:t>
      </w:r>
      <w:r>
        <w:t>1</w:t>
      </w:r>
      <w:r>
        <w:t>）</w:t>
      </w:r>
      <w:r>
        <w:rPr>
          <w:rFonts w:hint="eastAsia"/>
        </w:rPr>
        <w:t>单位证明的分类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根据所记载的内容或表达的思想，单位证明可分为以下几类：</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①书证性质的单位证明，具体可分为公书证类证明和私书证类证明。公书证类证明是指国家机关（如市场监督管理部门、海关部门等）或者公共职能部门（如图书馆、标准馆、档案馆等）在职权范围内制作的证明；私书证类证明是指企事业单位提供的案件发生前和案件发生过程中形成的文件或档案等证明材料，或将单位持有的文件或档案进行摘录、总结归纳或将其作为附件而形成的证明材料。</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②证人证言性质的单位证明。此类单位证明是指为证明某一案件事实，应一方或多方当事人的请求，以单位的名义出具的、对单位参与的业务活动的记忆性陈述，或者以单位的名义出具的，单位工作人员对案件事实的陈述。</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③行业意见类单位证明，例如建筑材料行业协会出具关于某专利在该行业取得良好应用效果的说明、电器行业协会出具关于某种型号的电器已经公开使用的证明，以及其他行业协会或者专业技术部门出具的某种技术方案与涉案专利构成等同的意见等。这类单位证明类似于专家意见，是对某一案件事实的解释、说明。</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cs="Times New Roman"/>
          <w:sz w:val="21"/>
          <w:szCs w:val="21"/>
        </w:rPr>
        <w:t>（</w:t>
      </w:r>
      <w:r>
        <w:rPr>
          <w:rFonts w:ascii="Times New Roman" w:eastAsia="宋体" w:hAnsi="Times New Roman" w:cs="Times New Roman" w:hint="eastAsia"/>
          <w:sz w:val="21"/>
          <w:szCs w:val="21"/>
        </w:rPr>
        <w:t>2</w:t>
      </w:r>
      <w:r>
        <w:rPr>
          <w:rFonts w:ascii="Times New Roman" w:eastAsia="宋体" w:hAnsi="Times New Roman" w:cs="Times New Roman"/>
          <w:sz w:val="21"/>
          <w:szCs w:val="21"/>
        </w:rPr>
        <w:t>）</w:t>
      </w:r>
      <w:r>
        <w:rPr>
          <w:rFonts w:ascii="Times New Roman" w:eastAsia="宋体" w:hAnsi="Times New Roman" w:hint="eastAsia"/>
          <w:sz w:val="21"/>
          <w:szCs w:val="21"/>
        </w:rPr>
        <w:t>单位证明的审核认定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①单位证明的法定形式要求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由有关单位向案件处理机关提出的证明文书，应由单位负责人签名或者盖章，并加盖单位印章。对于单位证明，若其缺少单位的签章或单位负责人签名或者盖章，在对方当事人不予认可的情况下，应当不予采纳。单位在自然人（单位职员）的书面证明上盖章确认的，该份证明材料只能作为自然人的书面证言，不应该被当作单位证明，单位的盖章只能视为单位对证人身份资格的证明。</w:t>
      </w:r>
    </w:p>
    <w:p w:rsidR="00800760" w:rsidRDefault="00235733">
      <w:r>
        <w:rPr>
          <w:rFonts w:hint="eastAsia"/>
        </w:rPr>
        <w:t>②证明力认定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关于书证性质的单位证明，国家机关、公共职能部门在职权范围内制作的公书证类证明文书，在确认复印件与原件一致，且无其他反证的情况下，可以确认其证明力。在认定能够作为公书证的单位证明时，应当注意辨别单位主体的性质、证明内容的性质、单位证明的形成时间以及该证明所涉及实体内容的形成时间，注意出具该材料的主体和材料内容是否符合要求。如果该单位不是依照法律、法规等授权而享有相应职能、职责的国家机关或公共职能机构，或者材料的内容不在上述单位的法定职权范围内，该单位证明不能被当作公书证，只能以私书证类证明或证人证言对待。对于私书证类证明，当事人一般应当提供出具该单位证明文书所依据的证明材料。在当事人取证确有困难的情况下，可以依当事人的申请调取证据；若当事人提交经公证的单位证明，且该公证书附有相关证据材料的复印件，而单位证明的内容又与所附材料相一致时，可以确认单位证明的证明力；若当事人提交经公证的单位证明而公证书未附所依据的证据材料的复印件，在对方当事人提出合理异议，且没有其他证据佐证的情况下，不宜确认其证明力。</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证人证言性质的单位证明，质证规则可以适用证人证言的质证规则，在当事人对单位证明存有异议的情况下，签字的单位负责人或者相关事项的具体经办人应当出庭接受质证。未经质证的单位证明，通常不能单独作为定案的依据。经过质证的单位证明的证明力通常要大于未出庭质证的单位证明的证明力。单位证明的证明力要大于自然人证言的证明力。</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行业意见类单位证明的作用仅仅是帮助审案人员了解案情，解释、说明案件的情况，可以作为审查案件时的参考，一般不宜将其作为证据使用。</w:t>
      </w:r>
    </w:p>
    <w:p w:rsidR="00800760" w:rsidRDefault="00235733">
      <w:pPr>
        <w:pStyle w:val="af6"/>
        <w:spacing w:before="120"/>
        <w:ind w:firstLine="420"/>
      </w:pPr>
      <w:bookmarkStart w:id="3606" w:name="_Toc27862"/>
      <w:bookmarkStart w:id="3607" w:name="_Toc5810"/>
      <w:bookmarkStart w:id="3608" w:name="_Toc15088"/>
      <w:bookmarkStart w:id="3609" w:name="_Toc22052"/>
      <w:bookmarkStart w:id="3610" w:name="_Toc13251"/>
      <w:bookmarkStart w:id="3611" w:name="_Toc31600"/>
      <w:bookmarkStart w:id="3612" w:name="_Toc19708"/>
      <w:bookmarkStart w:id="3613" w:name="_Toc12229"/>
      <w:bookmarkStart w:id="3614" w:name="_Toc11768"/>
      <w:bookmarkStart w:id="3615" w:name="_Toc22348"/>
      <w:bookmarkStart w:id="3616" w:name="_Toc11917"/>
      <w:bookmarkStart w:id="3617" w:name="_Toc22798"/>
      <w:bookmarkStart w:id="3618" w:name="_Toc16809"/>
      <w:bookmarkStart w:id="3619" w:name="_Toc2319"/>
      <w:bookmarkStart w:id="3620" w:name="_Toc16433"/>
      <w:bookmarkStart w:id="3621" w:name="_Toc28081"/>
      <w:bookmarkStart w:id="3622" w:name="_Toc23867"/>
      <w:bookmarkStart w:id="3623" w:name="_Toc1059"/>
      <w:bookmarkStart w:id="3624" w:name="_Toc27561"/>
      <w:bookmarkStart w:id="3625" w:name="_Toc30126"/>
      <w:bookmarkStart w:id="3626" w:name="_Toc17014"/>
      <w:bookmarkStart w:id="3627" w:name="_Toc27875"/>
      <w:bookmarkStart w:id="3628" w:name="_Toc5269"/>
      <w:bookmarkStart w:id="3629" w:name="_Toc30553"/>
      <w:bookmarkStart w:id="3630" w:name="_Toc15929"/>
      <w:bookmarkStart w:id="3631" w:name="_Toc12700"/>
      <w:bookmarkStart w:id="3632" w:name="_Toc21679"/>
      <w:bookmarkStart w:id="3633" w:name="_Toc17776"/>
      <w:bookmarkStart w:id="3634" w:name="_Toc11268"/>
      <w:bookmarkStart w:id="3635" w:name="_Toc26182"/>
      <w:bookmarkStart w:id="3636" w:name="_Toc1627"/>
      <w:bookmarkStart w:id="3637" w:name="_Toc19087"/>
      <w:bookmarkStart w:id="3638" w:name="_Toc19781"/>
      <w:bookmarkStart w:id="3639" w:name="_Toc8661"/>
      <w:bookmarkStart w:id="3640" w:name="_Toc11516"/>
      <w:bookmarkStart w:id="3641" w:name="_Toc31387"/>
      <w:r>
        <w:rPr>
          <w:rFonts w:hint="eastAsia"/>
        </w:rPr>
        <w:t>【案例4-5-14】</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请求人甲就被请求人某烤肉店侵犯其“烧烤盘”实用新型专利一案，向某市知识产权局提出处理请求。</w:t>
      </w:r>
    </w:p>
    <w:p w:rsidR="00800760" w:rsidRDefault="00235733">
      <w:pPr>
        <w:pStyle w:val="12"/>
        <w:topLinePunct/>
        <w:spacing w:line="336" w:lineRule="auto"/>
        <w:ind w:firstLine="428"/>
        <w:rPr>
          <w:rFonts w:ascii="Times New Roman" w:eastAsia="楷体_GB2312" w:hAnsi="Times New Roman"/>
          <w:spacing w:val="2"/>
          <w:sz w:val="21"/>
          <w:szCs w:val="21"/>
        </w:rPr>
      </w:pPr>
      <w:r>
        <w:rPr>
          <w:rFonts w:ascii="Times New Roman" w:eastAsia="楷体_GB2312" w:hAnsi="Times New Roman" w:hint="eastAsia"/>
          <w:spacing w:val="2"/>
          <w:sz w:val="21"/>
          <w:szCs w:val="21"/>
        </w:rPr>
        <w:t>请求人甲称：某烤肉店未经其本人授权，私自使用与其专利相同的烧烤盘并应用于相同的行业。上述事实已请公证处人员进行现场公证。请求人请求某市知识产权局责令被请求人立即停止侵权行为。</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请求人提供了由某市公证处出具的第</w:t>
      </w:r>
      <w:r>
        <w:rPr>
          <w:rFonts w:ascii="Times New Roman" w:eastAsia="楷体_GB2312" w:hAnsi="Times New Roman"/>
          <w:sz w:val="21"/>
          <w:szCs w:val="21"/>
        </w:rPr>
        <w:t>1</w:t>
      </w:r>
      <w:r>
        <w:rPr>
          <w:rFonts w:ascii="Times New Roman" w:eastAsia="楷体_GB2312" w:hAnsi="Times New Roman" w:hint="eastAsia"/>
          <w:sz w:val="21"/>
          <w:szCs w:val="21"/>
        </w:rPr>
        <w:t>号公证书作为证据。</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被请求人某烤肉店辩称：被请求人使用的烧烤盘是被请求人到西安一家烤肉店购买的，具有合法来源，因此被请求人不承担侵权责任。</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被请求人提供的证据有：</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sz w:val="21"/>
          <w:szCs w:val="21"/>
        </w:rPr>
        <w:t>A</w:t>
      </w:r>
      <w:r>
        <w:rPr>
          <w:rFonts w:ascii="Times New Roman" w:eastAsia="楷体_GB2312" w:hAnsi="Times New Roman" w:hint="eastAsia"/>
          <w:sz w:val="21"/>
          <w:szCs w:val="21"/>
        </w:rPr>
        <w:t>：证人乙（被请求人员工）去西安拉货的证言；</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证据</w:t>
      </w:r>
      <w:r>
        <w:rPr>
          <w:rFonts w:ascii="Times New Roman" w:eastAsia="楷体_GB2312" w:hAnsi="Times New Roman"/>
          <w:sz w:val="21"/>
          <w:szCs w:val="21"/>
        </w:rPr>
        <w:t>B</w:t>
      </w:r>
      <w:r>
        <w:rPr>
          <w:rFonts w:ascii="Times New Roman" w:eastAsia="楷体_GB2312" w:hAnsi="Times New Roman" w:hint="eastAsia"/>
          <w:sz w:val="21"/>
          <w:szCs w:val="21"/>
        </w:rPr>
        <w:t>：被请求人提供的流水账复印件，同时出示了原件。</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对请求人提供的公证书证据，被请求人无异议。对被请求人提供的证据，请求人认为：对证据</w:t>
      </w:r>
      <w:r>
        <w:rPr>
          <w:rFonts w:ascii="Times New Roman" w:eastAsia="楷体_GB2312" w:hAnsi="Times New Roman"/>
          <w:sz w:val="21"/>
          <w:szCs w:val="21"/>
        </w:rPr>
        <w:t>A</w:t>
      </w:r>
      <w:r>
        <w:rPr>
          <w:rFonts w:ascii="Times New Roman" w:eastAsia="楷体_GB2312" w:hAnsi="Times New Roman" w:hint="eastAsia"/>
          <w:sz w:val="21"/>
          <w:szCs w:val="21"/>
        </w:rPr>
        <w:t>中的证人证言至多只能证明去西安拉货，不能证明从西安拉的货就是被控侵权产品；证据</w:t>
      </w:r>
      <w:r>
        <w:rPr>
          <w:rFonts w:ascii="Times New Roman" w:eastAsia="楷体_GB2312" w:hAnsi="Times New Roman"/>
          <w:sz w:val="21"/>
          <w:szCs w:val="21"/>
        </w:rPr>
        <w:t>B</w:t>
      </w:r>
      <w:r>
        <w:rPr>
          <w:rFonts w:ascii="Times New Roman" w:eastAsia="楷体_GB2312" w:hAnsi="Times New Roman" w:hint="eastAsia"/>
          <w:sz w:val="21"/>
          <w:szCs w:val="21"/>
        </w:rPr>
        <w:t>的流水账只是随身笔记，形成时间不能确定。</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合议组经处理后认为：被请求人提供的证据中，证人证言以及流水账复印件无法证明与本案中的被控侵权产品烧烤盘有关联性，不予采信；同时被请求人提供的证据无法证明与本案中的被控侵权产品烧烤盘有关联性，不予采信。因此，被请求人的合法来源抗辩不成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被请求人虽提交了证人证言证明被控侵权产品购自西安某烤肉店，但该证人为被请求人员工，与本案具有利害关系，其证明力较弱，不能单独作为认定产品具有合法来源的依据。虽然被请求人还提交了流水账，但该证据同样来源于被请求人自身，其真实性难以确认，不能用于佐证证人证言的真实性。</w:t>
      </w:r>
    </w:p>
    <w:p w:rsidR="00800760" w:rsidRDefault="00235733">
      <w:pPr>
        <w:pStyle w:val="af6"/>
        <w:spacing w:before="120"/>
        <w:ind w:firstLine="420"/>
      </w:pPr>
      <w:r>
        <w:rPr>
          <w:rFonts w:hint="eastAsia"/>
        </w:rPr>
        <w:t>【案例4-5-15】</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专利权人甲指控</w:t>
      </w:r>
      <w:r>
        <w:rPr>
          <w:rFonts w:ascii="Times New Roman" w:eastAsia="楷体_GB2312" w:hAnsi="Times New Roman" w:hint="eastAsia"/>
          <w:sz w:val="21"/>
          <w:szCs w:val="21"/>
        </w:rPr>
        <w:t>A</w:t>
      </w:r>
      <w:r>
        <w:rPr>
          <w:rFonts w:ascii="Times New Roman" w:eastAsia="楷体_GB2312" w:hAnsi="Times New Roman" w:hint="eastAsia"/>
          <w:sz w:val="21"/>
          <w:szCs w:val="21"/>
        </w:rPr>
        <w:t>公司在××住宅使用的产品侵犯其“纱窗拉梁堵头”专利权。</w:t>
      </w:r>
      <w:r>
        <w:rPr>
          <w:rFonts w:ascii="Times New Roman" w:eastAsia="楷体_GB2312" w:hAnsi="Times New Roman" w:hint="eastAsia"/>
          <w:sz w:val="21"/>
          <w:szCs w:val="21"/>
        </w:rPr>
        <w:t>A</w:t>
      </w:r>
      <w:r>
        <w:rPr>
          <w:rFonts w:ascii="Times New Roman" w:eastAsia="楷体_GB2312" w:hAnsi="Times New Roman" w:hint="eastAsia"/>
          <w:sz w:val="21"/>
          <w:szCs w:val="21"/>
        </w:rPr>
        <w:t>公司承认其使用的产品落入专利权保护范围，但主张被控侵权产品是由</w:t>
      </w:r>
      <w:r>
        <w:rPr>
          <w:rFonts w:ascii="Times New Roman" w:eastAsia="楷体_GB2312" w:hAnsi="Times New Roman" w:hint="eastAsia"/>
          <w:sz w:val="21"/>
          <w:szCs w:val="21"/>
        </w:rPr>
        <w:t>B</w:t>
      </w:r>
      <w:r>
        <w:rPr>
          <w:rFonts w:ascii="Times New Roman" w:eastAsia="楷体_GB2312" w:hAnsi="Times New Roman" w:hint="eastAsia"/>
          <w:sz w:val="21"/>
          <w:szCs w:val="21"/>
        </w:rPr>
        <w:t>塑料厂生产，</w:t>
      </w:r>
      <w:r>
        <w:rPr>
          <w:rFonts w:ascii="Times New Roman" w:eastAsia="楷体_GB2312" w:hAnsi="Times New Roman" w:hint="eastAsia"/>
          <w:sz w:val="21"/>
          <w:szCs w:val="21"/>
        </w:rPr>
        <w:t>C</w:t>
      </w:r>
      <w:r>
        <w:rPr>
          <w:rFonts w:ascii="Times New Roman" w:eastAsia="楷体_GB2312" w:hAnsi="Times New Roman" w:hint="eastAsia"/>
          <w:sz w:val="21"/>
          <w:szCs w:val="21"/>
        </w:rPr>
        <w:t>建材经营部经销，</w:t>
      </w:r>
      <w:r>
        <w:rPr>
          <w:rFonts w:ascii="Times New Roman" w:eastAsia="楷体_GB2312" w:hAnsi="Times New Roman" w:hint="eastAsia"/>
          <w:sz w:val="21"/>
          <w:szCs w:val="21"/>
        </w:rPr>
        <w:t>A</w:t>
      </w:r>
      <w:r>
        <w:rPr>
          <w:rFonts w:ascii="Times New Roman" w:eastAsia="楷体_GB2312" w:hAnsi="Times New Roman" w:hint="eastAsia"/>
          <w:sz w:val="21"/>
          <w:szCs w:val="21"/>
        </w:rPr>
        <w:t>公司通过支付合理市场对价后购入，具有合法来源，不应承担赔偿责任。</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公司提交了如下证据予以证明：</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fldChar w:fldCharType="begin"/>
      </w:r>
      <w:r w:rsidR="00235733">
        <w:rPr>
          <w:rFonts w:ascii="Times New Roman" w:eastAsia="楷体_GB2312" w:hAnsi="Times New Roman"/>
          <w:sz w:val="21"/>
          <w:szCs w:val="21"/>
        </w:rPr>
        <w:instrText>= 1 \* GB2</w:instrText>
      </w:r>
      <w:r>
        <w:rPr>
          <w:rFonts w:ascii="Times New Roman" w:eastAsia="楷体_GB2312" w:hAnsi="Times New Roman"/>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1</w:t>
      </w:r>
      <w:r w:rsidR="00235733">
        <w:rPr>
          <w:rFonts w:ascii="Times New Roman" w:eastAsia="楷体_GB2312" w:hAnsi="Times New Roman" w:hint="eastAsia"/>
          <w:sz w:val="21"/>
          <w:szCs w:val="21"/>
        </w:rPr>
        <w:t>）</w:t>
      </w:r>
      <w:r>
        <w:rPr>
          <w:rFonts w:ascii="Times New Roman" w:eastAsia="楷体_GB2312" w:hAnsi="Times New Roman"/>
          <w:sz w:val="21"/>
          <w:szCs w:val="21"/>
        </w:rPr>
        <w:fldChar w:fldCharType="end"/>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B</w:t>
      </w:r>
      <w:r w:rsidR="00235733">
        <w:rPr>
          <w:rFonts w:ascii="Times New Roman" w:eastAsia="楷体_GB2312" w:hAnsi="Times New Roman" w:hint="eastAsia"/>
          <w:sz w:val="21"/>
          <w:szCs w:val="21"/>
        </w:rPr>
        <w:t>隐形纱窗厂证明》，其中载明：“××住宅小区的隐形纱窗配件是由我厂生产销售的，即</w:t>
      </w:r>
      <w:r w:rsidR="00235733">
        <w:rPr>
          <w:rFonts w:ascii="Times New Roman" w:eastAsia="楷体_GB2312" w:hAnsi="Times New Roman" w:hint="eastAsia"/>
          <w:sz w:val="21"/>
          <w:szCs w:val="21"/>
        </w:rPr>
        <w:t>B</w:t>
      </w:r>
      <w:r w:rsidR="00235733">
        <w:rPr>
          <w:rFonts w:ascii="Times New Roman" w:eastAsia="楷体_GB2312" w:hAnsi="Times New Roman" w:hint="eastAsia"/>
          <w:sz w:val="21"/>
          <w:szCs w:val="21"/>
        </w:rPr>
        <w:t>隐形纱窗厂”。</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fldChar w:fldCharType="begin"/>
      </w:r>
      <w:r w:rsidR="00235733">
        <w:rPr>
          <w:rFonts w:ascii="Times New Roman" w:eastAsia="楷体_GB2312" w:hAnsi="Times New Roman"/>
          <w:sz w:val="21"/>
          <w:szCs w:val="21"/>
        </w:rPr>
        <w:instrText>= 2 \* GB2</w:instrText>
      </w:r>
      <w:r>
        <w:rPr>
          <w:rFonts w:ascii="Times New Roman" w:eastAsia="楷体_GB2312" w:hAnsi="Times New Roman"/>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2</w:t>
      </w:r>
      <w:r w:rsidR="00235733">
        <w:rPr>
          <w:rFonts w:ascii="Times New Roman" w:eastAsia="楷体_GB2312" w:hAnsi="Times New Roman" w:hint="eastAsia"/>
          <w:sz w:val="21"/>
          <w:szCs w:val="21"/>
        </w:rPr>
        <w:t>）</w:t>
      </w:r>
      <w:r>
        <w:rPr>
          <w:rFonts w:ascii="Times New Roman" w:eastAsia="楷体_GB2312" w:hAnsi="Times New Roman"/>
          <w:sz w:val="21"/>
          <w:szCs w:val="21"/>
        </w:rPr>
        <w:fldChar w:fldCharType="end"/>
      </w:r>
      <w:r w:rsidR="00235733">
        <w:rPr>
          <w:rFonts w:ascii="Times New Roman" w:eastAsia="楷体_GB2312" w:hAnsi="Times New Roman" w:hint="eastAsia"/>
          <w:sz w:val="21"/>
          <w:szCs w:val="21"/>
        </w:rPr>
        <w:t>C</w:t>
      </w:r>
      <w:r w:rsidR="00235733">
        <w:rPr>
          <w:rFonts w:ascii="Times New Roman" w:eastAsia="楷体_GB2312" w:hAnsi="Times New Roman" w:hint="eastAsia"/>
          <w:sz w:val="21"/>
          <w:szCs w:val="21"/>
        </w:rPr>
        <w:t>建材经营部业主乙出具的两张购货增值税发票：一张为辽宁省增值税专用发票，其中载明购货单位为</w:t>
      </w:r>
      <w:r w:rsidR="00235733">
        <w:rPr>
          <w:rFonts w:ascii="Times New Roman" w:eastAsia="楷体_GB2312" w:hAnsi="Times New Roman" w:hint="eastAsia"/>
          <w:sz w:val="21"/>
          <w:szCs w:val="21"/>
        </w:rPr>
        <w:t>A</w:t>
      </w:r>
      <w:r w:rsidR="00235733">
        <w:rPr>
          <w:rFonts w:ascii="Times New Roman" w:eastAsia="楷体_GB2312" w:hAnsi="Times New Roman" w:hint="eastAsia"/>
          <w:sz w:val="21"/>
          <w:szCs w:val="21"/>
        </w:rPr>
        <w:t>公司，销货单位为“</w:t>
      </w:r>
      <w:r w:rsidR="00235733">
        <w:rPr>
          <w:rFonts w:ascii="Times New Roman" w:eastAsia="楷体_GB2312" w:hAnsi="Times New Roman" w:hint="eastAsia"/>
          <w:sz w:val="21"/>
          <w:szCs w:val="21"/>
        </w:rPr>
        <w:t>D</w:t>
      </w:r>
      <w:r w:rsidR="00235733">
        <w:rPr>
          <w:rFonts w:ascii="Times New Roman" w:eastAsia="楷体_GB2312" w:hAnsi="Times New Roman" w:hint="eastAsia"/>
          <w:sz w:val="21"/>
          <w:szCs w:val="21"/>
        </w:rPr>
        <w:t>铝业有限公司”，货物名称“电泳铝型材”；另一张为山东省增值税专用发票，其中载明购货单位为</w:t>
      </w:r>
      <w:r w:rsidR="00235733">
        <w:rPr>
          <w:rFonts w:ascii="Times New Roman" w:eastAsia="楷体_GB2312" w:hAnsi="Times New Roman" w:hint="eastAsia"/>
          <w:sz w:val="21"/>
          <w:szCs w:val="21"/>
        </w:rPr>
        <w:t>A</w:t>
      </w:r>
      <w:r w:rsidR="00235733">
        <w:rPr>
          <w:rFonts w:ascii="Times New Roman" w:eastAsia="楷体_GB2312" w:hAnsi="Times New Roman" w:hint="eastAsia"/>
          <w:sz w:val="21"/>
          <w:szCs w:val="21"/>
        </w:rPr>
        <w:t>公司，销货单位为“</w:t>
      </w:r>
      <w:r w:rsidR="00235733">
        <w:rPr>
          <w:rFonts w:ascii="Times New Roman" w:eastAsia="楷体_GB2312" w:hAnsi="Times New Roman" w:hint="eastAsia"/>
          <w:sz w:val="21"/>
          <w:szCs w:val="21"/>
        </w:rPr>
        <w:t>E</w:t>
      </w:r>
      <w:r w:rsidR="00235733">
        <w:rPr>
          <w:rFonts w:ascii="Times New Roman" w:eastAsia="楷体_GB2312" w:hAnsi="Times New Roman" w:hint="eastAsia"/>
          <w:sz w:val="21"/>
          <w:szCs w:val="21"/>
        </w:rPr>
        <w:t>铝业有限公司”，货物名称“铝型材”。</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fldChar w:fldCharType="begin"/>
      </w:r>
      <w:r w:rsidR="00235733">
        <w:rPr>
          <w:rFonts w:ascii="Times New Roman" w:eastAsia="楷体_GB2312" w:hAnsi="Times New Roman"/>
          <w:sz w:val="21"/>
          <w:szCs w:val="21"/>
        </w:rPr>
        <w:instrText>= 3 \* GB2</w:instrText>
      </w:r>
      <w:r>
        <w:rPr>
          <w:rFonts w:ascii="Times New Roman" w:eastAsia="楷体_GB2312" w:hAnsi="Times New Roman"/>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3</w:t>
      </w:r>
      <w:r w:rsidR="00235733">
        <w:rPr>
          <w:rFonts w:ascii="Times New Roman" w:eastAsia="楷体_GB2312" w:hAnsi="Times New Roman" w:hint="eastAsia"/>
          <w:sz w:val="21"/>
          <w:szCs w:val="21"/>
        </w:rPr>
        <w:t>）</w:t>
      </w:r>
      <w:r>
        <w:rPr>
          <w:rFonts w:ascii="Times New Roman" w:eastAsia="楷体_GB2312" w:hAnsi="Times New Roman"/>
          <w:sz w:val="21"/>
          <w:szCs w:val="21"/>
        </w:rPr>
        <w:fldChar w:fldCharType="end"/>
      </w:r>
      <w:r w:rsidR="00235733">
        <w:rPr>
          <w:rFonts w:ascii="Times New Roman" w:eastAsia="楷体_GB2312" w:hAnsi="Times New Roman" w:hint="eastAsia"/>
          <w:sz w:val="21"/>
          <w:szCs w:val="21"/>
        </w:rPr>
        <w:t>乙出具的《证明》，其中载明被控侵权产品是其从</w:t>
      </w:r>
      <w:r w:rsidR="00235733">
        <w:rPr>
          <w:rFonts w:ascii="Times New Roman" w:eastAsia="楷体_GB2312" w:hAnsi="Times New Roman" w:hint="eastAsia"/>
          <w:sz w:val="21"/>
          <w:szCs w:val="21"/>
        </w:rPr>
        <w:t>B</w:t>
      </w:r>
      <w:r w:rsidR="00235733">
        <w:rPr>
          <w:rFonts w:ascii="Times New Roman" w:eastAsia="楷体_GB2312" w:hAnsi="Times New Roman" w:hint="eastAsia"/>
          <w:sz w:val="21"/>
          <w:szCs w:val="21"/>
        </w:rPr>
        <w:t>塑料厂购进，</w:t>
      </w:r>
      <w:r w:rsidR="00235733">
        <w:rPr>
          <w:rFonts w:ascii="Times New Roman" w:eastAsia="楷体_GB2312" w:hAnsi="Times New Roman" w:hint="eastAsia"/>
          <w:sz w:val="21"/>
          <w:szCs w:val="21"/>
        </w:rPr>
        <w:t>C</w:t>
      </w:r>
      <w:r w:rsidR="00235733">
        <w:rPr>
          <w:rFonts w:ascii="Times New Roman" w:eastAsia="楷体_GB2312" w:hAnsi="Times New Roman" w:hint="eastAsia"/>
          <w:sz w:val="21"/>
          <w:szCs w:val="21"/>
        </w:rPr>
        <w:t>建材经营部销售给</w:t>
      </w:r>
      <w:r w:rsidR="00235733">
        <w:rPr>
          <w:rFonts w:ascii="Times New Roman" w:eastAsia="楷体_GB2312" w:hAnsi="Times New Roman" w:hint="eastAsia"/>
          <w:sz w:val="21"/>
          <w:szCs w:val="21"/>
        </w:rPr>
        <w:t>A</w:t>
      </w:r>
      <w:r w:rsidR="00235733">
        <w:rPr>
          <w:rFonts w:ascii="Times New Roman" w:eastAsia="楷体_GB2312" w:hAnsi="Times New Roman" w:hint="eastAsia"/>
          <w:sz w:val="21"/>
          <w:szCs w:val="21"/>
        </w:rPr>
        <w:t>公司的，乙委托</w:t>
      </w:r>
      <w:r w:rsidR="00235733">
        <w:rPr>
          <w:rFonts w:ascii="Times New Roman" w:eastAsia="楷体_GB2312" w:hAnsi="Times New Roman" w:hint="eastAsia"/>
          <w:sz w:val="21"/>
          <w:szCs w:val="21"/>
        </w:rPr>
        <w:t>E</w:t>
      </w:r>
      <w:r w:rsidR="00235733">
        <w:rPr>
          <w:rFonts w:ascii="Times New Roman" w:eastAsia="楷体_GB2312" w:hAnsi="Times New Roman" w:hint="eastAsia"/>
          <w:sz w:val="21"/>
          <w:szCs w:val="21"/>
        </w:rPr>
        <w:t>铝业有限公司和</w:t>
      </w:r>
      <w:r w:rsidR="00235733">
        <w:rPr>
          <w:rFonts w:ascii="Times New Roman" w:eastAsia="楷体_GB2312" w:hAnsi="Times New Roman" w:hint="eastAsia"/>
          <w:sz w:val="21"/>
          <w:szCs w:val="21"/>
        </w:rPr>
        <w:t>D</w:t>
      </w:r>
      <w:r w:rsidR="00235733">
        <w:rPr>
          <w:rFonts w:ascii="Times New Roman" w:eastAsia="楷体_GB2312" w:hAnsi="Times New Roman" w:hint="eastAsia"/>
          <w:sz w:val="21"/>
          <w:szCs w:val="21"/>
        </w:rPr>
        <w:t>铝业有限公司代开发票。</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fldChar w:fldCharType="begin"/>
      </w:r>
      <w:r w:rsidR="00235733">
        <w:rPr>
          <w:rFonts w:ascii="Times New Roman" w:eastAsia="楷体_GB2312" w:hAnsi="Times New Roman"/>
          <w:sz w:val="21"/>
          <w:szCs w:val="21"/>
        </w:rPr>
        <w:instrText>= 4 \* GB2</w:instrText>
      </w:r>
      <w:r>
        <w:rPr>
          <w:rFonts w:ascii="Times New Roman" w:eastAsia="楷体_GB2312" w:hAnsi="Times New Roman"/>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4</w:t>
      </w:r>
      <w:r w:rsidR="00235733">
        <w:rPr>
          <w:rFonts w:ascii="Times New Roman" w:eastAsia="楷体_GB2312" w:hAnsi="Times New Roman" w:hint="eastAsia"/>
          <w:sz w:val="21"/>
          <w:szCs w:val="21"/>
        </w:rPr>
        <w:t>）</w:t>
      </w:r>
      <w:r>
        <w:rPr>
          <w:rFonts w:ascii="Times New Roman" w:eastAsia="楷体_GB2312" w:hAnsi="Times New Roman"/>
          <w:sz w:val="21"/>
          <w:szCs w:val="21"/>
        </w:rPr>
        <w:fldChar w:fldCharType="end"/>
      </w:r>
      <w:r w:rsidR="00235733">
        <w:rPr>
          <w:rFonts w:ascii="Times New Roman" w:eastAsia="楷体_GB2312" w:hAnsi="Times New Roman" w:hint="eastAsia"/>
          <w:sz w:val="21"/>
          <w:szCs w:val="21"/>
        </w:rPr>
        <w:t>A</w:t>
      </w:r>
      <w:r w:rsidR="00235733">
        <w:rPr>
          <w:rFonts w:ascii="Times New Roman" w:eastAsia="楷体_GB2312" w:hAnsi="Times New Roman" w:hint="eastAsia"/>
          <w:sz w:val="21"/>
          <w:szCs w:val="21"/>
        </w:rPr>
        <w:t>公司的入库单、建设开发公司</w:t>
      </w:r>
      <w:r w:rsidR="00235733">
        <w:rPr>
          <w:rFonts w:ascii="Times New Roman" w:eastAsia="楷体_GB2312" w:hAnsi="Times New Roman"/>
          <w:sz w:val="21"/>
          <w:szCs w:val="21"/>
        </w:rPr>
        <w:t>（</w:t>
      </w:r>
      <w:r w:rsidR="00235733">
        <w:rPr>
          <w:rFonts w:ascii="Times New Roman" w:eastAsia="楷体_GB2312" w:hAnsi="Times New Roman" w:hint="eastAsia"/>
          <w:sz w:val="21"/>
          <w:szCs w:val="21"/>
        </w:rPr>
        <w:t>×××项</w:t>
      </w:r>
      <w:r w:rsidR="00235733">
        <w:rPr>
          <w:rFonts w:ascii="Times New Roman" w:eastAsia="楷体_GB2312" w:hAnsi="Times New Roman"/>
          <w:sz w:val="21"/>
          <w:szCs w:val="21"/>
        </w:rPr>
        <w:t>）</w:t>
      </w:r>
      <w:r w:rsidR="00235733">
        <w:rPr>
          <w:rFonts w:ascii="Times New Roman" w:eastAsia="楷体_GB2312" w:hAnsi="Times New Roman" w:hint="eastAsia"/>
          <w:sz w:val="21"/>
          <w:szCs w:val="21"/>
        </w:rPr>
        <w:t>赊货欠款单、记账凭证等，其中记载从乙处购买隐形纱窗配件等货物，以及相应的金额。</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上述证明中出证人均未出庭作证。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w:t>
      </w:r>
      <w:r>
        <w:rPr>
          <w:rFonts w:ascii="Times New Roman" w:eastAsia="楷体_GB2312" w:hAnsi="Times New Roman" w:hint="eastAsia"/>
          <w:sz w:val="21"/>
          <w:szCs w:val="21"/>
        </w:rPr>
        <w:t>A</w:t>
      </w:r>
      <w:r>
        <w:rPr>
          <w:rFonts w:ascii="Times New Roman" w:eastAsia="楷体_GB2312" w:hAnsi="Times New Roman" w:hint="eastAsia"/>
          <w:sz w:val="21"/>
          <w:szCs w:val="21"/>
        </w:rPr>
        <w:t>公司用于合法来源抗辩的证据主要包括两类，一是证人证言，包括</w:t>
      </w:r>
      <w:r>
        <w:rPr>
          <w:rFonts w:ascii="Times New Roman" w:eastAsia="楷体_GB2312" w:hAnsi="Times New Roman" w:hint="eastAsia"/>
          <w:sz w:val="21"/>
          <w:szCs w:val="21"/>
        </w:rPr>
        <w:t>B</w:t>
      </w:r>
      <w:r>
        <w:rPr>
          <w:rFonts w:ascii="Times New Roman" w:eastAsia="楷体_GB2312" w:hAnsi="Times New Roman" w:hint="eastAsia"/>
          <w:sz w:val="21"/>
          <w:szCs w:val="21"/>
        </w:rPr>
        <w:t>隐形纱窗厂出具的单位证明和乙出具的证明材料；二是一些书证，如增值税发票、入库单、建设开发公司</w:t>
      </w:r>
      <w:r>
        <w:rPr>
          <w:rFonts w:ascii="Times New Roman" w:eastAsia="楷体_GB2312" w:hAnsi="Times New Roman"/>
          <w:sz w:val="21"/>
          <w:szCs w:val="21"/>
        </w:rPr>
        <w:t>（</w:t>
      </w:r>
      <w:r>
        <w:rPr>
          <w:rFonts w:ascii="Times New Roman" w:eastAsia="楷体_GB2312" w:hAnsi="Times New Roman" w:hint="eastAsia"/>
          <w:sz w:val="21"/>
          <w:szCs w:val="21"/>
        </w:rPr>
        <w:t>×××项</w:t>
      </w:r>
      <w:r>
        <w:rPr>
          <w:rFonts w:ascii="Times New Roman" w:eastAsia="楷体_GB2312" w:hAnsi="Times New Roman"/>
          <w:sz w:val="21"/>
          <w:szCs w:val="21"/>
        </w:rPr>
        <w:t>）</w:t>
      </w:r>
      <w:r>
        <w:rPr>
          <w:rFonts w:ascii="Times New Roman" w:eastAsia="楷体_GB2312" w:hAnsi="Times New Roman" w:hint="eastAsia"/>
          <w:sz w:val="21"/>
          <w:szCs w:val="21"/>
        </w:rPr>
        <w:t>赊货欠款单、记账凭证等。对于这些证据，一是要单独审核某一证据本身的真实性；二是要看这些证据之间能否相互印证，形成完整的证据链。</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fldChar w:fldCharType="begin"/>
      </w:r>
      <w:r w:rsidR="00235733">
        <w:rPr>
          <w:rFonts w:ascii="Times New Roman" w:eastAsia="楷体_GB2312" w:hAnsi="Times New Roman"/>
          <w:sz w:val="21"/>
          <w:szCs w:val="21"/>
        </w:rPr>
        <w:instrText>= 1 \* GB2</w:instrText>
      </w:r>
      <w:r>
        <w:rPr>
          <w:rFonts w:ascii="Times New Roman" w:eastAsia="楷体_GB2312" w:hAnsi="Times New Roman"/>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1</w:t>
      </w:r>
      <w:r w:rsidR="00235733">
        <w:rPr>
          <w:rFonts w:ascii="Times New Roman" w:eastAsia="楷体_GB2312" w:hAnsi="Times New Roman" w:hint="eastAsia"/>
          <w:sz w:val="21"/>
          <w:szCs w:val="21"/>
        </w:rPr>
        <w:t>）</w:t>
      </w:r>
      <w:r>
        <w:rPr>
          <w:rFonts w:ascii="Times New Roman" w:eastAsia="楷体_GB2312" w:hAnsi="Times New Roman"/>
          <w:sz w:val="21"/>
          <w:szCs w:val="21"/>
        </w:rPr>
        <w:fldChar w:fldCharType="end"/>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B</w:t>
      </w:r>
      <w:r w:rsidR="00235733">
        <w:rPr>
          <w:rFonts w:ascii="Times New Roman" w:eastAsia="楷体_GB2312" w:hAnsi="Times New Roman" w:hint="eastAsia"/>
          <w:sz w:val="21"/>
          <w:szCs w:val="21"/>
        </w:rPr>
        <w:t>隐形纱窗厂证明》系单位出具的证明，但经办人或负责人均未出庭作证，仅凭该证据无法认定其所述事实的真实性。</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fldChar w:fldCharType="begin"/>
      </w:r>
      <w:r w:rsidR="00235733">
        <w:rPr>
          <w:rFonts w:ascii="Times New Roman" w:eastAsia="楷体_GB2312" w:hAnsi="Times New Roman"/>
          <w:sz w:val="21"/>
          <w:szCs w:val="21"/>
        </w:rPr>
        <w:instrText>= 2 \* GB2</w:instrText>
      </w:r>
      <w:r>
        <w:rPr>
          <w:rFonts w:ascii="Times New Roman" w:eastAsia="楷体_GB2312" w:hAnsi="Times New Roman"/>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2</w:t>
      </w:r>
      <w:r w:rsidR="00235733">
        <w:rPr>
          <w:rFonts w:ascii="Times New Roman" w:eastAsia="楷体_GB2312" w:hAnsi="Times New Roman" w:hint="eastAsia"/>
          <w:sz w:val="21"/>
          <w:szCs w:val="21"/>
        </w:rPr>
        <w:t>）</w:t>
      </w:r>
      <w:r>
        <w:rPr>
          <w:rFonts w:ascii="Times New Roman" w:eastAsia="楷体_GB2312" w:hAnsi="Times New Roman"/>
          <w:sz w:val="21"/>
          <w:szCs w:val="21"/>
        </w:rPr>
        <w:fldChar w:fldCharType="end"/>
      </w:r>
      <w:r w:rsidR="00235733">
        <w:rPr>
          <w:rFonts w:ascii="Times New Roman" w:eastAsia="楷体_GB2312" w:hAnsi="Times New Roman" w:hint="eastAsia"/>
          <w:sz w:val="21"/>
          <w:szCs w:val="21"/>
        </w:rPr>
        <w:t>两张增值税发票中记载的货物名称均与被控侵权产品不符，与</w:t>
      </w:r>
      <w:r w:rsidR="00235733">
        <w:rPr>
          <w:rFonts w:ascii="Times New Roman" w:eastAsia="楷体_GB2312" w:hAnsi="Times New Roman" w:hint="eastAsia"/>
          <w:sz w:val="21"/>
          <w:szCs w:val="21"/>
        </w:rPr>
        <w:t>A</w:t>
      </w:r>
      <w:r w:rsidR="00235733">
        <w:rPr>
          <w:rFonts w:ascii="Times New Roman" w:eastAsia="楷体_GB2312" w:hAnsi="Times New Roman" w:hint="eastAsia"/>
          <w:sz w:val="21"/>
          <w:szCs w:val="21"/>
        </w:rPr>
        <w:t>公司主张的</w:t>
      </w:r>
      <w:r w:rsidR="00235733">
        <w:rPr>
          <w:rFonts w:ascii="Times New Roman" w:eastAsia="楷体_GB2312" w:hAnsi="Times New Roman" w:hint="eastAsia"/>
          <w:sz w:val="21"/>
          <w:szCs w:val="21"/>
        </w:rPr>
        <w:t>C</w:t>
      </w:r>
      <w:r w:rsidR="00235733">
        <w:rPr>
          <w:rFonts w:ascii="Times New Roman" w:eastAsia="楷体_GB2312" w:hAnsi="Times New Roman" w:hint="eastAsia"/>
          <w:sz w:val="21"/>
          <w:szCs w:val="21"/>
        </w:rPr>
        <w:t>建材经营部业主乙从</w:t>
      </w:r>
      <w:r w:rsidR="00235733">
        <w:rPr>
          <w:rFonts w:ascii="Times New Roman" w:eastAsia="楷体_GB2312" w:hAnsi="Times New Roman" w:hint="eastAsia"/>
          <w:sz w:val="21"/>
          <w:szCs w:val="21"/>
        </w:rPr>
        <w:t>B</w:t>
      </w:r>
      <w:r w:rsidR="00235733">
        <w:rPr>
          <w:rFonts w:ascii="Times New Roman" w:eastAsia="楷体_GB2312" w:hAnsi="Times New Roman" w:hint="eastAsia"/>
          <w:sz w:val="21"/>
          <w:szCs w:val="21"/>
        </w:rPr>
        <w:t>塑料厂购买被控侵权产品的事实不一致。</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fldChar w:fldCharType="begin"/>
      </w:r>
      <w:r w:rsidR="00235733">
        <w:rPr>
          <w:rFonts w:ascii="Times New Roman" w:eastAsia="楷体_GB2312" w:hAnsi="Times New Roman"/>
          <w:sz w:val="21"/>
          <w:szCs w:val="21"/>
        </w:rPr>
        <w:instrText>= 3 \* GB2</w:instrText>
      </w:r>
      <w:r>
        <w:rPr>
          <w:rFonts w:ascii="Times New Roman" w:eastAsia="楷体_GB2312" w:hAnsi="Times New Roman"/>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3</w:t>
      </w:r>
      <w:r w:rsidR="00235733">
        <w:rPr>
          <w:rFonts w:ascii="Times New Roman" w:eastAsia="楷体_GB2312" w:hAnsi="Times New Roman" w:hint="eastAsia"/>
          <w:sz w:val="21"/>
          <w:szCs w:val="21"/>
        </w:rPr>
        <w:t>）</w:t>
      </w:r>
      <w:r>
        <w:rPr>
          <w:rFonts w:ascii="Times New Roman" w:eastAsia="楷体_GB2312" w:hAnsi="Times New Roman"/>
          <w:sz w:val="21"/>
          <w:szCs w:val="21"/>
        </w:rPr>
        <w:fldChar w:fldCharType="end"/>
      </w:r>
      <w:r w:rsidR="00235733">
        <w:rPr>
          <w:rFonts w:ascii="Times New Roman" w:eastAsia="楷体_GB2312" w:hAnsi="Times New Roman" w:hint="eastAsia"/>
          <w:sz w:val="21"/>
          <w:szCs w:val="21"/>
        </w:rPr>
        <w:t>乙出具的《证明》，其中载明被控侵权产品是乙从</w:t>
      </w:r>
      <w:r w:rsidR="00235733">
        <w:rPr>
          <w:rFonts w:ascii="Times New Roman" w:eastAsia="楷体_GB2312" w:hAnsi="Times New Roman" w:hint="eastAsia"/>
          <w:sz w:val="21"/>
          <w:szCs w:val="21"/>
        </w:rPr>
        <w:t>B</w:t>
      </w:r>
      <w:r w:rsidR="00235733">
        <w:rPr>
          <w:rFonts w:ascii="Times New Roman" w:eastAsia="楷体_GB2312" w:hAnsi="Times New Roman" w:hint="eastAsia"/>
          <w:sz w:val="21"/>
          <w:szCs w:val="21"/>
        </w:rPr>
        <w:t>塑料厂购进，</w:t>
      </w:r>
      <w:r w:rsidR="00235733">
        <w:rPr>
          <w:rFonts w:ascii="Times New Roman" w:eastAsia="楷体_GB2312" w:hAnsi="Times New Roman" w:hint="eastAsia"/>
          <w:sz w:val="21"/>
          <w:szCs w:val="21"/>
        </w:rPr>
        <w:t>C</w:t>
      </w:r>
      <w:r w:rsidR="00235733">
        <w:rPr>
          <w:rFonts w:ascii="Times New Roman" w:eastAsia="楷体_GB2312" w:hAnsi="Times New Roman" w:hint="eastAsia"/>
          <w:sz w:val="21"/>
          <w:szCs w:val="21"/>
        </w:rPr>
        <w:t>建材经营部销售给</w:t>
      </w:r>
      <w:r w:rsidR="00235733">
        <w:rPr>
          <w:rFonts w:ascii="Times New Roman" w:eastAsia="楷体_GB2312" w:hAnsi="Times New Roman" w:hint="eastAsia"/>
          <w:sz w:val="21"/>
          <w:szCs w:val="21"/>
        </w:rPr>
        <w:t>A</w:t>
      </w:r>
      <w:r w:rsidR="00235733">
        <w:rPr>
          <w:rFonts w:ascii="Times New Roman" w:eastAsia="楷体_GB2312" w:hAnsi="Times New Roman" w:hint="eastAsia"/>
          <w:sz w:val="21"/>
          <w:szCs w:val="21"/>
        </w:rPr>
        <w:t>公司的，乙委托</w:t>
      </w:r>
      <w:r w:rsidR="00235733">
        <w:rPr>
          <w:rFonts w:ascii="Times New Roman" w:eastAsia="楷体_GB2312" w:hAnsi="Times New Roman" w:hint="eastAsia"/>
          <w:sz w:val="21"/>
          <w:szCs w:val="21"/>
        </w:rPr>
        <w:t>E</w:t>
      </w:r>
      <w:r w:rsidR="00235733">
        <w:rPr>
          <w:rFonts w:ascii="Times New Roman" w:eastAsia="楷体_GB2312" w:hAnsi="Times New Roman" w:hint="eastAsia"/>
          <w:sz w:val="21"/>
          <w:szCs w:val="21"/>
        </w:rPr>
        <w:t>铝业有限公司和</w:t>
      </w:r>
      <w:r w:rsidR="00235733">
        <w:rPr>
          <w:rFonts w:ascii="Times New Roman" w:eastAsia="楷体_GB2312" w:hAnsi="Times New Roman" w:hint="eastAsia"/>
          <w:sz w:val="21"/>
          <w:szCs w:val="21"/>
        </w:rPr>
        <w:t>D</w:t>
      </w:r>
      <w:r w:rsidR="00235733">
        <w:rPr>
          <w:rFonts w:ascii="Times New Roman" w:eastAsia="楷体_GB2312" w:hAnsi="Times New Roman" w:hint="eastAsia"/>
          <w:sz w:val="21"/>
          <w:szCs w:val="21"/>
        </w:rPr>
        <w:t>铝业有限公司代开发票。但该《证明》和</w:t>
      </w:r>
      <w:r w:rsidR="00235733">
        <w:rPr>
          <w:rFonts w:ascii="Times New Roman" w:eastAsia="楷体_GB2312" w:hAnsi="Times New Roman" w:hint="eastAsia"/>
          <w:sz w:val="21"/>
          <w:szCs w:val="21"/>
        </w:rPr>
        <w:t>B</w:t>
      </w:r>
      <w:r w:rsidR="00235733">
        <w:rPr>
          <w:rFonts w:ascii="Times New Roman" w:eastAsia="楷体_GB2312" w:hAnsi="Times New Roman" w:hint="eastAsia"/>
          <w:sz w:val="21"/>
          <w:szCs w:val="21"/>
        </w:rPr>
        <w:t>隐形纱窗厂出具的证明所记载的生产销售单位不符，在没有其他证据佐证两者属于同一主体的情况下，两者无法相互印证。</w:t>
      </w:r>
    </w:p>
    <w:p w:rsidR="00800760" w:rsidRDefault="00C22A7B">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fldChar w:fldCharType="begin"/>
      </w:r>
      <w:r w:rsidR="00235733">
        <w:rPr>
          <w:rFonts w:ascii="Times New Roman" w:eastAsia="楷体_GB2312" w:hAnsi="Times New Roman"/>
          <w:sz w:val="21"/>
          <w:szCs w:val="21"/>
        </w:rPr>
        <w:instrText>= 4 \* GB2</w:instrText>
      </w:r>
      <w:r>
        <w:rPr>
          <w:rFonts w:ascii="Times New Roman" w:eastAsia="楷体_GB2312" w:hAnsi="Times New Roman"/>
          <w:sz w:val="21"/>
          <w:szCs w:val="21"/>
        </w:rPr>
        <w:fldChar w:fldCharType="separate"/>
      </w:r>
      <w:r w:rsidR="00235733">
        <w:rPr>
          <w:rFonts w:ascii="Times New Roman" w:eastAsia="楷体_GB2312" w:hAnsi="Times New Roman" w:hint="eastAsia"/>
          <w:sz w:val="21"/>
          <w:szCs w:val="21"/>
        </w:rPr>
        <w:t>（</w:t>
      </w:r>
      <w:r w:rsidR="00235733">
        <w:rPr>
          <w:rFonts w:ascii="Times New Roman" w:eastAsia="楷体_GB2312" w:hAnsi="Times New Roman" w:hint="eastAsia"/>
          <w:sz w:val="21"/>
          <w:szCs w:val="21"/>
        </w:rPr>
        <w:t>4</w:t>
      </w:r>
      <w:r w:rsidR="00235733">
        <w:rPr>
          <w:rFonts w:ascii="Times New Roman" w:eastAsia="楷体_GB2312" w:hAnsi="Times New Roman" w:hint="eastAsia"/>
          <w:sz w:val="21"/>
          <w:szCs w:val="21"/>
        </w:rPr>
        <w:t>）</w:t>
      </w:r>
      <w:r>
        <w:rPr>
          <w:rFonts w:ascii="Times New Roman" w:eastAsia="楷体_GB2312" w:hAnsi="Times New Roman"/>
          <w:sz w:val="21"/>
          <w:szCs w:val="21"/>
        </w:rPr>
        <w:fldChar w:fldCharType="end"/>
      </w:r>
      <w:r w:rsidR="00235733">
        <w:rPr>
          <w:rFonts w:ascii="Times New Roman" w:eastAsia="楷体_GB2312" w:hAnsi="Times New Roman" w:hint="eastAsia"/>
          <w:sz w:val="21"/>
          <w:szCs w:val="21"/>
        </w:rPr>
        <w:t>关于</w:t>
      </w:r>
      <w:r w:rsidR="00235733">
        <w:rPr>
          <w:rFonts w:ascii="Times New Roman" w:eastAsia="楷体_GB2312" w:hAnsi="Times New Roman" w:hint="eastAsia"/>
          <w:sz w:val="21"/>
          <w:szCs w:val="21"/>
        </w:rPr>
        <w:t>A</w:t>
      </w:r>
      <w:r w:rsidR="00235733">
        <w:rPr>
          <w:rFonts w:ascii="Times New Roman" w:eastAsia="楷体_GB2312" w:hAnsi="Times New Roman" w:hint="eastAsia"/>
          <w:sz w:val="21"/>
          <w:szCs w:val="21"/>
        </w:rPr>
        <w:t>公司的入库单、建设开发公司</w:t>
      </w:r>
      <w:r w:rsidR="00235733">
        <w:rPr>
          <w:rFonts w:ascii="Times New Roman" w:eastAsia="楷体_GB2312" w:hAnsi="Times New Roman"/>
          <w:sz w:val="21"/>
          <w:szCs w:val="21"/>
        </w:rPr>
        <w:t>（</w:t>
      </w:r>
      <w:r w:rsidR="00235733">
        <w:rPr>
          <w:rFonts w:ascii="Times New Roman" w:eastAsia="楷体_GB2312" w:hAnsi="Times New Roman" w:hint="eastAsia"/>
          <w:sz w:val="21"/>
          <w:szCs w:val="21"/>
        </w:rPr>
        <w:t>×××项</w:t>
      </w:r>
      <w:r w:rsidR="00235733">
        <w:rPr>
          <w:rFonts w:ascii="Times New Roman" w:eastAsia="楷体_GB2312" w:hAnsi="Times New Roman"/>
          <w:sz w:val="21"/>
          <w:szCs w:val="21"/>
        </w:rPr>
        <w:t>）</w:t>
      </w:r>
      <w:r w:rsidR="00235733">
        <w:rPr>
          <w:rFonts w:ascii="Times New Roman" w:eastAsia="楷体_GB2312" w:hAnsi="Times New Roman" w:hint="eastAsia"/>
          <w:sz w:val="21"/>
          <w:szCs w:val="21"/>
        </w:rPr>
        <w:t>赊货欠款单、记账凭证等，由于该组证据均是</w:t>
      </w:r>
      <w:r w:rsidR="00235733">
        <w:rPr>
          <w:rFonts w:ascii="Times New Roman" w:eastAsia="楷体_GB2312" w:hAnsi="Times New Roman" w:hint="eastAsia"/>
          <w:sz w:val="21"/>
          <w:szCs w:val="21"/>
        </w:rPr>
        <w:t>A</w:t>
      </w:r>
      <w:r w:rsidR="00235733">
        <w:rPr>
          <w:rFonts w:ascii="Times New Roman" w:eastAsia="楷体_GB2312" w:hAnsi="Times New Roman" w:hint="eastAsia"/>
          <w:sz w:val="21"/>
          <w:szCs w:val="21"/>
        </w:rPr>
        <w:t>公司的内部材料，来源于本案一方当事人自身，且其制作随意性较大，较为容易修改，其真实性亦不能认定。</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鉴于</w:t>
      </w:r>
      <w:r>
        <w:rPr>
          <w:rFonts w:ascii="Times New Roman" w:eastAsia="楷体_GB2312" w:hAnsi="Times New Roman" w:hint="eastAsia"/>
          <w:sz w:val="21"/>
          <w:szCs w:val="21"/>
        </w:rPr>
        <w:t>A</w:t>
      </w:r>
      <w:r>
        <w:rPr>
          <w:rFonts w:ascii="Times New Roman" w:eastAsia="楷体_GB2312" w:hAnsi="Times New Roman" w:hint="eastAsia"/>
          <w:sz w:val="21"/>
          <w:szCs w:val="21"/>
        </w:rPr>
        <w:t>公司提交的各组证据均无法证明其主张，其提出的被控侵权产品具有合法来源从而应免除赔偿责任的主张不能成立。</w:t>
      </w:r>
    </w:p>
    <w:p w:rsidR="00800760" w:rsidRDefault="00235733">
      <w:pPr>
        <w:pStyle w:val="3"/>
        <w:topLinePunct/>
        <w:spacing w:before="240"/>
        <w:ind w:firstLine="444"/>
        <w:rPr>
          <w:rFonts w:ascii="Times New Roman" w:hAnsi="Times New Roman"/>
        </w:rPr>
      </w:pPr>
      <w:bookmarkStart w:id="3642" w:name="_Toc229114404"/>
      <w:bookmarkStart w:id="3643" w:name="_Toc229225500"/>
      <w:r>
        <w:rPr>
          <w:rFonts w:ascii="Times New Roman" w:hAnsi="Times New Roman" w:hint="eastAsia"/>
        </w:rPr>
        <w:t>五、鉴定意见</w:t>
      </w:r>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鉴定意见是鉴定人接受委托或聘请，运用自己的专门知识和技能，对案件中所涉及的某些专门性问题进行分析、判断后所作出的结论性意见。</w:t>
      </w:r>
    </w:p>
    <w:p w:rsidR="00800760" w:rsidRDefault="00235733">
      <w:pPr>
        <w:pStyle w:val="4"/>
        <w:spacing w:before="240"/>
        <w:ind w:firstLine="444"/>
        <w:rPr>
          <w:rFonts w:ascii="Times New Roman" w:hAnsi="Times New Roman"/>
        </w:rPr>
      </w:pPr>
      <w:r>
        <w:rPr>
          <w:rFonts w:ascii="Times New Roman" w:hAnsi="Times New Roman" w:hint="eastAsia"/>
        </w:rPr>
        <w:t>（一）鉴定人与鉴定文书</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具有鉴定资格的专业人员通常称作鉴定人，鉴定人有自然人和机构之分。鉴定意见以鉴定文书为载体。鉴定文书是鉴定委托、鉴定过程和鉴定结果的书面表达方式，是鉴定人将鉴定所依据的资料、鉴定的步骤与方法、鉴定的依据与标准、分析得出的数据图像等用文字和图片的形式表述出来的一种法律文书，包括鉴定书、检验报告书和鉴定意见书等形式。作出肯定或否定鉴定结论的为鉴定书，叙述检验过程和检验结果的为检验报告书，提供倾向性、可能性分析意见的为鉴定意见书。</w:t>
      </w:r>
    </w:p>
    <w:p w:rsidR="00800760" w:rsidRDefault="00235733">
      <w:pPr>
        <w:pStyle w:val="4"/>
        <w:spacing w:before="240"/>
        <w:ind w:firstLine="444"/>
        <w:rPr>
          <w:rFonts w:ascii="Times New Roman" w:hAnsi="Times New Roman"/>
        </w:rPr>
      </w:pPr>
      <w:r>
        <w:rPr>
          <w:rFonts w:ascii="Times New Roman" w:hAnsi="Times New Roman" w:hint="eastAsia"/>
        </w:rPr>
        <w:t>（二）鉴定意见的审核认定</w:t>
      </w:r>
    </w:p>
    <w:p w:rsidR="00800760" w:rsidRDefault="00235733">
      <w:pPr>
        <w:pStyle w:val="12"/>
        <w:topLinePunct/>
        <w:spacing w:line="336" w:lineRule="auto"/>
        <w:ind w:firstLine="420"/>
        <w:rPr>
          <w:rFonts w:ascii="Times New Roman" w:eastAsia="黑体" w:hAnsi="Times New Roman"/>
          <w:sz w:val="21"/>
          <w:szCs w:val="21"/>
        </w:rPr>
      </w:pPr>
      <w:r>
        <w:rPr>
          <w:rFonts w:ascii="Times New Roman" w:eastAsia="黑体" w:hAnsi="Times New Roman" w:hint="eastAsia"/>
          <w:sz w:val="21"/>
          <w:szCs w:val="21"/>
        </w:rPr>
        <w:t xml:space="preserve">1. </w:t>
      </w:r>
      <w:r>
        <w:rPr>
          <w:rFonts w:ascii="Times New Roman" w:eastAsia="黑体" w:hAnsi="Times New Roman" w:hint="eastAsia"/>
          <w:sz w:val="21"/>
          <w:szCs w:val="21"/>
        </w:rPr>
        <w:t>证据资格审查</w:t>
      </w:r>
    </w:p>
    <w:p w:rsidR="00800760" w:rsidRDefault="00C22A7B">
      <w:r>
        <w:fldChar w:fldCharType="begin"/>
      </w:r>
      <w:r w:rsidR="00235733">
        <w:instrText>= 1 \* GB2</w:instrText>
      </w:r>
      <w:r>
        <w:fldChar w:fldCharType="separate"/>
      </w:r>
      <w:r w:rsidR="00235733">
        <w:rPr>
          <w:rFonts w:hint="eastAsia"/>
        </w:rPr>
        <w:t>（</w:t>
      </w:r>
      <w:r w:rsidR="00235733">
        <w:rPr>
          <w:rFonts w:hint="eastAsia"/>
        </w:rPr>
        <w:t>1</w:t>
      </w:r>
      <w:r w:rsidR="00235733">
        <w:rPr>
          <w:rFonts w:hint="eastAsia"/>
        </w:rPr>
        <w:t>）</w:t>
      </w:r>
      <w:r>
        <w:fldChar w:fldCharType="end"/>
      </w:r>
      <w:r w:rsidR="00235733">
        <w:rPr>
          <w:rFonts w:hint="eastAsia"/>
        </w:rPr>
        <w:t>鉴定书是否符合形式要求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鉴定书应当载明委托人姓名或名称、委托鉴定的事项、委托鉴定的材料、鉴定的依据和使用的科学技术手段、鉴定过程的说明、明确的鉴定结论、对鉴定人鉴定资格的说明，并应有鉴定人的签名和鉴定机构的盖章。</w:t>
      </w:r>
    </w:p>
    <w:p w:rsidR="00800760" w:rsidRDefault="00C22A7B">
      <w:r>
        <w:fldChar w:fldCharType="begin"/>
      </w:r>
      <w:r w:rsidR="00235733">
        <w:instrText>= 2 \* GB2</w:instrText>
      </w:r>
      <w:r>
        <w:fldChar w:fldCharType="separate"/>
      </w:r>
      <w:r w:rsidR="00235733">
        <w:rPr>
          <w:rFonts w:hint="eastAsia"/>
        </w:rPr>
        <w:t>（</w:t>
      </w:r>
      <w:r w:rsidR="00235733">
        <w:rPr>
          <w:rFonts w:hint="eastAsia"/>
        </w:rPr>
        <w:t>2</w:t>
      </w:r>
      <w:r w:rsidR="00235733">
        <w:rPr>
          <w:rFonts w:hint="eastAsia"/>
        </w:rPr>
        <w:t>）</w:t>
      </w:r>
      <w:r>
        <w:fldChar w:fldCharType="end"/>
      </w:r>
      <w:r w:rsidR="00235733">
        <w:rPr>
          <w:rFonts w:hint="eastAsia"/>
        </w:rPr>
        <w:t>鉴定机构与鉴定人是否合格</w:t>
      </w:r>
    </w:p>
    <w:p w:rsidR="00800760" w:rsidRDefault="00235733">
      <w:pPr>
        <w:pStyle w:val="12"/>
        <w:topLinePunct/>
        <w:spacing w:line="336" w:lineRule="auto"/>
        <w:ind w:firstLine="404"/>
        <w:rPr>
          <w:rFonts w:ascii="Times New Roman" w:eastAsia="宋体" w:hAnsi="Times New Roman"/>
          <w:spacing w:val="-4"/>
          <w:sz w:val="21"/>
          <w:szCs w:val="21"/>
        </w:rPr>
      </w:pPr>
      <w:r>
        <w:rPr>
          <w:rFonts w:ascii="Times New Roman" w:eastAsia="宋体" w:hAnsi="Times New Roman" w:hint="eastAsia"/>
          <w:spacing w:val="-4"/>
          <w:sz w:val="21"/>
          <w:szCs w:val="21"/>
        </w:rPr>
        <w:t>鉴定机构应当是依照法律、法规、规章的规定成立的具有鉴定资格的机构，鉴定人应当是具有某方面的专业知识并依法取得鉴定人资格的人员。审查鉴定意见时应首先审查鉴定机构与鉴定人的资质条件。</w:t>
      </w:r>
    </w:p>
    <w:p w:rsidR="00800760" w:rsidRDefault="00C22A7B">
      <w:r>
        <w:fldChar w:fldCharType="begin"/>
      </w:r>
      <w:r w:rsidR="00235733">
        <w:instrText>= 3 \* GB2</w:instrText>
      </w:r>
      <w:r>
        <w:fldChar w:fldCharType="separate"/>
      </w:r>
      <w:r w:rsidR="00235733">
        <w:rPr>
          <w:rFonts w:hint="eastAsia"/>
        </w:rPr>
        <w:t>（</w:t>
      </w:r>
      <w:r w:rsidR="00235733">
        <w:rPr>
          <w:rFonts w:hint="eastAsia"/>
        </w:rPr>
        <w:t>3</w:t>
      </w:r>
      <w:r w:rsidR="00235733">
        <w:rPr>
          <w:rFonts w:hint="eastAsia"/>
        </w:rPr>
        <w:t>）</w:t>
      </w:r>
      <w:r>
        <w:fldChar w:fldCharType="end"/>
      </w:r>
      <w:r w:rsidR="00235733">
        <w:rPr>
          <w:rFonts w:hint="eastAsia"/>
        </w:rPr>
        <w:t>鉴定程序是否合法</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程序法定是保证鉴定质量的重要措施，鉴定对象的提取、保管、送样、鉴定均须依照法定程序进行。鉴定人数与鉴定书不符合鉴定要求、鉴定人与当事人有利害关系应当回避而没有回避，都属于违反法定程序的情况。</w:t>
      </w:r>
    </w:p>
    <w:p w:rsidR="00800760" w:rsidRDefault="00C22A7B">
      <w:r>
        <w:fldChar w:fldCharType="begin"/>
      </w:r>
      <w:r w:rsidR="00235733">
        <w:instrText>= 4 \* GB2</w:instrText>
      </w:r>
      <w:r>
        <w:fldChar w:fldCharType="separate"/>
      </w:r>
      <w:r w:rsidR="00235733">
        <w:rPr>
          <w:rFonts w:hint="eastAsia"/>
        </w:rPr>
        <w:t>（</w:t>
      </w:r>
      <w:r w:rsidR="00235733">
        <w:rPr>
          <w:rFonts w:hint="eastAsia"/>
        </w:rPr>
        <w:t>4</w:t>
      </w:r>
      <w:r w:rsidR="00235733">
        <w:rPr>
          <w:rFonts w:hint="eastAsia"/>
        </w:rPr>
        <w:t>）</w:t>
      </w:r>
      <w:r>
        <w:fldChar w:fldCharType="end"/>
      </w:r>
      <w:r w:rsidR="00235733">
        <w:rPr>
          <w:rFonts w:hint="eastAsia"/>
        </w:rPr>
        <w:t>鉴定人有无受到不正常干扰和影响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应当对鉴定人是否受到不正常干扰和影响进行审查。如果鉴定人受到他人干涉，鉴定意见的正确性就可能受到影响。</w:t>
      </w:r>
    </w:p>
    <w:p w:rsidR="00800760" w:rsidRDefault="00235733">
      <w:pPr>
        <w:pStyle w:val="12"/>
        <w:topLinePunct/>
        <w:spacing w:line="336" w:lineRule="auto"/>
        <w:ind w:firstLine="420"/>
        <w:rPr>
          <w:rFonts w:ascii="Times New Roman" w:eastAsia="黑体" w:hAnsi="Times New Roman"/>
          <w:sz w:val="21"/>
          <w:szCs w:val="21"/>
        </w:rPr>
      </w:pPr>
      <w:r>
        <w:rPr>
          <w:rFonts w:ascii="Times New Roman" w:eastAsia="黑体" w:hAnsi="Times New Roman" w:hint="eastAsia"/>
          <w:sz w:val="21"/>
          <w:szCs w:val="21"/>
        </w:rPr>
        <w:t xml:space="preserve">2. </w:t>
      </w:r>
      <w:r>
        <w:rPr>
          <w:rFonts w:ascii="Times New Roman" w:eastAsia="黑体" w:hAnsi="Times New Roman" w:hint="eastAsia"/>
          <w:sz w:val="21"/>
          <w:szCs w:val="21"/>
        </w:rPr>
        <w:t>证明力审查</w:t>
      </w:r>
    </w:p>
    <w:p w:rsidR="00800760" w:rsidRDefault="00C22A7B">
      <w:r>
        <w:fldChar w:fldCharType="begin"/>
      </w:r>
      <w:r w:rsidR="00235733">
        <w:instrText>= 1 \* GB2</w:instrText>
      </w:r>
      <w:r>
        <w:fldChar w:fldCharType="separate"/>
      </w:r>
      <w:r w:rsidR="00235733">
        <w:rPr>
          <w:rFonts w:hint="eastAsia"/>
        </w:rPr>
        <w:t>（</w:t>
      </w:r>
      <w:r w:rsidR="00235733">
        <w:rPr>
          <w:rFonts w:hint="eastAsia"/>
        </w:rPr>
        <w:t>1</w:t>
      </w:r>
      <w:r w:rsidR="00235733">
        <w:rPr>
          <w:rFonts w:hint="eastAsia"/>
        </w:rPr>
        <w:t>）</w:t>
      </w:r>
      <w:r>
        <w:fldChar w:fldCharType="end"/>
      </w:r>
      <w:r w:rsidR="00235733">
        <w:rPr>
          <w:rFonts w:hint="eastAsia"/>
        </w:rPr>
        <w:t>鉴定意见依据的材料是否充分和可靠</w:t>
      </w:r>
    </w:p>
    <w:p w:rsidR="00800760" w:rsidRDefault="00235733">
      <w:r>
        <w:rPr>
          <w:rFonts w:hint="eastAsia"/>
        </w:rPr>
        <w:t>鉴定所依据的材料应当真实、充分。应当审查鉴定人是否存在出于某种目的，故意更换、增减鉴定材料的情况。</w:t>
      </w:r>
    </w:p>
    <w:p w:rsidR="00800760" w:rsidRDefault="00C22A7B">
      <w:r>
        <w:fldChar w:fldCharType="begin"/>
      </w:r>
      <w:r w:rsidR="00235733">
        <w:instrText>= 2 \* GB2</w:instrText>
      </w:r>
      <w:r>
        <w:fldChar w:fldCharType="separate"/>
      </w:r>
      <w:r w:rsidR="00235733">
        <w:rPr>
          <w:rFonts w:hint="eastAsia"/>
        </w:rPr>
        <w:t>（</w:t>
      </w:r>
      <w:r w:rsidR="00235733">
        <w:rPr>
          <w:rFonts w:hint="eastAsia"/>
        </w:rPr>
        <w:t>2</w:t>
      </w:r>
      <w:r w:rsidR="00235733">
        <w:rPr>
          <w:rFonts w:hint="eastAsia"/>
        </w:rPr>
        <w:t>）</w:t>
      </w:r>
      <w:r>
        <w:fldChar w:fldCharType="end"/>
      </w:r>
      <w:r w:rsidR="00235733">
        <w:rPr>
          <w:rFonts w:hint="eastAsia"/>
        </w:rPr>
        <w:t>鉴定的方法是否科学，使用的设备和其他条件是否完善</w:t>
      </w:r>
    </w:p>
    <w:p w:rsidR="00800760" w:rsidRDefault="00235733">
      <w:r>
        <w:rPr>
          <w:rFonts w:hint="eastAsia"/>
        </w:rPr>
        <w:t>应当审查鉴定人在鉴定过程中，检验、实验的程序规范或者检验方法是否符合法定标准或行业标准，所使用的技术设备是否先进可靠，技术手段是否有效可靠。</w:t>
      </w:r>
    </w:p>
    <w:p w:rsidR="00800760" w:rsidRDefault="00C22A7B">
      <w:r>
        <w:fldChar w:fldCharType="begin"/>
      </w:r>
      <w:r w:rsidR="00235733">
        <w:instrText>= 3 \* GB2</w:instrText>
      </w:r>
      <w:r>
        <w:fldChar w:fldCharType="separate"/>
      </w:r>
      <w:r w:rsidR="00235733">
        <w:rPr>
          <w:rFonts w:hint="eastAsia"/>
        </w:rPr>
        <w:t>（</w:t>
      </w:r>
      <w:r w:rsidR="00235733">
        <w:rPr>
          <w:rFonts w:hint="eastAsia"/>
        </w:rPr>
        <w:t>3</w:t>
      </w:r>
      <w:r w:rsidR="00235733">
        <w:rPr>
          <w:rFonts w:hint="eastAsia"/>
        </w:rPr>
        <w:t>）</w:t>
      </w:r>
      <w:r>
        <w:fldChar w:fldCharType="end"/>
      </w:r>
      <w:r w:rsidR="00235733">
        <w:rPr>
          <w:rFonts w:hint="eastAsia"/>
        </w:rPr>
        <w:t>鉴定意见是否符合逻辑</w:t>
      </w:r>
    </w:p>
    <w:p w:rsidR="00800760" w:rsidRDefault="00235733">
      <w:r>
        <w:rPr>
          <w:rFonts w:hint="eastAsia"/>
        </w:rPr>
        <w:t>应当审查鉴定意见的论据是否充分、推论是否合理、论据与结论之间是否存在矛盾、鉴定结论与其他证据是否存在矛盾、鉴定意见是否明确、内容是否完整。</w:t>
      </w:r>
    </w:p>
    <w:p w:rsidR="00800760" w:rsidRDefault="00C22A7B">
      <w:r>
        <w:fldChar w:fldCharType="begin"/>
      </w:r>
      <w:r w:rsidR="00235733">
        <w:instrText>= 4 \* GB2</w:instrText>
      </w:r>
      <w:r>
        <w:fldChar w:fldCharType="separate"/>
      </w:r>
      <w:r w:rsidR="00235733">
        <w:rPr>
          <w:rFonts w:hint="eastAsia"/>
        </w:rPr>
        <w:t>（</w:t>
      </w:r>
      <w:r w:rsidR="00235733">
        <w:rPr>
          <w:rFonts w:hint="eastAsia"/>
        </w:rPr>
        <w:t>4</w:t>
      </w:r>
      <w:r w:rsidR="00235733">
        <w:rPr>
          <w:rFonts w:hint="eastAsia"/>
        </w:rPr>
        <w:t>）</w:t>
      </w:r>
      <w:r>
        <w:fldChar w:fldCharType="end"/>
      </w:r>
      <w:r w:rsidR="00235733">
        <w:rPr>
          <w:rFonts w:hint="eastAsia"/>
        </w:rPr>
        <w:t>鉴定意见是否超越职权</w:t>
      </w:r>
    </w:p>
    <w:p w:rsidR="00800760" w:rsidRDefault="00235733">
      <w:r>
        <w:rPr>
          <w:rFonts w:hint="eastAsia"/>
        </w:rPr>
        <w:t>鉴定意见只能解决事实问题，不能解决法律问题。鉴定意见中针对法律问题的结论虽不会导致鉴定意见必然无效，但该意见仅能供办案人员参考，不能被不加分析地直接接受。</w:t>
      </w:r>
    </w:p>
    <w:p w:rsidR="00800760" w:rsidRDefault="00C22A7B">
      <w:r>
        <w:fldChar w:fldCharType="begin"/>
      </w:r>
      <w:r w:rsidR="00235733">
        <w:instrText>= 5 \* GB2</w:instrText>
      </w:r>
      <w:r>
        <w:fldChar w:fldCharType="separate"/>
      </w:r>
      <w:r w:rsidR="00235733">
        <w:rPr>
          <w:rFonts w:hint="eastAsia"/>
        </w:rPr>
        <w:t>（</w:t>
      </w:r>
      <w:r w:rsidR="00235733">
        <w:rPr>
          <w:rFonts w:hint="eastAsia"/>
        </w:rPr>
        <w:t>5</w:t>
      </w:r>
      <w:r w:rsidR="00235733">
        <w:rPr>
          <w:rFonts w:hint="eastAsia"/>
        </w:rPr>
        <w:t>）</w:t>
      </w:r>
      <w:r>
        <w:fldChar w:fldCharType="end"/>
      </w:r>
      <w:r w:rsidR="00235733">
        <w:rPr>
          <w:rFonts w:hint="eastAsia"/>
        </w:rPr>
        <w:t>鉴定委托人的影响</w:t>
      </w:r>
    </w:p>
    <w:p w:rsidR="00800760" w:rsidRDefault="00235733">
      <w:r>
        <w:rPr>
          <w:rFonts w:hint="eastAsia"/>
        </w:rPr>
        <w:t>鉴定委托人为案件一方当事人，其鉴定意见的证明力低于鉴定委托人为管理专利工作的部门、人民法院或其他中立机构的鉴定意见。</w:t>
      </w:r>
    </w:p>
    <w:p w:rsidR="00800760" w:rsidRDefault="00C22A7B">
      <w:r>
        <w:fldChar w:fldCharType="begin"/>
      </w:r>
      <w:r w:rsidR="00235733">
        <w:instrText>= 6 \* GB2</w:instrText>
      </w:r>
      <w:r>
        <w:fldChar w:fldCharType="separate"/>
      </w:r>
      <w:r w:rsidR="00235733">
        <w:rPr>
          <w:rFonts w:hint="eastAsia"/>
        </w:rPr>
        <w:t>（</w:t>
      </w:r>
      <w:r w:rsidR="00235733">
        <w:rPr>
          <w:rFonts w:hint="eastAsia"/>
        </w:rPr>
        <w:t>6</w:t>
      </w:r>
      <w:r w:rsidR="00235733">
        <w:rPr>
          <w:rFonts w:hint="eastAsia"/>
        </w:rPr>
        <w:t>）</w:t>
      </w:r>
      <w:r>
        <w:fldChar w:fldCharType="end"/>
      </w:r>
      <w:r w:rsidR="00235733">
        <w:rPr>
          <w:rFonts w:hint="eastAsia"/>
        </w:rPr>
        <w:t>鉴定人是否出庭接受质询</w:t>
      </w:r>
    </w:p>
    <w:p w:rsidR="00800760" w:rsidRDefault="00235733">
      <w:r>
        <w:rPr>
          <w:rFonts w:hint="eastAsia"/>
        </w:rPr>
        <w:t>鉴定人无正当理由不出庭，对方当事人对其鉴定意见提出相反证据或合理怀疑足以推翻其结论的，该鉴定意见不能作为定案依据。</w:t>
      </w:r>
    </w:p>
    <w:p w:rsidR="00800760" w:rsidRDefault="00C22A7B">
      <w:r>
        <w:fldChar w:fldCharType="begin"/>
      </w:r>
      <w:r w:rsidR="00235733">
        <w:instrText>= 7 \* GB2</w:instrText>
      </w:r>
      <w:r>
        <w:fldChar w:fldCharType="separate"/>
      </w:r>
      <w:r w:rsidR="00235733">
        <w:rPr>
          <w:rFonts w:hint="eastAsia"/>
        </w:rPr>
        <w:t>（</w:t>
      </w:r>
      <w:r w:rsidR="00235733">
        <w:rPr>
          <w:rFonts w:hint="eastAsia"/>
        </w:rPr>
        <w:t>7</w:t>
      </w:r>
      <w:r w:rsidR="00235733">
        <w:rPr>
          <w:rFonts w:hint="eastAsia"/>
        </w:rPr>
        <w:t>）</w:t>
      </w:r>
      <w:r>
        <w:fldChar w:fldCharType="end"/>
      </w:r>
      <w:r w:rsidR="00235733">
        <w:rPr>
          <w:rFonts w:hint="eastAsia"/>
        </w:rPr>
        <w:t>鉴定意见的证明力大小</w:t>
      </w:r>
    </w:p>
    <w:p w:rsidR="00800760" w:rsidRDefault="00235733">
      <w:r>
        <w:rPr>
          <w:rFonts w:hint="eastAsia"/>
        </w:rPr>
        <w:t>在证明同一个事实的数个证据中，鉴定意见优于其他书证、视听资料和证人证言。</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3. </w:t>
      </w:r>
      <w:r>
        <w:rPr>
          <w:rFonts w:ascii="Times New Roman" w:eastAsia="黑体" w:hAnsi="黑体" w:cs="Times New Roman"/>
          <w:sz w:val="21"/>
          <w:szCs w:val="21"/>
        </w:rPr>
        <w:t>关于有专门知识的人出庭说明有关问题</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当事人可以申请有专门知识的人出庭说明有关问题，包括对鉴定人作出的鉴定意见提出意见和对专业问题提出意见。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有专门知识的人”，又称专家，是指在科学、技术以及其他专业知识方面具有特殊的专门知识或者经验的人。所谓“专门知识”，是指不为一般人所掌握而只有一定范围的专家熟知的那些知识，不包括现行法律、法规的规定等法律知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需要有专门知识的人出庭就鉴定人作出的鉴定意见或者案件事实所涉及的专门问题进行说明或者发表专业意见的，应当由当事人向处理机关提出申请，说明理由。处理机关接受申请后，应当进行审查。如果符合法律规定，理由充分，应当通知有专门知识的人出庭；如果不符合法律规定或者理由不成立，就应当驳回当事人的申请。</w:t>
      </w:r>
    </w:p>
    <w:p w:rsidR="00800760" w:rsidRDefault="00235733">
      <w:pPr>
        <w:pStyle w:val="af6"/>
        <w:spacing w:before="120"/>
        <w:ind w:firstLine="420"/>
      </w:pPr>
      <w:bookmarkStart w:id="3644" w:name="_Toc25872"/>
      <w:bookmarkStart w:id="3645" w:name="_Toc3967"/>
      <w:bookmarkStart w:id="3646" w:name="_Toc9552"/>
      <w:bookmarkStart w:id="3647" w:name="_Toc1176"/>
      <w:bookmarkStart w:id="3648" w:name="_Toc24638"/>
      <w:bookmarkStart w:id="3649" w:name="_Toc20357"/>
      <w:bookmarkStart w:id="3650" w:name="_Toc26158"/>
      <w:bookmarkStart w:id="3651" w:name="_Toc13291"/>
      <w:bookmarkStart w:id="3652" w:name="_Toc12894"/>
      <w:bookmarkStart w:id="3653" w:name="_Toc19481"/>
      <w:bookmarkStart w:id="3654" w:name="_Toc10188"/>
      <w:bookmarkStart w:id="3655" w:name="_Toc27234"/>
      <w:bookmarkStart w:id="3656" w:name="_Toc25350"/>
      <w:bookmarkStart w:id="3657" w:name="_Toc1330"/>
      <w:bookmarkStart w:id="3658" w:name="_Toc2821"/>
      <w:bookmarkStart w:id="3659" w:name="_Toc2063"/>
      <w:bookmarkStart w:id="3660" w:name="_Toc30809"/>
      <w:bookmarkStart w:id="3661" w:name="_Toc6813"/>
      <w:bookmarkStart w:id="3662" w:name="_Toc9838"/>
      <w:bookmarkStart w:id="3663" w:name="_Toc27346"/>
      <w:bookmarkStart w:id="3664" w:name="_Toc949"/>
      <w:bookmarkStart w:id="3665" w:name="_Toc11163"/>
      <w:bookmarkStart w:id="3666" w:name="_Toc21115"/>
      <w:bookmarkStart w:id="3667" w:name="_Toc1427"/>
      <w:bookmarkStart w:id="3668" w:name="_Toc7732"/>
      <w:bookmarkStart w:id="3669" w:name="_Toc15704"/>
      <w:bookmarkStart w:id="3670" w:name="_Toc4680"/>
      <w:bookmarkStart w:id="3671" w:name="_Toc11676"/>
      <w:bookmarkStart w:id="3672" w:name="_Toc4084"/>
      <w:bookmarkStart w:id="3673" w:name="_Toc4487"/>
      <w:bookmarkStart w:id="3674" w:name="_Toc25026"/>
      <w:bookmarkStart w:id="3675" w:name="_Toc16318"/>
      <w:bookmarkStart w:id="3676" w:name="_Toc590"/>
      <w:bookmarkStart w:id="3677" w:name="_Toc16448"/>
      <w:bookmarkStart w:id="3678" w:name="_Toc7283"/>
      <w:bookmarkStart w:id="3679" w:name="_Toc18788"/>
      <w:r>
        <w:rPr>
          <w:rFonts w:hint="eastAsia"/>
        </w:rPr>
        <w:t>【案例4-5-16】</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2009</w:t>
      </w:r>
      <w:r>
        <w:rPr>
          <w:rFonts w:ascii="Times New Roman" w:eastAsia="楷体_GB2312" w:hAnsi="Times New Roman" w:hint="eastAsia"/>
          <w:sz w:val="21"/>
          <w:szCs w:val="21"/>
        </w:rPr>
        <w:t>年</w:t>
      </w:r>
      <w:r>
        <w:rPr>
          <w:rFonts w:ascii="Times New Roman" w:eastAsia="楷体_GB2312" w:hAnsi="Times New Roman"/>
          <w:sz w:val="21"/>
          <w:szCs w:val="21"/>
        </w:rPr>
        <w:t>3</w:t>
      </w:r>
      <w:r>
        <w:rPr>
          <w:rFonts w:ascii="Times New Roman" w:eastAsia="楷体_GB2312" w:hAnsi="Times New Roman" w:hint="eastAsia"/>
          <w:sz w:val="21"/>
          <w:szCs w:val="21"/>
        </w:rPr>
        <w:t>月，请求人甲请求某市知识产权局处理被请求人乙侵犯其名称为“一种能使金刚石刀头冷却的药剂”的发明专利权的行为。</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该局立案后，于</w:t>
      </w:r>
      <w:r>
        <w:rPr>
          <w:rFonts w:ascii="Times New Roman" w:eastAsia="楷体_GB2312" w:hAnsi="Times New Roman"/>
          <w:sz w:val="21"/>
          <w:szCs w:val="21"/>
        </w:rPr>
        <w:t>2009</w:t>
      </w:r>
      <w:r>
        <w:rPr>
          <w:rFonts w:ascii="Times New Roman" w:eastAsia="楷体_GB2312" w:hAnsi="Times New Roman" w:hint="eastAsia"/>
          <w:sz w:val="21"/>
          <w:szCs w:val="21"/>
        </w:rPr>
        <w:t>年</w:t>
      </w:r>
      <w:r>
        <w:rPr>
          <w:rFonts w:ascii="Times New Roman" w:eastAsia="楷体_GB2312" w:hAnsi="Times New Roman"/>
          <w:sz w:val="21"/>
          <w:szCs w:val="21"/>
        </w:rPr>
        <w:t>3</w:t>
      </w:r>
      <w:r>
        <w:rPr>
          <w:rFonts w:ascii="Times New Roman" w:eastAsia="楷体_GB2312" w:hAnsi="Times New Roman" w:hint="eastAsia"/>
          <w:sz w:val="21"/>
          <w:szCs w:val="21"/>
        </w:rPr>
        <w:t>月</w:t>
      </w:r>
      <w:r>
        <w:rPr>
          <w:rFonts w:ascii="Times New Roman" w:eastAsia="楷体_GB2312" w:hAnsi="Times New Roman"/>
          <w:sz w:val="21"/>
          <w:szCs w:val="21"/>
        </w:rPr>
        <w:t>17</w:t>
      </w:r>
      <w:r>
        <w:rPr>
          <w:rFonts w:ascii="Times New Roman" w:eastAsia="楷体_GB2312" w:hAnsi="Times New Roman" w:hint="eastAsia"/>
          <w:sz w:val="21"/>
          <w:szCs w:val="21"/>
        </w:rPr>
        <w:t>日到被请求人销售现场进行调查取证，于</w:t>
      </w:r>
      <w:r>
        <w:rPr>
          <w:rFonts w:ascii="Times New Roman" w:eastAsia="楷体_GB2312" w:hAnsi="Times New Roman"/>
          <w:sz w:val="21"/>
          <w:szCs w:val="21"/>
        </w:rPr>
        <w:t>2009</w:t>
      </w:r>
      <w:r>
        <w:rPr>
          <w:rFonts w:ascii="Times New Roman" w:eastAsia="楷体_GB2312" w:hAnsi="Times New Roman" w:hint="eastAsia"/>
          <w:sz w:val="21"/>
          <w:szCs w:val="21"/>
        </w:rPr>
        <w:t>年</w:t>
      </w:r>
      <w:r>
        <w:rPr>
          <w:rFonts w:ascii="Times New Roman" w:eastAsia="楷体_GB2312" w:hAnsi="Times New Roman"/>
          <w:sz w:val="21"/>
          <w:szCs w:val="21"/>
        </w:rPr>
        <w:t>6</w:t>
      </w:r>
      <w:r>
        <w:rPr>
          <w:rFonts w:ascii="Times New Roman" w:eastAsia="楷体_GB2312" w:hAnsi="Times New Roman" w:hint="eastAsia"/>
          <w:sz w:val="21"/>
          <w:szCs w:val="21"/>
        </w:rPr>
        <w:t>月</w:t>
      </w:r>
      <w:r>
        <w:rPr>
          <w:rFonts w:ascii="Times New Roman" w:eastAsia="楷体_GB2312" w:hAnsi="Times New Roman"/>
          <w:sz w:val="21"/>
          <w:szCs w:val="21"/>
        </w:rPr>
        <w:t>4</w:t>
      </w:r>
      <w:r>
        <w:rPr>
          <w:rFonts w:ascii="Times New Roman" w:eastAsia="楷体_GB2312" w:hAnsi="Times New Roman" w:hint="eastAsia"/>
          <w:sz w:val="21"/>
          <w:szCs w:val="21"/>
        </w:rPr>
        <w:t>日到被请求人的销售现场对其经销的冷却液原料进行抽样取证，并委托某市化学工业研究所对样品进行鉴定，确定原料为涉案专利权利要求中对应的化学成分。该局据此作出〔</w:t>
      </w:r>
      <w:r>
        <w:rPr>
          <w:rFonts w:ascii="Times New Roman" w:eastAsia="楷体_GB2312" w:hAnsi="Times New Roman"/>
          <w:sz w:val="21"/>
          <w:szCs w:val="21"/>
        </w:rPr>
        <w:t>2009</w:t>
      </w:r>
      <w:r>
        <w:rPr>
          <w:rFonts w:ascii="Times New Roman" w:eastAsia="楷体_GB2312" w:hAnsi="Times New Roman" w:hint="eastAsia"/>
          <w:sz w:val="21"/>
          <w:szCs w:val="21"/>
        </w:rPr>
        <w:t>〕第</w:t>
      </w:r>
      <w:r>
        <w:rPr>
          <w:rFonts w:ascii="Times New Roman" w:eastAsia="楷体_GB2312" w:hAnsi="Times New Roman"/>
          <w:sz w:val="21"/>
          <w:szCs w:val="21"/>
        </w:rPr>
        <w:t>4</w:t>
      </w:r>
      <w:r>
        <w:rPr>
          <w:rFonts w:ascii="Times New Roman" w:eastAsia="楷体_GB2312" w:hAnsi="Times New Roman" w:hint="eastAsia"/>
          <w:sz w:val="21"/>
          <w:szCs w:val="21"/>
        </w:rPr>
        <w:t>号专利侵权纠纷行政裁决书，认定涉嫌侵权产品中的原料落入涉案专利保护范围，构成专利侵权。被请求人不服该局行政裁决，向该市中级人民法院提起行政诉讼。</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市中级人民法院审理认为：抽取样品的场所（即销售被请求人生产的冷却粉的经销处）的营业执照登记不是被请求人，现场抽样的被抽样人为丙，非被请求人乙；该市知识产权局无有效证据证明被请求人乙当时在抽样现场；乙不认可送鉴样品为其销售的产品，该市知识产权局不能提供证据证明送鉴样品为乙生产销售的，抽样取证不符合依法行政的维护正当程序原则。鉴定单位所作的《化学品鉴定报告》鉴定结论落款处只有鉴定单位公章，无鉴定人签名和鉴定人鉴定资格的说明，违反了《最高人民法院关于行政诉讼证据若干问题的规定》第十四条，该报告不能作为专利纠纷处理依据。该市中级人民法院据此判决撤销该市知识产权局〔</w:t>
      </w:r>
      <w:r>
        <w:rPr>
          <w:rFonts w:ascii="Times New Roman" w:eastAsia="楷体_GB2312" w:hAnsi="Times New Roman"/>
          <w:sz w:val="21"/>
          <w:szCs w:val="21"/>
        </w:rPr>
        <w:t>2009</w:t>
      </w:r>
      <w:r>
        <w:rPr>
          <w:rFonts w:ascii="Times New Roman" w:eastAsia="楷体_GB2312" w:hAnsi="Times New Roman" w:hint="eastAsia"/>
          <w:sz w:val="21"/>
          <w:szCs w:val="21"/>
        </w:rPr>
        <w:t>〕字第</w:t>
      </w:r>
      <w:r>
        <w:rPr>
          <w:rFonts w:ascii="Times New Roman" w:eastAsia="楷体_GB2312" w:hAnsi="Times New Roman"/>
          <w:sz w:val="21"/>
          <w:szCs w:val="21"/>
        </w:rPr>
        <w:t>4</w:t>
      </w:r>
      <w:r>
        <w:rPr>
          <w:rFonts w:ascii="Times New Roman" w:eastAsia="楷体_GB2312" w:hAnsi="Times New Roman" w:hint="eastAsia"/>
          <w:sz w:val="21"/>
          <w:szCs w:val="21"/>
        </w:rPr>
        <w:t>号专利纠纷行政裁决书，由该市知识产权局重新作出具体行政行为。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本案存在以下几个问题：</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1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1</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请求人在提起侵权处理请求时，被请求人为乙。该局在取证过程中，并没有注意到该经销处的个体工商户营业执照登记的经营者为乙的父亲丙；</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2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2</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取证过程中乙在场，但未取得相应的摄像、照片证据；</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3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3</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现场取证的被取证人签字为丙，乙没有在取证记录及样品上签字。以上存在的问题导致证据无法相互印证，不能证明乙为取证样品的被取证人，也无法进一步证明乙为被控侵权产品的生产者，导致鉴定程序不合法。此外，《化学品鉴定报告》依照检验单位的固定格式，在登记页面有检验人员签字，但是在附页中的送鉴结论中没有鉴定人签名，且没有鉴定人鉴定资格的说明，也导致鉴定结果未被认可。</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本案例的指引意义在于：</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1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1</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办案人员在取证时，应当确认证据与当事人的关联性；</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2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2</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取样登记表应当有当事人签字，当事人拒不签字的，应当有其他证明材料（录像、照片、案外人签字等）佐证；</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3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3</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取证过程应当采用照相、摄像、录音等措施进行记录，必要时可以采用隐蔽拍摄方式；</w:t>
      </w:r>
      <w:r w:rsidR="00C22A7B">
        <w:rPr>
          <w:rFonts w:ascii="Times New Roman" w:eastAsia="楷体_GB2312" w:hAnsi="Times New Roman"/>
          <w:sz w:val="21"/>
          <w:szCs w:val="21"/>
        </w:rPr>
        <w:fldChar w:fldCharType="begin"/>
      </w:r>
      <w:r>
        <w:rPr>
          <w:rFonts w:ascii="Times New Roman" w:eastAsia="楷体_GB2312" w:hAnsi="Times New Roman"/>
          <w:sz w:val="21"/>
          <w:szCs w:val="21"/>
        </w:rPr>
        <w:instrText>= 4 \* GB2</w:instrText>
      </w:r>
      <w:r w:rsidR="00C22A7B">
        <w:rPr>
          <w:rFonts w:ascii="Times New Roman" w:eastAsia="楷体_GB2312" w:hAnsi="Times New Roman"/>
          <w:sz w:val="21"/>
          <w:szCs w:val="21"/>
        </w:rPr>
        <w:fldChar w:fldCharType="separate"/>
      </w:r>
      <w:r>
        <w:rPr>
          <w:rFonts w:ascii="Times New Roman" w:eastAsia="楷体_GB2312" w:hAnsi="Times New Roman" w:hint="eastAsia"/>
          <w:sz w:val="21"/>
          <w:szCs w:val="21"/>
        </w:rPr>
        <w:t>（</w:t>
      </w:r>
      <w:r>
        <w:rPr>
          <w:rFonts w:ascii="Times New Roman" w:eastAsia="楷体_GB2312" w:hAnsi="Times New Roman" w:hint="eastAsia"/>
          <w:sz w:val="21"/>
          <w:szCs w:val="21"/>
        </w:rPr>
        <w:t>4</w:t>
      </w:r>
      <w:r>
        <w:rPr>
          <w:rFonts w:ascii="Times New Roman" w:eastAsia="楷体_GB2312" w:hAnsi="Times New Roman" w:hint="eastAsia"/>
          <w:sz w:val="21"/>
          <w:szCs w:val="21"/>
        </w:rPr>
        <w:t>）</w:t>
      </w:r>
      <w:r w:rsidR="00C22A7B">
        <w:rPr>
          <w:rFonts w:ascii="Times New Roman" w:eastAsia="楷体_GB2312" w:hAnsi="Times New Roman"/>
          <w:sz w:val="21"/>
          <w:szCs w:val="21"/>
        </w:rPr>
        <w:fldChar w:fldCharType="end"/>
      </w:r>
      <w:r>
        <w:rPr>
          <w:rFonts w:ascii="Times New Roman" w:eastAsia="楷体_GB2312" w:hAnsi="Times New Roman" w:hint="eastAsia"/>
          <w:sz w:val="21"/>
          <w:szCs w:val="21"/>
        </w:rPr>
        <w:t>鉴定意见应当有对鉴定人鉴定资格的说明，并应有鉴定人的签名和鉴定单位的盖章。</w:t>
      </w:r>
    </w:p>
    <w:p w:rsidR="00800760" w:rsidRDefault="00235733">
      <w:pPr>
        <w:pStyle w:val="af6"/>
        <w:spacing w:before="120"/>
        <w:ind w:firstLine="420"/>
      </w:pPr>
      <w:r>
        <w:rPr>
          <w:rFonts w:hint="eastAsia"/>
        </w:rPr>
        <w:t>【案例4-5-17】</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专利权人甲以公证购买的形式取得被控侵权产品、</w:t>
      </w:r>
      <w:r>
        <w:rPr>
          <w:rFonts w:ascii="Times New Roman" w:eastAsia="楷体_GB2312" w:hAnsi="Times New Roman" w:hint="eastAsia"/>
          <w:sz w:val="21"/>
          <w:szCs w:val="21"/>
        </w:rPr>
        <w:t>A</w:t>
      </w:r>
      <w:r>
        <w:rPr>
          <w:rFonts w:ascii="Times New Roman" w:eastAsia="楷体_GB2312" w:hAnsi="Times New Roman" w:hint="eastAsia"/>
          <w:sz w:val="21"/>
          <w:szCs w:val="21"/>
        </w:rPr>
        <w:t>实业广东营销中心出货单。被控侵权产品上印有</w:t>
      </w:r>
      <w:r>
        <w:rPr>
          <w:rFonts w:ascii="Times New Roman" w:eastAsia="楷体_GB2312" w:hAnsi="Times New Roman" w:hint="eastAsia"/>
          <w:sz w:val="21"/>
          <w:szCs w:val="21"/>
        </w:rPr>
        <w:t>A</w:t>
      </w:r>
      <w:r>
        <w:rPr>
          <w:rFonts w:ascii="Times New Roman" w:eastAsia="楷体_GB2312" w:hAnsi="Times New Roman" w:hint="eastAsia"/>
          <w:sz w:val="21"/>
          <w:szCs w:val="21"/>
        </w:rPr>
        <w:t>公司名称拼音字样，外包装上印有</w:t>
      </w:r>
      <w:r>
        <w:rPr>
          <w:rFonts w:ascii="Times New Roman" w:eastAsia="楷体_GB2312" w:hAnsi="Times New Roman" w:hint="eastAsia"/>
          <w:sz w:val="21"/>
          <w:szCs w:val="21"/>
        </w:rPr>
        <w:t>A</w:t>
      </w:r>
      <w:r>
        <w:rPr>
          <w:rFonts w:ascii="Times New Roman" w:eastAsia="楷体_GB2312" w:hAnsi="Times New Roman" w:hint="eastAsia"/>
          <w:sz w:val="21"/>
          <w:szCs w:val="21"/>
        </w:rPr>
        <w:t>公司的名称、地址、服务热线、注册商标以及</w:t>
      </w:r>
      <w:r>
        <w:rPr>
          <w:rFonts w:ascii="Times New Roman" w:eastAsia="楷体_GB2312" w:hAnsi="Times New Roman" w:hint="eastAsia"/>
          <w:sz w:val="21"/>
          <w:szCs w:val="21"/>
        </w:rPr>
        <w:t>A</w:t>
      </w:r>
      <w:r>
        <w:rPr>
          <w:rFonts w:ascii="Times New Roman" w:eastAsia="楷体_GB2312" w:hAnsi="Times New Roman" w:hint="eastAsia"/>
          <w:sz w:val="21"/>
          <w:szCs w:val="21"/>
        </w:rPr>
        <w:t>公司的主页网址等相关信息；出货单上盖有“</w:t>
      </w:r>
      <w:r>
        <w:rPr>
          <w:rFonts w:ascii="Times New Roman" w:eastAsia="楷体_GB2312" w:hAnsi="Times New Roman" w:hint="eastAsia"/>
          <w:sz w:val="21"/>
          <w:szCs w:val="21"/>
        </w:rPr>
        <w:t>A</w:t>
      </w:r>
      <w:r>
        <w:rPr>
          <w:rFonts w:ascii="Times New Roman" w:eastAsia="楷体_GB2312" w:hAnsi="Times New Roman" w:hint="eastAsia"/>
          <w:sz w:val="21"/>
          <w:szCs w:val="21"/>
        </w:rPr>
        <w:t>公司”印章。据此，甲主张</w:t>
      </w:r>
      <w:r>
        <w:rPr>
          <w:rFonts w:ascii="Times New Roman" w:eastAsia="楷体_GB2312" w:hAnsi="Times New Roman" w:hint="eastAsia"/>
          <w:sz w:val="21"/>
          <w:szCs w:val="21"/>
        </w:rPr>
        <w:t>A</w:t>
      </w:r>
      <w:r>
        <w:rPr>
          <w:rFonts w:ascii="Times New Roman" w:eastAsia="楷体_GB2312" w:hAnsi="Times New Roman" w:hint="eastAsia"/>
          <w:sz w:val="21"/>
          <w:szCs w:val="21"/>
        </w:rPr>
        <w:t>公司应承担侵权责任。</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公司认为，出货单上的印章系伪造。为证明这一主张，</w:t>
      </w:r>
      <w:r>
        <w:rPr>
          <w:rFonts w:ascii="Times New Roman" w:eastAsia="楷体_GB2312" w:hAnsi="Times New Roman" w:hint="eastAsia"/>
          <w:sz w:val="21"/>
          <w:szCs w:val="21"/>
        </w:rPr>
        <w:t>A</w:t>
      </w:r>
      <w:r>
        <w:rPr>
          <w:rFonts w:ascii="Times New Roman" w:eastAsia="楷体_GB2312" w:hAnsi="Times New Roman" w:hint="eastAsia"/>
          <w:sz w:val="21"/>
          <w:szCs w:val="21"/>
        </w:rPr>
        <w:t>公司委托司法鉴定所进行了鉴定，鉴定意见为“倾向认为检材上复印的印文‘</w:t>
      </w:r>
      <w:r>
        <w:rPr>
          <w:rFonts w:ascii="Times New Roman" w:eastAsia="楷体_GB2312" w:hAnsi="Times New Roman" w:hint="eastAsia"/>
          <w:sz w:val="21"/>
          <w:szCs w:val="21"/>
        </w:rPr>
        <w:t>A</w:t>
      </w:r>
      <w:r>
        <w:rPr>
          <w:rFonts w:ascii="Times New Roman" w:eastAsia="楷体_GB2312" w:hAnsi="Times New Roman" w:hint="eastAsia"/>
          <w:sz w:val="21"/>
          <w:szCs w:val="21"/>
        </w:rPr>
        <w:t>公司’与样本</w:t>
      </w:r>
      <w:r>
        <w:rPr>
          <w:rFonts w:ascii="Times New Roman" w:eastAsia="楷体_GB2312" w:hAnsi="Times New Roman"/>
          <w:sz w:val="21"/>
          <w:szCs w:val="21"/>
        </w:rPr>
        <w:t>1</w:t>
      </w:r>
      <w:r>
        <w:rPr>
          <w:rFonts w:ascii="Times New Roman" w:eastAsia="楷体_GB2312" w:hAnsi="Times New Roman" w:hint="eastAsia"/>
          <w:sz w:val="21"/>
          <w:szCs w:val="21"/>
        </w:rPr>
        <w:t>、样本</w:t>
      </w:r>
      <w:r>
        <w:rPr>
          <w:rFonts w:ascii="Times New Roman" w:eastAsia="楷体_GB2312" w:hAnsi="Times New Roman"/>
          <w:sz w:val="21"/>
          <w:szCs w:val="21"/>
        </w:rPr>
        <w:t>2</w:t>
      </w:r>
      <w:r>
        <w:rPr>
          <w:rFonts w:ascii="Times New Roman" w:eastAsia="楷体_GB2312" w:hAnsi="Times New Roman" w:hint="eastAsia"/>
          <w:sz w:val="21"/>
          <w:szCs w:val="21"/>
        </w:rPr>
        <w:t>上的印文不是出自同一枚印章”。该鉴定意见书以</w:t>
      </w:r>
      <w:r>
        <w:rPr>
          <w:rFonts w:ascii="Times New Roman" w:eastAsia="楷体_GB2312" w:hAnsi="Times New Roman" w:hint="eastAsia"/>
          <w:sz w:val="21"/>
          <w:szCs w:val="21"/>
        </w:rPr>
        <w:t>A</w:t>
      </w:r>
      <w:r>
        <w:rPr>
          <w:rFonts w:ascii="Times New Roman" w:eastAsia="楷体_GB2312" w:hAnsi="Times New Roman" w:hint="eastAsia"/>
          <w:sz w:val="21"/>
          <w:szCs w:val="21"/>
        </w:rPr>
        <w:t>实业广东营销中心出货单复印件上的印文“</w:t>
      </w:r>
      <w:r>
        <w:rPr>
          <w:rFonts w:ascii="Times New Roman" w:eastAsia="楷体_GB2312" w:hAnsi="Times New Roman" w:hint="eastAsia"/>
          <w:sz w:val="21"/>
          <w:szCs w:val="21"/>
        </w:rPr>
        <w:t>A</w:t>
      </w:r>
      <w:r>
        <w:rPr>
          <w:rFonts w:ascii="Times New Roman" w:eastAsia="楷体_GB2312" w:hAnsi="Times New Roman" w:hint="eastAsia"/>
          <w:sz w:val="21"/>
          <w:szCs w:val="21"/>
        </w:rPr>
        <w:t>公司”为检材，以《印鉴样式》原件上加盖的印文“</w:t>
      </w:r>
      <w:r>
        <w:rPr>
          <w:rFonts w:ascii="Times New Roman" w:eastAsia="楷体_GB2312" w:hAnsi="Times New Roman" w:hint="eastAsia"/>
          <w:sz w:val="21"/>
          <w:szCs w:val="21"/>
        </w:rPr>
        <w:t>A</w:t>
      </w:r>
      <w:r>
        <w:rPr>
          <w:rFonts w:ascii="Times New Roman" w:eastAsia="楷体_GB2312" w:hAnsi="Times New Roman" w:hint="eastAsia"/>
          <w:sz w:val="21"/>
          <w:szCs w:val="21"/>
        </w:rPr>
        <w:t>公司”为比对印文样本</w:t>
      </w:r>
      <w:r>
        <w:rPr>
          <w:rFonts w:ascii="Times New Roman" w:eastAsia="楷体_GB2312" w:hAnsi="Times New Roman"/>
          <w:sz w:val="21"/>
          <w:szCs w:val="21"/>
        </w:rPr>
        <w:t>1</w:t>
      </w:r>
      <w:r>
        <w:rPr>
          <w:rFonts w:ascii="Times New Roman" w:eastAsia="楷体_GB2312" w:hAnsi="Times New Roman" w:hint="eastAsia"/>
          <w:sz w:val="21"/>
          <w:szCs w:val="21"/>
        </w:rPr>
        <w:t>，以公司名称为“</w:t>
      </w:r>
      <w:r>
        <w:rPr>
          <w:rFonts w:ascii="Times New Roman" w:eastAsia="楷体_GB2312" w:hAnsi="Times New Roman" w:hint="eastAsia"/>
          <w:sz w:val="21"/>
          <w:szCs w:val="21"/>
        </w:rPr>
        <w:t>A</w:t>
      </w:r>
      <w:r>
        <w:rPr>
          <w:rFonts w:ascii="Times New Roman" w:eastAsia="楷体_GB2312" w:hAnsi="Times New Roman" w:hint="eastAsia"/>
          <w:sz w:val="21"/>
          <w:szCs w:val="21"/>
        </w:rPr>
        <w:t>公司”的《公司年检报告书》（</w:t>
      </w:r>
      <w:r>
        <w:rPr>
          <w:rFonts w:ascii="Times New Roman" w:eastAsia="楷体_GB2312" w:hAnsi="Times New Roman"/>
          <w:sz w:val="21"/>
          <w:szCs w:val="21"/>
        </w:rPr>
        <w:t>2009</w:t>
      </w:r>
      <w:r>
        <w:rPr>
          <w:rFonts w:ascii="Times New Roman" w:eastAsia="楷体_GB2312" w:hAnsi="Times New Roman" w:hint="eastAsia"/>
          <w:sz w:val="21"/>
          <w:szCs w:val="21"/>
        </w:rPr>
        <w:t>年度）复印件上复印的印文“</w:t>
      </w:r>
      <w:r>
        <w:rPr>
          <w:rFonts w:ascii="Times New Roman" w:eastAsia="楷体_GB2312" w:hAnsi="Times New Roman" w:hint="eastAsia"/>
          <w:sz w:val="21"/>
          <w:szCs w:val="21"/>
        </w:rPr>
        <w:t>A</w:t>
      </w:r>
      <w:r>
        <w:rPr>
          <w:rFonts w:ascii="Times New Roman" w:eastAsia="楷体_GB2312" w:hAnsi="Times New Roman" w:hint="eastAsia"/>
          <w:sz w:val="21"/>
          <w:szCs w:val="21"/>
        </w:rPr>
        <w:t>公司”为比对印文样本</w:t>
      </w:r>
      <w:r>
        <w:rPr>
          <w:rFonts w:ascii="Times New Roman" w:eastAsia="楷体_GB2312" w:hAnsi="Times New Roman"/>
          <w:sz w:val="21"/>
          <w:szCs w:val="21"/>
        </w:rPr>
        <w:t>2</w:t>
      </w:r>
      <w:r>
        <w:rPr>
          <w:rFonts w:ascii="Times New Roman" w:eastAsia="楷体_GB2312" w:hAnsi="Times New Roman" w:hint="eastAsia"/>
          <w:sz w:val="21"/>
          <w:szCs w:val="21"/>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甲认为，鉴定意见书使用的鉴定材料样本系由</w:t>
      </w:r>
      <w:r>
        <w:rPr>
          <w:rFonts w:ascii="Times New Roman" w:eastAsia="楷体_GB2312" w:hAnsi="Times New Roman" w:hint="eastAsia"/>
          <w:sz w:val="21"/>
          <w:szCs w:val="21"/>
        </w:rPr>
        <w:t>A</w:t>
      </w:r>
      <w:r>
        <w:rPr>
          <w:rFonts w:ascii="Times New Roman" w:eastAsia="楷体_GB2312" w:hAnsi="Times New Roman" w:hint="eastAsia"/>
          <w:sz w:val="21"/>
          <w:szCs w:val="21"/>
        </w:rPr>
        <w:t>公司单方提供，其真实性有待确认。鉴定意见中的分析说明表明</w:t>
      </w:r>
      <w:r>
        <w:rPr>
          <w:rFonts w:ascii="Times New Roman" w:eastAsia="楷体_GB2312" w:hAnsi="Times New Roman" w:hint="eastAsia"/>
          <w:sz w:val="21"/>
          <w:szCs w:val="21"/>
        </w:rPr>
        <w:t>A</w:t>
      </w:r>
      <w:r>
        <w:rPr>
          <w:rFonts w:ascii="Times New Roman" w:eastAsia="楷体_GB2312" w:hAnsi="Times New Roman" w:hint="eastAsia"/>
          <w:sz w:val="21"/>
          <w:szCs w:val="21"/>
        </w:rPr>
        <w:t>公司系提供复印件作为检材，不具备准确性。此外，一个企业制有两枚公司印章属于常见现象，不能因为</w:t>
      </w:r>
      <w:r>
        <w:rPr>
          <w:rFonts w:ascii="Times New Roman" w:eastAsia="楷体_GB2312" w:hAnsi="Times New Roman" w:hint="eastAsia"/>
          <w:sz w:val="21"/>
          <w:szCs w:val="21"/>
        </w:rPr>
        <w:t>A</w:t>
      </w:r>
      <w:r>
        <w:rPr>
          <w:rFonts w:ascii="Times New Roman" w:eastAsia="楷体_GB2312" w:hAnsi="Times New Roman" w:hint="eastAsia"/>
          <w:sz w:val="21"/>
          <w:szCs w:val="21"/>
        </w:rPr>
        <w:t>公司本部的印章与其广东营销中心的公司印章不一致，就当然推出其广东营销中心公司的印章为假冒。</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华文隶书" w:hAnsi="Times New Roman" w:hint="eastAsia"/>
          <w:sz w:val="21"/>
          <w:szCs w:val="21"/>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鉴定意见书虽倾向认为，送货单复印件上的印文与样本</w:t>
      </w:r>
      <w:r>
        <w:rPr>
          <w:rFonts w:ascii="Times New Roman" w:eastAsia="楷体_GB2312" w:hAnsi="Times New Roman"/>
          <w:sz w:val="21"/>
          <w:szCs w:val="21"/>
        </w:rPr>
        <w:t>1</w:t>
      </w:r>
      <w:r>
        <w:rPr>
          <w:rFonts w:ascii="Times New Roman" w:eastAsia="楷体_GB2312" w:hAnsi="Times New Roman" w:hint="eastAsia"/>
          <w:sz w:val="21"/>
          <w:szCs w:val="21"/>
        </w:rPr>
        <w:t>、样本</w:t>
      </w:r>
      <w:r>
        <w:rPr>
          <w:rFonts w:ascii="Times New Roman" w:eastAsia="楷体_GB2312" w:hAnsi="Times New Roman"/>
          <w:sz w:val="21"/>
          <w:szCs w:val="21"/>
        </w:rPr>
        <w:t>2</w:t>
      </w:r>
      <w:r>
        <w:rPr>
          <w:rFonts w:ascii="Times New Roman" w:eastAsia="楷体_GB2312" w:hAnsi="Times New Roman" w:hint="eastAsia"/>
          <w:sz w:val="21"/>
          <w:szCs w:val="21"/>
        </w:rPr>
        <w:t>中的印文不是出自同一枚印章，但由于检材为复印件，并且出货单上载明的单位名称为“</w:t>
      </w:r>
      <w:r>
        <w:rPr>
          <w:rFonts w:ascii="Times New Roman" w:eastAsia="楷体_GB2312" w:hAnsi="Times New Roman" w:hint="eastAsia"/>
          <w:sz w:val="21"/>
          <w:szCs w:val="21"/>
        </w:rPr>
        <w:t>A</w:t>
      </w:r>
      <w:r>
        <w:rPr>
          <w:rFonts w:ascii="Times New Roman" w:eastAsia="楷体_GB2312" w:hAnsi="Times New Roman" w:hint="eastAsia"/>
          <w:sz w:val="21"/>
          <w:szCs w:val="21"/>
        </w:rPr>
        <w:t>实业广东营销中心”，样本</w:t>
      </w:r>
      <w:r>
        <w:rPr>
          <w:rFonts w:ascii="Times New Roman" w:eastAsia="楷体_GB2312" w:hAnsi="Times New Roman"/>
          <w:sz w:val="21"/>
          <w:szCs w:val="21"/>
        </w:rPr>
        <w:t>1</w:t>
      </w:r>
      <w:r>
        <w:rPr>
          <w:rFonts w:ascii="Times New Roman" w:eastAsia="楷体_GB2312" w:hAnsi="Times New Roman" w:hint="eastAsia"/>
          <w:sz w:val="21"/>
          <w:szCs w:val="21"/>
        </w:rPr>
        <w:t>、样本</w:t>
      </w:r>
      <w:r>
        <w:rPr>
          <w:rFonts w:ascii="Times New Roman" w:eastAsia="楷体_GB2312" w:hAnsi="Times New Roman"/>
          <w:sz w:val="21"/>
          <w:szCs w:val="21"/>
        </w:rPr>
        <w:t>2</w:t>
      </w:r>
      <w:r>
        <w:rPr>
          <w:rFonts w:ascii="Times New Roman" w:eastAsia="楷体_GB2312" w:hAnsi="Times New Roman" w:hint="eastAsia"/>
          <w:sz w:val="21"/>
          <w:szCs w:val="21"/>
        </w:rPr>
        <w:t>上的单位名称为“</w:t>
      </w:r>
      <w:r>
        <w:rPr>
          <w:rFonts w:ascii="Times New Roman" w:eastAsia="楷体_GB2312" w:hAnsi="Times New Roman" w:hint="eastAsia"/>
          <w:sz w:val="21"/>
          <w:szCs w:val="21"/>
        </w:rPr>
        <w:t>A</w:t>
      </w:r>
      <w:r>
        <w:rPr>
          <w:rFonts w:ascii="Times New Roman" w:eastAsia="楷体_GB2312" w:hAnsi="Times New Roman" w:hint="eastAsia"/>
          <w:sz w:val="21"/>
          <w:szCs w:val="21"/>
        </w:rPr>
        <w:t>公司”，两者并不完全相同。因此，即使印文不完全一致，亦不足以认定出货单上的印文为伪造。</w:t>
      </w:r>
    </w:p>
    <w:p w:rsidR="00800760" w:rsidRDefault="00235733">
      <w:pPr>
        <w:pStyle w:val="3"/>
        <w:topLinePunct/>
        <w:spacing w:before="240"/>
        <w:ind w:firstLine="444"/>
        <w:rPr>
          <w:rFonts w:ascii="Times New Roman" w:hAnsi="Times New Roman"/>
        </w:rPr>
      </w:pPr>
      <w:bookmarkStart w:id="3680" w:name="_Toc229114405"/>
      <w:bookmarkStart w:id="3681" w:name="_Toc229225501"/>
      <w:r>
        <w:rPr>
          <w:rFonts w:ascii="Times New Roman" w:hAnsi="Times New Roman" w:hint="eastAsia"/>
        </w:rPr>
        <w:t>六、笔录及电子证据</w:t>
      </w:r>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p>
    <w:p w:rsidR="00800760" w:rsidRDefault="00235733">
      <w:pPr>
        <w:pStyle w:val="4"/>
        <w:spacing w:before="240"/>
        <w:ind w:firstLine="444"/>
        <w:rPr>
          <w:rFonts w:ascii="Times New Roman" w:hAnsi="Times New Roman"/>
        </w:rPr>
      </w:pPr>
      <w:r>
        <w:rPr>
          <w:rFonts w:ascii="Times New Roman" w:hAnsi="Times New Roman" w:hint="eastAsia"/>
        </w:rPr>
        <w:t>（一）笔录</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笔录分为勘验笔录和现场笔录。勘验笔录，是办案人员对于与案件有关的现场或者物品进行勘验所作的实况记录，是对物品、现场等进行查看、检验后所作的能够证明案件情况的记录。现场笔录</w:t>
      </w:r>
      <w:r>
        <w:rPr>
          <w:rFonts w:ascii="Times New Roman" w:eastAsia="宋体" w:hAnsi="Times New Roman"/>
          <w:sz w:val="21"/>
          <w:szCs w:val="21"/>
        </w:rPr>
        <w:t>，</w:t>
      </w:r>
      <w:r>
        <w:rPr>
          <w:rFonts w:ascii="Times New Roman" w:eastAsia="宋体" w:hAnsi="Times New Roman" w:hint="eastAsia"/>
          <w:sz w:val="21"/>
          <w:szCs w:val="21"/>
        </w:rPr>
        <w:t>是专指行政机关及其工作人员在执行职务的过程中，在实施具体行政行为时，对某些事项当场所作的能够证明案件事实的记录。</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1. </w:t>
      </w:r>
      <w:r>
        <w:rPr>
          <w:rFonts w:ascii="Times New Roman" w:eastAsia="黑体" w:hAnsi="黑体" w:cs="Times New Roman"/>
          <w:sz w:val="21"/>
          <w:szCs w:val="21"/>
        </w:rPr>
        <w:t>笔录的制作流程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勘验现场时，勘验人必须出示相应办案资质证件，并邀请当地基层组织或者当事人所在单位参加。当事人或其成年亲属应到场，拒不到场的，不影响勘验的进行，但应当在勘验笔录中说明情况。勘验人员应当制作勘验笔录，记载勘验的时间、地点、勘验人、在场人、勘验的经过和结果，由勘验人、当事人、在场人签名。勘验现场时绘制的现场图，应当注明绘制的时间、方位、绘制人姓名和身份等。勘验笔录的内容，一般包括笔录、现场照相、现场摄像和现场绘图。</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现场笔录，由管理专利工作的部门及其人员现场制作，应当载明时间、地点和事件等内容，并由办案人员和当事人签名。当事人拒绝签名或者不能签名的，应当注明原因。有其他人在现场的，可由其他人签名。</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笔录的审核认定</w:t>
      </w:r>
    </w:p>
    <w:p w:rsidR="00800760" w:rsidRDefault="00C22A7B">
      <w:r>
        <w:fldChar w:fldCharType="begin"/>
      </w:r>
      <w:r w:rsidR="00235733">
        <w:instrText>= 1 \* GB2</w:instrText>
      </w:r>
      <w:r>
        <w:fldChar w:fldCharType="separate"/>
      </w:r>
      <w:r w:rsidR="00235733">
        <w:rPr>
          <w:rFonts w:hint="eastAsia"/>
        </w:rPr>
        <w:t>（</w:t>
      </w:r>
      <w:r w:rsidR="00235733">
        <w:rPr>
          <w:rFonts w:hint="eastAsia"/>
        </w:rPr>
        <w:t>1</w:t>
      </w:r>
      <w:r w:rsidR="00235733">
        <w:rPr>
          <w:rFonts w:hint="eastAsia"/>
        </w:rPr>
        <w:t>）</w:t>
      </w:r>
      <w:r>
        <w:fldChar w:fldCharType="end"/>
      </w:r>
      <w:r w:rsidR="00235733">
        <w:rPr>
          <w:rFonts w:hint="eastAsia"/>
        </w:rPr>
        <w:t>程序是否合法</w:t>
      </w:r>
    </w:p>
    <w:p w:rsidR="00800760" w:rsidRDefault="00235733">
      <w:r>
        <w:rPr>
          <w:rFonts w:hint="eastAsia"/>
        </w:rPr>
        <w:t>勘验必须严格依法进行，对笔录的审查应注意审查勘验的程序是否合法，例如参加人员是否符合法律规定、是否依照法定步骤进行、应当签名的人员是否签名等。</w:t>
      </w:r>
    </w:p>
    <w:p w:rsidR="00800760" w:rsidRDefault="00C22A7B">
      <w:r>
        <w:fldChar w:fldCharType="begin"/>
      </w:r>
      <w:r w:rsidR="00235733">
        <w:instrText>= 2 \* GB2</w:instrText>
      </w:r>
      <w:r>
        <w:fldChar w:fldCharType="separate"/>
      </w:r>
      <w:r w:rsidR="00235733">
        <w:rPr>
          <w:rFonts w:hint="eastAsia"/>
        </w:rPr>
        <w:t>（</w:t>
      </w:r>
      <w:r w:rsidR="00235733">
        <w:rPr>
          <w:rFonts w:hint="eastAsia"/>
        </w:rPr>
        <w:t>2</w:t>
      </w:r>
      <w:r w:rsidR="00235733">
        <w:rPr>
          <w:rFonts w:hint="eastAsia"/>
        </w:rPr>
        <w:t>）</w:t>
      </w:r>
      <w:r>
        <w:fldChar w:fldCharType="end"/>
      </w:r>
      <w:r w:rsidR="00235733">
        <w:rPr>
          <w:rFonts w:hint="eastAsia"/>
        </w:rPr>
        <w:t>笔录是否反映了现场、物品等的真实情况</w:t>
      </w:r>
    </w:p>
    <w:p w:rsidR="00800760" w:rsidRDefault="00235733">
      <w:r>
        <w:rPr>
          <w:rFonts w:hint="eastAsia"/>
        </w:rPr>
        <w:t>对于笔录，应当审查笔录上所记载的物证、场地环境情况等与从现场收集到实物证据是否吻合；采用文字记录以及绘图、现场摄像、拍照方式反映案件事实的各个部分是否互相照应，有无互相抵触的情形；现场所记录的重要情况有无遗漏之处，所使用的文字表述是否确切，记录的数字是否准确无误；笔录所表述的内容有无推测之处。</w:t>
      </w:r>
    </w:p>
    <w:p w:rsidR="00800760" w:rsidRDefault="00C22A7B">
      <w:r>
        <w:fldChar w:fldCharType="begin"/>
      </w:r>
      <w:r w:rsidR="00235733">
        <w:instrText>= 3 \* GB2</w:instrText>
      </w:r>
      <w:r>
        <w:fldChar w:fldCharType="separate"/>
      </w:r>
      <w:r w:rsidR="00235733">
        <w:rPr>
          <w:rFonts w:hint="eastAsia"/>
        </w:rPr>
        <w:t>（</w:t>
      </w:r>
      <w:r w:rsidR="00235733">
        <w:rPr>
          <w:rFonts w:hint="eastAsia"/>
        </w:rPr>
        <w:t>3</w:t>
      </w:r>
      <w:r w:rsidR="00235733">
        <w:rPr>
          <w:rFonts w:hint="eastAsia"/>
        </w:rPr>
        <w:t>）</w:t>
      </w:r>
      <w:r>
        <w:fldChar w:fldCharType="end"/>
      </w:r>
      <w:r w:rsidR="00235733">
        <w:rPr>
          <w:rFonts w:hint="eastAsia"/>
        </w:rPr>
        <w:t>笔录的证明力大小</w:t>
      </w:r>
    </w:p>
    <w:p w:rsidR="00800760" w:rsidRDefault="00235733">
      <w:r>
        <w:rPr>
          <w:rFonts w:hint="eastAsia"/>
        </w:rPr>
        <w:t>现场笔录、勘验笔录证明力优于其他书证、视听资料和证人证言。</w:t>
      </w:r>
    </w:p>
    <w:p w:rsidR="00800760" w:rsidRDefault="00235733">
      <w:r>
        <w:rPr>
          <w:rFonts w:hint="eastAsia"/>
        </w:rPr>
        <w:t>行政机关主持勘验所制作的勘验笔录证明力优于其他部门主持勘验所制作的勘验笔录。</w:t>
      </w:r>
    </w:p>
    <w:p w:rsidR="00800760" w:rsidRDefault="00235733">
      <w:pPr>
        <w:pStyle w:val="4"/>
        <w:spacing w:before="240"/>
        <w:ind w:firstLine="444"/>
        <w:rPr>
          <w:rFonts w:ascii="Times New Roman" w:hAnsi="Times New Roman"/>
        </w:rPr>
      </w:pPr>
      <w:r>
        <w:rPr>
          <w:rFonts w:ascii="Times New Roman" w:hAnsi="Times New Roman" w:hint="eastAsia"/>
        </w:rPr>
        <w:t>（二）电子证据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电子证据是以电子形式表现出来的、能够证明案件事实的一切材料。所谓电子就是在技术上具有电的、数字的、磁性的、无线电的、光学的、电磁的或类似的性能。电子证据的形式除了包括网站、电子公告、博客、电子邮件、交互式交流工具（</w:t>
      </w:r>
      <w:r>
        <w:rPr>
          <w:rFonts w:ascii="Times New Roman" w:eastAsia="宋体" w:hAnsi="Times New Roman"/>
          <w:sz w:val="21"/>
          <w:szCs w:val="21"/>
        </w:rPr>
        <w:t>QQ</w:t>
      </w:r>
      <w:r>
        <w:rPr>
          <w:rFonts w:ascii="Times New Roman" w:eastAsia="宋体" w:hAnsi="Times New Roman" w:hint="eastAsia"/>
          <w:sz w:val="21"/>
          <w:szCs w:val="21"/>
        </w:rPr>
        <w:t>、</w:t>
      </w:r>
      <w:r>
        <w:rPr>
          <w:rFonts w:ascii="Times New Roman" w:eastAsia="宋体" w:hAnsi="Times New Roman"/>
          <w:sz w:val="21"/>
          <w:szCs w:val="21"/>
        </w:rPr>
        <w:t>BBS</w:t>
      </w:r>
      <w:r>
        <w:rPr>
          <w:rFonts w:ascii="Times New Roman" w:eastAsia="宋体" w:hAnsi="Times New Roman" w:hint="eastAsia"/>
          <w:sz w:val="21"/>
          <w:szCs w:val="21"/>
        </w:rPr>
        <w:t>、微信等）、新闻组及</w:t>
      </w:r>
      <w:r>
        <w:rPr>
          <w:rFonts w:ascii="Times New Roman" w:eastAsia="宋体" w:hAnsi="Times New Roman"/>
          <w:sz w:val="21"/>
          <w:szCs w:val="21"/>
        </w:rPr>
        <w:t>FTP</w:t>
      </w:r>
      <w:r>
        <w:rPr>
          <w:rFonts w:ascii="Times New Roman" w:eastAsia="宋体" w:hAnsi="Times New Roman" w:hint="eastAsia"/>
          <w:sz w:val="21"/>
          <w:szCs w:val="21"/>
        </w:rPr>
        <w:t>上下载文件等外，还包括表现为电子数据交换（</w:t>
      </w:r>
      <w:r>
        <w:rPr>
          <w:rFonts w:ascii="Times New Roman" w:eastAsia="宋体" w:hAnsi="Times New Roman"/>
          <w:sz w:val="21"/>
          <w:szCs w:val="21"/>
        </w:rPr>
        <w:t>E</w:t>
      </w:r>
      <w:r>
        <w:rPr>
          <w:rFonts w:ascii="Times New Roman" w:eastAsia="宋体" w:hAnsi="Times New Roman" w:hint="eastAsia"/>
          <w:sz w:val="21"/>
          <w:szCs w:val="21"/>
        </w:rPr>
        <w:t>DI</w:t>
      </w:r>
      <w:r>
        <w:rPr>
          <w:rFonts w:ascii="Times New Roman" w:eastAsia="宋体" w:hAnsi="Times New Roman" w:hint="eastAsia"/>
          <w:sz w:val="21"/>
          <w:szCs w:val="21"/>
        </w:rPr>
        <w:t>）、电子资金划拨（</w:t>
      </w:r>
      <w:r>
        <w:rPr>
          <w:rFonts w:ascii="Times New Roman" w:eastAsia="宋体" w:hAnsi="Times New Roman"/>
          <w:sz w:val="21"/>
          <w:szCs w:val="21"/>
        </w:rPr>
        <w:t>E</w:t>
      </w:r>
      <w:r>
        <w:rPr>
          <w:rFonts w:ascii="Times New Roman" w:eastAsia="宋体" w:hAnsi="Times New Roman" w:hint="eastAsia"/>
          <w:sz w:val="21"/>
          <w:szCs w:val="21"/>
        </w:rPr>
        <w:t>FT</w:t>
      </w:r>
      <w:r>
        <w:rPr>
          <w:rFonts w:ascii="Times New Roman" w:eastAsia="宋体" w:hAnsi="Times New Roman" w:hint="eastAsia"/>
          <w:sz w:val="21"/>
          <w:szCs w:val="21"/>
        </w:rPr>
        <w:t>）和电子签章（</w:t>
      </w:r>
      <w:r>
        <w:rPr>
          <w:rFonts w:ascii="Times New Roman" w:eastAsia="宋体" w:hAnsi="Times New Roman"/>
          <w:sz w:val="21"/>
          <w:szCs w:val="21"/>
        </w:rPr>
        <w:t>E-signature</w:t>
      </w:r>
      <w:r>
        <w:rPr>
          <w:rFonts w:ascii="Times New Roman" w:eastAsia="宋体" w:hAnsi="Times New Roman" w:hint="eastAsia"/>
          <w:sz w:val="21"/>
          <w:szCs w:val="21"/>
        </w:rPr>
        <w:t>）等样式的各种证据。</w:t>
      </w:r>
    </w:p>
    <w:p w:rsidR="00800760" w:rsidRDefault="00235733">
      <w:pPr>
        <w:pStyle w:val="12"/>
        <w:topLinePunct/>
        <w:spacing w:line="336" w:lineRule="auto"/>
        <w:ind w:firstLine="420"/>
        <w:rPr>
          <w:rFonts w:ascii="Times New Roman" w:eastAsia="黑体" w:hAnsi="Times New Roman"/>
          <w:sz w:val="21"/>
          <w:szCs w:val="21"/>
        </w:rPr>
      </w:pPr>
      <w:r>
        <w:rPr>
          <w:rFonts w:ascii="Times New Roman" w:eastAsia="黑体" w:hAnsi="Times New Roman" w:hint="eastAsia"/>
          <w:sz w:val="21"/>
          <w:szCs w:val="21"/>
        </w:rPr>
        <w:t xml:space="preserve">1. </w:t>
      </w:r>
      <w:r>
        <w:rPr>
          <w:rFonts w:ascii="Times New Roman" w:eastAsia="黑体" w:hAnsi="Times New Roman" w:hint="eastAsia"/>
          <w:sz w:val="21"/>
          <w:szCs w:val="21"/>
        </w:rPr>
        <w:t>电子证据的审核认定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GB2</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w:t>
      </w:r>
      <w:r w:rsidR="00235733">
        <w:rPr>
          <w:rFonts w:ascii="Times New Roman" w:eastAsia="宋体" w:hAnsi="Times New Roman" w:hint="eastAsia"/>
          <w:sz w:val="21"/>
          <w:szCs w:val="21"/>
        </w:rPr>
        <w:t>1</w:t>
      </w:r>
      <w:r w:rsidR="00235733">
        <w:rPr>
          <w:rFonts w:ascii="Times New Roman" w:eastAsia="宋体" w:hAnsi="Times New Roman" w:hint="eastAsia"/>
          <w:sz w:val="21"/>
          <w:szCs w:val="21"/>
        </w:rPr>
        <w:t>）</w:t>
      </w:r>
      <w:r>
        <w:rPr>
          <w:rFonts w:ascii="Times New Roman" w:eastAsia="宋体" w:hAnsi="Times New Roman"/>
          <w:sz w:val="21"/>
          <w:szCs w:val="21"/>
        </w:rPr>
        <w:fldChar w:fldCharType="end"/>
      </w:r>
      <w:r w:rsidR="00235733">
        <w:rPr>
          <w:rFonts w:ascii="Times New Roman" w:eastAsia="宋体" w:hAnsi="Times New Roman" w:hint="eastAsia"/>
          <w:sz w:val="21"/>
          <w:szCs w:val="21"/>
        </w:rPr>
        <w:t>合法性认定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域外形成的电子证据原则上应经过公证认证，否则不予采纳。对于国外网站信息等可以在我国域内通过正当途径获得的电子证据，无须进行公证认证，可以直接作为证据予以接纳。取证手段的合法性主要需考虑证据的取得是否侵害他人合法权益（如故意违反社会公共利益和社会公德、侵害他人隐私等）或者采用违反法律禁止性规定的方法（如窃听等），除此之外，不能随意认定为非法证据。未经对方当事人同意私自录制其谈话所取得的录音资料，如未违反上述原则，不宜简单以不具有合法性予以排除。</w:t>
      </w:r>
    </w:p>
    <w:p w:rsidR="00800760" w:rsidRDefault="00C22A7B">
      <w:r>
        <w:fldChar w:fldCharType="begin"/>
      </w:r>
      <w:r w:rsidR="00235733">
        <w:instrText>= 2 \* GB2</w:instrText>
      </w:r>
      <w:r>
        <w:fldChar w:fldCharType="separate"/>
      </w:r>
      <w:r w:rsidR="00235733">
        <w:rPr>
          <w:rFonts w:hint="eastAsia"/>
        </w:rPr>
        <w:t>（</w:t>
      </w:r>
      <w:r w:rsidR="00235733">
        <w:rPr>
          <w:rFonts w:hint="eastAsia"/>
        </w:rPr>
        <w:t>2</w:t>
      </w:r>
      <w:r w:rsidR="00235733">
        <w:rPr>
          <w:rFonts w:hint="eastAsia"/>
        </w:rPr>
        <w:t>）</w:t>
      </w:r>
      <w:r>
        <w:fldChar w:fldCharType="end"/>
      </w:r>
      <w:r w:rsidR="00235733">
        <w:rPr>
          <w:rFonts w:hint="eastAsia"/>
        </w:rPr>
        <w:t>真实性认定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当事人均认可的电子证据，一般予以采纳；对方当事人有充分理由反驳的，应当要求提交电子证据的当事人提供其他证据予以佐证。经查证属实，电子证据可以作为单独认定案件事实的依据。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审核电子证据的真实性时，还需要考虑以下因素：</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电子证据的形成过程，包括电子证据是否是在正常的活动中按常规程序自动生成的、生成系统是否受到他人的控制、系统是否处于正常状态等。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电子证据的存储方式，包括存储方式是否科学、存储介质是否可靠、存储人员是否独立、是否具有遭受未授权的接触的可能性。</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电子证据的收集过程，包括电子证据的收集人身份是否适格，收集人与案件当事人有无利害关系，收集方法（备份、打印输出等）是否科学、可靠等。</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4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④</w:t>
      </w:r>
      <w:r>
        <w:rPr>
          <w:rFonts w:ascii="Times New Roman" w:eastAsia="宋体" w:hAnsi="Times New Roman"/>
          <w:sz w:val="21"/>
          <w:szCs w:val="21"/>
        </w:rPr>
        <w:fldChar w:fldCharType="end"/>
      </w:r>
      <w:r w:rsidR="00235733">
        <w:rPr>
          <w:rFonts w:ascii="Times New Roman" w:eastAsia="宋体" w:hAnsi="Times New Roman" w:hint="eastAsia"/>
          <w:sz w:val="21"/>
          <w:szCs w:val="21"/>
        </w:rPr>
        <w:t>电子证据的完整性。一般情况下，应依法指派或聘请具有专门技术知识的人对其进行鉴定，就有关电子证据的技术问题进行说明，不能仅凭生活常识来判定电子证据有无删改。</w:t>
      </w:r>
    </w:p>
    <w:p w:rsidR="00800760" w:rsidRDefault="00C22A7B">
      <w:r>
        <w:fldChar w:fldCharType="begin"/>
      </w:r>
      <w:r w:rsidR="00235733">
        <w:instrText>= 3 \* GB2</w:instrText>
      </w:r>
      <w:r>
        <w:fldChar w:fldCharType="separate"/>
      </w:r>
      <w:r w:rsidR="00235733">
        <w:rPr>
          <w:rFonts w:hint="eastAsia"/>
        </w:rPr>
        <w:t>（</w:t>
      </w:r>
      <w:r w:rsidR="00235733">
        <w:rPr>
          <w:rFonts w:hint="eastAsia"/>
        </w:rPr>
        <w:t>3</w:t>
      </w:r>
      <w:r w:rsidR="00235733">
        <w:rPr>
          <w:rFonts w:hint="eastAsia"/>
        </w:rPr>
        <w:t>）</w:t>
      </w:r>
      <w:r>
        <w:fldChar w:fldCharType="end"/>
      </w:r>
      <w:r w:rsidR="00235733">
        <w:rPr>
          <w:rFonts w:hint="eastAsia"/>
        </w:rPr>
        <w:t>证明力认定</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1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①</w:t>
      </w:r>
      <w:r>
        <w:rPr>
          <w:rFonts w:ascii="Times New Roman" w:eastAsia="宋体" w:hAnsi="Times New Roman"/>
          <w:sz w:val="21"/>
          <w:szCs w:val="21"/>
        </w:rPr>
        <w:fldChar w:fldCharType="end"/>
      </w:r>
      <w:r w:rsidR="00235733">
        <w:rPr>
          <w:rFonts w:ascii="Times New Roman" w:eastAsia="宋体" w:hAnsi="Times New Roman" w:hint="eastAsia"/>
          <w:sz w:val="21"/>
          <w:szCs w:val="21"/>
        </w:rPr>
        <w:t>经公证的电子证据的证明力大于未经公证的电子证据。经公证的电子证据仍然是电子证据，同样需要适用判断电子证据真实性的规则。</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2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②</w:t>
      </w:r>
      <w:r>
        <w:rPr>
          <w:rFonts w:ascii="Times New Roman" w:eastAsia="宋体" w:hAnsi="Times New Roman"/>
          <w:sz w:val="21"/>
          <w:szCs w:val="21"/>
        </w:rPr>
        <w:fldChar w:fldCharType="end"/>
      </w:r>
      <w:r w:rsidR="00235733">
        <w:rPr>
          <w:rFonts w:ascii="Times New Roman" w:eastAsia="宋体" w:hAnsi="Times New Roman" w:hint="eastAsia"/>
          <w:sz w:val="21"/>
          <w:szCs w:val="21"/>
        </w:rPr>
        <w:t>在正常业务活动中制作的电子证据证明力，大于为诉讼目的而制作的电子证据。</w:t>
      </w:r>
    </w:p>
    <w:p w:rsidR="00800760" w:rsidRDefault="00C22A7B">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fldChar w:fldCharType="begin"/>
      </w:r>
      <w:r w:rsidR="00235733">
        <w:rPr>
          <w:rFonts w:ascii="Times New Roman" w:eastAsia="宋体" w:hAnsi="Times New Roman"/>
          <w:sz w:val="21"/>
          <w:szCs w:val="21"/>
        </w:rPr>
        <w:instrText>= 3 \* GB3</w:instrText>
      </w:r>
      <w:r>
        <w:rPr>
          <w:rFonts w:ascii="Times New Roman" w:eastAsia="宋体" w:hAnsi="Times New Roman"/>
          <w:sz w:val="21"/>
          <w:szCs w:val="21"/>
        </w:rPr>
        <w:fldChar w:fldCharType="separate"/>
      </w:r>
      <w:r w:rsidR="00235733">
        <w:rPr>
          <w:rFonts w:ascii="Times New Roman" w:eastAsia="宋体" w:hAnsi="Times New Roman" w:hint="eastAsia"/>
          <w:sz w:val="21"/>
          <w:szCs w:val="21"/>
        </w:rPr>
        <w:t>③</w:t>
      </w:r>
      <w:r>
        <w:rPr>
          <w:rFonts w:ascii="Times New Roman" w:eastAsia="宋体" w:hAnsi="Times New Roman"/>
          <w:sz w:val="21"/>
          <w:szCs w:val="21"/>
        </w:rPr>
        <w:fldChar w:fldCharType="end"/>
      </w:r>
      <w:r w:rsidR="00235733">
        <w:rPr>
          <w:rFonts w:ascii="Times New Roman" w:eastAsia="宋体" w:hAnsi="Times New Roman" w:hint="eastAsia"/>
          <w:sz w:val="21"/>
          <w:szCs w:val="21"/>
        </w:rPr>
        <w:t>由不利方保存的电子证据的证明力最大，由中立的第三方保存的电子证据证明力次之，由有利方保存的电子证据证明力最小。</w:t>
      </w:r>
    </w:p>
    <w:p w:rsidR="00800760" w:rsidRDefault="00235733">
      <w:pPr>
        <w:pStyle w:val="12"/>
        <w:ind w:firstLine="420"/>
        <w:rPr>
          <w:rFonts w:ascii="Times New Roman" w:eastAsia="黑体" w:hAnsi="Times New Roman" w:cs="Times New Roman"/>
          <w:sz w:val="21"/>
          <w:szCs w:val="21"/>
        </w:rPr>
      </w:pPr>
      <w:r>
        <w:rPr>
          <w:rFonts w:ascii="Times New Roman" w:eastAsia="黑体" w:hAnsi="Times New Roman" w:cs="Times New Roman"/>
          <w:sz w:val="21"/>
          <w:szCs w:val="21"/>
        </w:rPr>
        <w:t xml:space="preserve">2. </w:t>
      </w:r>
      <w:r>
        <w:rPr>
          <w:rFonts w:ascii="Times New Roman" w:eastAsia="黑体" w:hAnsi="黑体" w:cs="Times New Roman"/>
          <w:sz w:val="21"/>
          <w:szCs w:val="21"/>
        </w:rPr>
        <w:t>网络证据的审核认定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网络证据是电子证据的一种，又称互联网证据，是指以数字形式存在的，以通信网络作为传播媒介，公众能够从不特定的网络终端获取，需要借助一定的计算机系统予以展现，并且用于证明案件事实的证据材料。</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对于网络证据，既不能因其修改不易留痕迹的特点而一律不予接受，也不能不加分析地一概接受，而应根据个案情况综合加以认定。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网络证据认定的关键在于其真实性。网络证据真实性具有三个层面的含义：一是网络证据是否客观存在，即是否具有形式上的真实性；二是网络证据的内容是否反映了形成时的状态，即其内容是否具有真实性；三是网络证据是否反映事实的客观情况，表述的内容是否可靠。</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形式真实性认定主要在于判断网络证据的表现形式是否能证明其来源。内容真实性认定主要在于判断网络证据是否经过篡改。是否经过篡改可以从网站的资质和网站与当事人之间的利害关系考虑。网络证据是否可靠主要从网站的资质进行判断。</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在审核认定网络证据时，应先判断其是否具备形式真实性，然后综合考察网站的资质和与当事人的利害关系，判断其内容真实性，最后再综合判断其内容的可靠性。</w:t>
      </w:r>
    </w:p>
    <w:p w:rsidR="00800760" w:rsidRDefault="00C22A7B">
      <w:r>
        <w:fldChar w:fldCharType="begin"/>
      </w:r>
      <w:r w:rsidR="00235733">
        <w:instrText>= 1 \* GB2</w:instrText>
      </w:r>
      <w:r>
        <w:fldChar w:fldCharType="separate"/>
      </w:r>
      <w:r w:rsidR="00235733">
        <w:rPr>
          <w:rFonts w:hint="eastAsia"/>
        </w:rPr>
        <w:t>（</w:t>
      </w:r>
      <w:r w:rsidR="00235733">
        <w:rPr>
          <w:rFonts w:hint="eastAsia"/>
        </w:rPr>
        <w:t>1</w:t>
      </w:r>
      <w:r w:rsidR="00235733">
        <w:rPr>
          <w:rFonts w:hint="eastAsia"/>
        </w:rPr>
        <w:t>）</w:t>
      </w:r>
      <w:r>
        <w:fldChar w:fldCharType="end"/>
      </w:r>
      <w:r w:rsidR="00235733">
        <w:rPr>
          <w:rFonts w:hint="eastAsia"/>
        </w:rPr>
        <w:t>网络证据的表现形式</w:t>
      </w:r>
    </w:p>
    <w:p w:rsidR="00800760" w:rsidRDefault="00235733">
      <w:pPr>
        <w:ind w:firstLine="428"/>
        <w:rPr>
          <w:spacing w:val="2"/>
        </w:rPr>
      </w:pPr>
      <w:r>
        <w:rPr>
          <w:rFonts w:hint="eastAsia"/>
          <w:spacing w:val="2"/>
        </w:rPr>
        <w:t>网络证据的表现形式主要包括两种：网页内容的打印件、记载网页内容打印件以及访问过程的公证书。</w:t>
      </w:r>
    </w:p>
    <w:p w:rsidR="00800760" w:rsidRDefault="00C22A7B">
      <w:r>
        <w:fldChar w:fldCharType="begin"/>
      </w:r>
      <w:r w:rsidR="00235733">
        <w:instrText>= 1 \* GB3</w:instrText>
      </w:r>
      <w:r>
        <w:fldChar w:fldCharType="separate"/>
      </w:r>
      <w:r w:rsidR="00235733">
        <w:rPr>
          <w:rFonts w:hint="eastAsia"/>
        </w:rPr>
        <w:t>①</w:t>
      </w:r>
      <w:r>
        <w:fldChar w:fldCharType="end"/>
      </w:r>
      <w:r w:rsidR="00235733">
        <w:rPr>
          <w:rFonts w:hint="eastAsia"/>
        </w:rPr>
        <w:t>网页内容的打印件</w:t>
      </w:r>
    </w:p>
    <w:p w:rsidR="00800760" w:rsidRDefault="00235733">
      <w:r>
        <w:rPr>
          <w:rFonts w:hint="eastAsia"/>
        </w:rPr>
        <w:t>网页内容的打印件性质上属于复印件，如果通过处理案件现场演示的方式能够证明打印件与网页内容实质相同，则可以初步确认该网络证据的证据来源。</w:t>
      </w:r>
    </w:p>
    <w:p w:rsidR="00800760" w:rsidRDefault="00235733">
      <w:r>
        <w:rPr>
          <w:rFonts w:hint="eastAsia"/>
        </w:rPr>
        <w:t>现场演示中，需要注意：</w:t>
      </w:r>
      <w:r w:rsidR="00C22A7B">
        <w:fldChar w:fldCharType="begin"/>
      </w:r>
      <w:r>
        <w:instrText>= 1 \* alphabetic</w:instrText>
      </w:r>
      <w:r w:rsidR="00C22A7B">
        <w:fldChar w:fldCharType="separate"/>
      </w:r>
      <w:r>
        <w:t>a</w:t>
      </w:r>
      <w:r w:rsidR="00C22A7B">
        <w:fldChar w:fldCharType="end"/>
      </w:r>
      <w:r>
        <w:t>.</w:t>
      </w:r>
      <w:r>
        <w:rPr>
          <w:rFonts w:hint="eastAsia"/>
        </w:rPr>
        <w:t>通常应采用案件处理者或中立方的计算机及网络进行演示。如受条件所限，确需采用一方当事人的计算机及网络进行演示的，应首先检验网络是否正常，并对计算机进行清洁性操作；</w:t>
      </w:r>
      <w:r w:rsidR="00C22A7B">
        <w:fldChar w:fldCharType="begin"/>
      </w:r>
      <w:r>
        <w:instrText>= 2 \* alphabetic</w:instrText>
      </w:r>
      <w:r w:rsidR="00C22A7B">
        <w:fldChar w:fldCharType="separate"/>
      </w:r>
      <w:r>
        <w:t>b</w:t>
      </w:r>
      <w:r w:rsidR="00C22A7B">
        <w:fldChar w:fldCharType="end"/>
      </w:r>
      <w:r>
        <w:t>.</w:t>
      </w:r>
      <w:r>
        <w:rPr>
          <w:rFonts w:hint="eastAsia"/>
        </w:rPr>
        <w:t>应注意核对网页网址、网页主要内容是否一致，网页容易发生改动部分（如广告）以及因为显示方式变化出现的细微差别不影响认定；</w:t>
      </w:r>
      <w:r w:rsidR="00C22A7B">
        <w:fldChar w:fldCharType="begin"/>
      </w:r>
      <w:r>
        <w:instrText>= 3 \* alphabetic</w:instrText>
      </w:r>
      <w:r w:rsidR="00C22A7B">
        <w:fldChar w:fldCharType="separate"/>
      </w:r>
      <w:r>
        <w:t>c</w:t>
      </w:r>
      <w:r w:rsidR="00C22A7B">
        <w:fldChar w:fldCharType="end"/>
      </w:r>
      <w:r>
        <w:t>.</w:t>
      </w:r>
      <w:r>
        <w:rPr>
          <w:rFonts w:hint="eastAsia"/>
        </w:rPr>
        <w:t>对于演示过程中表现出来的关键性内容及双方当事人的质证意见，应进行详细记录，防止当事人事后反悔；</w:t>
      </w:r>
      <w:r w:rsidR="00C22A7B">
        <w:fldChar w:fldCharType="begin"/>
      </w:r>
      <w:r>
        <w:instrText>= 4 \* alphabetic</w:instrText>
      </w:r>
      <w:r w:rsidR="00C22A7B">
        <w:fldChar w:fldCharType="separate"/>
      </w:r>
      <w:r>
        <w:t>d</w:t>
      </w:r>
      <w:r w:rsidR="00C22A7B">
        <w:fldChar w:fldCharType="end"/>
      </w:r>
      <w:r>
        <w:t>.</w:t>
      </w:r>
      <w:r>
        <w:rPr>
          <w:rFonts w:hint="eastAsia"/>
        </w:rPr>
        <w:t>现场演示无法访问该网页，或该网页与打印件内容实质不同时，可认定该证据来源不可靠；</w:t>
      </w:r>
      <w:r w:rsidR="00C22A7B">
        <w:fldChar w:fldCharType="begin"/>
      </w:r>
      <w:r>
        <w:instrText>= 5 \* alphabetic</w:instrText>
      </w:r>
      <w:r w:rsidR="00C22A7B">
        <w:fldChar w:fldCharType="separate"/>
      </w:r>
      <w:r>
        <w:t>e</w:t>
      </w:r>
      <w:r w:rsidR="00C22A7B">
        <w:fldChar w:fldCharType="end"/>
      </w:r>
      <w:r>
        <w:t>.</w:t>
      </w:r>
      <w:r>
        <w:rPr>
          <w:rFonts w:hint="eastAsia"/>
        </w:rPr>
        <w:t>现场演示可以证明证据来源的，一方当事人于事后主张该网页无法访问或内容发生较大变化的，不影响对该证据的认定，该证据的内容以现场演示时为准；</w:t>
      </w:r>
      <w:r w:rsidR="00C22A7B">
        <w:fldChar w:fldCharType="begin"/>
      </w:r>
      <w:r>
        <w:instrText>= 6 \* alphabetic</w:instrText>
      </w:r>
      <w:r w:rsidR="00C22A7B">
        <w:fldChar w:fldCharType="separate"/>
      </w:r>
      <w:r>
        <w:t>f</w:t>
      </w:r>
      <w:r w:rsidR="00C22A7B">
        <w:fldChar w:fldCharType="end"/>
      </w:r>
      <w:r>
        <w:t>.</w:t>
      </w:r>
      <w:r>
        <w:rPr>
          <w:rFonts w:hint="eastAsia"/>
        </w:rPr>
        <w:t>通过网页快照可以确认打印件内容与网页快照内容一致性的，该网络证据的来源应得到认可，有相反证据予以推翻的除外。</w:t>
      </w:r>
    </w:p>
    <w:p w:rsidR="00800760" w:rsidRDefault="00C22A7B">
      <w:r>
        <w:fldChar w:fldCharType="begin"/>
      </w:r>
      <w:r w:rsidR="00235733">
        <w:instrText>= 2 \* GB3</w:instrText>
      </w:r>
      <w:r>
        <w:fldChar w:fldCharType="separate"/>
      </w:r>
      <w:r w:rsidR="00235733">
        <w:rPr>
          <w:rFonts w:hint="eastAsia"/>
        </w:rPr>
        <w:t>②</w:t>
      </w:r>
      <w:r>
        <w:fldChar w:fldCharType="end"/>
      </w:r>
      <w:r w:rsidR="00235733">
        <w:rPr>
          <w:rFonts w:hint="eastAsia"/>
        </w:rPr>
        <w:t>记载网页内容打印件以及访问过程的公证书</w:t>
      </w:r>
    </w:p>
    <w:p w:rsidR="00800760" w:rsidRDefault="00235733">
      <w:r>
        <w:rPr>
          <w:rFonts w:hint="eastAsia"/>
        </w:rPr>
        <w:t>网络证据的公证，是指公证机构根据当事人的申请，依照法定程序对网络证据的形成过程进行证明的活动。当事人提供记载了网页内容打印件及访问过程的公证书的，该公证书既能够证明该网络证据的证据来源，也能够证明该打印件与该打印件形成时间时的网页相一致，能够初步认定其形式上的真实性。需要注意，网络证据的公证仅能证明公证时相关网页的内容，不能证明网页内容的历史情况以及网页内容的真实性。</w:t>
      </w:r>
    </w:p>
    <w:p w:rsidR="00800760" w:rsidRDefault="00235733">
      <w:r>
        <w:rPr>
          <w:rFonts w:hint="eastAsia"/>
        </w:rPr>
        <w:t>（</w:t>
      </w:r>
      <w:r>
        <w:t>2</w:t>
      </w:r>
      <w:r>
        <w:t>）网站的资质</w:t>
      </w:r>
    </w:p>
    <w:p w:rsidR="00800760" w:rsidRDefault="00235733">
      <w:r>
        <w:rPr>
          <w:rFonts w:hint="eastAsia"/>
        </w:rPr>
        <w:t>网站的资质是指网站的内在属性。其主要取决于以下因素：网站系统的可靠性与稳定性、网站的权限管理机制。</w:t>
      </w:r>
    </w:p>
    <w:p w:rsidR="00800760" w:rsidRDefault="00235733">
      <w:r>
        <w:rPr>
          <w:rFonts w:hint="eastAsia"/>
        </w:rPr>
        <w:t>网站系统的可靠性与稳定性是指构成网站系统的硬件、软件与固件的稳定情况以及正常运行的情况。如果网站的硬件系统没有出现过故障或者具有完备的日志系统与备份系统，网站的软件系统运行比较可靠，则网络证据被黑客入侵非法篡改的可能性较小。</w:t>
      </w:r>
    </w:p>
    <w:p w:rsidR="00800760" w:rsidRDefault="00235733">
      <w:r>
        <w:rPr>
          <w:rFonts w:hint="eastAsia"/>
        </w:rPr>
        <w:t>网络的权限管理机制涉及网站中各个不同角色的权限情况，其标志着网站信息的可修改性以及修改的难易程度。如果网站的管理比较严格，具有完善的管理制度和权限分配机制，则该网站的网络证据被非法篡改的可能性较小。如果网站的管理比较宽松，没有完善的管理制度和权限分配机制，则该网站的网络证据被非法篡改的可能性较大。</w:t>
      </w:r>
    </w:p>
    <w:p w:rsidR="00800760" w:rsidRDefault="00C22A7B">
      <w:r>
        <w:fldChar w:fldCharType="begin"/>
      </w:r>
      <w:r w:rsidR="00235733">
        <w:instrText>= 3 \* GB2</w:instrText>
      </w:r>
      <w:r>
        <w:fldChar w:fldCharType="separate"/>
      </w:r>
      <w:r w:rsidR="00235733">
        <w:rPr>
          <w:rFonts w:hint="eastAsia"/>
        </w:rPr>
        <w:t>（</w:t>
      </w:r>
      <w:r w:rsidR="00235733">
        <w:t>3</w:t>
      </w:r>
      <w:r w:rsidR="00235733">
        <w:t>）</w:t>
      </w:r>
      <w:r>
        <w:fldChar w:fldCharType="end"/>
      </w:r>
      <w:r w:rsidR="00235733">
        <w:rPr>
          <w:rFonts w:hint="eastAsia"/>
        </w:rPr>
        <w:t>网站与当事人之间的利害关系</w:t>
      </w:r>
    </w:p>
    <w:p w:rsidR="00800760" w:rsidRDefault="00235733">
      <w:r>
        <w:rPr>
          <w:rFonts w:hint="eastAsia"/>
        </w:rPr>
        <w:t>网站与当事人之间的利害关系主要指网站与本案件的当事人之间是否存在特殊关系，例如投资关系、合同关系、管理关系等。</w:t>
      </w:r>
    </w:p>
    <w:p w:rsidR="00800760" w:rsidRDefault="00235733">
      <w:r>
        <w:rPr>
          <w:rFonts w:hint="eastAsia"/>
        </w:rPr>
        <w:t>如果网站属于独立运营的网站，与双方当事人没有任何利害关系，该网站管理者缺少篡改网络证据的动机，则该证据被篡改的可能性较小；如果一方当事人与网站有利害关系，例如系网站的赞助商或者广告商、该网站管理者，具有篡改网络证据的动机，则应对证据是否经过篡改予以认真审核。</w:t>
      </w:r>
    </w:p>
    <w:p w:rsidR="00800760" w:rsidRDefault="00C22A7B">
      <w:pPr>
        <w:rPr>
          <w:rFonts w:eastAsia="黑体"/>
        </w:rPr>
      </w:pPr>
      <w:r>
        <w:fldChar w:fldCharType="begin"/>
      </w:r>
      <w:r w:rsidR="00235733">
        <w:instrText>= 4 \* GB2</w:instrText>
      </w:r>
      <w:r>
        <w:fldChar w:fldCharType="separate"/>
      </w:r>
      <w:r w:rsidR="00235733">
        <w:rPr>
          <w:rFonts w:hint="eastAsia"/>
        </w:rPr>
        <w:t>（</w:t>
      </w:r>
      <w:r w:rsidR="00235733">
        <w:t>4</w:t>
      </w:r>
      <w:r w:rsidR="00235733">
        <w:t>）</w:t>
      </w:r>
      <w:r>
        <w:fldChar w:fldCharType="end"/>
      </w:r>
      <w:r w:rsidR="00235733">
        <w:rPr>
          <w:rFonts w:hint="eastAsia"/>
        </w:rPr>
        <w:t>常见网站的分类及审核认定</w:t>
      </w:r>
    </w:p>
    <w:p w:rsidR="00800760" w:rsidRDefault="00235733">
      <w:r>
        <w:rPr>
          <w:rFonts w:hint="eastAsia"/>
        </w:rPr>
        <w:t>常见网站的性质包括以下几种。</w:t>
      </w:r>
    </w:p>
    <w:p w:rsidR="00800760" w:rsidRDefault="00C22A7B">
      <w:r>
        <w:fldChar w:fldCharType="begin"/>
      </w:r>
      <w:r w:rsidR="00235733">
        <w:instrText>= 1 \* GB3</w:instrText>
      </w:r>
      <w:r>
        <w:fldChar w:fldCharType="separate"/>
      </w:r>
      <w:r w:rsidR="00235733">
        <w:rPr>
          <w:rFonts w:hint="eastAsia"/>
        </w:rPr>
        <w:t>①</w:t>
      </w:r>
      <w:r>
        <w:fldChar w:fldCharType="end"/>
      </w:r>
      <w:r w:rsidR="00235733">
        <w:rPr>
          <w:rFonts w:hint="eastAsia"/>
        </w:rPr>
        <w:t>政府网站、国际组织网站类</w:t>
      </w:r>
    </w:p>
    <w:p w:rsidR="00800760" w:rsidRDefault="00235733">
      <w:r>
        <w:rPr>
          <w:rFonts w:hint="eastAsia"/>
        </w:rPr>
        <w:t>政府网站主要包括全国人大、国务院及其组成部门与直属机构、最高人民法院、最高人民检察院以及地方各级人大、政府、人民法院、人民检察院等的网站。国际组织网站包括联合国、欧洲专利局、国际标准化组织等的网站。</w:t>
      </w:r>
    </w:p>
    <w:p w:rsidR="00800760" w:rsidRDefault="00C22A7B">
      <w:r>
        <w:fldChar w:fldCharType="begin"/>
      </w:r>
      <w:r w:rsidR="00235733">
        <w:instrText>= 2 \* GB3</w:instrText>
      </w:r>
      <w:r>
        <w:fldChar w:fldCharType="separate"/>
      </w:r>
      <w:r w:rsidR="00235733">
        <w:rPr>
          <w:rFonts w:hint="eastAsia"/>
        </w:rPr>
        <w:t>②</w:t>
      </w:r>
      <w:r>
        <w:fldChar w:fldCharType="end"/>
      </w:r>
      <w:r w:rsidR="00235733">
        <w:rPr>
          <w:rFonts w:hint="eastAsia"/>
        </w:rPr>
        <w:t>公立学校网站、科研机构网站、非营利性事业单位网站、公益性财团法人网站类</w:t>
      </w:r>
    </w:p>
    <w:p w:rsidR="00800760" w:rsidRDefault="00235733">
      <w:r>
        <w:rPr>
          <w:rFonts w:hint="eastAsia"/>
        </w:rPr>
        <w:t>公立学校网站是指政府财政拨款设立的大学、中学等学校的网站，例如清华大学网站、北京大学网站等。科研机构网站是指政府财政拨款设立的专门从事科学研究工作的科研单位的网站，例如中国科学院软件研究所网站、中国科学院计算技术研究所网站等。非营利性事业单位网站，例如中国计算机学会、中国通信学会等的网站。公益性财团法人网站是指为了公益事业建立的非营利性的财团法人的网站，例如中国红十字会网站等。</w:t>
      </w:r>
    </w:p>
    <w:p w:rsidR="00800760" w:rsidRDefault="00C22A7B">
      <w:r>
        <w:fldChar w:fldCharType="begin"/>
      </w:r>
      <w:r w:rsidR="00235733">
        <w:instrText>= 3 \* GB3</w:instrText>
      </w:r>
      <w:r>
        <w:fldChar w:fldCharType="separate"/>
      </w:r>
      <w:r w:rsidR="00235733">
        <w:rPr>
          <w:rFonts w:hint="eastAsia"/>
        </w:rPr>
        <w:t>③</w:t>
      </w:r>
      <w:r>
        <w:fldChar w:fldCharType="end"/>
      </w:r>
      <w:r w:rsidR="00235733">
        <w:rPr>
          <w:rFonts w:hint="eastAsia"/>
        </w:rPr>
        <w:t>知名的专业在线期刊网站、知名的在线数据库类网站类</w:t>
      </w:r>
    </w:p>
    <w:p w:rsidR="00800760" w:rsidRDefault="00235733">
      <w:r>
        <w:rPr>
          <w:rFonts w:hint="eastAsia"/>
        </w:rPr>
        <w:t>知名的专业在线期刊网站是指业界公认的专业期刊的在线网站，例如软件学报网站、计算机工程与应用网站、计算机应用网站等。知名的在线数据库类网站，例如中国知识基础设施工程（</w:t>
      </w:r>
      <w:r>
        <w:t>CNKI</w:t>
      </w:r>
      <w:r>
        <w:rPr>
          <w:rFonts w:hint="eastAsia"/>
        </w:rPr>
        <w:t>）网站、超星数字图书馆网站、万方数据网站、中国药物专利数据库检索系统网站等。</w:t>
      </w:r>
    </w:p>
    <w:p w:rsidR="00800760" w:rsidRDefault="00C22A7B">
      <w:r>
        <w:fldChar w:fldCharType="begin"/>
      </w:r>
      <w:r w:rsidR="00235733">
        <w:instrText>= 4 \* GB3</w:instrText>
      </w:r>
      <w:r>
        <w:fldChar w:fldCharType="separate"/>
      </w:r>
      <w:r w:rsidR="00235733">
        <w:rPr>
          <w:rFonts w:hint="eastAsia"/>
        </w:rPr>
        <w:t>④</w:t>
      </w:r>
      <w:r>
        <w:fldChar w:fldCharType="end"/>
      </w:r>
      <w:r w:rsidR="00235733">
        <w:rPr>
          <w:rFonts w:hint="eastAsia"/>
        </w:rPr>
        <w:t>具有一定知名度的门户网站类</w:t>
      </w:r>
    </w:p>
    <w:p w:rsidR="00800760" w:rsidRDefault="00235733">
      <w:r>
        <w:rPr>
          <w:rFonts w:hint="eastAsia"/>
        </w:rPr>
        <w:t>该类网站例如新浪、搜狐、腾讯、网易等综合性门户网站。</w:t>
      </w:r>
    </w:p>
    <w:p w:rsidR="00800760" w:rsidRDefault="00C22A7B">
      <w:r>
        <w:fldChar w:fldCharType="begin"/>
      </w:r>
      <w:r w:rsidR="00235733">
        <w:instrText>= 5 \* GB3</w:instrText>
      </w:r>
      <w:r>
        <w:fldChar w:fldCharType="separate"/>
      </w:r>
      <w:r w:rsidR="00235733">
        <w:rPr>
          <w:rFonts w:hint="eastAsia"/>
        </w:rPr>
        <w:t>⑤</w:t>
      </w:r>
      <w:r>
        <w:fldChar w:fldCharType="end"/>
      </w:r>
      <w:r w:rsidR="00235733">
        <w:rPr>
          <w:rFonts w:hint="eastAsia"/>
        </w:rPr>
        <w:t>具有一定知名度的在线交易网站类</w:t>
      </w:r>
    </w:p>
    <w:p w:rsidR="00800760" w:rsidRDefault="00235733">
      <w:r>
        <w:rPr>
          <w:rFonts w:hint="eastAsia"/>
        </w:rPr>
        <w:t>在线交易网站是指网络使用者能够输入意图出售的产品信息以及意图购买的产品信息，能够在计算机网络上完成买卖交易行为的网站。</w:t>
      </w:r>
    </w:p>
    <w:p w:rsidR="00800760" w:rsidRDefault="00235733">
      <w:r>
        <w:rPr>
          <w:rFonts w:hint="eastAsia"/>
        </w:rPr>
        <w:t>上述五类网站的网络证据被篡改的可能性较小。对于门户网站和在线交易类网站，应在认定网络证据内容真实性的基础上，进一步判断其内容的可靠性。例如，某门户网站上发布了一则新闻，内容为某公司发布了某款产品，该网页新闻的真实性是指能够认定该网站曾发布相关内容的新闻，且并未被非法篡改；对于该新闻的可靠性，也即某公司是否发布了某款产品，应结合网站权威性、新闻来源等其他客观情况予以综合认定，不能简单地认为网页证据本身具有真实性即代表该证据能够起到证明作用。</w:t>
      </w:r>
    </w:p>
    <w:p w:rsidR="00800760" w:rsidRDefault="00C22A7B">
      <w:r>
        <w:fldChar w:fldCharType="begin"/>
      </w:r>
      <w:r w:rsidR="00235733">
        <w:instrText>= 6 \* GB3</w:instrText>
      </w:r>
      <w:r>
        <w:fldChar w:fldCharType="separate"/>
      </w:r>
      <w:r w:rsidR="00235733">
        <w:rPr>
          <w:rFonts w:hint="eastAsia"/>
        </w:rPr>
        <w:t>⑥</w:t>
      </w:r>
      <w:r>
        <w:fldChar w:fldCharType="end"/>
      </w:r>
      <w:r w:rsidR="00235733">
        <w:rPr>
          <w:rFonts w:hint="eastAsia"/>
        </w:rPr>
        <w:t>企业网站类</w:t>
      </w:r>
    </w:p>
    <w:p w:rsidR="00800760" w:rsidRDefault="00235733">
      <w:r>
        <w:rPr>
          <w:rFonts w:hint="eastAsia"/>
        </w:rPr>
        <w:t>企业的网站是指由营利性公司运营的网站。该类网站因管理机制、可靠性与稳定性安全机制千差万别而需根据个案谨慎认定其真实性。在判断该类网站上的网络证据的真实性时，需要考虑网站和当事人之间的利害关系。</w:t>
      </w:r>
    </w:p>
    <w:p w:rsidR="00800760" w:rsidRDefault="00C22A7B">
      <w:r>
        <w:fldChar w:fldCharType="begin"/>
      </w:r>
      <w:r w:rsidR="00235733">
        <w:instrText>= 7 \* GB3</w:instrText>
      </w:r>
      <w:r>
        <w:fldChar w:fldCharType="separate"/>
      </w:r>
      <w:r w:rsidR="00235733">
        <w:rPr>
          <w:rFonts w:hint="eastAsia"/>
        </w:rPr>
        <w:t>⑦</w:t>
      </w:r>
      <w:r>
        <w:fldChar w:fldCharType="end"/>
      </w:r>
      <w:r w:rsidR="00235733">
        <w:t>BBS</w:t>
      </w:r>
      <w:r w:rsidR="00235733">
        <w:rPr>
          <w:rFonts w:hint="eastAsia"/>
        </w:rPr>
        <w:t>、个人讨论区、个人博客、个人网站类</w:t>
      </w:r>
    </w:p>
    <w:p w:rsidR="00800760" w:rsidRDefault="00235733">
      <w:r>
        <w:rPr>
          <w:rFonts w:hint="eastAsia"/>
        </w:rPr>
        <w:t>对于</w:t>
      </w:r>
      <w:r>
        <w:t>BBS</w:t>
      </w:r>
      <w:r>
        <w:rPr>
          <w:rFonts w:hint="eastAsia"/>
        </w:rPr>
        <w:t>、个人讨论区、个人博客和个人网站等由网络使用者发布消息、相互交流的网站，因管理机制、可靠性与稳定性安全机制千差万别而需根据个案谨慎认定其真实性，对于该类网络证据内容的可信度也需要慎重审查。</w:t>
      </w:r>
    </w:p>
    <w:p w:rsidR="00800760" w:rsidRDefault="00235733">
      <w:r>
        <w:rPr>
          <w:rFonts w:hint="eastAsia"/>
        </w:rPr>
        <w:t>（</w:t>
      </w:r>
      <w:r>
        <w:t>5</w:t>
      </w:r>
      <w:r>
        <w:t>）网络证据的公开</w:t>
      </w:r>
    </w:p>
    <w:p w:rsidR="00800760" w:rsidRDefault="00C22A7B">
      <w:r>
        <w:fldChar w:fldCharType="begin"/>
      </w:r>
      <w:r w:rsidR="00235733">
        <w:instrText>= 1 \* GB3</w:instrText>
      </w:r>
      <w:r>
        <w:fldChar w:fldCharType="separate"/>
      </w:r>
      <w:r w:rsidR="00235733">
        <w:rPr>
          <w:rFonts w:hint="eastAsia"/>
        </w:rPr>
        <w:t>①</w:t>
      </w:r>
      <w:r>
        <w:fldChar w:fldCharType="end"/>
      </w:r>
      <w:r w:rsidR="00235733">
        <w:rPr>
          <w:rFonts w:hint="eastAsia"/>
        </w:rPr>
        <w:t>网络证据公开性认定</w:t>
      </w:r>
    </w:p>
    <w:p w:rsidR="00800760" w:rsidRDefault="00235733">
      <w:r>
        <w:rPr>
          <w:rFonts w:hint="eastAsia"/>
        </w:rPr>
        <w:t>下述类型的网站发布的信息一般被认为构成专利法意义上的公开：</w:t>
      </w:r>
    </w:p>
    <w:p w:rsidR="00800760" w:rsidRDefault="00C22A7B">
      <w:r>
        <w:fldChar w:fldCharType="begin"/>
      </w:r>
      <w:r w:rsidR="00235733">
        <w:instrText>= 1 \* alphabetic</w:instrText>
      </w:r>
      <w:r>
        <w:fldChar w:fldCharType="separate"/>
      </w:r>
      <w:r w:rsidR="00235733">
        <w:t>a</w:t>
      </w:r>
      <w:r>
        <w:fldChar w:fldCharType="end"/>
      </w:r>
      <w:r w:rsidR="00235733">
        <w:t>.</w:t>
      </w:r>
      <w:r w:rsidR="00235733">
        <w:rPr>
          <w:rFonts w:hint="eastAsia"/>
        </w:rPr>
        <w:t>在搜索引擎上加以注册并能进行搜索的网站；</w:t>
      </w:r>
    </w:p>
    <w:p w:rsidR="00800760" w:rsidRDefault="00C22A7B">
      <w:r>
        <w:fldChar w:fldCharType="begin"/>
      </w:r>
      <w:r w:rsidR="00235733">
        <w:instrText>= 2 \* alphabetic</w:instrText>
      </w:r>
      <w:r>
        <w:fldChar w:fldCharType="separate"/>
      </w:r>
      <w:r w:rsidR="00235733">
        <w:t>b</w:t>
      </w:r>
      <w:r>
        <w:fldChar w:fldCharType="end"/>
      </w:r>
      <w:r w:rsidR="00235733">
        <w:t>.</w:t>
      </w:r>
      <w:r w:rsidR="00235733">
        <w:rPr>
          <w:rFonts w:hint="eastAsia"/>
        </w:rPr>
        <w:t>其存在的位置为公众所知的网站（例如与知名网站链接的网站）；</w:t>
      </w:r>
    </w:p>
    <w:p w:rsidR="00800760" w:rsidRDefault="00C22A7B">
      <w:r>
        <w:fldChar w:fldCharType="begin"/>
      </w:r>
      <w:r w:rsidR="00235733">
        <w:instrText>= 3 \* alphabetic</w:instrText>
      </w:r>
      <w:r>
        <w:fldChar w:fldCharType="separate"/>
      </w:r>
      <w:r w:rsidR="00235733">
        <w:t>c</w:t>
      </w:r>
      <w:r>
        <w:fldChar w:fldCharType="end"/>
      </w:r>
      <w:r w:rsidR="00235733">
        <w:t>.</w:t>
      </w:r>
      <w:r w:rsidR="00235733">
        <w:rPr>
          <w:rFonts w:hint="eastAsia"/>
        </w:rPr>
        <w:t>对于需要输入口令的网站，如果公众中的任何人通过非歧视性的正常途径就能够获得所需口令访问网站，则该网站发布的信息可被认为是公众可以得到的</w:t>
      </w:r>
      <w:r w:rsidR="00235733">
        <w:t>;</w:t>
      </w:r>
    </w:p>
    <w:p w:rsidR="00800760" w:rsidRDefault="00C22A7B">
      <w:r>
        <w:fldChar w:fldCharType="begin"/>
      </w:r>
      <w:r w:rsidR="00235733">
        <w:instrText>= 4 \* alphabetic</w:instrText>
      </w:r>
      <w:r>
        <w:fldChar w:fldCharType="separate"/>
      </w:r>
      <w:r w:rsidR="00235733">
        <w:t>d</w:t>
      </w:r>
      <w:r>
        <w:fldChar w:fldCharType="end"/>
      </w:r>
      <w:r w:rsidR="00235733">
        <w:t>.</w:t>
      </w:r>
      <w:r w:rsidR="00235733">
        <w:rPr>
          <w:rFonts w:hint="eastAsia"/>
        </w:rPr>
        <w:t>对于需要付费的网站，如果公众中的任何人仅仅需要支付一定的费用就可以访问，则该信息可被认为是公众可以得到的。</w:t>
      </w:r>
    </w:p>
    <w:p w:rsidR="00800760" w:rsidRDefault="00235733">
      <w:r>
        <w:rPr>
          <w:rFonts w:hint="eastAsia"/>
        </w:rPr>
        <w:t>下述类型网站发布的信息一般不能被认为构成专利法意义上的公开：</w:t>
      </w:r>
    </w:p>
    <w:p w:rsidR="00800760" w:rsidRDefault="00C22A7B">
      <w:r>
        <w:fldChar w:fldCharType="begin"/>
      </w:r>
      <w:r w:rsidR="00235733">
        <w:instrText>= 1 \* alphabetic</w:instrText>
      </w:r>
      <w:r>
        <w:fldChar w:fldCharType="separate"/>
      </w:r>
      <w:r w:rsidR="00235733">
        <w:t>a</w:t>
      </w:r>
      <w:r>
        <w:fldChar w:fldCharType="end"/>
      </w:r>
      <w:r w:rsidR="00235733">
        <w:t>.</w:t>
      </w:r>
      <w:r w:rsidR="00235733">
        <w:rPr>
          <w:rFonts w:hint="eastAsia"/>
        </w:rPr>
        <w:t>其网络资源定位地址没有公开的网站；</w:t>
      </w:r>
    </w:p>
    <w:p w:rsidR="00800760" w:rsidRDefault="00C22A7B">
      <w:r>
        <w:fldChar w:fldCharType="begin"/>
      </w:r>
      <w:r w:rsidR="00235733">
        <w:instrText>= 2 \* alphabetic</w:instrText>
      </w:r>
      <w:r>
        <w:fldChar w:fldCharType="separate"/>
      </w:r>
      <w:r w:rsidR="00235733">
        <w:t>b</w:t>
      </w:r>
      <w:r>
        <w:fldChar w:fldCharType="end"/>
      </w:r>
      <w:r w:rsidR="00235733">
        <w:t>.</w:t>
      </w:r>
      <w:r w:rsidR="00235733">
        <w:rPr>
          <w:rFonts w:hint="eastAsia"/>
        </w:rPr>
        <w:t>只有特定机构或者特定的成员才能访问，并且其中的信息被作为秘密对待的网站；</w:t>
      </w:r>
    </w:p>
    <w:p w:rsidR="00800760" w:rsidRDefault="00C22A7B">
      <w:r>
        <w:fldChar w:fldCharType="begin"/>
      </w:r>
      <w:r w:rsidR="00235733">
        <w:instrText>= 3 \* alphabetic</w:instrText>
      </w:r>
      <w:r>
        <w:fldChar w:fldCharType="separate"/>
      </w:r>
      <w:r w:rsidR="00235733">
        <w:t>c</w:t>
      </w:r>
      <w:r>
        <w:fldChar w:fldCharType="end"/>
      </w:r>
      <w:r w:rsidR="00235733">
        <w:t>.</w:t>
      </w:r>
      <w:r w:rsidR="00235733">
        <w:rPr>
          <w:rFonts w:hint="eastAsia"/>
        </w:rPr>
        <w:t>网站信息采用了特殊的编码方式，一般公众无法阅读的网站。</w:t>
      </w:r>
    </w:p>
    <w:p w:rsidR="00800760" w:rsidRDefault="00C22A7B">
      <w:r>
        <w:fldChar w:fldCharType="begin"/>
      </w:r>
      <w:r w:rsidR="00235733">
        <w:instrText>= 2 \* GB3</w:instrText>
      </w:r>
      <w:r>
        <w:fldChar w:fldCharType="separate"/>
      </w:r>
      <w:r w:rsidR="00235733">
        <w:rPr>
          <w:rFonts w:hint="eastAsia"/>
        </w:rPr>
        <w:t>②</w:t>
      </w:r>
      <w:r>
        <w:fldChar w:fldCharType="end"/>
      </w:r>
      <w:r w:rsidR="00235733">
        <w:rPr>
          <w:rFonts w:hint="eastAsia"/>
        </w:rPr>
        <w:t>网络证据公开时间的认定</w:t>
      </w:r>
    </w:p>
    <w:p w:rsidR="00800760" w:rsidRDefault="00235733">
      <w:r>
        <w:rPr>
          <w:rFonts w:hint="eastAsia"/>
        </w:rPr>
        <w:t>网络证据可能涉及的时间点包括网页的撰稿时间、网页的上传时间、网页的发布时间、网页上记载的时间以及网页中嵌入的</w:t>
      </w:r>
      <w:r>
        <w:t>Word</w:t>
      </w:r>
      <w:r>
        <w:rPr>
          <w:rFonts w:hint="eastAsia"/>
        </w:rPr>
        <w:t>、</w:t>
      </w:r>
      <w:r>
        <w:t>PDF</w:t>
      </w:r>
      <w:r>
        <w:rPr>
          <w:rFonts w:hint="eastAsia"/>
        </w:rPr>
        <w:t>等格式的特定文件信息中包含的时间。</w:t>
      </w:r>
    </w:p>
    <w:p w:rsidR="00800760" w:rsidRDefault="00235733">
      <w:r>
        <w:rPr>
          <w:rFonts w:hint="eastAsia"/>
        </w:rPr>
        <w:t>网页的撰稿时间是指网页内容的撰稿人完成文件的撰写，并且将文件录入网站的内容管理系统的时间，通常表现为网站的内容管理系统记载的进入系统时间以及网页文件的生成时间。网页的上传时间是指撰稿生成的网页被上传到网站并且进入网站的数据库的时间。网页的发布时间是指网页被业务层应用于网站的事务管理中，网站访问者可以看到该网页内容的起始时间，同时也是搜索引擎能够抓取网页的起始时间。网页中嵌入的</w:t>
      </w:r>
      <w:r>
        <w:t>Word</w:t>
      </w:r>
      <w:r>
        <w:rPr>
          <w:rFonts w:hint="eastAsia"/>
        </w:rPr>
        <w:t>、</w:t>
      </w:r>
      <w:r>
        <w:t>PDF</w:t>
      </w:r>
      <w:r>
        <w:rPr>
          <w:rFonts w:hint="eastAsia"/>
        </w:rPr>
        <w:t>等特定文件信息中包含的时间，一般仅能表明该文件所涉及的信息被创作或修改的时间。</w:t>
      </w:r>
    </w:p>
    <w:p w:rsidR="00800760" w:rsidRDefault="00235733">
      <w:pPr>
        <w:rPr>
          <w:b/>
          <w:sz w:val="36"/>
          <w:szCs w:val="36"/>
        </w:rPr>
      </w:pPr>
      <w:r>
        <w:rPr>
          <w:rFonts w:hint="eastAsia"/>
        </w:rPr>
        <w:t>在网络证据具备真实性的前提下，第一，网页上记载的时间通常可以代表网页的发布时间，构成专利法意义上的公开的起始时间，除非当事人能够提供证据证明网页经过修改；第二，网页的撰稿时间、网页的上传时间不能构成专利法意义上的公开的起始时间；第三，网页中嵌入的</w:t>
      </w:r>
      <w:r>
        <w:t>Word</w:t>
      </w:r>
      <w:r>
        <w:rPr>
          <w:rFonts w:hint="eastAsia"/>
        </w:rPr>
        <w:t>、</w:t>
      </w:r>
      <w:r>
        <w:t>PDF</w:t>
      </w:r>
      <w:r>
        <w:rPr>
          <w:rFonts w:hint="eastAsia"/>
        </w:rPr>
        <w:t>文件信息中包含的时间一般不能构成专利法意义上的公开的起始时间；第四，网络证据所标记或被证明的当地时间作为其公开时间，确定公开日时通常无须考虑时区的影响，但不考虑时区影响对当事人实体权益造成损害的除外。</w:t>
      </w:r>
    </w:p>
    <w:p w:rsidR="00800760" w:rsidRDefault="00800760">
      <w:pPr>
        <w:spacing w:line="271" w:lineRule="auto"/>
        <w:rPr>
          <w:rFonts w:cs="宋体"/>
        </w:rPr>
        <w:sectPr w:rsidR="00800760" w:rsidSect="008175D7">
          <w:pgSz w:w="11907" w:h="16839" w:code="9"/>
          <w:pgMar w:top="715" w:right="1075" w:bottom="1233" w:left="1078" w:header="432" w:footer="968" w:gutter="0"/>
          <w:pgNumType w:start="1"/>
          <w:cols w:space="720"/>
          <w:docGrid w:linePitch="286"/>
        </w:sectPr>
      </w:pPr>
    </w:p>
    <w:p w:rsidR="00800760" w:rsidRDefault="00235733">
      <w:pPr>
        <w:pStyle w:val="1"/>
        <w:pageBreakBefore/>
        <w:ind w:firstLine="664"/>
      </w:pPr>
      <w:bookmarkStart w:id="3682" w:name="_Toc229114406"/>
      <w:bookmarkStart w:id="3683" w:name="_Toc229225502"/>
      <w:r>
        <w:rPr>
          <w:rStyle w:val="1Char"/>
          <w:rFonts w:hint="eastAsia"/>
          <w:sz w:val="32"/>
          <w:szCs w:val="32"/>
        </w:rPr>
        <w:t>第五章</w:t>
      </w:r>
      <w:r>
        <w:rPr>
          <w:rFonts w:hint="eastAsia"/>
        </w:rPr>
        <w:t xml:space="preserve">　</w:t>
      </w:r>
      <w:r>
        <w:rPr>
          <w:rStyle w:val="1Char"/>
          <w:rFonts w:hint="eastAsia"/>
          <w:sz w:val="32"/>
          <w:szCs w:val="32"/>
        </w:rPr>
        <w:t>重大专利侵权纠纷的行政裁决</w:t>
      </w:r>
      <w:bookmarkEnd w:id="3682"/>
      <w:bookmarkEnd w:id="3683"/>
    </w:p>
    <w:p w:rsidR="00800760" w:rsidRDefault="00235733">
      <w:pPr>
        <w:jc w:val="both"/>
        <w:rPr>
          <w:szCs w:val="21"/>
        </w:rPr>
      </w:pPr>
      <w:r>
        <w:rPr>
          <w:rFonts w:hint="eastAsia"/>
          <w:szCs w:val="21"/>
        </w:rPr>
        <w:t>为贯彻落实中央关于全面加强知识产权保护的决策部署，切实维护公平竞争的市场秩序，保障专利权人和社会公众的合法权益，根据《中华人民共和国专利法》（以下简称《专利法》）、《中华人民共和国专利法实施细则》（以下简称《专利法实施细则》）、《专利纠纷行政裁决和调解办法》和《重大专利侵权纠纷行政裁决办法》以及有关法律法规规章，制定本</w:t>
      </w:r>
      <w:r>
        <w:rPr>
          <w:rFonts w:hint="eastAsia"/>
          <w:szCs w:val="21"/>
          <w:lang w:val="en-US"/>
        </w:rPr>
        <w:t>章节</w:t>
      </w:r>
      <w:r>
        <w:rPr>
          <w:rFonts w:hint="eastAsia"/>
          <w:szCs w:val="21"/>
        </w:rPr>
        <w:t>。</w:t>
      </w:r>
    </w:p>
    <w:p w:rsidR="00800760" w:rsidRDefault="00235733">
      <w:pPr>
        <w:jc w:val="both"/>
        <w:rPr>
          <w:szCs w:val="21"/>
        </w:rPr>
      </w:pPr>
      <w:r>
        <w:rPr>
          <w:rFonts w:hint="eastAsia"/>
          <w:szCs w:val="21"/>
        </w:rPr>
        <w:t>重大专利侵权纠纷行政裁决由国家知识产权局行政裁决委员会（以下简称“委员会”）负责。</w:t>
      </w:r>
      <w:r>
        <w:t>知识产权保护司和专利局复审和无效审理部（以下简称复审无效部）分管局领导担任委员会主任</w:t>
      </w:r>
      <w:r>
        <w:rPr>
          <w:rFonts w:hint="eastAsia"/>
          <w:szCs w:val="21"/>
        </w:rPr>
        <w:t>，知识产权保护司和复审无效部主要负责同志担任副主任。委员会办公室设在知识产权保护司执法指导处和复审无效部行政裁决业务处。</w:t>
      </w:r>
    </w:p>
    <w:p w:rsidR="00800760" w:rsidRDefault="00235733">
      <w:pPr>
        <w:rPr>
          <w:szCs w:val="21"/>
        </w:rPr>
      </w:pPr>
      <w:r>
        <w:rPr>
          <w:rFonts w:hint="eastAsia"/>
          <w:szCs w:val="21"/>
        </w:rPr>
        <w:t>本章节有特殊规定的从其规定，无特殊规定的适用本指南其他章节相关规定。</w:t>
      </w:r>
    </w:p>
    <w:p w:rsidR="00800760" w:rsidRDefault="00235733">
      <w:pPr>
        <w:pStyle w:val="2"/>
        <w:ind w:firstLineChars="0" w:firstLine="0"/>
        <w:rPr>
          <w:rFonts w:ascii="Times New Roman" w:hAnsi="Times New Roman"/>
        </w:rPr>
      </w:pPr>
      <w:bookmarkStart w:id="3684" w:name="_Toc30264"/>
      <w:bookmarkStart w:id="3685" w:name="_Toc21311"/>
      <w:bookmarkStart w:id="3686" w:name="_Toc11798"/>
      <w:bookmarkStart w:id="3687" w:name="_Toc25888"/>
      <w:bookmarkStart w:id="3688" w:name="_Toc13804"/>
      <w:bookmarkStart w:id="3689" w:name="_Toc13243"/>
      <w:bookmarkStart w:id="3690" w:name="_Toc3221"/>
      <w:bookmarkStart w:id="3691" w:name="_Toc27818"/>
      <w:bookmarkStart w:id="3692" w:name="_Toc16063"/>
      <w:bookmarkStart w:id="3693" w:name="_Toc11340"/>
      <w:bookmarkStart w:id="3694" w:name="_Toc11883"/>
      <w:bookmarkStart w:id="3695" w:name="_Toc24553"/>
      <w:bookmarkStart w:id="3696" w:name="_Toc5184"/>
      <w:bookmarkStart w:id="3697" w:name="_Toc23411"/>
      <w:bookmarkStart w:id="3698" w:name="_Toc10125"/>
      <w:bookmarkStart w:id="3699" w:name="_Toc30317"/>
      <w:bookmarkStart w:id="3700" w:name="_Toc10645"/>
      <w:bookmarkStart w:id="3701" w:name="_Toc24619"/>
      <w:bookmarkStart w:id="3702" w:name="_Toc32250"/>
      <w:bookmarkStart w:id="3703" w:name="_Toc15150"/>
      <w:bookmarkStart w:id="3704" w:name="_Toc2689"/>
      <w:bookmarkStart w:id="3705" w:name="_Toc9297"/>
      <w:bookmarkStart w:id="3706" w:name="_Toc17564"/>
      <w:bookmarkStart w:id="3707" w:name="_Toc12078"/>
      <w:bookmarkStart w:id="3708" w:name="_Toc11395"/>
      <w:bookmarkStart w:id="3709" w:name="_Toc229114407"/>
      <w:bookmarkStart w:id="3710" w:name="_Toc3205"/>
      <w:bookmarkStart w:id="3711" w:name="_Toc229225503"/>
      <w:r>
        <w:rPr>
          <w:rFonts w:ascii="Times New Roman" w:hAnsi="Times New Roman" w:hint="eastAsia"/>
        </w:rPr>
        <w:t>第一节　受理立案</w:t>
      </w:r>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p>
    <w:p w:rsidR="00800760" w:rsidRDefault="00235733">
      <w:pPr>
        <w:pStyle w:val="3"/>
        <w:spacing w:before="240"/>
        <w:ind w:firstLine="444"/>
        <w:rPr>
          <w:rFonts w:ascii="Times New Roman" w:hAnsi="Times New Roman"/>
        </w:rPr>
      </w:pPr>
      <w:bookmarkStart w:id="3712" w:name="_Toc30098"/>
      <w:bookmarkStart w:id="3713" w:name="_Toc29029"/>
      <w:bookmarkStart w:id="3714" w:name="_Toc5234"/>
      <w:bookmarkStart w:id="3715" w:name="_Toc13996"/>
      <w:bookmarkStart w:id="3716" w:name="_Toc27399"/>
      <w:bookmarkStart w:id="3717" w:name="_Toc23845"/>
      <w:bookmarkStart w:id="3718" w:name="_Toc4079"/>
      <w:bookmarkStart w:id="3719" w:name="_Toc18802"/>
      <w:bookmarkStart w:id="3720" w:name="_Toc1965"/>
      <w:bookmarkStart w:id="3721" w:name="_Toc15767"/>
      <w:bookmarkStart w:id="3722" w:name="_Toc4212"/>
      <w:bookmarkStart w:id="3723" w:name="_Toc31731"/>
      <w:bookmarkStart w:id="3724" w:name="_Toc17667"/>
      <w:bookmarkStart w:id="3725" w:name="_Toc31099"/>
      <w:bookmarkStart w:id="3726" w:name="_Toc7117"/>
      <w:bookmarkStart w:id="3727" w:name="_Toc26815"/>
      <w:bookmarkStart w:id="3728" w:name="_Toc10238"/>
      <w:bookmarkStart w:id="3729" w:name="_Toc14128"/>
      <w:bookmarkStart w:id="3730" w:name="_Toc17278"/>
      <w:bookmarkStart w:id="3731" w:name="_Toc12674"/>
      <w:bookmarkStart w:id="3732" w:name="_Toc29784"/>
      <w:bookmarkStart w:id="3733" w:name="_Toc31612"/>
      <w:bookmarkStart w:id="3734" w:name="_Toc14786"/>
      <w:bookmarkStart w:id="3735" w:name="_Toc16090"/>
      <w:bookmarkStart w:id="3736" w:name="_Toc229114408"/>
      <w:bookmarkStart w:id="3737" w:name="_Toc1931"/>
      <w:bookmarkStart w:id="3738" w:name="_Toc22143"/>
      <w:bookmarkStart w:id="3739" w:name="_Toc229225504"/>
      <w:r>
        <w:rPr>
          <w:rFonts w:ascii="Times New Roman" w:hAnsi="Times New Roman" w:hint="eastAsia"/>
        </w:rPr>
        <w:t>一、研究立案</w:t>
      </w:r>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p>
    <w:p w:rsidR="00800760" w:rsidRDefault="00235733">
      <w:pPr>
        <w:rPr>
          <w:szCs w:val="21"/>
        </w:rPr>
      </w:pPr>
      <w:r>
        <w:rPr>
          <w:rFonts w:hint="eastAsia"/>
          <w:szCs w:val="21"/>
        </w:rPr>
        <w:t>请求国家知识产权局处理专利侵权纠纷应当符合属于重大专利侵权纠纷的有关情形的条件，包括：涉及重大公共利益的；严重影响行业发展的；跨省级行政区域的重大案件；以及其他可能造成重大影响的专利侵权纠纷。具体受理过程中可根据案件的涉案金额、涉案当事人在行业中的地位，当事人实施专利的情况、侵权行为范围等因素进行综合判断。需要注意的是，对于可能影响国家安全和涉及对外贸易的情形，在具体办案中应当予以特别关注。</w:t>
      </w:r>
    </w:p>
    <w:p w:rsidR="00800760" w:rsidRDefault="00235733">
      <w:pPr>
        <w:pStyle w:val="4"/>
        <w:spacing w:before="240"/>
        <w:ind w:firstLine="444"/>
        <w:rPr>
          <w:rFonts w:ascii="Times New Roman" w:hAnsi="Times New Roman"/>
        </w:rPr>
      </w:pPr>
      <w:r>
        <w:rPr>
          <w:rFonts w:ascii="Times New Roman" w:hAnsi="Times New Roman" w:hint="eastAsia"/>
        </w:rPr>
        <w:t>（一）研究立案的部门</w:t>
      </w:r>
    </w:p>
    <w:p w:rsidR="00800760" w:rsidRDefault="00235733">
      <w:pPr>
        <w:rPr>
          <w:szCs w:val="21"/>
        </w:rPr>
      </w:pPr>
      <w:r>
        <w:rPr>
          <w:rFonts w:hint="eastAsia"/>
          <w:szCs w:val="21"/>
        </w:rPr>
        <w:t>委员会办公室根据与省级知识产权局沟通的情况，按照《专利纠纷行政裁决和调解办法》要求提出初步立案意见，报委员会研究。</w:t>
      </w:r>
    </w:p>
    <w:p w:rsidR="00800760" w:rsidRDefault="00235733">
      <w:pPr>
        <w:pStyle w:val="4"/>
        <w:spacing w:before="240"/>
        <w:ind w:firstLine="444"/>
        <w:rPr>
          <w:rFonts w:ascii="Times New Roman" w:hAnsi="Times New Roman"/>
        </w:rPr>
      </w:pPr>
      <w:r>
        <w:rPr>
          <w:rFonts w:ascii="Times New Roman" w:hAnsi="Times New Roman" w:hint="eastAsia"/>
        </w:rPr>
        <w:t>（二）需要考虑的因素</w:t>
      </w:r>
    </w:p>
    <w:p w:rsidR="00800760" w:rsidRDefault="00235733">
      <w:pPr>
        <w:rPr>
          <w:szCs w:val="21"/>
        </w:rPr>
      </w:pPr>
      <w:r>
        <w:rPr>
          <w:rFonts w:hint="eastAsia"/>
          <w:szCs w:val="21"/>
        </w:rPr>
        <w:t>提出重大专利侵权纠纷处理请求的，应当提交请求书，同时还应提交被请求人所在地或者侵权行为地省、自治区、直辖市管理专利工作的部门出具的符合《专利法实施细则》第九十六条所述情形的证明材料。</w:t>
      </w:r>
    </w:p>
    <w:p w:rsidR="00800760" w:rsidRDefault="00235733">
      <w:pPr>
        <w:rPr>
          <w:szCs w:val="21"/>
        </w:rPr>
      </w:pPr>
      <w:r>
        <w:rPr>
          <w:rFonts w:hint="eastAsia"/>
          <w:szCs w:val="21"/>
        </w:rPr>
        <w:t>（</w:t>
      </w:r>
      <w:r>
        <w:rPr>
          <w:rFonts w:hint="eastAsia"/>
          <w:szCs w:val="21"/>
        </w:rPr>
        <w:t>1</w:t>
      </w:r>
      <w:r>
        <w:rPr>
          <w:rFonts w:hint="eastAsia"/>
          <w:szCs w:val="21"/>
        </w:rPr>
        <w:t>）对于涉及重大公共利益（如公共卫生安全、国家战略产业、环境保护、粮食安全等）的重大案件，应当出具能够证明侵权行为对公共利益造成现实或潜在危害的证明材料，包括：国务院、部委或地方政府发布的与该技术相关的国家政策文件，权威机构认定该技术为民生关键技术的行业白皮书、技术指南或者涉及人类健康、环境安全的国际条约或标准，证明侵权行为导致公共利益受到损害的证据以及全国性的行业协会或者人民团体联合声明确认该技术为公共领域的关键技术等。</w:t>
      </w:r>
    </w:p>
    <w:p w:rsidR="00800760" w:rsidRDefault="00235733">
      <w:pPr>
        <w:rPr>
          <w:szCs w:val="21"/>
        </w:rPr>
      </w:pPr>
      <w:r>
        <w:rPr>
          <w:rFonts w:hint="eastAsia"/>
          <w:szCs w:val="21"/>
        </w:rPr>
        <w:t>（</w:t>
      </w:r>
      <w:r>
        <w:rPr>
          <w:rFonts w:hint="eastAsia"/>
          <w:szCs w:val="21"/>
        </w:rPr>
        <w:t>2</w:t>
      </w:r>
      <w:r>
        <w:rPr>
          <w:rFonts w:hint="eastAsia"/>
          <w:szCs w:val="21"/>
        </w:rPr>
        <w:t>）对于严重影响行业发展（如涉及行业关键技术、市场份额巨大、可能引发产业链连锁反应等）的重大案件，应当出具能够证明行业影响广泛性、技术关键性的证明材料，包括：专利技术所属领域的国家</w:t>
      </w:r>
      <w:r>
        <w:rPr>
          <w:rFonts w:hint="eastAsia"/>
          <w:szCs w:val="21"/>
        </w:rPr>
        <w:t>/</w:t>
      </w:r>
      <w:r>
        <w:rPr>
          <w:rFonts w:hint="eastAsia"/>
          <w:szCs w:val="21"/>
        </w:rPr>
        <w:t>行业标准文件，行业协会或权威机构出具的技术重要性说明，专利技术的产业应用报告或独立第三方机构出具的技术不可替代性报告，证明侵权导致行业技术垄断或发展受阻。</w:t>
      </w:r>
    </w:p>
    <w:p w:rsidR="00800760" w:rsidRDefault="00235733">
      <w:pPr>
        <w:rPr>
          <w:szCs w:val="21"/>
        </w:rPr>
      </w:pPr>
      <w:r>
        <w:rPr>
          <w:rFonts w:hint="eastAsia"/>
          <w:szCs w:val="21"/>
        </w:rPr>
        <w:t>（</w:t>
      </w:r>
      <w:r>
        <w:rPr>
          <w:rFonts w:hint="eastAsia"/>
          <w:szCs w:val="21"/>
        </w:rPr>
        <w:t>3</w:t>
      </w:r>
      <w:r>
        <w:rPr>
          <w:rFonts w:hint="eastAsia"/>
          <w:szCs w:val="21"/>
        </w:rPr>
        <w:t>）对于跨省级行政区域（如侵权行为地、被告住所地、销售地等分布在多个省份）的重大案件，应当出具涉及全国多个省份的跨省侵权事实材料，包括：侵权产品生产、销售、许诺销售、使用地在不同省份的证据，侵权产品在多个省份的流通证据等，或者被告在多个省份的工商登记信息、分支机构营业执照等。</w:t>
      </w:r>
    </w:p>
    <w:p w:rsidR="00800760" w:rsidRDefault="00235733">
      <w:pPr>
        <w:rPr>
          <w:szCs w:val="21"/>
        </w:rPr>
      </w:pPr>
      <w:r>
        <w:rPr>
          <w:rFonts w:hint="eastAsia"/>
          <w:szCs w:val="21"/>
        </w:rPr>
        <w:t>（三）研究结果通知</w:t>
      </w:r>
    </w:p>
    <w:p w:rsidR="00800760" w:rsidRDefault="00235733">
      <w:pPr>
        <w:rPr>
          <w:szCs w:val="21"/>
        </w:rPr>
      </w:pPr>
      <w:r>
        <w:rPr>
          <w:rFonts w:hint="eastAsia"/>
          <w:szCs w:val="21"/>
        </w:rPr>
        <w:t>委员会研究认为符合立案条件的，通知省级知识产权局向国家知识产权局提交相关立案材料。对于不符合立案条件的，不予立案，并告知请求人可以向有管辖权的地方管理专利工作的部门请求处理。</w:t>
      </w:r>
    </w:p>
    <w:p w:rsidR="00800760" w:rsidRDefault="00235733">
      <w:pPr>
        <w:rPr>
          <w:szCs w:val="21"/>
        </w:rPr>
      </w:pPr>
      <w:r>
        <w:rPr>
          <w:rFonts w:hint="eastAsia"/>
          <w:szCs w:val="21"/>
        </w:rPr>
        <w:t>省、自治区、直辖市管理专利工作的部门应当首先判断案件是否属于重大专利侵权纠纷的有关情形。对于判断存在困难的，国家知识产权局可以提供技术支持和指导。对于用尽一切技术手段后仍然无法解决的纠纷，出具证明材料后请求国家知识产权局进行处理。</w:t>
      </w:r>
    </w:p>
    <w:p w:rsidR="00800760" w:rsidRDefault="00235733">
      <w:pPr>
        <w:pStyle w:val="2"/>
        <w:ind w:firstLineChars="0" w:firstLine="0"/>
        <w:rPr>
          <w:rFonts w:ascii="Times New Roman" w:hAnsi="Times New Roman"/>
        </w:rPr>
      </w:pPr>
      <w:bookmarkStart w:id="3740" w:name="_Toc25609"/>
      <w:bookmarkStart w:id="3741" w:name="_Toc229114409"/>
      <w:bookmarkStart w:id="3742" w:name="_Toc8487"/>
      <w:bookmarkStart w:id="3743" w:name="_Toc9433"/>
      <w:bookmarkStart w:id="3744" w:name="_Toc24809"/>
      <w:bookmarkStart w:id="3745" w:name="_Toc387"/>
      <w:bookmarkStart w:id="3746" w:name="_Toc26881"/>
      <w:bookmarkStart w:id="3747" w:name="_Toc25561"/>
      <w:bookmarkStart w:id="3748" w:name="_Toc3481"/>
      <w:bookmarkStart w:id="3749" w:name="_Toc20674"/>
      <w:bookmarkStart w:id="3750" w:name="_Toc17900"/>
      <w:bookmarkStart w:id="3751" w:name="_Toc8915"/>
      <w:bookmarkStart w:id="3752" w:name="_Toc3055"/>
      <w:bookmarkStart w:id="3753" w:name="_Toc21251"/>
      <w:bookmarkStart w:id="3754" w:name="_Toc9819"/>
      <w:bookmarkStart w:id="3755" w:name="_Toc28698"/>
      <w:bookmarkStart w:id="3756" w:name="_Toc7663"/>
      <w:bookmarkStart w:id="3757" w:name="_Toc11459"/>
      <w:bookmarkStart w:id="3758" w:name="_Toc242"/>
      <w:bookmarkStart w:id="3759" w:name="_Toc19653"/>
      <w:bookmarkStart w:id="3760" w:name="_Toc22349"/>
      <w:bookmarkStart w:id="3761" w:name="_Toc24421"/>
      <w:bookmarkStart w:id="3762" w:name="_Toc13853"/>
      <w:bookmarkStart w:id="3763" w:name="_Toc11425"/>
      <w:bookmarkStart w:id="3764" w:name="_Toc30842"/>
      <w:bookmarkStart w:id="3765" w:name="_Toc13331"/>
      <w:bookmarkStart w:id="3766" w:name="_Toc15141"/>
      <w:bookmarkStart w:id="3767" w:name="_Toc229225505"/>
      <w:r>
        <w:rPr>
          <w:rFonts w:ascii="Times New Roman" w:hAnsi="Times New Roman" w:hint="eastAsia"/>
        </w:rPr>
        <w:t>第二节　接收材料与立案审批</w:t>
      </w:r>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p>
    <w:p w:rsidR="00800760" w:rsidRDefault="00235733">
      <w:pPr>
        <w:pStyle w:val="3"/>
        <w:spacing w:before="240"/>
        <w:ind w:firstLine="444"/>
        <w:rPr>
          <w:rFonts w:ascii="Times New Roman" w:hAnsi="Times New Roman"/>
        </w:rPr>
      </w:pPr>
      <w:bookmarkStart w:id="3768" w:name="_Toc229114410"/>
      <w:bookmarkStart w:id="3769" w:name="_Toc2664"/>
      <w:bookmarkStart w:id="3770" w:name="_Toc19630"/>
      <w:bookmarkStart w:id="3771" w:name="_Toc4451"/>
      <w:bookmarkStart w:id="3772" w:name="_Toc12114"/>
      <w:bookmarkStart w:id="3773" w:name="_Toc271"/>
      <w:bookmarkStart w:id="3774" w:name="_Toc339"/>
      <w:bookmarkStart w:id="3775" w:name="_Toc9196"/>
      <w:bookmarkStart w:id="3776" w:name="_Toc12737"/>
      <w:bookmarkStart w:id="3777" w:name="_Toc29399"/>
      <w:bookmarkStart w:id="3778" w:name="_Toc8430"/>
      <w:bookmarkStart w:id="3779" w:name="_Toc31550"/>
      <w:bookmarkStart w:id="3780" w:name="_Toc7368"/>
      <w:bookmarkStart w:id="3781" w:name="_Toc28115"/>
      <w:bookmarkStart w:id="3782" w:name="_Toc8171"/>
      <w:bookmarkStart w:id="3783" w:name="_Toc25523"/>
      <w:bookmarkStart w:id="3784" w:name="_Toc1404"/>
      <w:bookmarkStart w:id="3785" w:name="_Toc23862"/>
      <w:bookmarkStart w:id="3786" w:name="_Toc10154"/>
      <w:bookmarkStart w:id="3787" w:name="_Toc8318"/>
      <w:bookmarkStart w:id="3788" w:name="_Toc22864"/>
      <w:bookmarkStart w:id="3789" w:name="_Toc25188"/>
      <w:bookmarkStart w:id="3790" w:name="_Toc14135"/>
      <w:bookmarkStart w:id="3791" w:name="_Toc7967"/>
      <w:bookmarkStart w:id="3792" w:name="_Toc16745"/>
      <w:bookmarkStart w:id="3793" w:name="_Toc14748"/>
      <w:bookmarkStart w:id="3794" w:name="_Toc1570"/>
      <w:bookmarkStart w:id="3795" w:name="_Toc229225506"/>
      <w:r>
        <w:rPr>
          <w:rFonts w:ascii="Times New Roman" w:hAnsi="Times New Roman" w:hint="eastAsia"/>
        </w:rPr>
        <w:t>一、接收材料要求</w:t>
      </w:r>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p>
    <w:p w:rsidR="00800760" w:rsidRDefault="00235733">
      <w:pPr>
        <w:rPr>
          <w:szCs w:val="21"/>
        </w:rPr>
      </w:pPr>
      <w:r>
        <w:rPr>
          <w:rFonts w:hint="eastAsia"/>
          <w:szCs w:val="21"/>
        </w:rPr>
        <w:t>提出重大专利侵权纠纷处理请求的，应当提交的材料包括但不限于：重大专利侵权纠纷行政裁决请求书、证据及证据清单、请求人主体资格证明、请求人法定代表人身份证明、授权委托书、代理人主体资格证明、被请求人主体资格证明以及省级知识产权局出具的相关案件符合在全国有重大影响情形的函件。</w:t>
      </w:r>
    </w:p>
    <w:p w:rsidR="00800760" w:rsidRDefault="00235733">
      <w:pPr>
        <w:pStyle w:val="3"/>
        <w:spacing w:before="240"/>
        <w:ind w:firstLine="444"/>
        <w:rPr>
          <w:rFonts w:ascii="Times New Roman" w:hAnsi="Times New Roman"/>
        </w:rPr>
      </w:pPr>
      <w:bookmarkStart w:id="3796" w:name="_Toc23941"/>
      <w:bookmarkStart w:id="3797" w:name="_Toc17077"/>
      <w:bookmarkStart w:id="3798" w:name="_Toc14161"/>
      <w:bookmarkStart w:id="3799" w:name="_Toc29008"/>
      <w:bookmarkStart w:id="3800" w:name="_Toc19298"/>
      <w:bookmarkStart w:id="3801" w:name="_Toc7098"/>
      <w:bookmarkStart w:id="3802" w:name="_Toc9291"/>
      <w:bookmarkStart w:id="3803" w:name="_Toc14005"/>
      <w:bookmarkStart w:id="3804" w:name="_Toc4118"/>
      <w:bookmarkStart w:id="3805" w:name="_Toc19201"/>
      <w:bookmarkStart w:id="3806" w:name="_Toc29290"/>
      <w:bookmarkStart w:id="3807" w:name="_Toc16725"/>
      <w:bookmarkStart w:id="3808" w:name="_Toc12431"/>
      <w:bookmarkStart w:id="3809" w:name="_Toc20119"/>
      <w:bookmarkStart w:id="3810" w:name="_Toc14912"/>
      <w:bookmarkStart w:id="3811" w:name="_Toc12023"/>
      <w:bookmarkStart w:id="3812" w:name="_Toc17535"/>
      <w:bookmarkStart w:id="3813" w:name="_Toc22169"/>
      <w:bookmarkStart w:id="3814" w:name="_Toc29033"/>
      <w:bookmarkStart w:id="3815" w:name="_Toc19967"/>
      <w:bookmarkStart w:id="3816" w:name="_Toc15724"/>
      <w:bookmarkStart w:id="3817" w:name="_Toc18990"/>
      <w:bookmarkStart w:id="3818" w:name="_Toc229114411"/>
      <w:bookmarkStart w:id="3819" w:name="_Toc7792"/>
      <w:bookmarkStart w:id="3820" w:name="_Toc2457"/>
      <w:bookmarkStart w:id="3821" w:name="_Toc16824"/>
      <w:bookmarkStart w:id="3822" w:name="_Toc16918"/>
      <w:bookmarkStart w:id="3823" w:name="_Toc229225507"/>
      <w:r>
        <w:rPr>
          <w:rFonts w:ascii="Times New Roman" w:hAnsi="Times New Roman" w:hint="eastAsia"/>
        </w:rPr>
        <w:t>二、立案审核与通知</w:t>
      </w:r>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p>
    <w:p w:rsidR="00800760" w:rsidRDefault="00235733">
      <w:pPr>
        <w:rPr>
          <w:szCs w:val="21"/>
        </w:rPr>
      </w:pPr>
      <w:r>
        <w:rPr>
          <w:rFonts w:hint="eastAsia"/>
          <w:szCs w:val="21"/>
        </w:rPr>
        <w:t>办案人员根据《专利纠纷行政裁决和调解办法》要求进行立案审核。经审查认为符合受理条件的，应当自收到请求人材料之日起</w:t>
      </w:r>
      <w:r>
        <w:rPr>
          <w:rFonts w:hint="eastAsia"/>
          <w:szCs w:val="21"/>
        </w:rPr>
        <w:t>5</w:t>
      </w:r>
      <w:r>
        <w:rPr>
          <w:rFonts w:hint="eastAsia"/>
          <w:szCs w:val="21"/>
        </w:rPr>
        <w:t>个工作日内向请求人发送《重大专利侵权纠纷行政裁决请求立案通知书》。案情特别复杂或者有其他特殊情况的，经委员会副主任批准，立案期限可以延长</w:t>
      </w:r>
      <w:r>
        <w:rPr>
          <w:rFonts w:hint="eastAsia"/>
          <w:szCs w:val="21"/>
        </w:rPr>
        <w:t>5</w:t>
      </w:r>
      <w:r>
        <w:rPr>
          <w:rFonts w:hint="eastAsia"/>
          <w:szCs w:val="21"/>
        </w:rPr>
        <w:t>个工作日。</w:t>
      </w:r>
    </w:p>
    <w:p w:rsidR="00800760" w:rsidRDefault="00235733">
      <w:pPr>
        <w:rPr>
          <w:szCs w:val="21"/>
        </w:rPr>
      </w:pPr>
      <w:r>
        <w:rPr>
          <w:rFonts w:hint="eastAsia"/>
          <w:szCs w:val="21"/>
        </w:rPr>
        <w:t>案件受理后，办案人员应当向被请求人发送答辩通知书、送达回执、重大专利侵权纠纷行政裁决请求书、请求人提供的证据清单及相关证据等。</w:t>
      </w:r>
    </w:p>
    <w:p w:rsidR="00800760" w:rsidRDefault="00235733">
      <w:pPr>
        <w:pStyle w:val="2"/>
        <w:ind w:firstLineChars="0" w:firstLine="0"/>
        <w:rPr>
          <w:rFonts w:ascii="Times New Roman" w:hAnsi="Times New Roman"/>
        </w:rPr>
      </w:pPr>
      <w:bookmarkStart w:id="3824" w:name="_Toc5243"/>
      <w:bookmarkStart w:id="3825" w:name="_Toc13510"/>
      <w:bookmarkStart w:id="3826" w:name="_Toc6883"/>
      <w:bookmarkStart w:id="3827" w:name="_Toc6494"/>
      <w:bookmarkStart w:id="3828" w:name="_Toc23317"/>
      <w:bookmarkStart w:id="3829" w:name="_Toc1623"/>
      <w:bookmarkStart w:id="3830" w:name="_Toc22117"/>
      <w:bookmarkStart w:id="3831" w:name="_Toc229114412"/>
      <w:bookmarkStart w:id="3832" w:name="_Toc19002"/>
      <w:bookmarkStart w:id="3833" w:name="_Toc15249"/>
      <w:bookmarkStart w:id="3834" w:name="_Toc22729"/>
      <w:bookmarkStart w:id="3835" w:name="_Toc3892"/>
      <w:bookmarkStart w:id="3836" w:name="_Toc3386"/>
      <w:bookmarkStart w:id="3837" w:name="_Toc30557"/>
      <w:bookmarkStart w:id="3838" w:name="_Toc28540"/>
      <w:bookmarkStart w:id="3839" w:name="_Toc29221"/>
      <w:bookmarkStart w:id="3840" w:name="_Toc14517"/>
      <w:bookmarkStart w:id="3841" w:name="_Toc17107"/>
      <w:bookmarkStart w:id="3842" w:name="_Toc31236"/>
      <w:bookmarkStart w:id="3843" w:name="_Toc19854"/>
      <w:bookmarkStart w:id="3844" w:name="_Toc16543"/>
      <w:bookmarkStart w:id="3845" w:name="_Toc3148"/>
      <w:bookmarkStart w:id="3846" w:name="_Toc10737"/>
      <w:bookmarkStart w:id="3847" w:name="_Toc18163"/>
      <w:bookmarkStart w:id="3848" w:name="_Toc504"/>
      <w:bookmarkStart w:id="3849" w:name="_Toc23001"/>
      <w:bookmarkStart w:id="3850" w:name="_Toc10655"/>
      <w:bookmarkStart w:id="3851" w:name="_Toc229225508"/>
      <w:r>
        <w:rPr>
          <w:rFonts w:ascii="Times New Roman" w:hAnsi="Times New Roman" w:hint="eastAsia"/>
        </w:rPr>
        <w:t>第三节　案件审理</w:t>
      </w:r>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p>
    <w:p w:rsidR="00800760" w:rsidRDefault="00235733">
      <w:pPr>
        <w:pStyle w:val="3"/>
        <w:spacing w:before="240"/>
        <w:ind w:firstLine="444"/>
        <w:rPr>
          <w:rFonts w:ascii="Times New Roman" w:hAnsi="Times New Roman"/>
        </w:rPr>
      </w:pPr>
      <w:bookmarkStart w:id="3852" w:name="_Toc10307"/>
      <w:bookmarkStart w:id="3853" w:name="_Toc7774"/>
      <w:bookmarkStart w:id="3854" w:name="_Toc16350"/>
      <w:bookmarkStart w:id="3855" w:name="_Toc23973"/>
      <w:bookmarkStart w:id="3856" w:name="_Toc17510"/>
      <w:bookmarkStart w:id="3857" w:name="_Toc17382"/>
      <w:bookmarkStart w:id="3858" w:name="_Toc20255"/>
      <w:bookmarkStart w:id="3859" w:name="_Toc12690"/>
      <w:bookmarkStart w:id="3860" w:name="_Toc7514"/>
      <w:bookmarkStart w:id="3861" w:name="_Toc2354"/>
      <w:bookmarkStart w:id="3862" w:name="_Toc7079"/>
      <w:bookmarkStart w:id="3863" w:name="_Toc2826"/>
      <w:bookmarkStart w:id="3864" w:name="_Toc5469"/>
      <w:bookmarkStart w:id="3865" w:name="_Toc10327"/>
      <w:bookmarkStart w:id="3866" w:name="_Toc10117"/>
      <w:bookmarkStart w:id="3867" w:name="_Toc21629"/>
      <w:bookmarkStart w:id="3868" w:name="_Toc21439"/>
      <w:bookmarkStart w:id="3869" w:name="_Toc9151"/>
      <w:bookmarkStart w:id="3870" w:name="_Toc7427"/>
      <w:bookmarkStart w:id="3871" w:name="_Toc23857"/>
      <w:bookmarkStart w:id="3872" w:name="_Toc23623"/>
      <w:bookmarkStart w:id="3873" w:name="_Toc9474"/>
      <w:bookmarkStart w:id="3874" w:name="_Toc8227"/>
      <w:bookmarkStart w:id="3875" w:name="_Toc5401"/>
      <w:bookmarkStart w:id="3876" w:name="_Toc3124"/>
      <w:bookmarkStart w:id="3877" w:name="_Toc19181"/>
      <w:bookmarkStart w:id="3878" w:name="_Toc229114413"/>
      <w:bookmarkStart w:id="3879" w:name="_Toc229225509"/>
      <w:r>
        <w:rPr>
          <w:rFonts w:ascii="Times New Roman" w:hAnsi="Times New Roman" w:hint="eastAsia"/>
        </w:rPr>
        <w:t>一、审理程序</w:t>
      </w:r>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p>
    <w:p w:rsidR="00800760" w:rsidRDefault="00235733">
      <w:pPr>
        <w:pStyle w:val="4"/>
        <w:spacing w:before="240"/>
        <w:ind w:firstLine="444"/>
        <w:rPr>
          <w:rFonts w:ascii="Times New Roman" w:hAnsi="Times New Roman"/>
        </w:rPr>
      </w:pPr>
      <w:r>
        <w:rPr>
          <w:rFonts w:ascii="Times New Roman" w:hAnsi="Times New Roman" w:hint="eastAsia"/>
        </w:rPr>
        <w:t>（一）成立合议组</w:t>
      </w:r>
    </w:p>
    <w:p w:rsidR="00800760" w:rsidRDefault="00235733">
      <w:pPr>
        <w:rPr>
          <w:szCs w:val="21"/>
        </w:rPr>
      </w:pPr>
      <w:r>
        <w:rPr>
          <w:rFonts w:hint="eastAsia"/>
          <w:szCs w:val="21"/>
        </w:rPr>
        <w:t>合议组由五人组成，合议组成员涉及回避情形的，应当自行回避。当事人申请回避的，应当说明理由。</w:t>
      </w:r>
    </w:p>
    <w:p w:rsidR="00800760" w:rsidRDefault="00235733">
      <w:pPr>
        <w:pStyle w:val="4"/>
        <w:spacing w:before="240"/>
        <w:ind w:firstLine="444"/>
        <w:rPr>
          <w:rFonts w:ascii="Times New Roman" w:hAnsi="Times New Roman"/>
        </w:rPr>
      </w:pPr>
      <w:r>
        <w:rPr>
          <w:rFonts w:ascii="Times New Roman" w:hAnsi="Times New Roman" w:hint="eastAsia"/>
        </w:rPr>
        <w:t>（二）口头审理</w:t>
      </w:r>
    </w:p>
    <w:p w:rsidR="00800760" w:rsidRDefault="00235733">
      <w:pPr>
        <w:rPr>
          <w:szCs w:val="21"/>
        </w:rPr>
      </w:pPr>
      <w:r>
        <w:rPr>
          <w:rFonts w:hint="eastAsia"/>
          <w:szCs w:val="21"/>
        </w:rPr>
        <w:t>重大专利侵权纠纷行政裁决案件确定进行口头审理的，合议组应当向当事人发出《重大专利侵权纠纷行政裁决口头审理通知书》及《重大专利侵权纠纷行政裁决口头审理回执》，通知进行口头审理的时间、地点等事项，并要求其在规定的时间内向合议组提交《重大专利侵权纠纷行政裁决口头审理回执》。合议组应当至少在口头审理</w:t>
      </w:r>
      <w:r>
        <w:rPr>
          <w:rFonts w:hint="eastAsia"/>
          <w:szCs w:val="21"/>
        </w:rPr>
        <w:t>5</w:t>
      </w:r>
      <w:r>
        <w:rPr>
          <w:rFonts w:hint="eastAsia"/>
          <w:szCs w:val="21"/>
        </w:rPr>
        <w:t>个工作日前将口头审理的时间、地点通知当事人。</w:t>
      </w:r>
    </w:p>
    <w:p w:rsidR="00800760" w:rsidRDefault="00235733">
      <w:pPr>
        <w:pStyle w:val="3"/>
        <w:spacing w:before="240"/>
        <w:ind w:firstLine="444"/>
        <w:rPr>
          <w:rFonts w:ascii="Times New Roman" w:hAnsi="Times New Roman"/>
        </w:rPr>
      </w:pPr>
      <w:bookmarkStart w:id="3880" w:name="_Toc26769"/>
      <w:bookmarkStart w:id="3881" w:name="_Toc21639"/>
      <w:bookmarkStart w:id="3882" w:name="_Toc5558"/>
      <w:bookmarkStart w:id="3883" w:name="_Toc2019"/>
      <w:bookmarkStart w:id="3884" w:name="_Toc12741"/>
      <w:bookmarkStart w:id="3885" w:name="_Toc17925"/>
      <w:bookmarkStart w:id="3886" w:name="_Toc23847"/>
      <w:bookmarkStart w:id="3887" w:name="_Toc26686"/>
      <w:bookmarkStart w:id="3888" w:name="_Toc31584"/>
      <w:bookmarkStart w:id="3889" w:name="_Toc21898"/>
      <w:bookmarkStart w:id="3890" w:name="_Toc21463"/>
      <w:bookmarkStart w:id="3891" w:name="_Toc1398"/>
      <w:bookmarkStart w:id="3892" w:name="_Toc11641"/>
      <w:bookmarkStart w:id="3893" w:name="_Toc30123"/>
      <w:bookmarkStart w:id="3894" w:name="_Toc19913"/>
      <w:bookmarkStart w:id="3895" w:name="_Toc30656"/>
      <w:bookmarkStart w:id="3896" w:name="_Toc13294"/>
      <w:bookmarkStart w:id="3897" w:name="_Toc17868"/>
      <w:bookmarkStart w:id="3898" w:name="_Toc28248"/>
      <w:bookmarkStart w:id="3899" w:name="_Toc23487"/>
      <w:bookmarkStart w:id="3900" w:name="_Toc21686"/>
      <w:bookmarkStart w:id="3901" w:name="_Toc3645"/>
      <w:bookmarkStart w:id="3902" w:name="_Toc30756"/>
      <w:bookmarkStart w:id="3903" w:name="_Toc3820"/>
      <w:bookmarkStart w:id="3904" w:name="_Toc10284"/>
      <w:bookmarkStart w:id="3905" w:name="_Toc229114414"/>
      <w:bookmarkStart w:id="3906" w:name="_Toc3575"/>
      <w:bookmarkStart w:id="3907" w:name="_Toc229225510"/>
      <w:r>
        <w:rPr>
          <w:rFonts w:ascii="Times New Roman" w:hAnsi="Times New Roman" w:hint="eastAsia"/>
        </w:rPr>
        <w:t>二、结案</w:t>
      </w:r>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p>
    <w:p w:rsidR="00800760" w:rsidRDefault="00235733">
      <w:pPr>
        <w:pStyle w:val="4"/>
        <w:spacing w:before="240"/>
        <w:ind w:firstLine="444"/>
        <w:rPr>
          <w:rFonts w:ascii="Times New Roman" w:hAnsi="Times New Roman"/>
        </w:rPr>
      </w:pPr>
      <w:r>
        <w:rPr>
          <w:rFonts w:ascii="Times New Roman" w:hAnsi="Times New Roman" w:hint="eastAsia"/>
        </w:rPr>
        <w:t>（一）结案时限</w:t>
      </w:r>
    </w:p>
    <w:p w:rsidR="00800760" w:rsidRDefault="00235733">
      <w:pPr>
        <w:rPr>
          <w:szCs w:val="21"/>
        </w:rPr>
      </w:pPr>
      <w:r>
        <w:rPr>
          <w:rFonts w:hint="eastAsia"/>
          <w:szCs w:val="21"/>
        </w:rPr>
        <w:t>合议组处理重大专利侵权纠纷，应当自立案之日起三个月内结案。因案件复杂或者其他原因，不能在规定期限内结案的，经委员会主任批准，可以延长一个月。案情特别复杂或者有其他特殊情况，经延期仍不能结案的，经批准决定继续延期的，应当同时确定延长不超过两个月的合理期限。</w:t>
      </w:r>
    </w:p>
    <w:p w:rsidR="00800760" w:rsidRDefault="00235733">
      <w:pPr>
        <w:pStyle w:val="4"/>
        <w:spacing w:before="240"/>
        <w:ind w:firstLine="444"/>
        <w:rPr>
          <w:rFonts w:ascii="Times New Roman" w:hAnsi="Times New Roman"/>
        </w:rPr>
      </w:pPr>
      <w:r>
        <w:rPr>
          <w:rFonts w:ascii="Times New Roman" w:hAnsi="Times New Roman" w:hint="eastAsia"/>
        </w:rPr>
        <w:t>（二）结案形式</w:t>
      </w:r>
    </w:p>
    <w:p w:rsidR="00800760" w:rsidRDefault="00235733">
      <w:pPr>
        <w:rPr>
          <w:szCs w:val="21"/>
        </w:rPr>
      </w:pPr>
      <w:r>
        <w:rPr>
          <w:rFonts w:hint="eastAsia"/>
          <w:szCs w:val="21"/>
        </w:rPr>
        <w:t>根据案件处理结果，结案形式包括：</w:t>
      </w:r>
    </w:p>
    <w:p w:rsidR="00800760" w:rsidRDefault="00235733">
      <w:pPr>
        <w:rPr>
          <w:szCs w:val="21"/>
        </w:rPr>
      </w:pPr>
      <w:r>
        <w:rPr>
          <w:rFonts w:hint="eastAsia"/>
          <w:szCs w:val="21"/>
        </w:rPr>
        <w:t xml:space="preserve">1. </w:t>
      </w:r>
      <w:r>
        <w:rPr>
          <w:rFonts w:hint="eastAsia"/>
          <w:szCs w:val="21"/>
        </w:rPr>
        <w:t>作出行政裁决。发出《重大专利侵权纠纷行政裁决书》；</w:t>
      </w:r>
    </w:p>
    <w:p w:rsidR="00800760" w:rsidRDefault="00235733">
      <w:pPr>
        <w:rPr>
          <w:szCs w:val="21"/>
        </w:rPr>
      </w:pPr>
      <w:r>
        <w:rPr>
          <w:rFonts w:hint="eastAsia"/>
          <w:szCs w:val="21"/>
        </w:rPr>
        <w:t xml:space="preserve">2. </w:t>
      </w:r>
      <w:r>
        <w:rPr>
          <w:rFonts w:hint="eastAsia"/>
          <w:szCs w:val="21"/>
        </w:rPr>
        <w:t>调解结案。当事人达成调解协议的，作出《重大专利侵权纠纷调解协议书》；</w:t>
      </w:r>
    </w:p>
    <w:p w:rsidR="00800760" w:rsidRDefault="00235733">
      <w:r>
        <w:rPr>
          <w:rFonts w:hint="eastAsia"/>
          <w:szCs w:val="21"/>
        </w:rPr>
        <w:t xml:space="preserve">3. </w:t>
      </w:r>
      <w:r>
        <w:rPr>
          <w:rFonts w:hint="eastAsia"/>
          <w:szCs w:val="21"/>
        </w:rPr>
        <w:t>撤销案件。发出《撤销重大专利侵权纠纷行政裁决决定书》。</w:t>
      </w:r>
    </w:p>
    <w:p w:rsidR="00800760" w:rsidRDefault="00800760"/>
    <w:p w:rsidR="00800760" w:rsidRDefault="00800760"/>
    <w:p w:rsidR="00800760" w:rsidRDefault="00800760"/>
    <w:p w:rsidR="00800760" w:rsidRDefault="00800760"/>
    <w:p w:rsidR="00800760" w:rsidRDefault="00235733">
      <w:pPr>
        <w:pageBreakBefore/>
        <w:shd w:val="clear" w:color="auto" w:fill="FFFFFF"/>
        <w:spacing w:before="100" w:beforeAutospacing="1" w:after="100" w:afterAutospacing="1"/>
        <w:ind w:firstLine="584"/>
        <w:jc w:val="center"/>
        <w:outlineLvl w:val="0"/>
        <w:rPr>
          <w:rFonts w:cs="黑体"/>
          <w:sz w:val="28"/>
        </w:rPr>
      </w:pPr>
      <w:bookmarkStart w:id="3908" w:name="_Toc229114415"/>
      <w:bookmarkStart w:id="3909" w:name="_Toc217908670"/>
      <w:bookmarkStart w:id="3910" w:name="_Toc229225511"/>
      <w:r>
        <w:rPr>
          <w:rFonts w:eastAsia="黑体" w:cs="黑体" w:hint="eastAsia"/>
          <w:spacing w:val="6"/>
          <w:sz w:val="28"/>
        </w:rPr>
        <w:t>第六章　药品专利纠纷早期解决机制的行政裁决</w:t>
      </w:r>
      <w:bookmarkEnd w:id="3908"/>
      <w:bookmarkEnd w:id="3909"/>
      <w:bookmarkEnd w:id="3910"/>
    </w:p>
    <w:p w:rsidR="00800760" w:rsidRDefault="00235733">
      <w:pPr>
        <w:rPr>
          <w:szCs w:val="21"/>
        </w:rPr>
      </w:pPr>
      <w:r>
        <w:rPr>
          <w:rFonts w:hint="eastAsia"/>
          <w:szCs w:val="21"/>
        </w:rPr>
        <w:t>根据《专利法》第七十六条、《专利纠纷行政裁决和调解办法》第五十九条至第六十二条、《药品专利纠纷早期解决机制实施办法（试行）》、《药品专利纠纷早期解决机制行政裁决办法》的规定，国务院专利行政部门负责组织和开展药品专利纠纷早期解决机制行政裁决相关工作。</w:t>
      </w:r>
    </w:p>
    <w:p w:rsidR="00800760" w:rsidRDefault="00235733">
      <w:pPr>
        <w:rPr>
          <w:szCs w:val="21"/>
        </w:rPr>
      </w:pPr>
      <w:r>
        <w:rPr>
          <w:rFonts w:hint="eastAsia"/>
          <w:szCs w:val="21"/>
        </w:rPr>
        <w:t>在药品上市审评审批过程中，因申请上市许可的药品相关的专利权产生纠纷的，药品上市许可申请人、专利权人或者利害关系人（即相关专利的被许可人、相关药品上市许可持有人）可以就申请上市许可的药品技术方案是否落入相关专利权的保护范围，</w:t>
      </w:r>
      <w:r>
        <w:rPr>
          <w:szCs w:val="21"/>
        </w:rPr>
        <w:t>向</w:t>
      </w:r>
      <w:r>
        <w:rPr>
          <w:rFonts w:hint="eastAsia"/>
          <w:szCs w:val="21"/>
        </w:rPr>
        <w:t>国务院专利行政部门</w:t>
      </w:r>
      <w:r>
        <w:rPr>
          <w:szCs w:val="21"/>
        </w:rPr>
        <w:t>请求行政裁决</w:t>
      </w:r>
      <w:r>
        <w:rPr>
          <w:rFonts w:hint="eastAsia"/>
          <w:szCs w:val="21"/>
        </w:rPr>
        <w:t>。</w:t>
      </w:r>
    </w:p>
    <w:p w:rsidR="00800760" w:rsidRDefault="00235733">
      <w:pPr>
        <w:rPr>
          <w:szCs w:val="21"/>
        </w:rPr>
      </w:pPr>
      <w:r>
        <w:rPr>
          <w:szCs w:val="21"/>
        </w:rPr>
        <w:t>专利权人或者利害关系人未在规定期限内请求行政裁决的，</w:t>
      </w:r>
      <w:r>
        <w:rPr>
          <w:rFonts w:hint="eastAsia"/>
          <w:szCs w:val="21"/>
        </w:rPr>
        <w:t>药品上市许可申请人</w:t>
      </w:r>
      <w:r>
        <w:rPr>
          <w:szCs w:val="21"/>
        </w:rPr>
        <w:t>可以按相关规定请求行政裁决，以确认其相关药品技术方案不落入相关专利权保护范围。</w:t>
      </w:r>
    </w:p>
    <w:p w:rsidR="00800760" w:rsidRDefault="00235733" w:rsidP="007A46B7">
      <w:pPr>
        <w:rPr>
          <w:rFonts w:cs="HTJ-PK74820000537-Identity-H"/>
          <w:sz w:val="24"/>
        </w:rPr>
      </w:pPr>
      <w:r>
        <w:rPr>
          <w:rFonts w:hint="eastAsia"/>
          <w:szCs w:val="21"/>
        </w:rPr>
        <w:t>本章有特殊规定的从其规定，无特殊规定的适用本指南其他章节相关规定。</w:t>
      </w:r>
    </w:p>
    <w:bookmarkStart w:id="3911" w:name="_Toc8177"/>
    <w:bookmarkStart w:id="3912" w:name="_Toc8120"/>
    <w:bookmarkStart w:id="3913" w:name="_Toc2007"/>
    <w:bookmarkStart w:id="3914" w:name="_Toc15791"/>
    <w:bookmarkStart w:id="3915" w:name="_Toc11370"/>
    <w:bookmarkStart w:id="3916" w:name="_Toc24353"/>
    <w:bookmarkStart w:id="3917" w:name="_Toc21381"/>
    <w:bookmarkStart w:id="3918" w:name="_Toc28567"/>
    <w:bookmarkStart w:id="3919" w:name="_Toc23577"/>
    <w:bookmarkStart w:id="3920" w:name="_Toc24434"/>
    <w:bookmarkStart w:id="3921" w:name="_Toc28034"/>
    <w:bookmarkStart w:id="3922" w:name="_Toc12617"/>
    <w:bookmarkStart w:id="3923" w:name="_Toc30616"/>
    <w:bookmarkStart w:id="3924" w:name="_Toc24794"/>
    <w:bookmarkStart w:id="3925" w:name="_Toc392"/>
    <w:bookmarkStart w:id="3926" w:name="_Toc10713"/>
    <w:bookmarkStart w:id="3927" w:name="_Toc29950"/>
    <w:bookmarkStart w:id="3928" w:name="_Toc12827"/>
    <w:bookmarkStart w:id="3929" w:name="_Toc13169"/>
    <w:bookmarkStart w:id="3930" w:name="_Toc30105"/>
    <w:bookmarkStart w:id="3931" w:name="_Toc7759"/>
    <w:bookmarkStart w:id="3932" w:name="_Toc2646"/>
    <w:bookmarkStart w:id="3933" w:name="_Toc11858"/>
    <w:bookmarkStart w:id="3934" w:name="_Toc29736"/>
    <w:bookmarkStart w:id="3935" w:name="_Toc32194"/>
    <w:bookmarkStart w:id="3936" w:name="_Toc21550"/>
    <w:bookmarkStart w:id="3937" w:name="_Toc19793"/>
    <w:bookmarkStart w:id="3938" w:name="_Toc30935"/>
    <w:bookmarkStart w:id="3939" w:name="_Toc26287"/>
    <w:bookmarkStart w:id="3940" w:name="_Toc23162"/>
    <w:bookmarkStart w:id="3941" w:name="_Toc8979"/>
    <w:bookmarkStart w:id="3942" w:name="_Toc10145"/>
    <w:bookmarkStart w:id="3943" w:name="_Toc4786"/>
    <w:bookmarkStart w:id="3944" w:name="_Toc3184"/>
    <w:bookmarkStart w:id="3945" w:name="_Toc12311"/>
    <w:bookmarkStart w:id="3946" w:name="_Toc12116"/>
    <w:bookmarkStart w:id="3947" w:name="_Toc14129"/>
    <w:bookmarkStart w:id="3948" w:name="_Toc3688"/>
    <w:bookmarkStart w:id="3949" w:name="_Toc25236"/>
    <w:bookmarkStart w:id="3950" w:name="_Toc17576"/>
    <w:bookmarkStart w:id="3951" w:name="_Toc13213"/>
    <w:bookmarkStart w:id="3952" w:name="_Toc10677"/>
    <w:bookmarkStart w:id="3953" w:name="_Toc2912"/>
    <w:bookmarkStart w:id="3954" w:name="_Toc26067"/>
    <w:p w:rsidR="00800760" w:rsidRDefault="00C22A7B">
      <w:pPr>
        <w:keepNext/>
        <w:spacing w:before="120" w:after="120"/>
        <w:ind w:firstLine="560"/>
        <w:jc w:val="center"/>
        <w:outlineLvl w:val="1"/>
        <w:rPr>
          <w:rFonts w:eastAsia="黑体" w:cs="Arial"/>
          <w:spacing w:val="6"/>
          <w:sz w:val="28"/>
          <w:szCs w:val="28"/>
        </w:rPr>
      </w:pPr>
      <w:r w:rsidRPr="00C22A7B">
        <w:rPr>
          <w:rFonts w:ascii="黑体" w:eastAsia="黑体" w:hAnsi="黑体" w:cs="Arial"/>
          <w:spacing w:val="6"/>
          <w:kern w:val="16"/>
          <w:sz w:val="28"/>
          <w:szCs w:val="28"/>
        </w:rPr>
        <w:fldChar w:fldCharType="begin"/>
      </w:r>
      <w:r w:rsidR="00235733">
        <w:rPr>
          <w:rFonts w:eastAsia="黑体" w:cs="Arial"/>
          <w:spacing w:val="6"/>
          <w:kern w:val="16"/>
          <w:sz w:val="28"/>
          <w:szCs w:val="28"/>
        </w:rPr>
        <w:instrText xml:space="preserve"> HYPERLINK "file:///E:\\</w:instrText>
      </w:r>
      <w:r w:rsidR="00235733">
        <w:rPr>
          <w:rFonts w:eastAsia="黑体" w:cs="Arial"/>
          <w:spacing w:val="6"/>
          <w:kern w:val="16"/>
          <w:sz w:val="28"/>
          <w:szCs w:val="28"/>
        </w:rPr>
        <w:instrText>处室工作</w:instrText>
      </w:r>
      <w:r w:rsidR="00235733">
        <w:rPr>
          <w:rFonts w:eastAsia="黑体" w:cs="Arial"/>
          <w:spacing w:val="6"/>
          <w:kern w:val="16"/>
          <w:sz w:val="28"/>
          <w:szCs w:val="28"/>
        </w:rPr>
        <w:instrText>\\2025</w:instrText>
      </w:r>
      <w:r w:rsidR="00235733">
        <w:rPr>
          <w:rFonts w:eastAsia="黑体" w:cs="Arial"/>
          <w:spacing w:val="6"/>
          <w:kern w:val="16"/>
          <w:sz w:val="28"/>
          <w:szCs w:val="28"/>
        </w:rPr>
        <w:instrText>年处室工作</w:instrText>
      </w:r>
      <w:r w:rsidR="00235733">
        <w:rPr>
          <w:rFonts w:eastAsia="黑体" w:cs="Arial"/>
          <w:spacing w:val="6"/>
          <w:kern w:val="16"/>
          <w:sz w:val="28"/>
          <w:szCs w:val="28"/>
        </w:rPr>
        <w:instrText>\\</w:instrText>
      </w:r>
      <w:r w:rsidR="00235733">
        <w:rPr>
          <w:rFonts w:eastAsia="黑体" w:cs="Arial"/>
          <w:spacing w:val="6"/>
          <w:kern w:val="16"/>
          <w:sz w:val="28"/>
          <w:szCs w:val="28"/>
        </w:rPr>
        <w:instrText>企服工作</w:instrText>
      </w:r>
      <w:r w:rsidR="00235733">
        <w:rPr>
          <w:rFonts w:eastAsia="黑体" w:cs="Arial"/>
          <w:spacing w:val="6"/>
          <w:kern w:val="16"/>
          <w:sz w:val="28"/>
          <w:szCs w:val="28"/>
        </w:rPr>
        <w:instrText>\\</w:instrText>
      </w:r>
      <w:r w:rsidR="00235733">
        <w:rPr>
          <w:rFonts w:eastAsia="黑体" w:cs="Arial"/>
          <w:spacing w:val="6"/>
          <w:kern w:val="16"/>
          <w:sz w:val="28"/>
          <w:szCs w:val="28"/>
        </w:rPr>
        <w:instrText>保护司课题</w:instrText>
      </w:r>
      <w:r w:rsidR="00235733">
        <w:rPr>
          <w:rFonts w:eastAsia="黑体" w:cs="Arial"/>
          <w:spacing w:val="6"/>
          <w:kern w:val="16"/>
          <w:sz w:val="28"/>
          <w:szCs w:val="28"/>
        </w:rPr>
        <w:instrText>\\</w:instrText>
      </w:r>
      <w:r w:rsidR="00235733">
        <w:rPr>
          <w:rFonts w:eastAsia="黑体" w:cs="Arial"/>
          <w:spacing w:val="6"/>
          <w:kern w:val="16"/>
          <w:sz w:val="28"/>
          <w:szCs w:val="28"/>
        </w:rPr>
        <w:instrText>重大药链开放许可</w:instrText>
      </w:r>
      <w:r w:rsidR="00235733">
        <w:rPr>
          <w:rFonts w:eastAsia="黑体" w:cs="Arial"/>
          <w:spacing w:val="6"/>
          <w:kern w:val="16"/>
          <w:sz w:val="28"/>
          <w:szCs w:val="28"/>
        </w:rPr>
        <w:instrText>\\</w:instrText>
      </w:r>
      <w:r w:rsidR="00235733">
        <w:rPr>
          <w:rFonts w:eastAsia="黑体" w:cs="Arial"/>
          <w:spacing w:val="6"/>
          <w:kern w:val="16"/>
          <w:sz w:val="28"/>
          <w:szCs w:val="28"/>
        </w:rPr>
        <w:instrText>专利纠纷行政裁决和调解办法目录</w:instrText>
      </w:r>
      <w:r w:rsidR="00235733">
        <w:rPr>
          <w:rFonts w:eastAsia="黑体" w:cs="Arial"/>
          <w:spacing w:val="6"/>
          <w:kern w:val="16"/>
          <w:sz w:val="28"/>
          <w:szCs w:val="28"/>
        </w:rPr>
        <w:instrText xml:space="preserve">0113.doc" \l "_Toc28593085" </w:instrText>
      </w:r>
      <w:r w:rsidRPr="00C22A7B">
        <w:rPr>
          <w:rFonts w:ascii="黑体" w:eastAsia="黑体" w:hAnsi="黑体" w:cs="Arial"/>
          <w:spacing w:val="6"/>
          <w:kern w:val="16"/>
          <w:sz w:val="28"/>
          <w:szCs w:val="28"/>
        </w:rPr>
        <w:fldChar w:fldCharType="separate"/>
      </w:r>
      <w:bookmarkStart w:id="3955" w:name="_Toc229225512"/>
      <w:bookmarkStart w:id="3956" w:name="_Toc229114416"/>
      <w:bookmarkStart w:id="3957" w:name="_Toc191478197"/>
      <w:bookmarkStart w:id="3958" w:name="_Toc217908671"/>
      <w:r w:rsidR="00235733">
        <w:rPr>
          <w:rFonts w:eastAsia="黑体" w:cs="Arial" w:hint="eastAsia"/>
          <w:spacing w:val="6"/>
          <w:kern w:val="16"/>
          <w:sz w:val="28"/>
          <w:szCs w:val="28"/>
        </w:rPr>
        <w:t xml:space="preserve">第一节　</w:t>
      </w:r>
      <w:bookmarkEnd w:id="3957"/>
      <w:bookmarkEnd w:id="3958"/>
      <w:r w:rsidR="00235733">
        <w:rPr>
          <w:rFonts w:eastAsia="黑体" w:cs="Arial" w:hint="eastAsia"/>
          <w:spacing w:val="6"/>
          <w:kern w:val="16"/>
          <w:sz w:val="28"/>
          <w:szCs w:val="28"/>
        </w:rPr>
        <w:t>基本概念</w:t>
      </w:r>
      <w:bookmarkEnd w:id="3955"/>
      <w:bookmarkEnd w:id="3956"/>
      <w:r w:rsidR="00235733">
        <w:rPr>
          <w:rFonts w:eastAsia="黑体" w:cs="Arial"/>
          <w:spacing w:val="6"/>
          <w:kern w:val="16"/>
          <w:sz w:val="28"/>
          <w:szCs w:val="28"/>
        </w:rPr>
        <w:tab/>
      </w:r>
      <w:r>
        <w:rPr>
          <w:rFonts w:eastAsia="黑体" w:cs="Arial"/>
          <w:spacing w:val="6"/>
          <w:kern w:val="16"/>
          <w:sz w:val="28"/>
          <w:szCs w:val="28"/>
        </w:rPr>
        <w:fldChar w:fldCharType="end"/>
      </w:r>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p>
    <w:p w:rsidR="00800760" w:rsidRDefault="00235733">
      <w:pPr>
        <w:pStyle w:val="3"/>
        <w:spacing w:before="240"/>
        <w:ind w:firstLine="444"/>
      </w:pPr>
      <w:bookmarkStart w:id="3959" w:name="_Toc7406"/>
      <w:bookmarkStart w:id="3960" w:name="_Toc229114417"/>
      <w:bookmarkStart w:id="3961" w:name="_Toc14720"/>
      <w:bookmarkStart w:id="3962" w:name="_Toc12444"/>
      <w:bookmarkStart w:id="3963" w:name="_Toc23704"/>
      <w:bookmarkStart w:id="3964" w:name="_Toc530"/>
      <w:bookmarkStart w:id="3965" w:name="_Toc31225"/>
      <w:bookmarkStart w:id="3966" w:name="_Toc22436"/>
      <w:bookmarkStart w:id="3967" w:name="_Toc5729"/>
      <w:bookmarkStart w:id="3968" w:name="_Toc3823"/>
      <w:bookmarkStart w:id="3969" w:name="_Toc10484"/>
      <w:bookmarkStart w:id="3970" w:name="_Toc11862"/>
      <w:bookmarkStart w:id="3971" w:name="_Toc22879"/>
      <w:bookmarkStart w:id="3972" w:name="_Toc12927"/>
      <w:bookmarkStart w:id="3973" w:name="_Toc3450"/>
      <w:bookmarkStart w:id="3974" w:name="_Toc20643"/>
      <w:bookmarkStart w:id="3975" w:name="_Toc2971"/>
      <w:bookmarkStart w:id="3976" w:name="_Toc8904"/>
      <w:bookmarkStart w:id="3977" w:name="_Toc21558"/>
      <w:bookmarkStart w:id="3978" w:name="_Toc26059"/>
      <w:bookmarkStart w:id="3979" w:name="_Toc9186"/>
      <w:bookmarkStart w:id="3980" w:name="_Toc191478198"/>
      <w:bookmarkStart w:id="3981" w:name="_Toc20405"/>
      <w:bookmarkStart w:id="3982" w:name="_Toc1811"/>
      <w:bookmarkStart w:id="3983" w:name="_Toc20892"/>
      <w:bookmarkStart w:id="3984" w:name="_Toc20887"/>
      <w:bookmarkStart w:id="3985" w:name="_Toc3650"/>
      <w:bookmarkStart w:id="3986" w:name="_Toc21845"/>
      <w:bookmarkStart w:id="3987" w:name="_Toc22818"/>
      <w:bookmarkStart w:id="3988" w:name="_Toc11979"/>
      <w:bookmarkStart w:id="3989" w:name="_Toc4196"/>
      <w:bookmarkStart w:id="3990" w:name="_Toc6529"/>
      <w:bookmarkStart w:id="3991" w:name="_Toc11729"/>
      <w:bookmarkStart w:id="3992" w:name="_Toc19373"/>
      <w:bookmarkStart w:id="3993" w:name="_Toc24480"/>
      <w:bookmarkStart w:id="3994" w:name="_Toc11722"/>
      <w:bookmarkStart w:id="3995" w:name="_Toc21600"/>
      <w:bookmarkStart w:id="3996" w:name="_Toc21091"/>
      <w:bookmarkStart w:id="3997" w:name="_Toc217908672"/>
      <w:bookmarkStart w:id="3998" w:name="_Toc21849"/>
      <w:bookmarkStart w:id="3999" w:name="_Toc434"/>
      <w:bookmarkStart w:id="4000" w:name="_Toc18710"/>
      <w:bookmarkStart w:id="4001" w:name="_Toc22669"/>
      <w:bookmarkStart w:id="4002" w:name="_Toc18887"/>
      <w:bookmarkStart w:id="4003" w:name="_Toc29343"/>
      <w:bookmarkStart w:id="4004" w:name="_Toc229225513"/>
      <w:r>
        <w:rPr>
          <w:rFonts w:hint="eastAsia"/>
        </w:rPr>
        <w:t>一、药品信息登记与公开</w:t>
      </w:r>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p>
    <w:p w:rsidR="00800760" w:rsidRDefault="00235733">
      <w:pPr>
        <w:rPr>
          <w:szCs w:val="21"/>
        </w:rPr>
      </w:pPr>
      <w:r>
        <w:rPr>
          <w:rFonts w:hint="eastAsia"/>
          <w:szCs w:val="21"/>
        </w:rPr>
        <w:t>药品上市许可持有人在中国上市药品专利信息登记平台登记</w:t>
      </w:r>
      <w:r>
        <w:rPr>
          <w:szCs w:val="21"/>
        </w:rPr>
        <w:t>在中国境内注册上市的药品相关专利信息。</w:t>
      </w:r>
      <w:r>
        <w:rPr>
          <w:rFonts w:hint="eastAsia"/>
          <w:szCs w:val="21"/>
        </w:rPr>
        <w:t>相关信息发生变化的，药品上市许可持有人应当在信息变更生效后</w:t>
      </w:r>
      <w:r>
        <w:rPr>
          <w:rFonts w:hint="eastAsia"/>
          <w:szCs w:val="21"/>
        </w:rPr>
        <w:t>30</w:t>
      </w:r>
      <w:r>
        <w:rPr>
          <w:rFonts w:hint="eastAsia"/>
          <w:szCs w:val="21"/>
        </w:rPr>
        <w:t>日内完成更新。</w:t>
      </w:r>
    </w:p>
    <w:p w:rsidR="00800760" w:rsidRDefault="00235733">
      <w:pPr>
        <w:rPr>
          <w:szCs w:val="21"/>
        </w:rPr>
      </w:pPr>
      <w:r>
        <w:rPr>
          <w:rFonts w:hint="eastAsia"/>
          <w:szCs w:val="21"/>
        </w:rPr>
        <w:t>未在中国上市药品专利信息登记平台登记相关专利信息的，不适用本办法。</w:t>
      </w:r>
    </w:p>
    <w:p w:rsidR="00800760" w:rsidRDefault="00235733">
      <w:pPr>
        <w:pStyle w:val="3"/>
        <w:spacing w:before="240"/>
        <w:ind w:firstLine="444"/>
      </w:pPr>
      <w:bookmarkStart w:id="4005" w:name="_Toc191478202"/>
      <w:bookmarkStart w:id="4006" w:name="_Toc229114418"/>
      <w:bookmarkStart w:id="4007" w:name="_Toc229225514"/>
      <w:r>
        <w:rPr>
          <w:rFonts w:hint="eastAsia"/>
        </w:rPr>
        <w:t>二、仿制药专利声明</w:t>
      </w:r>
      <w:bookmarkEnd w:id="4005"/>
      <w:bookmarkEnd w:id="4006"/>
      <w:bookmarkEnd w:id="4007"/>
    </w:p>
    <w:p w:rsidR="00800760" w:rsidRDefault="00235733">
      <w:pPr>
        <w:rPr>
          <w:szCs w:val="21"/>
        </w:rPr>
      </w:pPr>
      <w:r>
        <w:rPr>
          <w:rFonts w:hint="eastAsia"/>
          <w:bCs/>
          <w:szCs w:val="21"/>
        </w:rPr>
        <w:t>化学仿制药申请人、中药同名同方药申请人、生物类似药申请人提交药品上市许可申请时，应当对照已在中国上市药品专利信息登记平台公开的专利信息，</w:t>
      </w:r>
      <w:r>
        <w:rPr>
          <w:rFonts w:hint="eastAsia"/>
          <w:szCs w:val="21"/>
        </w:rPr>
        <w:t>针对被仿制药每一件相关的药品专利作出声明。声明分为四类：</w:t>
      </w:r>
    </w:p>
    <w:p w:rsidR="00800760" w:rsidRDefault="00235733">
      <w:pPr>
        <w:rPr>
          <w:szCs w:val="21"/>
        </w:rPr>
      </w:pPr>
      <w:r>
        <w:rPr>
          <w:rFonts w:hint="eastAsia"/>
          <w:szCs w:val="21"/>
        </w:rPr>
        <w:t>一类声明：中国上市药品专利信息登记平台中没有被仿制药的相关专利信息；</w:t>
      </w:r>
    </w:p>
    <w:p w:rsidR="00800760" w:rsidRDefault="00235733">
      <w:pPr>
        <w:rPr>
          <w:szCs w:val="21"/>
        </w:rPr>
      </w:pPr>
      <w:r>
        <w:rPr>
          <w:rFonts w:hint="eastAsia"/>
          <w:szCs w:val="21"/>
        </w:rPr>
        <w:t>二类声明：中国上市药品专利信息登记平台收录的被仿制药相关专利权已终止或者被宣告无效，或者仿制药申请人已获得专利权人相关专利实施许可；</w:t>
      </w:r>
    </w:p>
    <w:p w:rsidR="00800760" w:rsidRDefault="00235733">
      <w:pPr>
        <w:rPr>
          <w:szCs w:val="21"/>
        </w:rPr>
      </w:pPr>
      <w:r>
        <w:rPr>
          <w:rFonts w:hint="eastAsia"/>
          <w:szCs w:val="21"/>
        </w:rPr>
        <w:t>三类声明：中国上市药品专利信息登记平台收录有被仿制药相关专利，仿制药申请人承诺在相应专利权有效期届满之前所申请的仿制药暂不上市；</w:t>
      </w:r>
    </w:p>
    <w:p w:rsidR="00800760" w:rsidRDefault="00235733">
      <w:pPr>
        <w:rPr>
          <w:szCs w:val="21"/>
        </w:rPr>
      </w:pPr>
      <w:r>
        <w:rPr>
          <w:rFonts w:hint="eastAsia"/>
          <w:szCs w:val="21"/>
        </w:rPr>
        <w:t>四类声明：中国上市药品专利信息登记平台收录的被仿制药相关专利权应当被宣告无效，或者其仿制药未落入相关专利权保护范围。</w:t>
      </w:r>
    </w:p>
    <w:p w:rsidR="00800760" w:rsidRDefault="00235733">
      <w:pPr>
        <w:rPr>
          <w:sz w:val="24"/>
        </w:rPr>
      </w:pPr>
      <w:r>
        <w:rPr>
          <w:rFonts w:hint="eastAsia"/>
          <w:szCs w:val="21"/>
        </w:rPr>
        <w:t>仿制药申请人对相关声明的真实性、准确性负责。</w:t>
      </w:r>
    </w:p>
    <w:p w:rsidR="00800760" w:rsidRDefault="00235733">
      <w:pPr>
        <w:pStyle w:val="3"/>
        <w:spacing w:before="240"/>
        <w:ind w:firstLine="444"/>
      </w:pPr>
      <w:bookmarkStart w:id="4008" w:name="_Toc191478204"/>
      <w:bookmarkStart w:id="4009" w:name="_Toc229114419"/>
      <w:bookmarkStart w:id="4010" w:name="_Toc229225515"/>
      <w:r>
        <w:rPr>
          <w:rFonts w:hint="eastAsia"/>
        </w:rPr>
        <w:t>三、批准等待期</w:t>
      </w:r>
      <w:bookmarkEnd w:id="4008"/>
      <w:bookmarkEnd w:id="4009"/>
      <w:bookmarkEnd w:id="4010"/>
    </w:p>
    <w:p w:rsidR="00800760" w:rsidRDefault="00235733">
      <w:pPr>
        <w:ind w:firstLineChars="0" w:firstLine="0"/>
        <w:rPr>
          <w:szCs w:val="21"/>
        </w:rPr>
      </w:pPr>
      <w:r>
        <w:rPr>
          <w:rFonts w:hint="eastAsia"/>
          <w:szCs w:val="21"/>
        </w:rPr>
        <w:t>专利权人或者利害关系人对四类专利声明有异议的，可以自国家药品审评机构公开药品上市许可申请之日起</w:t>
      </w:r>
      <w:r>
        <w:rPr>
          <w:rFonts w:hint="eastAsia"/>
          <w:szCs w:val="21"/>
        </w:rPr>
        <w:t>45</w:t>
      </w:r>
      <w:r>
        <w:rPr>
          <w:rFonts w:hint="eastAsia"/>
          <w:szCs w:val="21"/>
        </w:rPr>
        <w:t>日内，就申请上市药品的相关技术方案是否落入相关专利权保护范围向人民法院提起诉讼或者向国务院专利行政部门请求行政裁决。专利权人或者利害关系人如在规定期限内提起诉讼或者请求行政裁决的，应当自人民法院立案或者国务院专利行政部门受理之日起</w:t>
      </w:r>
      <w:r>
        <w:rPr>
          <w:rFonts w:hint="eastAsia"/>
          <w:szCs w:val="21"/>
        </w:rPr>
        <w:t>1</w:t>
      </w:r>
      <w:r>
        <w:rPr>
          <w:szCs w:val="21"/>
        </w:rPr>
        <w:t>5</w:t>
      </w:r>
      <w:r>
        <w:rPr>
          <w:rFonts w:hint="eastAsia"/>
          <w:szCs w:val="21"/>
        </w:rPr>
        <w:t>个工作日内将立案或受理通知书副本提交国家药品审评机构，并通知仿制药申请人。</w:t>
      </w:r>
    </w:p>
    <w:p w:rsidR="00800760" w:rsidRDefault="00235733">
      <w:pPr>
        <w:rPr>
          <w:szCs w:val="21"/>
        </w:rPr>
      </w:pPr>
      <w:r>
        <w:rPr>
          <w:rFonts w:hint="eastAsia"/>
          <w:szCs w:val="21"/>
        </w:rPr>
        <w:t>收到人民法院立案或者国务院专利行政部门受理通知书副本后，国务院药品监督管理部门对化学仿制药注册申请设置</w:t>
      </w:r>
      <w:r>
        <w:rPr>
          <w:rFonts w:hint="eastAsia"/>
          <w:szCs w:val="21"/>
        </w:rPr>
        <w:t>9</w:t>
      </w:r>
      <w:r>
        <w:rPr>
          <w:rFonts w:hint="eastAsia"/>
          <w:szCs w:val="21"/>
        </w:rPr>
        <w:t>个月的等待期。</w:t>
      </w:r>
    </w:p>
    <w:p w:rsidR="00800760" w:rsidRDefault="00235733">
      <w:pPr>
        <w:rPr>
          <w:szCs w:val="21"/>
        </w:rPr>
      </w:pPr>
      <w:r>
        <w:rPr>
          <w:bCs/>
          <w:szCs w:val="21"/>
        </w:rPr>
        <w:t>对化学仿制药申请人声明中国上市药品专利信息登记平台收录的被仿制药相关专利权应当被宣告无效的，如果专利权人或者利害关系人未就上市药品的相关技术方案是否落入相关专利权保护范围向人民法院提起诉讼或者向国务院专利行政部门请求行政裁决，不启动等待期。</w:t>
      </w:r>
    </w:p>
    <w:p w:rsidR="00800760" w:rsidRDefault="00235733">
      <w:pPr>
        <w:pStyle w:val="2"/>
        <w:ind w:firstLine="584"/>
      </w:pPr>
      <w:bookmarkStart w:id="4011" w:name="_Toc23818"/>
      <w:bookmarkStart w:id="4012" w:name="_Toc19039"/>
      <w:bookmarkStart w:id="4013" w:name="_Toc7212"/>
      <w:bookmarkStart w:id="4014" w:name="_Toc26389"/>
      <w:bookmarkStart w:id="4015" w:name="_Toc2135"/>
      <w:bookmarkStart w:id="4016" w:name="_Toc15774"/>
      <w:bookmarkStart w:id="4017" w:name="_Toc17731"/>
      <w:bookmarkStart w:id="4018" w:name="_Toc217908674"/>
      <w:bookmarkStart w:id="4019" w:name="_Toc22552"/>
      <w:bookmarkStart w:id="4020" w:name="_Toc2621"/>
      <w:bookmarkStart w:id="4021" w:name="_Toc18708"/>
      <w:bookmarkStart w:id="4022" w:name="_Toc932"/>
      <w:bookmarkStart w:id="4023" w:name="_Toc1123"/>
      <w:bookmarkStart w:id="4024" w:name="_Toc19856"/>
      <w:bookmarkStart w:id="4025" w:name="_Toc14797"/>
      <w:bookmarkStart w:id="4026" w:name="_Toc14391"/>
      <w:bookmarkStart w:id="4027" w:name="_Toc15304"/>
      <w:bookmarkStart w:id="4028" w:name="_Toc9729"/>
      <w:bookmarkStart w:id="4029" w:name="_Toc16198"/>
      <w:bookmarkStart w:id="4030" w:name="_Toc9977"/>
      <w:bookmarkStart w:id="4031" w:name="_Toc32078"/>
      <w:bookmarkStart w:id="4032" w:name="_Toc16838"/>
      <w:bookmarkStart w:id="4033" w:name="_Toc29405"/>
      <w:bookmarkStart w:id="4034" w:name="_Toc15495"/>
      <w:bookmarkStart w:id="4035" w:name="_Toc29865"/>
      <w:bookmarkStart w:id="4036" w:name="_Toc16415"/>
      <w:bookmarkStart w:id="4037" w:name="_Toc23429"/>
      <w:bookmarkStart w:id="4038" w:name="_Toc19682"/>
      <w:bookmarkStart w:id="4039" w:name="_Toc7434"/>
      <w:bookmarkStart w:id="4040" w:name="_Toc9358"/>
      <w:bookmarkStart w:id="4041" w:name="_Toc26930"/>
      <w:bookmarkStart w:id="4042" w:name="_Toc191478207"/>
      <w:bookmarkStart w:id="4043" w:name="_Toc6394"/>
      <w:bookmarkStart w:id="4044" w:name="_Toc24002"/>
      <w:bookmarkStart w:id="4045" w:name="_Toc28456"/>
      <w:bookmarkStart w:id="4046" w:name="_Toc18285"/>
      <w:bookmarkStart w:id="4047" w:name="_Toc22894"/>
      <w:bookmarkStart w:id="4048" w:name="_Toc25829"/>
      <w:bookmarkStart w:id="4049" w:name="_Toc27038"/>
      <w:bookmarkStart w:id="4050" w:name="_Toc12565"/>
      <w:bookmarkStart w:id="4051" w:name="_Toc2421"/>
      <w:bookmarkStart w:id="4052" w:name="_Toc9177"/>
      <w:bookmarkStart w:id="4053" w:name="_Toc12046"/>
      <w:bookmarkStart w:id="4054" w:name="_Toc12345"/>
      <w:bookmarkStart w:id="4055" w:name="_Toc7688"/>
      <w:bookmarkStart w:id="4056" w:name="_Toc229114420"/>
      <w:bookmarkStart w:id="4057" w:name="_Toc32423"/>
      <w:bookmarkStart w:id="4058" w:name="_Toc229225516"/>
      <w:r>
        <w:rPr>
          <w:rFonts w:hint="eastAsia"/>
        </w:rPr>
        <w:t>第二节　案件受理</w:t>
      </w:r>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p>
    <w:p w:rsidR="00800760" w:rsidRDefault="00235733">
      <w:pPr>
        <w:pStyle w:val="3"/>
        <w:spacing w:before="240"/>
        <w:ind w:firstLine="444"/>
      </w:pPr>
      <w:bookmarkStart w:id="4059" w:name="_Toc28565"/>
      <w:bookmarkStart w:id="4060" w:name="_Toc24567"/>
      <w:bookmarkStart w:id="4061" w:name="_Toc27462"/>
      <w:bookmarkStart w:id="4062" w:name="_Toc12043"/>
      <w:bookmarkStart w:id="4063" w:name="_Toc29986"/>
      <w:bookmarkStart w:id="4064" w:name="_Toc14444"/>
      <w:bookmarkStart w:id="4065" w:name="_Toc15457"/>
      <w:bookmarkStart w:id="4066" w:name="_Toc19045"/>
      <w:bookmarkStart w:id="4067" w:name="_Toc6959"/>
      <w:bookmarkStart w:id="4068" w:name="_Toc2724"/>
      <w:bookmarkStart w:id="4069" w:name="_Toc24375"/>
      <w:bookmarkStart w:id="4070" w:name="_Toc23016"/>
      <w:bookmarkStart w:id="4071" w:name="_Toc32444"/>
      <w:bookmarkStart w:id="4072" w:name="_Toc9539"/>
      <w:bookmarkStart w:id="4073" w:name="_Toc191478208"/>
      <w:bookmarkStart w:id="4074" w:name="_Toc2970"/>
      <w:bookmarkStart w:id="4075" w:name="_Toc11048"/>
      <w:bookmarkStart w:id="4076" w:name="_Toc22608"/>
      <w:bookmarkStart w:id="4077" w:name="_Toc7491"/>
      <w:bookmarkStart w:id="4078" w:name="_Toc29052"/>
      <w:bookmarkStart w:id="4079" w:name="_Toc6470"/>
      <w:bookmarkStart w:id="4080" w:name="_Toc1657"/>
      <w:bookmarkStart w:id="4081" w:name="_Toc18026"/>
      <w:bookmarkStart w:id="4082" w:name="_Toc15162"/>
      <w:bookmarkStart w:id="4083" w:name="_Toc2455"/>
      <w:bookmarkStart w:id="4084" w:name="_Toc24501"/>
      <w:bookmarkStart w:id="4085" w:name="_Toc11828"/>
      <w:bookmarkStart w:id="4086" w:name="_Toc1020"/>
      <w:bookmarkStart w:id="4087" w:name="_Toc20134"/>
      <w:bookmarkStart w:id="4088" w:name="_Toc2767"/>
      <w:bookmarkStart w:id="4089" w:name="_Toc29514"/>
      <w:bookmarkStart w:id="4090" w:name="_Toc21784"/>
      <w:bookmarkStart w:id="4091" w:name="_Toc25697"/>
      <w:bookmarkStart w:id="4092" w:name="_Toc13376"/>
      <w:bookmarkStart w:id="4093" w:name="_Toc16730"/>
      <w:bookmarkStart w:id="4094" w:name="_Toc20506"/>
      <w:bookmarkStart w:id="4095" w:name="_Toc23948"/>
      <w:bookmarkStart w:id="4096" w:name="_Toc27718"/>
      <w:bookmarkStart w:id="4097" w:name="_Toc3269"/>
      <w:bookmarkStart w:id="4098" w:name="_Toc16141"/>
      <w:bookmarkStart w:id="4099" w:name="_Toc5639"/>
      <w:bookmarkStart w:id="4100" w:name="_Toc8244"/>
      <w:bookmarkStart w:id="4101" w:name="_Toc229114421"/>
      <w:bookmarkStart w:id="4102" w:name="_Toc217908675"/>
      <w:bookmarkStart w:id="4103" w:name="_Toc19798"/>
      <w:bookmarkStart w:id="4104" w:name="_Toc229225517"/>
      <w:r>
        <w:rPr>
          <w:rFonts w:hint="eastAsia"/>
        </w:rPr>
        <w:t>一、请求人和被请求人</w:t>
      </w:r>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p>
    <w:p w:rsidR="00800760" w:rsidRDefault="00235733">
      <w:pPr>
        <w:rPr>
          <w:szCs w:val="21"/>
        </w:rPr>
      </w:pPr>
      <w:r>
        <w:rPr>
          <w:rFonts w:hint="eastAsia"/>
          <w:szCs w:val="21"/>
        </w:rPr>
        <w:t>在药品上市审评审批过程中，专利权人或其利害关系人可以提起积极确认请求，即请求确认申请上市许可的药品相关技术方案落入相关专利权的保护范围；药品上市许可申请人可以提起消极确认请求，即请求确认申请上市许可的药品相关技术方案未落入相关专利权的保护范围。</w:t>
      </w:r>
    </w:p>
    <w:p w:rsidR="00800760" w:rsidRDefault="00235733">
      <w:pPr>
        <w:rPr>
          <w:szCs w:val="21"/>
        </w:rPr>
      </w:pPr>
      <w:r>
        <w:rPr>
          <w:rFonts w:hint="eastAsia"/>
          <w:szCs w:val="21"/>
        </w:rPr>
        <w:t>（</w:t>
      </w:r>
      <w:r>
        <w:rPr>
          <w:szCs w:val="21"/>
        </w:rPr>
        <w:t>1</w:t>
      </w:r>
      <w:r>
        <w:rPr>
          <w:szCs w:val="21"/>
        </w:rPr>
        <w:t>）</w:t>
      </w:r>
      <w:r>
        <w:rPr>
          <w:rFonts w:hint="eastAsia"/>
          <w:szCs w:val="21"/>
        </w:rPr>
        <w:t>专利权人或其利害关系人提起积极确认请求的，应当以药品上市许可申请人作为被请求人。专利权属于多个专利权人共有的，应当由全体专利权人提出请求，部分共有专利权人明确表示放弃有关实体权利的除外。</w:t>
      </w:r>
    </w:p>
    <w:p w:rsidR="00800760" w:rsidRDefault="00235733">
      <w:pPr>
        <w:rPr>
          <w:szCs w:val="21"/>
        </w:rPr>
      </w:pPr>
      <w:r>
        <w:rPr>
          <w:rFonts w:hint="eastAsia"/>
          <w:szCs w:val="21"/>
        </w:rPr>
        <w:t>（</w:t>
      </w:r>
      <w:r>
        <w:rPr>
          <w:szCs w:val="21"/>
        </w:rPr>
        <w:t>2</w:t>
      </w:r>
      <w:r>
        <w:rPr>
          <w:rFonts w:hint="eastAsia"/>
          <w:szCs w:val="21"/>
        </w:rPr>
        <w:t>）相关专利的被许可人和登记的药品上市许可持有人可以作为利害关系人提起积极确认请求。药品上市许可持有人或独占实施许可合同的被许可人可以以自己的名义提出请求；排他实施许可合同的被许可人在专利权人不提出请求的情况下，可以以自己的名义提出请求。</w:t>
      </w:r>
      <w:r>
        <w:rPr>
          <w:szCs w:val="21"/>
        </w:rPr>
        <w:t xml:space="preserve"> </w:t>
      </w:r>
    </w:p>
    <w:p w:rsidR="00800760" w:rsidRDefault="00235733">
      <w:pPr>
        <w:rPr>
          <w:szCs w:val="21"/>
        </w:rPr>
      </w:pPr>
      <w:r>
        <w:rPr>
          <w:rFonts w:hint="eastAsia"/>
          <w:szCs w:val="21"/>
        </w:rPr>
        <w:t>（</w:t>
      </w:r>
      <w:r>
        <w:rPr>
          <w:szCs w:val="21"/>
        </w:rPr>
        <w:t>3</w:t>
      </w:r>
      <w:r>
        <w:rPr>
          <w:rFonts w:hint="eastAsia"/>
          <w:szCs w:val="21"/>
        </w:rPr>
        <w:t>）化学仿制药、生物类似药和中药同名同方药的上市许可申请人，提出第四类声明的，可以作为药品上市许可申请人提起消极确认请求。</w:t>
      </w:r>
    </w:p>
    <w:p w:rsidR="00800760" w:rsidRDefault="00235733">
      <w:pPr>
        <w:rPr>
          <w:szCs w:val="21"/>
        </w:rPr>
      </w:pPr>
      <w:r>
        <w:rPr>
          <w:rFonts w:hint="eastAsia"/>
          <w:szCs w:val="21"/>
        </w:rPr>
        <w:t>（</w:t>
      </w:r>
      <w:r>
        <w:rPr>
          <w:szCs w:val="21"/>
        </w:rPr>
        <w:t>4</w:t>
      </w:r>
      <w:r>
        <w:rPr>
          <w:rFonts w:hint="eastAsia"/>
          <w:szCs w:val="21"/>
        </w:rPr>
        <w:t>）专利权人或者其利害关系人自国家药品审评机构公开药品上市许可申请之日起</w:t>
      </w:r>
      <w:r>
        <w:rPr>
          <w:szCs w:val="21"/>
        </w:rPr>
        <w:t>45</w:t>
      </w:r>
      <w:r>
        <w:rPr>
          <w:rFonts w:hint="eastAsia"/>
          <w:szCs w:val="21"/>
        </w:rPr>
        <w:t>日内，未就该药品专利纠纷向人民法院起诉或者向国务院专利行政部门提起行政裁决请求的，药品上市许可申请人可以提起消极确认请求。</w:t>
      </w:r>
    </w:p>
    <w:p w:rsidR="00800760" w:rsidRDefault="00235733">
      <w:pPr>
        <w:rPr>
          <w:szCs w:val="21"/>
        </w:rPr>
      </w:pPr>
      <w:r>
        <w:rPr>
          <w:rFonts w:hint="eastAsia"/>
          <w:szCs w:val="21"/>
        </w:rPr>
        <w:t>（</w:t>
      </w:r>
      <w:r>
        <w:rPr>
          <w:szCs w:val="21"/>
        </w:rPr>
        <w:t>5</w:t>
      </w:r>
      <w:r>
        <w:rPr>
          <w:rFonts w:hint="eastAsia"/>
          <w:szCs w:val="21"/>
        </w:rPr>
        <w:t>）药品上市许可申请人提起消极确认请求的，应当以专利权人作为被请求人。</w:t>
      </w:r>
    </w:p>
    <w:p w:rsidR="00800760" w:rsidRDefault="00235733">
      <w:pPr>
        <w:rPr>
          <w:szCs w:val="21"/>
        </w:rPr>
      </w:pPr>
      <w:r>
        <w:rPr>
          <w:rFonts w:hint="eastAsia"/>
          <w:szCs w:val="21"/>
        </w:rPr>
        <w:t>当事人的主体资格不符合以上受理条件的，其行政裁决请求不予受理。</w:t>
      </w:r>
      <w:bookmarkStart w:id="4105" w:name="_Toc72418749"/>
    </w:p>
    <w:p w:rsidR="00800760" w:rsidRDefault="00235733">
      <w:pPr>
        <w:pStyle w:val="3"/>
        <w:spacing w:before="240"/>
        <w:ind w:firstLine="444"/>
      </w:pPr>
      <w:bookmarkStart w:id="4106" w:name="_Toc31200"/>
      <w:bookmarkStart w:id="4107" w:name="_Toc17793"/>
      <w:bookmarkStart w:id="4108" w:name="_Toc7587"/>
      <w:bookmarkStart w:id="4109" w:name="_Toc191478209"/>
      <w:bookmarkStart w:id="4110" w:name="_Toc2281"/>
      <w:bookmarkStart w:id="4111" w:name="_Toc28776"/>
      <w:bookmarkStart w:id="4112" w:name="_Toc16921"/>
      <w:bookmarkStart w:id="4113" w:name="_Toc24034"/>
      <w:bookmarkStart w:id="4114" w:name="_Toc13345"/>
      <w:bookmarkStart w:id="4115" w:name="_Toc30908"/>
      <w:bookmarkStart w:id="4116" w:name="_Toc24935"/>
      <w:bookmarkStart w:id="4117" w:name="_Toc12638"/>
      <w:bookmarkStart w:id="4118" w:name="_Toc2232"/>
      <w:bookmarkStart w:id="4119" w:name="_Toc11186"/>
      <w:bookmarkStart w:id="4120" w:name="_Toc23048"/>
      <w:bookmarkStart w:id="4121" w:name="_Toc17305"/>
      <w:bookmarkStart w:id="4122" w:name="_Toc23970"/>
      <w:bookmarkStart w:id="4123" w:name="_Toc10775"/>
      <w:bookmarkStart w:id="4124" w:name="_Toc14691"/>
      <w:bookmarkStart w:id="4125" w:name="_Toc772"/>
      <w:bookmarkStart w:id="4126" w:name="_Toc18332"/>
      <w:bookmarkStart w:id="4127" w:name="_Toc13450"/>
      <w:bookmarkStart w:id="4128" w:name="_Toc17935"/>
      <w:bookmarkStart w:id="4129" w:name="_Toc14212"/>
      <w:bookmarkStart w:id="4130" w:name="_Toc12958"/>
      <w:bookmarkStart w:id="4131" w:name="_Toc21512"/>
      <w:bookmarkStart w:id="4132" w:name="_Toc10739"/>
      <w:bookmarkStart w:id="4133" w:name="_Toc4912"/>
      <w:bookmarkStart w:id="4134" w:name="_Toc3721"/>
      <w:bookmarkStart w:id="4135" w:name="_Toc24004"/>
      <w:bookmarkStart w:id="4136" w:name="_Toc27602"/>
      <w:bookmarkStart w:id="4137" w:name="_Toc20388"/>
      <w:bookmarkStart w:id="4138" w:name="_Toc24519"/>
      <w:bookmarkStart w:id="4139" w:name="_Toc29658"/>
      <w:bookmarkStart w:id="4140" w:name="_Toc10367"/>
      <w:bookmarkStart w:id="4141" w:name="_Toc15519"/>
      <w:bookmarkStart w:id="4142" w:name="_Toc21984"/>
      <w:bookmarkStart w:id="4143" w:name="_Toc26559"/>
      <w:bookmarkStart w:id="4144" w:name="_Toc18995"/>
      <w:bookmarkStart w:id="4145" w:name="_Toc217908676"/>
      <w:bookmarkStart w:id="4146" w:name="_Toc5815"/>
      <w:bookmarkStart w:id="4147" w:name="_Toc21159"/>
      <w:bookmarkStart w:id="4148" w:name="_Toc13645"/>
      <w:bookmarkStart w:id="4149" w:name="_Toc229114422"/>
      <w:bookmarkStart w:id="4150" w:name="_Toc799"/>
      <w:bookmarkStart w:id="4151" w:name="_Toc229225518"/>
      <w:r>
        <w:rPr>
          <w:rFonts w:hint="eastAsia"/>
        </w:rPr>
        <w:t>二、药品专利信息</w:t>
      </w:r>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p>
    <w:p w:rsidR="00800760" w:rsidRDefault="00235733">
      <w:pPr>
        <w:rPr>
          <w:szCs w:val="21"/>
        </w:rPr>
      </w:pPr>
      <w:r>
        <w:rPr>
          <w:rFonts w:hint="eastAsia"/>
          <w:szCs w:val="21"/>
        </w:rPr>
        <w:t>（</w:t>
      </w:r>
      <w:r>
        <w:rPr>
          <w:szCs w:val="21"/>
        </w:rPr>
        <w:t>1</w:t>
      </w:r>
      <w:r>
        <w:rPr>
          <w:rFonts w:hint="eastAsia"/>
          <w:szCs w:val="21"/>
        </w:rPr>
        <w:t>）行政裁决请求应当针对登记在中国上市药品专利信息登记平台上的专利且与第四类声明中的专利一致。涉案专利未登记在中国上市药品专利信息登记平台上或者与第四类声明中的专利不一致的，该行政裁决请求不予受理。</w:t>
      </w:r>
    </w:p>
    <w:p w:rsidR="00800760" w:rsidRDefault="00235733">
      <w:pPr>
        <w:rPr>
          <w:szCs w:val="21"/>
        </w:rPr>
      </w:pPr>
      <w:r>
        <w:rPr>
          <w:rFonts w:hint="eastAsia"/>
          <w:szCs w:val="21"/>
        </w:rPr>
        <w:t>（</w:t>
      </w:r>
      <w:r>
        <w:rPr>
          <w:szCs w:val="21"/>
        </w:rPr>
        <w:t>2</w:t>
      </w:r>
      <w:r>
        <w:rPr>
          <w:rFonts w:hint="eastAsia"/>
          <w:szCs w:val="21"/>
        </w:rPr>
        <w:t>）行政裁决请求针对的专利应当为允许在中国上市药品专利信息登记平台上登记的专利，即对于化学药，应当为药物活性成分化合物专利、含活性成分的药物组合物专利和医药用途专利；针对中药，应当为中药组合物专利、中药提取物专利和医药用途专利；针对生物制品，应当为活性成分的序列结构专利和医药用途专利。行政裁决请求所涉及的权利要求的主题均不属于以上类型的，该行政裁决请求不予受理。</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6-2-1</w:t>
      </w:r>
      <w:r>
        <w:rPr>
          <w:rFonts w:ascii="Times New Roman" w:hAnsi="Times New Roman" w:hint="eastAsia"/>
        </w:rPr>
        <w:t>】</w:t>
      </w:r>
    </w:p>
    <w:p w:rsidR="00800760" w:rsidRDefault="00235733">
      <w:pPr>
        <w:spacing w:line="360" w:lineRule="auto"/>
        <w:rPr>
          <w:rFonts w:eastAsia="楷体_GB2312"/>
          <w:sz w:val="24"/>
        </w:rPr>
      </w:pPr>
      <w:r>
        <w:rPr>
          <w:rFonts w:eastAsia="楷体_GB2312" w:cs="HTJ-PK74820000537-Identity-H" w:hint="eastAsia"/>
          <w:szCs w:val="21"/>
        </w:rPr>
        <w:t>在某药品专利纠纷案中，涉案专利权利要求</w:t>
      </w:r>
      <w:r>
        <w:rPr>
          <w:rFonts w:eastAsia="楷体_GB2312" w:cs="HTJ-PK74820000537-Identity-H" w:hint="eastAsia"/>
          <w:szCs w:val="21"/>
        </w:rPr>
        <w:t>1</w:t>
      </w:r>
      <w:r>
        <w:rPr>
          <w:rFonts w:eastAsia="楷体_GB2312" w:cs="HTJ-PK74820000537-Identity-H"/>
          <w:szCs w:val="21"/>
        </w:rPr>
        <w:t xml:space="preserve"> </w:t>
      </w:r>
      <w:r>
        <w:rPr>
          <w:rFonts w:eastAsia="楷体_GB2312" w:cs="HTJ-PK74820000537-Identity-H" w:hint="eastAsia"/>
          <w:szCs w:val="21"/>
        </w:rPr>
        <w:t>要求保护一种结晶结构，请求人在中国上市药品专利信息登记平台上登记的权利要求</w:t>
      </w:r>
      <w:r>
        <w:rPr>
          <w:rFonts w:eastAsia="楷体_GB2312" w:cs="HTJ-PK74820000537-Identity-H" w:hint="eastAsia"/>
          <w:szCs w:val="21"/>
        </w:rPr>
        <w:t>9</w:t>
      </w:r>
      <w:r>
        <w:rPr>
          <w:rFonts w:eastAsia="楷体_GB2312" w:cs="HTJ-PK74820000537-Identity-H"/>
          <w:szCs w:val="21"/>
        </w:rPr>
        <w:t xml:space="preserve"> </w:t>
      </w:r>
      <w:r>
        <w:rPr>
          <w:rFonts w:eastAsia="楷体_GB2312" w:cs="HTJ-PK74820000537-Identity-H" w:hint="eastAsia"/>
          <w:szCs w:val="21"/>
        </w:rPr>
        <w:t>要求保护权利要求</w:t>
      </w:r>
      <w:r>
        <w:rPr>
          <w:rFonts w:eastAsia="楷体_GB2312" w:cs="HTJ-PK74820000537-Identity-H" w:hint="eastAsia"/>
          <w:szCs w:val="21"/>
        </w:rPr>
        <w:t>1</w:t>
      </w:r>
      <w:r>
        <w:rPr>
          <w:rFonts w:eastAsia="楷体_GB2312" w:cs="HTJ-PK74820000537-Identity-H"/>
          <w:szCs w:val="21"/>
        </w:rPr>
        <w:t xml:space="preserve"> </w:t>
      </w:r>
      <w:r>
        <w:rPr>
          <w:rFonts w:eastAsia="楷体_GB2312" w:cs="HTJ-PK74820000537-Identity-H" w:hint="eastAsia"/>
          <w:szCs w:val="21"/>
        </w:rPr>
        <w:t>所述结晶结构在制备用于</w:t>
      </w:r>
      <w:r>
        <w:rPr>
          <w:rFonts w:eastAsia="楷体_GB2312" w:cs="HTJ-PK74820000537-Identity-H" w:hint="eastAsia"/>
          <w:szCs w:val="21"/>
        </w:rPr>
        <w:t>A</w:t>
      </w:r>
      <w:r>
        <w:rPr>
          <w:rFonts w:eastAsia="楷体_GB2312" w:cs="HTJ-PK74820000537-Identity-H"/>
          <w:szCs w:val="21"/>
        </w:rPr>
        <w:t xml:space="preserve"> </w:t>
      </w:r>
      <w:r>
        <w:rPr>
          <w:rFonts w:eastAsia="楷体_GB2312" w:cs="HTJ-PK74820000537-Identity-H" w:hint="eastAsia"/>
          <w:szCs w:val="21"/>
        </w:rPr>
        <w:t>药物方面的用途。国家知识产权局对该请求作出不予受理决定，认为涉案专利登记的权利要求</w:t>
      </w:r>
      <w:r>
        <w:rPr>
          <w:rFonts w:eastAsia="楷体_GB2312" w:cs="HTJ-PK74820000537-Identity-H" w:hint="eastAsia"/>
          <w:szCs w:val="21"/>
        </w:rPr>
        <w:t>9</w:t>
      </w:r>
      <w:r>
        <w:rPr>
          <w:rFonts w:eastAsia="楷体_GB2312" w:cs="HTJ-PK74820000537-Identity-H"/>
          <w:szCs w:val="21"/>
        </w:rPr>
        <w:t xml:space="preserve"> </w:t>
      </w:r>
      <w:r>
        <w:rPr>
          <w:rFonts w:eastAsia="楷体_GB2312" w:cs="HTJ-PK74820000537-Identity-H" w:hint="eastAsia"/>
          <w:szCs w:val="21"/>
        </w:rPr>
        <w:t>为“化合物晶型”制药用途专利，属于不允许登记的“晶型专利”类型。</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rPr>
          <w:szCs w:val="21"/>
        </w:rPr>
      </w:pPr>
      <w:r>
        <w:rPr>
          <w:rFonts w:eastAsia="楷体_GB2312" w:cs="HTJ-PK74820000537-Identity-H" w:hint="eastAsia"/>
          <w:szCs w:val="21"/>
        </w:rPr>
        <w:t>根据</w:t>
      </w:r>
      <w:r>
        <w:rPr>
          <w:rFonts w:eastAsia="楷体_GB2312" w:cs="HTJ-PK74820000537-Identity-H"/>
          <w:szCs w:val="21"/>
        </w:rPr>
        <w:t>《药品专利纠纷早期解决机制实施办法（试行）》</w:t>
      </w:r>
      <w:r>
        <w:rPr>
          <w:rFonts w:eastAsia="楷体_GB2312" w:cs="HTJ-PK74820000537-Identity-H" w:hint="eastAsia"/>
          <w:szCs w:val="21"/>
        </w:rPr>
        <w:t>，</w:t>
      </w:r>
      <w:r>
        <w:rPr>
          <w:rFonts w:eastAsia="楷体_GB2312" w:cs="HTJ-PK74820000537-Identity-H"/>
          <w:szCs w:val="21"/>
        </w:rPr>
        <w:t>可以在中国上市药品专利信息登记平台中登记的具体药品专利包括：化学药品（不含原料药）的药物活性成分化合物专利、含活性成分的药物组合物专利、医药用途专利；中药的中药组合物专利、中药提取物专利、医药用途专利；生物制品的活性成分的序列结构专利、医药用途专利。相关专利不包括中间体、代谢产物、晶</w:t>
      </w:r>
      <w:r>
        <w:rPr>
          <w:rFonts w:eastAsia="楷体_GB2312" w:cs="HTJ-PK74820000537-Identity-H" w:hint="eastAsia"/>
          <w:szCs w:val="21"/>
        </w:rPr>
        <w:t>型</w:t>
      </w:r>
      <w:r>
        <w:rPr>
          <w:rFonts w:eastAsia="楷体_GB2312" w:cs="HTJ-PK74820000537-Identity-H"/>
          <w:szCs w:val="21"/>
        </w:rPr>
        <w:t>、制备方法、检测方法等的专利。</w:t>
      </w:r>
      <w:r>
        <w:rPr>
          <w:rFonts w:eastAsia="楷体_GB2312" w:cs="HTJ-PK74820000537-Identity-H" w:hint="eastAsia"/>
          <w:szCs w:val="21"/>
        </w:rPr>
        <w:t>由于药品专利纠纷早期解决机制旨在仿制药上市前，快速解决首创药物的核心专利纠纷，而</w:t>
      </w:r>
      <w:r>
        <w:rPr>
          <w:rFonts w:eastAsia="楷体_GB2312" w:cs="HTJ-PK74820000537-Identity-H"/>
          <w:szCs w:val="21"/>
        </w:rPr>
        <w:t>中间体、代谢产物、晶</w:t>
      </w:r>
      <w:r>
        <w:rPr>
          <w:rFonts w:eastAsia="楷体_GB2312" w:cs="HTJ-PK74820000537-Identity-H" w:hint="eastAsia"/>
          <w:szCs w:val="21"/>
        </w:rPr>
        <w:t>型</w:t>
      </w:r>
      <w:r>
        <w:rPr>
          <w:rFonts w:eastAsia="楷体_GB2312" w:cs="HTJ-PK74820000537-Identity-H"/>
          <w:szCs w:val="21"/>
        </w:rPr>
        <w:t>、制备方法、检测方法等</w:t>
      </w:r>
      <w:r>
        <w:rPr>
          <w:rFonts w:eastAsia="楷体_GB2312" w:cs="HTJ-PK74820000537-Identity-H" w:hint="eastAsia"/>
          <w:szCs w:val="21"/>
        </w:rPr>
        <w:t>专利属于药物改良专利，且侵权比对情况较为复杂，难以快速做出裁决结果，为兼顾行政效率与社会公平，未将其纳入当前药品专利纠纷早期解决机制的处理范围内。</w:t>
      </w:r>
    </w:p>
    <w:p w:rsidR="00800760" w:rsidRDefault="00235733">
      <w:pPr>
        <w:rPr>
          <w:szCs w:val="21"/>
        </w:rPr>
      </w:pPr>
      <w:r>
        <w:rPr>
          <w:rFonts w:hint="eastAsia"/>
          <w:szCs w:val="21"/>
        </w:rPr>
        <w:t>（</w:t>
      </w:r>
      <w:r>
        <w:rPr>
          <w:szCs w:val="21"/>
        </w:rPr>
        <w:t>3</w:t>
      </w:r>
      <w:r>
        <w:rPr>
          <w:rFonts w:hint="eastAsia"/>
          <w:szCs w:val="21"/>
        </w:rPr>
        <w:t>）行政裁决请求针对的全部权利要求均已被国家知识产权局宣告无效的，该行政裁决请求不予受理。</w:t>
      </w:r>
    </w:p>
    <w:p w:rsidR="00800760" w:rsidRDefault="00235733">
      <w:pPr>
        <w:pStyle w:val="3"/>
        <w:spacing w:before="240"/>
        <w:ind w:firstLine="444"/>
      </w:pPr>
      <w:bookmarkStart w:id="4152" w:name="_Toc72418750"/>
      <w:bookmarkStart w:id="4153" w:name="_Toc32561"/>
      <w:bookmarkStart w:id="4154" w:name="_Toc27000"/>
      <w:bookmarkStart w:id="4155" w:name="_Toc16701"/>
      <w:bookmarkStart w:id="4156" w:name="_Toc14267"/>
      <w:bookmarkStart w:id="4157" w:name="_Toc7583"/>
      <w:bookmarkStart w:id="4158" w:name="_Toc16039"/>
      <w:bookmarkStart w:id="4159" w:name="_Toc16328"/>
      <w:bookmarkStart w:id="4160" w:name="_Toc278"/>
      <w:bookmarkStart w:id="4161" w:name="_Toc23795"/>
      <w:bookmarkStart w:id="4162" w:name="_Toc17910"/>
      <w:bookmarkStart w:id="4163" w:name="_Toc22704"/>
      <w:bookmarkStart w:id="4164" w:name="_Toc907"/>
      <w:bookmarkStart w:id="4165" w:name="_Toc24721"/>
      <w:bookmarkStart w:id="4166" w:name="_Toc16276"/>
      <w:bookmarkStart w:id="4167" w:name="_Toc15924"/>
      <w:bookmarkStart w:id="4168" w:name="_Toc16339"/>
      <w:bookmarkStart w:id="4169" w:name="_Toc5299"/>
      <w:bookmarkStart w:id="4170" w:name="_Toc416"/>
      <w:bookmarkStart w:id="4171" w:name="_Toc10762"/>
      <w:bookmarkStart w:id="4172" w:name="_Toc4804"/>
      <w:bookmarkStart w:id="4173" w:name="_Toc13738"/>
      <w:bookmarkStart w:id="4174" w:name="_Toc16013"/>
      <w:bookmarkStart w:id="4175" w:name="_Toc6177"/>
      <w:bookmarkStart w:id="4176" w:name="_Toc21111"/>
      <w:bookmarkStart w:id="4177" w:name="_Toc28005"/>
      <w:bookmarkStart w:id="4178" w:name="_Toc191478210"/>
      <w:bookmarkStart w:id="4179" w:name="_Toc2373"/>
      <w:bookmarkStart w:id="4180" w:name="_Toc27886"/>
      <w:bookmarkStart w:id="4181" w:name="_Toc11267"/>
      <w:bookmarkStart w:id="4182" w:name="_Toc7987"/>
      <w:bookmarkStart w:id="4183" w:name="_Toc18994"/>
      <w:bookmarkStart w:id="4184" w:name="_Toc26658"/>
      <w:bookmarkStart w:id="4185" w:name="_Toc4670"/>
      <w:bookmarkStart w:id="4186" w:name="_Toc26052"/>
      <w:bookmarkStart w:id="4187" w:name="_Toc8593"/>
      <w:bookmarkStart w:id="4188" w:name="_Toc632"/>
      <w:bookmarkStart w:id="4189" w:name="_Toc24726"/>
      <w:bookmarkStart w:id="4190" w:name="_Toc29100"/>
      <w:bookmarkStart w:id="4191" w:name="_Toc14915"/>
      <w:bookmarkStart w:id="4192" w:name="_Toc13438"/>
      <w:bookmarkStart w:id="4193" w:name="_Toc29054"/>
      <w:bookmarkStart w:id="4194" w:name="_Toc217908677"/>
      <w:bookmarkStart w:id="4195" w:name="_Toc229114423"/>
      <w:bookmarkStart w:id="4196" w:name="_Toc25881"/>
      <w:bookmarkStart w:id="4197" w:name="_Toc8412"/>
      <w:bookmarkStart w:id="4198" w:name="_Toc229225519"/>
      <w:r>
        <w:rPr>
          <w:rFonts w:hint="eastAsia"/>
        </w:rPr>
        <w:t>三、</w:t>
      </w:r>
      <w:bookmarkEnd w:id="4152"/>
      <w:r>
        <w:rPr>
          <w:rFonts w:hint="eastAsia"/>
        </w:rPr>
        <w:t>受理材料</w:t>
      </w:r>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p>
    <w:p w:rsidR="00800760" w:rsidRDefault="00235733">
      <w:pPr>
        <w:rPr>
          <w:szCs w:val="21"/>
        </w:rPr>
      </w:pPr>
      <w:r>
        <w:rPr>
          <w:rFonts w:hint="eastAsia"/>
          <w:szCs w:val="21"/>
        </w:rPr>
        <w:t>请求人向国务院专利行政部门提出药品专利纠纷行政裁决请求的，应当提交请求书及下列材料：</w:t>
      </w:r>
    </w:p>
    <w:p w:rsidR="00800760" w:rsidRDefault="00235733">
      <w:pPr>
        <w:rPr>
          <w:szCs w:val="21"/>
        </w:rPr>
      </w:pPr>
      <w:r>
        <w:rPr>
          <w:rFonts w:hint="eastAsia"/>
          <w:szCs w:val="21"/>
        </w:rPr>
        <w:t>（一）主体资格证明；</w:t>
      </w:r>
    </w:p>
    <w:p w:rsidR="00800760" w:rsidRDefault="00235733">
      <w:pPr>
        <w:rPr>
          <w:szCs w:val="21"/>
        </w:rPr>
      </w:pPr>
      <w:r>
        <w:rPr>
          <w:rFonts w:hint="eastAsia"/>
          <w:szCs w:val="21"/>
        </w:rPr>
        <w:t>（二）中国上市药品专利信息登记平台对相关专利的登记信息、国家药品审评机构信息平台公示的药品上市许可申请及药品技术方案未落入相关专利权保护范围的声明和声明依据；</w:t>
      </w:r>
    </w:p>
    <w:p w:rsidR="00800760" w:rsidRDefault="00235733">
      <w:pPr>
        <w:rPr>
          <w:szCs w:val="21"/>
        </w:rPr>
      </w:pPr>
      <w:r>
        <w:rPr>
          <w:rFonts w:hint="eastAsia"/>
          <w:szCs w:val="21"/>
        </w:rPr>
        <w:t>（</w:t>
      </w:r>
      <w:r>
        <w:rPr>
          <w:szCs w:val="21"/>
        </w:rPr>
        <w:t>1</w:t>
      </w:r>
      <w:r>
        <w:rPr>
          <w:rFonts w:hint="eastAsia"/>
          <w:szCs w:val="21"/>
        </w:rPr>
        <w:t>）请求人应当在请求书中明确所涉及的专利的具体权利要求以及请求行政裁决的具体事项，即确认申请上市许可的药品相关技术方案落入或者未落入相关专利权保护范围的请求。请求人未明确具体的权利要求和以上具体事项的，其行政裁决请求不予受理。</w:t>
      </w:r>
    </w:p>
    <w:p w:rsidR="00800760" w:rsidRDefault="00235733">
      <w:pPr>
        <w:rPr>
          <w:szCs w:val="21"/>
        </w:rPr>
      </w:pPr>
      <w:r>
        <w:rPr>
          <w:rFonts w:hint="eastAsia"/>
          <w:szCs w:val="21"/>
        </w:rPr>
        <w:t>（</w:t>
      </w:r>
      <w:r>
        <w:rPr>
          <w:szCs w:val="21"/>
        </w:rPr>
        <w:t>2</w:t>
      </w:r>
      <w:r>
        <w:rPr>
          <w:rFonts w:hint="eastAsia"/>
          <w:szCs w:val="21"/>
        </w:rPr>
        <w:t>）请求人应当结合证据，对申请上市许可的药品相关技术方案落入或者未落入专利权保护范围的具体理由进行阐述。</w:t>
      </w:r>
    </w:p>
    <w:p w:rsidR="00800760" w:rsidRDefault="00235733">
      <w:pPr>
        <w:rPr>
          <w:szCs w:val="21"/>
        </w:rPr>
      </w:pPr>
      <w:r>
        <w:rPr>
          <w:rFonts w:hint="eastAsia"/>
          <w:szCs w:val="21"/>
        </w:rPr>
        <w:t>（</w:t>
      </w:r>
      <w:r>
        <w:rPr>
          <w:szCs w:val="21"/>
        </w:rPr>
        <w:t>3</w:t>
      </w:r>
      <w:r>
        <w:rPr>
          <w:rFonts w:hint="eastAsia"/>
          <w:szCs w:val="21"/>
        </w:rPr>
        <w:t>）请求人提起消极确认请求的，应当结合其向国家药品审评机构申报的相关技术资料，采用特征对比表的形式，具体说明未落入专利权保护范围的理由。请求人未具体说明行政裁决理由，或者未结合提交的证据具体说明行政裁决理由的，其行政裁决请求不予受理。</w:t>
      </w:r>
    </w:p>
    <w:p w:rsidR="00800760" w:rsidRDefault="00235733">
      <w:pPr>
        <w:rPr>
          <w:szCs w:val="21"/>
        </w:rPr>
      </w:pPr>
      <w:r>
        <w:rPr>
          <w:rFonts w:hint="eastAsia"/>
          <w:szCs w:val="21"/>
        </w:rPr>
        <w:t>（</w:t>
      </w:r>
      <w:r>
        <w:rPr>
          <w:szCs w:val="21"/>
        </w:rPr>
        <w:t>4</w:t>
      </w:r>
      <w:r>
        <w:rPr>
          <w:rFonts w:hint="eastAsia"/>
          <w:szCs w:val="21"/>
        </w:rPr>
        <w:t>）一项行政裁决请求应当仅限于确认一个申请上市许可的药品技术方案是否落入一项专利所涉权利要求的保护范围。不符合以上要求的，该行政裁决请求不予受理。</w:t>
      </w:r>
    </w:p>
    <w:p w:rsidR="00800760" w:rsidRDefault="00235733">
      <w:pPr>
        <w:rPr>
          <w:szCs w:val="21"/>
        </w:rPr>
      </w:pPr>
      <w:r>
        <w:rPr>
          <w:rFonts w:hint="eastAsia"/>
          <w:szCs w:val="21"/>
        </w:rPr>
        <w:t>（</w:t>
      </w:r>
      <w:r>
        <w:rPr>
          <w:szCs w:val="21"/>
        </w:rPr>
        <w:t>5</w:t>
      </w:r>
      <w:r>
        <w:rPr>
          <w:rFonts w:hint="eastAsia"/>
          <w:szCs w:val="21"/>
        </w:rPr>
        <w:t>）请求人应当在请求书中明确所涉及的药品专利纠纷此前未向人民法院起诉或者未收到人民法院立案通知书。就同一药品专利纠纷，已有当事人向人民法院起诉并被人民法院立案受理的，针对该药品专利纠纷的行政裁决请求不予受理。</w:t>
      </w:r>
    </w:p>
    <w:p w:rsidR="00800760" w:rsidRDefault="00235733">
      <w:pPr>
        <w:rPr>
          <w:szCs w:val="21"/>
        </w:rPr>
      </w:pPr>
      <w:r>
        <w:rPr>
          <w:rFonts w:hint="eastAsia"/>
          <w:szCs w:val="21"/>
        </w:rPr>
        <w:t>（</w:t>
      </w:r>
      <w:r>
        <w:rPr>
          <w:szCs w:val="21"/>
        </w:rPr>
        <w:t>6</w:t>
      </w:r>
      <w:r>
        <w:rPr>
          <w:rFonts w:hint="eastAsia"/>
          <w:szCs w:val="21"/>
        </w:rPr>
        <w:t>）就同一申请上市许可的药品技术方案是否落入同一专利权的保护范围，国务院专利行政部门已经作出行政裁决或者人民法院已经作出判决的，针对在后提出的行政裁决请求不予受理。</w:t>
      </w:r>
    </w:p>
    <w:p w:rsidR="00800760" w:rsidRDefault="00235733">
      <w:pPr>
        <w:rPr>
          <w:szCs w:val="21"/>
        </w:rPr>
      </w:pPr>
      <w:r>
        <w:rPr>
          <w:rFonts w:hint="eastAsia"/>
          <w:szCs w:val="21"/>
        </w:rPr>
        <w:t>（三）请求人是药品上市许可申请人的，还应当提交申请注册的药品相关技术方案，该技术方案涉及保密信息的，应单独提交并声明。</w:t>
      </w:r>
    </w:p>
    <w:p w:rsidR="00800760" w:rsidRDefault="00235733">
      <w:pPr>
        <w:rPr>
          <w:szCs w:val="21"/>
        </w:rPr>
      </w:pPr>
      <w:r>
        <w:rPr>
          <w:rFonts w:hint="eastAsia"/>
          <w:szCs w:val="21"/>
        </w:rPr>
        <w:t>除前述第二章第一节所要求的内容以外，请求书</w:t>
      </w:r>
      <w:r>
        <w:rPr>
          <w:rFonts w:hint="eastAsia"/>
          <w:szCs w:val="21"/>
          <w:lang w:val="en-US"/>
        </w:rPr>
        <w:t>还</w:t>
      </w:r>
      <w:r>
        <w:rPr>
          <w:rFonts w:hint="eastAsia"/>
          <w:szCs w:val="21"/>
        </w:rPr>
        <w:t>应当载明以下内容：</w:t>
      </w:r>
    </w:p>
    <w:p w:rsidR="00800760" w:rsidRDefault="00235733">
      <w:pPr>
        <w:rPr>
          <w:szCs w:val="21"/>
        </w:rPr>
      </w:pPr>
      <w:r>
        <w:rPr>
          <w:rFonts w:hint="eastAsia"/>
          <w:szCs w:val="21"/>
        </w:rPr>
        <w:t>（</w:t>
      </w:r>
      <w:r>
        <w:rPr>
          <w:rFonts w:hint="eastAsia"/>
          <w:szCs w:val="21"/>
        </w:rPr>
        <w:t>1</w:t>
      </w:r>
      <w:r>
        <w:rPr>
          <w:rFonts w:hint="eastAsia"/>
          <w:szCs w:val="21"/>
        </w:rPr>
        <w:t>）中国上市药品专利信息登记平台登记的相关专利信息，包括专利号、专利类型、专利状态、专利权人、专利保护期届满日，以及请求认定是否落入保护范围的具体权利要求项；</w:t>
      </w:r>
    </w:p>
    <w:p w:rsidR="00800760" w:rsidRDefault="00235733">
      <w:pPr>
        <w:rPr>
          <w:szCs w:val="21"/>
        </w:rPr>
      </w:pPr>
      <w:r>
        <w:rPr>
          <w:rFonts w:hint="eastAsia"/>
          <w:szCs w:val="21"/>
        </w:rPr>
        <w:t>（</w:t>
      </w:r>
      <w:r>
        <w:rPr>
          <w:rFonts w:hint="eastAsia"/>
          <w:szCs w:val="21"/>
        </w:rPr>
        <w:t>2</w:t>
      </w:r>
      <w:r>
        <w:rPr>
          <w:rFonts w:hint="eastAsia"/>
          <w:szCs w:val="21"/>
        </w:rPr>
        <w:t>）国家药品审评机构信息平台公示的申请注册药品的相关信息及声明类型；</w:t>
      </w:r>
    </w:p>
    <w:p w:rsidR="00800760" w:rsidRDefault="00235733">
      <w:pPr>
        <w:rPr>
          <w:szCs w:val="21"/>
        </w:rPr>
      </w:pPr>
      <w:r>
        <w:rPr>
          <w:rFonts w:hint="eastAsia"/>
          <w:szCs w:val="21"/>
        </w:rPr>
        <w:t>（</w:t>
      </w:r>
      <w:r>
        <w:rPr>
          <w:rFonts w:hint="eastAsia"/>
          <w:szCs w:val="21"/>
        </w:rPr>
        <w:t>3</w:t>
      </w:r>
      <w:r>
        <w:rPr>
          <w:rFonts w:hint="eastAsia"/>
          <w:szCs w:val="21"/>
        </w:rPr>
        <w:t>）关于申请注册的药品技术方案是否落入相关专利权保护范围的理由。</w:t>
      </w:r>
    </w:p>
    <w:p w:rsidR="00800760" w:rsidRDefault="00235733">
      <w:pPr>
        <w:rPr>
          <w:szCs w:val="21"/>
        </w:rPr>
      </w:pPr>
      <w:r>
        <w:rPr>
          <w:rFonts w:hint="eastAsia"/>
          <w:szCs w:val="21"/>
        </w:rPr>
        <w:t>药品专利纠纷行政裁决请求有下列情形之一的，国务院专利行政部门不予受理并通知请求人：</w:t>
      </w:r>
    </w:p>
    <w:p w:rsidR="00800760" w:rsidRDefault="00235733">
      <w:pPr>
        <w:rPr>
          <w:szCs w:val="21"/>
        </w:rPr>
      </w:pPr>
      <w:r>
        <w:rPr>
          <w:rFonts w:hint="eastAsia"/>
          <w:szCs w:val="21"/>
        </w:rPr>
        <w:t>（</w:t>
      </w:r>
      <w:r>
        <w:rPr>
          <w:szCs w:val="21"/>
        </w:rPr>
        <w:t>1</w:t>
      </w:r>
      <w:r>
        <w:rPr>
          <w:rFonts w:hint="eastAsia"/>
          <w:szCs w:val="21"/>
        </w:rPr>
        <w:t>）请求书中缺少请求人姓名或名称、联系地址等基本信息，或者缺少专利权信息的；</w:t>
      </w:r>
    </w:p>
    <w:p w:rsidR="00800760" w:rsidRDefault="00235733">
      <w:pPr>
        <w:rPr>
          <w:szCs w:val="21"/>
        </w:rPr>
      </w:pPr>
      <w:r>
        <w:rPr>
          <w:rFonts w:hint="eastAsia"/>
          <w:szCs w:val="21"/>
        </w:rPr>
        <w:t>（</w:t>
      </w:r>
      <w:r>
        <w:rPr>
          <w:szCs w:val="21"/>
        </w:rPr>
        <w:t>2</w:t>
      </w:r>
      <w:r>
        <w:rPr>
          <w:rFonts w:hint="eastAsia"/>
          <w:szCs w:val="21"/>
        </w:rPr>
        <w:t>）被请求人不明确的；</w:t>
      </w:r>
    </w:p>
    <w:p w:rsidR="00800760" w:rsidRDefault="00235733">
      <w:pPr>
        <w:rPr>
          <w:szCs w:val="21"/>
        </w:rPr>
      </w:pPr>
      <w:r>
        <w:rPr>
          <w:rFonts w:hint="eastAsia"/>
          <w:szCs w:val="21"/>
        </w:rPr>
        <w:t>（</w:t>
      </w:r>
      <w:r>
        <w:rPr>
          <w:szCs w:val="21"/>
        </w:rPr>
        <w:t>3</w:t>
      </w:r>
      <w:r>
        <w:rPr>
          <w:rFonts w:hint="eastAsia"/>
          <w:szCs w:val="21"/>
        </w:rPr>
        <w:t>）请求人和被请求人的主体资格不符合本节第一部分相关规定的；</w:t>
      </w:r>
    </w:p>
    <w:p w:rsidR="00800760" w:rsidRDefault="00235733">
      <w:pPr>
        <w:rPr>
          <w:szCs w:val="21"/>
        </w:rPr>
      </w:pPr>
      <w:r>
        <w:rPr>
          <w:rFonts w:hint="eastAsia"/>
          <w:szCs w:val="21"/>
        </w:rPr>
        <w:t>（</w:t>
      </w:r>
      <w:r>
        <w:rPr>
          <w:szCs w:val="21"/>
        </w:rPr>
        <w:t>4</w:t>
      </w:r>
      <w:r>
        <w:rPr>
          <w:rFonts w:hint="eastAsia"/>
          <w:szCs w:val="21"/>
        </w:rPr>
        <w:t>）涉案专利不属于中国上市药品专利信息登记平台登记的专利主题类型，或者与第四类声明中专利不一致的；</w:t>
      </w:r>
    </w:p>
    <w:p w:rsidR="00800760" w:rsidRDefault="00235733">
      <w:pPr>
        <w:rPr>
          <w:szCs w:val="21"/>
        </w:rPr>
      </w:pPr>
      <w:r>
        <w:rPr>
          <w:rFonts w:hint="eastAsia"/>
          <w:szCs w:val="21"/>
        </w:rPr>
        <w:t>（</w:t>
      </w:r>
      <w:r>
        <w:rPr>
          <w:szCs w:val="21"/>
        </w:rPr>
        <w:t>5</w:t>
      </w:r>
      <w:r>
        <w:rPr>
          <w:rFonts w:hint="eastAsia"/>
          <w:szCs w:val="21"/>
        </w:rPr>
        <w:t>）涉案专利所涉及的权利要求被国家知识产权局宣告无效的；</w:t>
      </w:r>
    </w:p>
    <w:p w:rsidR="00800760" w:rsidRDefault="00235733">
      <w:pPr>
        <w:rPr>
          <w:szCs w:val="21"/>
        </w:rPr>
      </w:pPr>
      <w:r>
        <w:rPr>
          <w:rFonts w:hint="eastAsia"/>
          <w:szCs w:val="21"/>
        </w:rPr>
        <w:t>（</w:t>
      </w:r>
      <w:r>
        <w:rPr>
          <w:szCs w:val="21"/>
        </w:rPr>
        <w:t>6</w:t>
      </w:r>
      <w:r>
        <w:rPr>
          <w:rFonts w:hint="eastAsia"/>
          <w:szCs w:val="21"/>
        </w:rPr>
        <w:t>）请求书中未明确所涉及的专利权利要求以及请求行政裁决具体事项的；</w:t>
      </w:r>
    </w:p>
    <w:p w:rsidR="00800760" w:rsidRDefault="00235733">
      <w:pPr>
        <w:rPr>
          <w:szCs w:val="21"/>
        </w:rPr>
      </w:pPr>
      <w:r>
        <w:rPr>
          <w:rFonts w:hint="eastAsia"/>
          <w:szCs w:val="21"/>
        </w:rPr>
        <w:t>（</w:t>
      </w:r>
      <w:r>
        <w:rPr>
          <w:szCs w:val="21"/>
        </w:rPr>
        <w:t>7</w:t>
      </w:r>
      <w:r>
        <w:rPr>
          <w:rFonts w:hint="eastAsia"/>
          <w:szCs w:val="21"/>
        </w:rPr>
        <w:t>）请求人未具体说明行政裁决理由，或者未结合提交的证据具体说明行政裁决理由的；</w:t>
      </w:r>
    </w:p>
    <w:p w:rsidR="00800760" w:rsidRDefault="00235733">
      <w:pPr>
        <w:rPr>
          <w:szCs w:val="21"/>
        </w:rPr>
      </w:pPr>
      <w:r>
        <w:rPr>
          <w:rFonts w:hint="eastAsia"/>
          <w:szCs w:val="21"/>
        </w:rPr>
        <w:t>（</w:t>
      </w:r>
      <w:r>
        <w:rPr>
          <w:szCs w:val="21"/>
        </w:rPr>
        <w:t>8</w:t>
      </w:r>
      <w:r>
        <w:rPr>
          <w:rFonts w:hint="eastAsia"/>
          <w:szCs w:val="21"/>
        </w:rPr>
        <w:t>）一项行政裁决请求涉及一个以上申请上市许可的药品技术方案或者一项以上专利权的；</w:t>
      </w:r>
    </w:p>
    <w:p w:rsidR="00800760" w:rsidRDefault="00235733" w:rsidP="007A46B7">
      <w:pPr>
        <w:rPr>
          <w:rFonts w:cs="宋体"/>
          <w:sz w:val="24"/>
        </w:rPr>
      </w:pPr>
      <w:r>
        <w:rPr>
          <w:rFonts w:hint="eastAsia"/>
          <w:szCs w:val="21"/>
        </w:rPr>
        <w:t>（</w:t>
      </w:r>
      <w:r>
        <w:rPr>
          <w:szCs w:val="21"/>
        </w:rPr>
        <w:t>9</w:t>
      </w:r>
      <w:r>
        <w:rPr>
          <w:rFonts w:hint="eastAsia"/>
          <w:szCs w:val="21"/>
        </w:rPr>
        <w:t>）同一药品专利纠纷已被人民法院立案的。</w:t>
      </w:r>
    </w:p>
    <w:p w:rsidR="00800760" w:rsidRDefault="00235733">
      <w:pPr>
        <w:pStyle w:val="2"/>
        <w:ind w:firstLine="584"/>
      </w:pPr>
      <w:bookmarkStart w:id="4199" w:name="_Toc12369"/>
      <w:bookmarkStart w:id="4200" w:name="_Toc29465"/>
      <w:bookmarkStart w:id="4201" w:name="_Toc3261"/>
      <w:bookmarkStart w:id="4202" w:name="_Toc5043"/>
      <w:bookmarkStart w:id="4203" w:name="_Toc18797"/>
      <w:bookmarkStart w:id="4204" w:name="_Toc11149"/>
      <w:bookmarkStart w:id="4205" w:name="_Toc21932"/>
      <w:bookmarkStart w:id="4206" w:name="_Toc22286"/>
      <w:bookmarkStart w:id="4207" w:name="_Toc191478211"/>
      <w:bookmarkStart w:id="4208" w:name="_Toc28052"/>
      <w:bookmarkStart w:id="4209" w:name="_Toc18815"/>
      <w:bookmarkStart w:id="4210" w:name="_Toc24536"/>
      <w:bookmarkStart w:id="4211" w:name="_Toc31377"/>
      <w:bookmarkStart w:id="4212" w:name="_Toc119"/>
      <w:bookmarkStart w:id="4213" w:name="_Toc29380"/>
      <w:bookmarkStart w:id="4214" w:name="_Toc23443"/>
      <w:bookmarkStart w:id="4215" w:name="_Toc25716"/>
      <w:bookmarkStart w:id="4216" w:name="_Toc22073"/>
      <w:bookmarkStart w:id="4217" w:name="_Toc13505"/>
      <w:bookmarkStart w:id="4218" w:name="_Toc28495"/>
      <w:bookmarkStart w:id="4219" w:name="_Toc15720"/>
      <w:bookmarkStart w:id="4220" w:name="_Toc16661"/>
      <w:bookmarkStart w:id="4221" w:name="_Toc15881"/>
      <w:bookmarkStart w:id="4222" w:name="_Toc12982"/>
      <w:bookmarkStart w:id="4223" w:name="_Toc23331"/>
      <w:bookmarkStart w:id="4224" w:name="_Toc27494"/>
      <w:bookmarkStart w:id="4225" w:name="_Toc8361"/>
      <w:bookmarkStart w:id="4226" w:name="_Toc606"/>
      <w:bookmarkStart w:id="4227" w:name="_Toc729"/>
      <w:bookmarkStart w:id="4228" w:name="_Toc27354"/>
      <w:bookmarkStart w:id="4229" w:name="_Toc19313"/>
      <w:bookmarkStart w:id="4230" w:name="_Toc23086"/>
      <w:bookmarkStart w:id="4231" w:name="_Toc14631"/>
      <w:bookmarkStart w:id="4232" w:name="_Toc32343"/>
      <w:bookmarkStart w:id="4233" w:name="_Toc4798"/>
      <w:bookmarkStart w:id="4234" w:name="_Toc13088"/>
      <w:bookmarkStart w:id="4235" w:name="_Toc24043"/>
      <w:bookmarkStart w:id="4236" w:name="_Toc7068"/>
      <w:bookmarkStart w:id="4237" w:name="_Toc9376"/>
      <w:bookmarkStart w:id="4238" w:name="_Toc1910"/>
      <w:bookmarkStart w:id="4239" w:name="_Toc18348"/>
      <w:bookmarkStart w:id="4240" w:name="_Toc1915"/>
      <w:bookmarkStart w:id="4241" w:name="_Toc4086"/>
      <w:bookmarkStart w:id="4242" w:name="_Toc9218"/>
      <w:bookmarkStart w:id="4243" w:name="_Toc217908678"/>
      <w:bookmarkStart w:id="4244" w:name="_Toc229114424"/>
      <w:bookmarkStart w:id="4245" w:name="_Toc4414"/>
      <w:bookmarkStart w:id="4246" w:name="_Toc229225520"/>
      <w:r>
        <w:rPr>
          <w:rFonts w:hint="eastAsia"/>
        </w:rPr>
        <w:t>第三节　案件审理</w:t>
      </w:r>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p>
    <w:p w:rsidR="00800760" w:rsidRDefault="00235733">
      <w:pPr>
        <w:pStyle w:val="3"/>
        <w:spacing w:before="240"/>
        <w:ind w:firstLine="444"/>
      </w:pPr>
      <w:bookmarkStart w:id="4247" w:name="_Toc8938"/>
      <w:bookmarkStart w:id="4248" w:name="_Toc14071"/>
      <w:bookmarkStart w:id="4249" w:name="_Toc7794"/>
      <w:bookmarkStart w:id="4250" w:name="_Toc191478212"/>
      <w:bookmarkStart w:id="4251" w:name="_Toc2155"/>
      <w:bookmarkStart w:id="4252" w:name="_Toc32150"/>
      <w:bookmarkStart w:id="4253" w:name="_Toc12178"/>
      <w:bookmarkStart w:id="4254" w:name="_Toc4930"/>
      <w:bookmarkStart w:id="4255" w:name="_Toc992"/>
      <w:bookmarkStart w:id="4256" w:name="_Toc19498"/>
      <w:bookmarkStart w:id="4257" w:name="_Toc3898"/>
      <w:bookmarkStart w:id="4258" w:name="_Toc29867"/>
      <w:bookmarkStart w:id="4259" w:name="_Toc13784"/>
      <w:bookmarkStart w:id="4260" w:name="_Toc14351"/>
      <w:bookmarkStart w:id="4261" w:name="_Toc6362"/>
      <w:bookmarkStart w:id="4262" w:name="_Toc4476"/>
      <w:bookmarkStart w:id="4263" w:name="_Toc15838"/>
      <w:bookmarkStart w:id="4264" w:name="_Toc21985"/>
      <w:bookmarkStart w:id="4265" w:name="_Toc20097"/>
      <w:bookmarkStart w:id="4266" w:name="_Toc17880"/>
      <w:bookmarkStart w:id="4267" w:name="_Toc1110"/>
      <w:bookmarkStart w:id="4268" w:name="_Toc11102"/>
      <w:bookmarkStart w:id="4269" w:name="_Toc4188"/>
      <w:bookmarkStart w:id="4270" w:name="_Toc25199"/>
      <w:bookmarkStart w:id="4271" w:name="_Toc26846"/>
      <w:bookmarkStart w:id="4272" w:name="_Toc1928"/>
      <w:bookmarkStart w:id="4273" w:name="_Toc14730"/>
      <w:bookmarkStart w:id="4274" w:name="_Toc20724"/>
      <w:bookmarkStart w:id="4275" w:name="_Toc14067"/>
      <w:bookmarkStart w:id="4276" w:name="_Toc21473"/>
      <w:bookmarkStart w:id="4277" w:name="_Toc14218"/>
      <w:bookmarkStart w:id="4278" w:name="_Toc589"/>
      <w:bookmarkStart w:id="4279" w:name="_Toc8376"/>
      <w:bookmarkStart w:id="4280" w:name="_Toc5914"/>
      <w:bookmarkStart w:id="4281" w:name="_Toc17383"/>
      <w:bookmarkStart w:id="4282" w:name="_Toc17534"/>
      <w:bookmarkStart w:id="4283" w:name="_Toc9918"/>
      <w:bookmarkStart w:id="4284" w:name="_Toc21954"/>
      <w:bookmarkStart w:id="4285" w:name="_Toc30805"/>
      <w:bookmarkStart w:id="4286" w:name="_Toc217908679"/>
      <w:bookmarkStart w:id="4287" w:name="_Toc457"/>
      <w:bookmarkStart w:id="4288" w:name="_Toc27676"/>
      <w:bookmarkStart w:id="4289" w:name="_Toc22395"/>
      <w:bookmarkStart w:id="4290" w:name="_Toc270"/>
      <w:bookmarkStart w:id="4291" w:name="_Toc229114425"/>
      <w:bookmarkStart w:id="4292" w:name="_Toc229225521"/>
      <w:r>
        <w:rPr>
          <w:rFonts w:hint="eastAsia"/>
        </w:rPr>
        <w:t>一、</w:t>
      </w:r>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r>
        <w:rPr>
          <w:rFonts w:hint="eastAsia"/>
        </w:rPr>
        <w:t>审理程序</w:t>
      </w:r>
      <w:bookmarkEnd w:id="4291"/>
      <w:bookmarkEnd w:id="4292"/>
    </w:p>
    <w:p w:rsidR="00800760" w:rsidRDefault="00235733">
      <w:pPr>
        <w:ind w:firstLine="422"/>
        <w:rPr>
          <w:b/>
          <w:szCs w:val="21"/>
        </w:rPr>
      </w:pPr>
      <w:r>
        <w:rPr>
          <w:rFonts w:hint="eastAsia"/>
          <w:b/>
          <w:szCs w:val="21"/>
        </w:rPr>
        <w:t>（一）成立合议组</w:t>
      </w:r>
    </w:p>
    <w:p w:rsidR="00800760" w:rsidRDefault="00235733">
      <w:pPr>
        <w:spacing w:line="360" w:lineRule="auto"/>
      </w:pPr>
      <w:r>
        <w:rPr>
          <w:rFonts w:hint="eastAsia"/>
        </w:rPr>
        <w:t>药品专利纠纷的行政裁决由</w:t>
      </w:r>
      <w:r>
        <w:rPr>
          <w:rFonts w:hint="eastAsia"/>
        </w:rPr>
        <w:t>3</w:t>
      </w:r>
      <w:r>
        <w:rPr>
          <w:rFonts w:hint="eastAsia"/>
        </w:rPr>
        <w:t>或</w:t>
      </w:r>
      <w:r>
        <w:rPr>
          <w:rFonts w:hint="eastAsia"/>
        </w:rPr>
        <w:t>5</w:t>
      </w:r>
      <w:r>
        <w:rPr>
          <w:rFonts w:hint="eastAsia"/>
        </w:rPr>
        <w:t>人组成的合议组负责审理，其中包括组长</w:t>
      </w:r>
      <w:r>
        <w:rPr>
          <w:rFonts w:hint="eastAsia"/>
        </w:rPr>
        <w:t>1</w:t>
      </w:r>
      <w:r>
        <w:rPr>
          <w:rFonts w:hint="eastAsia"/>
        </w:rPr>
        <w:t>人、主审员</w:t>
      </w:r>
      <w:r>
        <w:rPr>
          <w:rFonts w:hint="eastAsia"/>
        </w:rPr>
        <w:t>1</w:t>
      </w:r>
      <w:r>
        <w:rPr>
          <w:rFonts w:hint="eastAsia"/>
        </w:rPr>
        <w:t>人、参审员</w:t>
      </w:r>
      <w:r>
        <w:rPr>
          <w:rFonts w:hint="eastAsia"/>
        </w:rPr>
        <w:t>1</w:t>
      </w:r>
      <w:r>
        <w:rPr>
          <w:rFonts w:hint="eastAsia"/>
        </w:rPr>
        <w:t>或</w:t>
      </w:r>
      <w:r>
        <w:rPr>
          <w:rFonts w:hint="eastAsia"/>
        </w:rPr>
        <w:t>3</w:t>
      </w:r>
      <w:r>
        <w:rPr>
          <w:rFonts w:hint="eastAsia"/>
        </w:rPr>
        <w:t>人。合议组成员涉及回避情形的，应当自行回避。当事人申请回避的，应当以书面方式提出，并说明理由。</w:t>
      </w:r>
    </w:p>
    <w:p w:rsidR="00800760" w:rsidRDefault="00235733">
      <w:pPr>
        <w:spacing w:line="360" w:lineRule="auto"/>
        <w:ind w:firstLine="422"/>
        <w:rPr>
          <w:b/>
        </w:rPr>
      </w:pPr>
      <w:r>
        <w:rPr>
          <w:rFonts w:hint="eastAsia"/>
          <w:b/>
        </w:rPr>
        <w:t>（二）审理方式</w:t>
      </w:r>
    </w:p>
    <w:p w:rsidR="00800760" w:rsidRDefault="00235733">
      <w:pPr>
        <w:spacing w:line="360" w:lineRule="auto"/>
        <w:rPr>
          <w:szCs w:val="21"/>
        </w:rPr>
      </w:pPr>
      <w:r>
        <w:rPr>
          <w:rFonts w:hint="eastAsia"/>
          <w:szCs w:val="21"/>
        </w:rPr>
        <w:t>行政裁决程序中，合议组根据案件的具体情况，可以采取口头审理、书面审理或者口头审理与书面审理相结合的方式进行审查。</w:t>
      </w:r>
    </w:p>
    <w:p w:rsidR="00800760" w:rsidRDefault="00235733">
      <w:pPr>
        <w:spacing w:line="360" w:lineRule="auto"/>
        <w:rPr>
          <w:szCs w:val="21"/>
        </w:rPr>
      </w:pPr>
      <w:r>
        <w:rPr>
          <w:rFonts w:hint="eastAsia"/>
          <w:szCs w:val="21"/>
        </w:rPr>
        <w:t>决定需要进行口头审理的，合议组应在口头审理</w:t>
      </w:r>
      <w:r>
        <w:rPr>
          <w:szCs w:val="21"/>
        </w:rPr>
        <w:t>5</w:t>
      </w:r>
      <w:r>
        <w:rPr>
          <w:rFonts w:hint="eastAsia"/>
          <w:szCs w:val="21"/>
        </w:rPr>
        <w:t>个工作日前向当事人发出口头审理通知书，通知口头审理的时间和地点等事项。口头审理的时间和地点一经确定一般不再改动，遇特殊情况需要改动的，需经案件审理部门负责人批准。请求人无正当理由拒不参加口头审理的，其行政裁决请求视为撤回。被请求人不参加口头审理的，可以缺席审理。</w:t>
      </w:r>
    </w:p>
    <w:p w:rsidR="00800760" w:rsidRDefault="00235733">
      <w:pPr>
        <w:spacing w:line="360" w:lineRule="auto"/>
        <w:rPr>
          <w:szCs w:val="21"/>
        </w:rPr>
      </w:pPr>
      <w:r>
        <w:rPr>
          <w:rFonts w:hint="eastAsia"/>
          <w:szCs w:val="21"/>
        </w:rPr>
        <w:t>参加口头审理的各方当事人及其代理人的数量不得超过</w:t>
      </w:r>
      <w:r>
        <w:rPr>
          <w:rFonts w:hint="eastAsia"/>
          <w:szCs w:val="21"/>
        </w:rPr>
        <w:t>4</w:t>
      </w:r>
      <w:r>
        <w:rPr>
          <w:rFonts w:hint="eastAsia"/>
          <w:szCs w:val="21"/>
        </w:rPr>
        <w:t>人。一方有多人参加口头审理的，应当指定其中之一作为第一发言人。</w:t>
      </w:r>
    </w:p>
    <w:p w:rsidR="00800760" w:rsidRDefault="00235733">
      <w:pPr>
        <w:spacing w:line="360" w:lineRule="auto"/>
        <w:rPr>
          <w:szCs w:val="21"/>
        </w:rPr>
      </w:pPr>
      <w:r>
        <w:rPr>
          <w:rFonts w:hint="eastAsia"/>
          <w:szCs w:val="21"/>
        </w:rPr>
        <w:t>口头审理过程中，未经合议组许可，当事人不得中途退出。请求人未经合议组许可而中途退出的，其行政裁决请求视为撤回。被请求人未经合议组许可而中途退出的，可以缺席审理。</w:t>
      </w:r>
    </w:p>
    <w:p w:rsidR="00800760" w:rsidRDefault="00235733">
      <w:pPr>
        <w:spacing w:line="360" w:lineRule="auto"/>
        <w:ind w:firstLine="422"/>
        <w:rPr>
          <w:b/>
          <w:szCs w:val="21"/>
        </w:rPr>
      </w:pPr>
      <w:r>
        <w:rPr>
          <w:rFonts w:hint="eastAsia"/>
          <w:b/>
          <w:szCs w:val="21"/>
        </w:rPr>
        <w:t>（三）案件的合并审理</w:t>
      </w:r>
    </w:p>
    <w:p w:rsidR="00800760" w:rsidRDefault="00235733">
      <w:pPr>
        <w:spacing w:line="360" w:lineRule="auto"/>
        <w:rPr>
          <w:szCs w:val="21"/>
        </w:rPr>
      </w:pPr>
      <w:r>
        <w:rPr>
          <w:rFonts w:hint="eastAsia"/>
          <w:szCs w:val="21"/>
        </w:rPr>
        <w:t>以下情形，国务院专利行政部门可以根据需要对案件进行合并审理：</w:t>
      </w:r>
    </w:p>
    <w:p w:rsidR="00800760" w:rsidRDefault="00235733">
      <w:pPr>
        <w:spacing w:line="360" w:lineRule="auto"/>
        <w:rPr>
          <w:szCs w:val="21"/>
        </w:rPr>
      </w:pPr>
      <w:r>
        <w:rPr>
          <w:rFonts w:hint="eastAsia"/>
          <w:szCs w:val="21"/>
        </w:rPr>
        <w:t>（</w:t>
      </w:r>
      <w:r>
        <w:rPr>
          <w:szCs w:val="21"/>
        </w:rPr>
        <w:t>1</w:t>
      </w:r>
      <w:r>
        <w:rPr>
          <w:rFonts w:hint="eastAsia"/>
          <w:szCs w:val="21"/>
        </w:rPr>
        <w:t>）针对同一药品相关技术方案是否落入一项专利所涉及权利要求的保护范围的多个行政裁决案件。</w:t>
      </w:r>
    </w:p>
    <w:p w:rsidR="00800760" w:rsidRDefault="00235733">
      <w:pPr>
        <w:spacing w:line="360" w:lineRule="auto"/>
        <w:rPr>
          <w:szCs w:val="21"/>
        </w:rPr>
      </w:pPr>
      <w:r>
        <w:rPr>
          <w:rFonts w:hint="eastAsia"/>
          <w:szCs w:val="21"/>
        </w:rPr>
        <w:t>（</w:t>
      </w:r>
      <w:r>
        <w:rPr>
          <w:szCs w:val="21"/>
        </w:rPr>
        <w:t>2</w:t>
      </w:r>
      <w:r>
        <w:rPr>
          <w:rFonts w:hint="eastAsia"/>
          <w:szCs w:val="21"/>
        </w:rPr>
        <w:t>）针对同一药品所涉及的不同专利的行政裁决案件，全部当事人相同的。</w:t>
      </w:r>
    </w:p>
    <w:p w:rsidR="00800760" w:rsidRDefault="00235733">
      <w:pPr>
        <w:pStyle w:val="3"/>
        <w:spacing w:before="240"/>
        <w:ind w:firstLine="444"/>
      </w:pPr>
      <w:bookmarkStart w:id="4293" w:name="_Toc13932"/>
      <w:bookmarkStart w:id="4294" w:name="_Toc191478213"/>
      <w:bookmarkStart w:id="4295" w:name="_Toc18840"/>
      <w:bookmarkStart w:id="4296" w:name="_Toc22347"/>
      <w:bookmarkStart w:id="4297" w:name="_Toc6565"/>
      <w:bookmarkStart w:id="4298" w:name="_Toc6842"/>
      <w:bookmarkStart w:id="4299" w:name="_Toc17871"/>
      <w:bookmarkStart w:id="4300" w:name="_Toc3179"/>
      <w:bookmarkStart w:id="4301" w:name="_Toc4261"/>
      <w:bookmarkStart w:id="4302" w:name="_Toc14528"/>
      <w:bookmarkStart w:id="4303" w:name="_Toc25763"/>
      <w:bookmarkStart w:id="4304" w:name="_Toc1572"/>
      <w:bookmarkStart w:id="4305" w:name="_Toc22321"/>
      <w:bookmarkStart w:id="4306" w:name="_Toc19882"/>
      <w:bookmarkStart w:id="4307" w:name="_Toc23116"/>
      <w:bookmarkStart w:id="4308" w:name="_Toc10541"/>
      <w:bookmarkStart w:id="4309" w:name="_Toc2084"/>
      <w:bookmarkStart w:id="4310" w:name="_Toc7957"/>
      <w:bookmarkStart w:id="4311" w:name="_Toc5467"/>
      <w:bookmarkStart w:id="4312" w:name="_Toc19098"/>
      <w:bookmarkStart w:id="4313" w:name="_Toc5821"/>
      <w:bookmarkStart w:id="4314" w:name="_Toc229114426"/>
      <w:bookmarkStart w:id="4315" w:name="_Toc16291"/>
      <w:bookmarkStart w:id="4316" w:name="_Toc735"/>
      <w:bookmarkStart w:id="4317" w:name="_Toc7353"/>
      <w:bookmarkStart w:id="4318" w:name="_Toc481"/>
      <w:bookmarkStart w:id="4319" w:name="_Toc8816"/>
      <w:bookmarkStart w:id="4320" w:name="_Toc11351"/>
      <w:bookmarkStart w:id="4321" w:name="_Toc217908680"/>
      <w:bookmarkStart w:id="4322" w:name="_Toc10212"/>
      <w:bookmarkStart w:id="4323" w:name="_Toc26043"/>
      <w:bookmarkStart w:id="4324" w:name="_Toc4413"/>
      <w:bookmarkStart w:id="4325" w:name="_Toc32545"/>
      <w:bookmarkStart w:id="4326" w:name="_Toc15715"/>
      <w:bookmarkStart w:id="4327" w:name="_Toc27587"/>
      <w:bookmarkStart w:id="4328" w:name="_Toc22125"/>
      <w:bookmarkStart w:id="4329" w:name="_Toc1574"/>
      <w:bookmarkStart w:id="4330" w:name="_Toc7153"/>
      <w:bookmarkStart w:id="4331" w:name="_Toc21839"/>
      <w:bookmarkStart w:id="4332" w:name="_Toc12099"/>
      <w:bookmarkStart w:id="4333" w:name="_Toc18674"/>
      <w:bookmarkStart w:id="4334" w:name="_Toc28275"/>
      <w:bookmarkStart w:id="4335" w:name="_Toc2201"/>
      <w:bookmarkStart w:id="4336" w:name="_Toc22995"/>
      <w:bookmarkStart w:id="4337" w:name="_Toc4492"/>
      <w:bookmarkStart w:id="4338" w:name="_Toc229225522"/>
      <w:r>
        <w:rPr>
          <w:rFonts w:hint="eastAsia"/>
        </w:rPr>
        <w:t>二、证明责任</w:t>
      </w:r>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p>
    <w:p w:rsidR="00800760" w:rsidRDefault="00235733">
      <w:pPr>
        <w:rPr>
          <w:szCs w:val="21"/>
        </w:rPr>
      </w:pPr>
      <w:r>
        <w:rPr>
          <w:rFonts w:hint="eastAsia"/>
          <w:szCs w:val="21"/>
        </w:rPr>
        <w:t>行政裁决程序中，药品上市许可申请人负有对申请上市许可的药品相关技术方案进行举证的责任。必要时，合议组可以依职权向国家药品监督管理局调取药品上市许可申请人向其提交的相关申报材料。</w:t>
      </w:r>
    </w:p>
    <w:p w:rsidR="00800760" w:rsidRDefault="00235733">
      <w:pPr>
        <w:rPr>
          <w:szCs w:val="21"/>
        </w:rPr>
      </w:pPr>
      <w:r>
        <w:rPr>
          <w:rFonts w:hint="eastAsia"/>
          <w:szCs w:val="21"/>
        </w:rPr>
        <w:t>请求人应当承担以下证明责任：</w:t>
      </w:r>
    </w:p>
    <w:p w:rsidR="00800760" w:rsidRDefault="00235733">
      <w:pPr>
        <w:rPr>
          <w:szCs w:val="21"/>
        </w:rPr>
      </w:pPr>
      <w:r>
        <w:rPr>
          <w:rFonts w:hint="eastAsia"/>
          <w:szCs w:val="21"/>
        </w:rPr>
        <w:t>（</w:t>
      </w:r>
      <w:r>
        <w:rPr>
          <w:szCs w:val="21"/>
        </w:rPr>
        <w:t>1</w:t>
      </w:r>
      <w:r>
        <w:rPr>
          <w:szCs w:val="21"/>
        </w:rPr>
        <w:t>）涉案专利系中国上市药品</w:t>
      </w:r>
      <w:r>
        <w:rPr>
          <w:rFonts w:hint="eastAsia"/>
          <w:szCs w:val="21"/>
        </w:rPr>
        <w:t>专利</w:t>
      </w:r>
      <w:r>
        <w:rPr>
          <w:szCs w:val="21"/>
        </w:rPr>
        <w:t>信息登记平台上登记的专利；</w:t>
      </w:r>
    </w:p>
    <w:p w:rsidR="00800760" w:rsidRDefault="00235733">
      <w:pPr>
        <w:rPr>
          <w:szCs w:val="21"/>
        </w:rPr>
      </w:pPr>
      <w:r>
        <w:rPr>
          <w:rFonts w:hint="eastAsia"/>
          <w:szCs w:val="21"/>
        </w:rPr>
        <w:t>（</w:t>
      </w:r>
      <w:r>
        <w:rPr>
          <w:szCs w:val="21"/>
        </w:rPr>
        <w:t>2</w:t>
      </w:r>
      <w:r>
        <w:rPr>
          <w:szCs w:val="21"/>
        </w:rPr>
        <w:t>）药品上市许可申请人提出了仿制药申请并提出了第四类声明；</w:t>
      </w:r>
    </w:p>
    <w:p w:rsidR="00800760" w:rsidRDefault="00235733">
      <w:pPr>
        <w:rPr>
          <w:szCs w:val="21"/>
        </w:rPr>
      </w:pPr>
      <w:r>
        <w:rPr>
          <w:rFonts w:hint="eastAsia"/>
          <w:szCs w:val="21"/>
        </w:rPr>
        <w:t>（</w:t>
      </w:r>
      <w:r>
        <w:rPr>
          <w:szCs w:val="21"/>
        </w:rPr>
        <w:t>3</w:t>
      </w:r>
      <w:r>
        <w:rPr>
          <w:szCs w:val="21"/>
        </w:rPr>
        <w:t>）申请上市许可的药品与专利权利要求所涉及的产品一致。</w:t>
      </w:r>
    </w:p>
    <w:p w:rsidR="00800760" w:rsidRDefault="00235733">
      <w:pPr>
        <w:rPr>
          <w:szCs w:val="21"/>
        </w:rPr>
      </w:pPr>
      <w:r>
        <w:rPr>
          <w:rFonts w:hint="eastAsia"/>
          <w:szCs w:val="21"/>
        </w:rPr>
        <w:t>除以上证明责任外，药品上市许可申请人作为请求人的，还应当提交申请上市许可的药品相关技术方案，并证明该技术方案未落入专利权的保护范围。专利权人或其利害关系人作为请求人的，在药品上市许可申请人提供了申请上市许可的药品相关技术方案后，须证明该技术方案落入专利权的保护范围。</w:t>
      </w:r>
    </w:p>
    <w:p w:rsidR="00800760" w:rsidRDefault="00235733">
      <w:pPr>
        <w:rPr>
          <w:szCs w:val="21"/>
        </w:rPr>
      </w:pPr>
      <w:r>
        <w:rPr>
          <w:rFonts w:hint="eastAsia"/>
          <w:szCs w:val="21"/>
        </w:rPr>
        <w:t>专利权人或其利害关系人对于药品上市许可申请人提交的有关申请上市许可的药品相关技术方案的真实性有异议的，可以向国务院专利行政部门提出申请，由国务院专利行政部门向国务院药品监督管理部门调取相关申报资料。</w:t>
      </w:r>
    </w:p>
    <w:p w:rsidR="00800760" w:rsidRDefault="00235733">
      <w:pPr>
        <w:pStyle w:val="3"/>
        <w:spacing w:before="240"/>
        <w:ind w:firstLine="444"/>
      </w:pPr>
      <w:bookmarkStart w:id="4339" w:name="_Toc8585"/>
      <w:bookmarkStart w:id="4340" w:name="_Toc8121"/>
      <w:bookmarkStart w:id="4341" w:name="_Toc26211"/>
      <w:bookmarkStart w:id="4342" w:name="_Toc31878"/>
      <w:bookmarkStart w:id="4343" w:name="_Toc8532"/>
      <w:bookmarkStart w:id="4344" w:name="_Toc5784"/>
      <w:bookmarkStart w:id="4345" w:name="_Toc72418766"/>
      <w:bookmarkStart w:id="4346" w:name="_Toc28802"/>
      <w:bookmarkStart w:id="4347" w:name="_Toc10756"/>
      <w:bookmarkStart w:id="4348" w:name="_Toc12687"/>
      <w:bookmarkStart w:id="4349" w:name="_Toc5737"/>
      <w:bookmarkStart w:id="4350" w:name="_Toc6514"/>
      <w:bookmarkStart w:id="4351" w:name="_Toc19293"/>
      <w:bookmarkStart w:id="4352" w:name="_Toc18418"/>
      <w:bookmarkStart w:id="4353" w:name="_Toc30469"/>
      <w:bookmarkStart w:id="4354" w:name="_Toc21854"/>
      <w:bookmarkStart w:id="4355" w:name="_Toc30885"/>
      <w:bookmarkStart w:id="4356" w:name="_Toc15449"/>
      <w:bookmarkStart w:id="4357" w:name="_Toc23023"/>
      <w:bookmarkStart w:id="4358" w:name="_Toc5826"/>
      <w:bookmarkStart w:id="4359" w:name="_Toc191478217"/>
      <w:bookmarkStart w:id="4360" w:name="_Toc11770"/>
      <w:bookmarkStart w:id="4361" w:name="_Toc374"/>
      <w:bookmarkStart w:id="4362" w:name="_Toc27407"/>
      <w:bookmarkStart w:id="4363" w:name="_Toc14707"/>
      <w:bookmarkStart w:id="4364" w:name="_Toc29666"/>
      <w:bookmarkStart w:id="4365" w:name="_Toc12275"/>
      <w:bookmarkStart w:id="4366" w:name="_Toc16234"/>
      <w:bookmarkStart w:id="4367" w:name="_Toc15567"/>
      <w:bookmarkStart w:id="4368" w:name="_Toc19942"/>
      <w:bookmarkStart w:id="4369" w:name="_Toc19300"/>
      <w:bookmarkStart w:id="4370" w:name="_Toc24381"/>
      <w:bookmarkStart w:id="4371" w:name="_Toc217908682"/>
      <w:bookmarkStart w:id="4372" w:name="_Toc10049"/>
      <w:bookmarkStart w:id="4373" w:name="_Toc20968"/>
      <w:bookmarkStart w:id="4374" w:name="_Toc11101"/>
      <w:bookmarkStart w:id="4375" w:name="_Toc3166"/>
      <w:bookmarkStart w:id="4376" w:name="_Toc14834"/>
      <w:bookmarkStart w:id="4377" w:name="_Toc31052"/>
      <w:bookmarkStart w:id="4378" w:name="_Toc22771"/>
      <w:bookmarkStart w:id="4379" w:name="_Toc19796"/>
      <w:bookmarkStart w:id="4380" w:name="_Toc23864"/>
      <w:bookmarkStart w:id="4381" w:name="_Toc9820"/>
      <w:bookmarkStart w:id="4382" w:name="_Toc9650"/>
      <w:bookmarkStart w:id="4383" w:name="_Toc12428"/>
      <w:bookmarkStart w:id="4384" w:name="_Toc229114427"/>
      <w:bookmarkStart w:id="4385" w:name="_Toc229225523"/>
      <w:r>
        <w:rPr>
          <w:rFonts w:hint="eastAsia"/>
        </w:rPr>
        <w:t>三、</w:t>
      </w:r>
      <w:r>
        <w:t>审理</w:t>
      </w:r>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r>
        <w:rPr>
          <w:rFonts w:hint="eastAsia"/>
        </w:rPr>
        <w:t>规则</w:t>
      </w:r>
      <w:bookmarkEnd w:id="4384"/>
      <w:bookmarkEnd w:id="4385"/>
    </w:p>
    <w:p w:rsidR="00800760" w:rsidRDefault="00235733" w:rsidP="00C22A7B">
      <w:pPr>
        <w:keepNext/>
        <w:topLinePunct/>
        <w:adjustRightInd w:val="0"/>
        <w:snapToGrid w:val="0"/>
        <w:spacing w:beforeLines="100"/>
        <w:ind w:firstLine="444"/>
        <w:outlineLvl w:val="3"/>
        <w:rPr>
          <w:rFonts w:eastAsia="黑体"/>
          <w:spacing w:val="6"/>
          <w:szCs w:val="21"/>
        </w:rPr>
      </w:pPr>
      <w:bookmarkStart w:id="4386" w:name="_Toc5934"/>
      <w:bookmarkStart w:id="4387" w:name="_Toc72418767"/>
      <w:bookmarkStart w:id="4388" w:name="_Toc191478218"/>
      <w:r>
        <w:rPr>
          <w:rFonts w:eastAsia="黑体" w:hint="eastAsia"/>
          <w:spacing w:val="6"/>
          <w:szCs w:val="21"/>
        </w:rPr>
        <w:t>（一）判断药品专利侵权的基本原则</w:t>
      </w:r>
      <w:bookmarkEnd w:id="4386"/>
      <w:bookmarkEnd w:id="4387"/>
      <w:bookmarkEnd w:id="4388"/>
    </w:p>
    <w:p w:rsidR="00800760" w:rsidRDefault="00235733">
      <w:pPr>
        <w:rPr>
          <w:szCs w:val="21"/>
        </w:rPr>
      </w:pPr>
      <w:r>
        <w:rPr>
          <w:rFonts w:hint="eastAsia"/>
          <w:szCs w:val="21"/>
        </w:rPr>
        <w:t>判断申请上市许可的药品相关技术方案是否落入专利权的保护范围，应当判断该技术方案是否包含权利人主张的专利权利要求所记载的全部技术特征。</w:t>
      </w:r>
    </w:p>
    <w:p w:rsidR="00800760" w:rsidRDefault="00235733">
      <w:pPr>
        <w:rPr>
          <w:szCs w:val="21"/>
        </w:rPr>
      </w:pPr>
      <w:r>
        <w:rPr>
          <w:rFonts w:hint="eastAsia"/>
          <w:szCs w:val="21"/>
        </w:rPr>
        <w:t>如果申请上市许可的药品相关技术方案包含与专利权利要求记载的全部技术特征相同或者等同的技术特征的，应当认定其落入专利权的保护范围；如果申请上市许可的药品相关技术方案与专利权利要求记载的全部技术特征相比，缺少权利要求记载的一个或一个以上的技术特征，或者有一个或一个以上技术特征既不相同也不等同的，应当认定其未落入专利权的保护范围。</w:t>
      </w:r>
    </w:p>
    <w:p w:rsidR="00800760" w:rsidRDefault="00235733">
      <w:pPr>
        <w:ind w:firstLine="444"/>
        <w:rPr>
          <w:rFonts w:eastAsia="黑体"/>
          <w:spacing w:val="6"/>
          <w:szCs w:val="21"/>
        </w:rPr>
      </w:pPr>
      <w:bookmarkStart w:id="4389" w:name="_Toc191478223"/>
      <w:r>
        <w:rPr>
          <w:rFonts w:eastAsia="黑体" w:hint="eastAsia"/>
          <w:spacing w:val="6"/>
          <w:szCs w:val="21"/>
        </w:rPr>
        <w:t>（二）药品专利纠纷案件的审理规则</w:t>
      </w:r>
      <w:bookmarkEnd w:id="4389"/>
    </w:p>
    <w:p w:rsidR="00800760" w:rsidRDefault="00235733">
      <w:pPr>
        <w:rPr>
          <w:szCs w:val="21"/>
        </w:rPr>
      </w:pPr>
      <w:r>
        <w:rPr>
          <w:rFonts w:hint="eastAsia"/>
          <w:szCs w:val="21"/>
        </w:rPr>
        <w:t>1.</w:t>
      </w:r>
      <w:r>
        <w:rPr>
          <w:szCs w:val="21"/>
        </w:rPr>
        <w:t>行政裁决</w:t>
      </w:r>
      <w:r>
        <w:rPr>
          <w:rFonts w:hint="eastAsia"/>
          <w:szCs w:val="21"/>
        </w:rPr>
        <w:t>程序与相应无效宣告请求程序相互独立</w:t>
      </w:r>
    </w:p>
    <w:p w:rsidR="00800760" w:rsidRDefault="00235733">
      <w:pPr>
        <w:rPr>
          <w:szCs w:val="21"/>
        </w:rPr>
      </w:pPr>
      <w:r>
        <w:rPr>
          <w:rFonts w:hint="eastAsia"/>
          <w:szCs w:val="21"/>
        </w:rPr>
        <w:t>根据《专利纠纷行政裁决和调解办法》第二十八条第一款第（一）项和第二十九条第一款第（一）项的规定，当“涉案实用新型、外观设计专利权被申请宣告无效并被国务院专利行政部门受理的”，管理专利工作的部门应当依申请或者依职权中止案件处理；当“涉案发明专利权在案件处理期间被申请宣告无效的”，管理专利工作的部门可以不中止案件处理。</w:t>
      </w:r>
    </w:p>
    <w:p w:rsidR="00800760" w:rsidRDefault="00235733" w:rsidP="00C22A7B">
      <w:pPr>
        <w:keepNext/>
        <w:spacing w:beforeLines="50"/>
        <w:rPr>
          <w:rFonts w:eastAsia="黑体" w:cs="MingLiU_HKSCS"/>
          <w:szCs w:val="21"/>
          <w:lang w:val="zh-CN"/>
        </w:rPr>
      </w:pPr>
      <w:r>
        <w:rPr>
          <w:rFonts w:eastAsia="黑体" w:cs="MingLiU_HKSCS" w:hint="eastAsia"/>
          <w:szCs w:val="21"/>
          <w:lang w:val="zh-CN"/>
        </w:rPr>
        <w:t>【案例</w:t>
      </w:r>
      <w:r>
        <w:rPr>
          <w:rFonts w:eastAsia="黑体" w:cs="MingLiU_HKSCS" w:hint="eastAsia"/>
          <w:szCs w:val="21"/>
          <w:lang w:val="zh-CN"/>
        </w:rPr>
        <w:t>6-3-1</w:t>
      </w:r>
      <w:r>
        <w:rPr>
          <w:rFonts w:eastAsia="黑体" w:cs="MingLiU_HKSCS" w:hint="eastAsia"/>
          <w:szCs w:val="21"/>
          <w:lang w:val="zh-CN"/>
        </w:rPr>
        <w:t>】</w:t>
      </w:r>
    </w:p>
    <w:p w:rsidR="00800760" w:rsidRDefault="00235733">
      <w:pPr>
        <w:spacing w:line="360" w:lineRule="auto"/>
        <w:rPr>
          <w:rFonts w:eastAsia="楷体_GB2312" w:cs="HTJ-PK74820000537-Identity-H"/>
          <w:szCs w:val="21"/>
        </w:rPr>
      </w:pPr>
      <w:r>
        <w:rPr>
          <w:rFonts w:eastAsia="楷体_GB2312" w:cs="HTJ-PK74820000537-Identity-H" w:hint="eastAsia"/>
          <w:szCs w:val="21"/>
        </w:rPr>
        <w:t>在某药品专利侵权纠纷案中，被请求人认为其作出</w:t>
      </w:r>
      <w:r>
        <w:rPr>
          <w:rFonts w:eastAsia="楷体_GB2312" w:cs="HTJ-PK74820000537-Identity-H" w:hint="eastAsia"/>
          <w:szCs w:val="21"/>
        </w:rPr>
        <w:t>4.1</w:t>
      </w:r>
      <w:r>
        <w:rPr>
          <w:rFonts w:eastAsia="楷体_GB2312" w:cs="HTJ-PK74820000537-Identity-H" w:hint="eastAsia"/>
          <w:szCs w:val="21"/>
        </w:rPr>
        <w:t>类声明时已就涉案专利提出无效宣告请求，国家知识产权局不应继续审理仿制药是否落入涉案专利保护范围。</w:t>
      </w:r>
    </w:p>
    <w:p w:rsidR="00800760" w:rsidRDefault="00235733">
      <w:pPr>
        <w:spacing w:line="360" w:lineRule="auto"/>
        <w:rPr>
          <w:rFonts w:eastAsia="楷体_GB2312"/>
          <w:sz w:val="24"/>
        </w:rPr>
      </w:pPr>
      <w:r>
        <w:rPr>
          <w:rFonts w:eastAsia="楷体_GB2312" w:cs="HTJ-PK74820000537-Identity-H" w:hint="eastAsia"/>
          <w:szCs w:val="21"/>
        </w:rPr>
        <w:t>行政裁决认为，“当事人对涉案专利提出无效宣告请求的，涉案专利为发明专利，国家知识产权局可以不中止案件办理”，专利无效宣告和药品专利纠纷行政裁决是两个独立的法律程序，就相同专利提出无效宣告请求并不必然影响行政裁决请求案件审理。</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spacing w:line="360" w:lineRule="auto"/>
        <w:rPr>
          <w:rFonts w:eastAsia="楷体_GB2312" w:cs="HTJ-PK74820000537-Identity-H"/>
          <w:szCs w:val="21"/>
        </w:rPr>
      </w:pPr>
      <w:r>
        <w:rPr>
          <w:rFonts w:eastAsia="楷体_GB2312" w:cs="HTJ-PK74820000537-Identity-H" w:hint="eastAsia"/>
          <w:szCs w:val="21"/>
        </w:rPr>
        <w:t>由于发明专利权经过实质审查，而实用新型和外观设计只经过初审审查，因而发明专利权相对于实用新型和外观设计专利权稳定性更高。根据《药品专利纠纷早期解决机制实施办法（试行）》第八条规定，收到人民法院立案或者国务院专利行政部门受理通知书副本后，国务院药品监督管理部门对化学仿制药注册申请设置</w:t>
      </w:r>
      <w:r>
        <w:rPr>
          <w:rFonts w:eastAsia="楷体_GB2312" w:cs="HTJ-PK74820000537-Identity-H" w:hint="eastAsia"/>
          <w:szCs w:val="21"/>
        </w:rPr>
        <w:t>9</w:t>
      </w:r>
      <w:r>
        <w:rPr>
          <w:rFonts w:eastAsia="楷体_GB2312" w:cs="HTJ-PK74820000537-Identity-H" w:hint="eastAsia"/>
          <w:szCs w:val="21"/>
        </w:rPr>
        <w:t>个月的等待期，等待期内国家药品审评机构不停止技术审评。为了提高行政裁决的效率，防止恶意通过无效宣告请求程序拖延纠纷处理程序，保障</w:t>
      </w:r>
      <w:r>
        <w:rPr>
          <w:rFonts w:eastAsia="楷体_GB2312" w:cs="HTJ-PK74820000537-Identity-H" w:hint="eastAsia"/>
          <w:szCs w:val="21"/>
        </w:rPr>
        <w:t>9</w:t>
      </w:r>
      <w:r>
        <w:rPr>
          <w:rFonts w:eastAsia="楷体_GB2312" w:cs="HTJ-PK74820000537-Identity-H" w:hint="eastAsia"/>
          <w:szCs w:val="21"/>
        </w:rPr>
        <w:t>个月等待期内完成行政裁决，避免程序空转造成评审资源浪费，对于涉案发明专利权在案件处理期间被申请宣告无效的，管理专利工作的部</w:t>
      </w:r>
      <w:r>
        <w:rPr>
          <w:rFonts w:eastAsia="楷体_GB2312" w:cs="HTJ-PK74820000537-Identity-H"/>
          <w:szCs w:val="21"/>
        </w:rPr>
        <w:t>门可以不中止案件处理</w:t>
      </w:r>
      <w:r>
        <w:rPr>
          <w:rFonts w:eastAsia="楷体_GB2312" w:cs="HTJ-PK74820000537-Identity-H" w:hint="eastAsia"/>
          <w:szCs w:val="21"/>
        </w:rPr>
        <w:t>。</w:t>
      </w:r>
    </w:p>
    <w:p w:rsidR="00800760" w:rsidRDefault="00235733">
      <w:pPr>
        <w:rPr>
          <w:szCs w:val="21"/>
        </w:rPr>
      </w:pPr>
      <w:r>
        <w:rPr>
          <w:rFonts w:hint="eastAsia"/>
          <w:szCs w:val="21"/>
        </w:rPr>
        <w:t>2.</w:t>
      </w:r>
      <w:r>
        <w:rPr>
          <w:rFonts w:hint="eastAsia"/>
          <w:szCs w:val="21"/>
        </w:rPr>
        <w:t>药品上市许可申请人应当提交仿制药技术方案，并负有仿制药技术方案未</w:t>
      </w:r>
      <w:r>
        <w:rPr>
          <w:szCs w:val="21"/>
        </w:rPr>
        <w:t>落入涉案专利权保护范围的</w:t>
      </w:r>
      <w:r>
        <w:rPr>
          <w:rFonts w:hint="eastAsia"/>
          <w:szCs w:val="21"/>
        </w:rPr>
        <w:t>举证责任</w:t>
      </w:r>
    </w:p>
    <w:p w:rsidR="00800760" w:rsidRDefault="00235733">
      <w:pPr>
        <w:rPr>
          <w:szCs w:val="21"/>
        </w:rPr>
      </w:pPr>
      <w:r>
        <w:rPr>
          <w:rFonts w:hint="eastAsia"/>
          <w:szCs w:val="21"/>
        </w:rPr>
        <w:t>请求人向国务院专利行政部门提出行政裁决请求的，应当提交的材料包括请求书及相关材料。请求人是药品上市许可申请人的，还应当提交申请注册的药品相关技术方案，该技术方案涉及保密信息的，需要单独提交并声明。药品上市许可申请人应当结合其向国家药品审评机构申报的相关技术资料，采用特征对比表的形式，具体说明未落入专利权保护范围的理由。</w:t>
      </w:r>
    </w:p>
    <w:p w:rsidR="00800760" w:rsidRDefault="00235733" w:rsidP="00C22A7B">
      <w:pPr>
        <w:keepNext/>
        <w:adjustRightInd w:val="0"/>
        <w:spacing w:beforeLines="50"/>
        <w:outlineLvl w:val="3"/>
        <w:rPr>
          <w:rFonts w:eastAsia="黑体" w:cs="MingLiU_HKSCS"/>
          <w:szCs w:val="21"/>
          <w:lang w:val="zh-CN"/>
        </w:rPr>
      </w:pPr>
      <w:r>
        <w:rPr>
          <w:rFonts w:eastAsia="黑体" w:cs="MingLiU_HKSCS" w:hint="eastAsia"/>
          <w:szCs w:val="21"/>
          <w:lang w:val="zh-CN"/>
        </w:rPr>
        <w:t>【案例</w:t>
      </w:r>
      <w:r>
        <w:rPr>
          <w:rFonts w:eastAsia="黑体" w:cs="MingLiU_HKSCS" w:hint="eastAsia"/>
          <w:szCs w:val="21"/>
          <w:lang w:val="zh-CN"/>
        </w:rPr>
        <w:t>6-3-2</w:t>
      </w:r>
      <w:r>
        <w:rPr>
          <w:rFonts w:eastAsia="黑体" w:cs="MingLiU_HKSCS" w:hint="eastAsia"/>
          <w:szCs w:val="21"/>
          <w:lang w:val="zh-CN"/>
        </w:rPr>
        <w:t>】</w:t>
      </w:r>
    </w:p>
    <w:p w:rsidR="00800760" w:rsidRDefault="00235733">
      <w:pPr>
        <w:spacing w:line="360" w:lineRule="auto"/>
        <w:rPr>
          <w:rFonts w:eastAsia="楷体_GB2312" w:cs="HTJ-PK74820000537-Identity-H"/>
          <w:szCs w:val="21"/>
        </w:rPr>
      </w:pPr>
      <w:r>
        <w:rPr>
          <w:rFonts w:eastAsia="楷体_GB2312" w:cs="HTJ-PK74820000537-Identity-H" w:hint="eastAsia"/>
          <w:szCs w:val="21"/>
        </w:rPr>
        <w:t>在某药品专利纠纷案中，涉案专利权利要求</w:t>
      </w:r>
      <w:r>
        <w:rPr>
          <w:rFonts w:eastAsia="楷体_GB2312" w:cs="HTJ-PK74820000537-Identity-H" w:hint="eastAsia"/>
          <w:szCs w:val="21"/>
        </w:rPr>
        <w:t>1</w:t>
      </w:r>
      <w:r>
        <w:rPr>
          <w:rFonts w:eastAsia="楷体_GB2312" w:cs="HTJ-PK74820000537-Identity-H" w:hint="eastAsia"/>
          <w:szCs w:val="21"/>
        </w:rPr>
        <w:t>要求保护一种固体药物组合物。该组合物除了活性成分</w:t>
      </w:r>
      <w:r>
        <w:rPr>
          <w:rFonts w:eastAsia="楷体_GB2312" w:cs="HTJ-PK74820000537-Identity-H" w:hint="eastAsia"/>
          <w:szCs w:val="21"/>
        </w:rPr>
        <w:t>A</w:t>
      </w:r>
      <w:r>
        <w:rPr>
          <w:rFonts w:eastAsia="楷体_GB2312" w:cs="HTJ-PK74820000537-Identity-H" w:hint="eastAsia"/>
          <w:szCs w:val="21"/>
        </w:rPr>
        <w:t>，还包括组分</w:t>
      </w:r>
      <w:r>
        <w:rPr>
          <w:rFonts w:eastAsia="楷体_GB2312" w:cs="HTJ-PK74820000537-Identity-H" w:hint="eastAsia"/>
          <w:szCs w:val="21"/>
        </w:rPr>
        <w:t>B</w:t>
      </w:r>
      <w:r>
        <w:rPr>
          <w:rFonts w:eastAsia="楷体_GB2312" w:cs="HTJ-PK74820000537-Identity-H" w:hint="eastAsia"/>
          <w:szCs w:val="21"/>
        </w:rPr>
        <w:t>、</w:t>
      </w:r>
      <w:r>
        <w:rPr>
          <w:rFonts w:eastAsia="楷体_GB2312" w:cs="HTJ-PK74820000537-Identity-H" w:hint="eastAsia"/>
          <w:szCs w:val="21"/>
        </w:rPr>
        <w:t>C</w:t>
      </w:r>
      <w:r>
        <w:rPr>
          <w:rFonts w:eastAsia="楷体_GB2312" w:cs="HTJ-PK74820000537-Identity-H" w:hint="eastAsia"/>
          <w:szCs w:val="21"/>
        </w:rPr>
        <w:t>和</w:t>
      </w:r>
      <w:r>
        <w:rPr>
          <w:rFonts w:eastAsia="楷体_GB2312" w:cs="HTJ-PK74820000537-Identity-H" w:hint="eastAsia"/>
          <w:szCs w:val="21"/>
        </w:rPr>
        <w:t>D</w:t>
      </w:r>
      <w:r>
        <w:rPr>
          <w:rFonts w:eastAsia="楷体_GB2312" w:cs="HTJ-PK74820000537-Identity-H" w:hint="eastAsia"/>
          <w:szCs w:val="21"/>
        </w:rPr>
        <w:t>，且限定了比例关系。仿制药申请人（被请求人）仅提供了该仿制药说明书样稿用于说明仿制药技术方案，该说明书样稿仅载明仿制药的活性成分为</w:t>
      </w:r>
      <w:r>
        <w:rPr>
          <w:rFonts w:eastAsia="楷体_GB2312" w:cs="HTJ-PK74820000537-Identity-H" w:hint="eastAsia"/>
          <w:szCs w:val="21"/>
        </w:rPr>
        <w:t>A</w:t>
      </w:r>
      <w:r>
        <w:rPr>
          <w:rFonts w:eastAsia="楷体_GB2312" w:cs="HTJ-PK74820000537-Identity-H" w:hint="eastAsia"/>
          <w:szCs w:val="21"/>
        </w:rPr>
        <w:t>，没有记载除活性成分外的其他组分及含量。</w:t>
      </w:r>
    </w:p>
    <w:p w:rsidR="00800760" w:rsidRDefault="00235733">
      <w:pPr>
        <w:spacing w:line="360" w:lineRule="auto"/>
        <w:rPr>
          <w:rFonts w:eastAsia="楷体_GB2312" w:cs="HTJ-PK74820000537-Identity-H"/>
          <w:szCs w:val="21"/>
        </w:rPr>
      </w:pPr>
      <w:r>
        <w:rPr>
          <w:rFonts w:eastAsia="楷体_GB2312" w:cs="HTJ-PK74820000537-Identity-H" w:hint="eastAsia"/>
          <w:szCs w:val="21"/>
        </w:rPr>
        <w:t>行政裁决认为，在药品专利纠纷早期解决机制行政裁决程序中，仿制药申请人负有提交仿制药技术方案的义务，其举证应当覆盖涉案专利的全部技术特征。如果仿制药申请人有能力举证，但没有在合议组指定期限内提交覆盖涉案专利全部技术特征的仿制药技术方案，而仿制药申报材料中包括相关内容又具有高度可能性，则仿制药申请人需要承担举证不力的法律后果。</w:t>
      </w:r>
    </w:p>
    <w:p w:rsidR="00800760" w:rsidRDefault="00235733">
      <w:pPr>
        <w:keepNext/>
        <w:topLinePunct/>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spacing w:line="360" w:lineRule="auto"/>
        <w:rPr>
          <w:rFonts w:eastAsia="楷体_GB2312"/>
          <w:sz w:val="24"/>
        </w:rPr>
      </w:pPr>
      <w:r>
        <w:rPr>
          <w:rFonts w:eastAsia="楷体_GB2312" w:cs="HTJ-PK74820000537-Identity-H" w:hint="eastAsia"/>
          <w:szCs w:val="21"/>
        </w:rPr>
        <w:t>药品上市许可申请人作为请求人的，应当提交申请注册的药品相关技术方案，提交的技术方案应当满足清楚、完整的要求。仿制药组分和含量是药品申报上市必须明确记载在申报材料中的内容。在药品上市许可申请人有能力提交足以表达与涉案专利权利要求技术特征相对应的申报材料，而未充分履行这一义务时，药品上市许可申请人应当承担推定仿制药技术方案落入专利权保护范围的不利后果。</w:t>
      </w:r>
    </w:p>
    <w:p w:rsidR="00800760" w:rsidRDefault="00235733">
      <w:pPr>
        <w:rPr>
          <w:szCs w:val="21"/>
        </w:rPr>
      </w:pPr>
      <w:r>
        <w:rPr>
          <w:rFonts w:hint="eastAsia"/>
          <w:szCs w:val="21"/>
        </w:rPr>
        <w:t>3.</w:t>
      </w:r>
      <w:r>
        <w:rPr>
          <w:rFonts w:hint="eastAsia"/>
          <w:szCs w:val="21"/>
        </w:rPr>
        <w:t>数值或数值范围特征应当慎重适用等同原则</w:t>
      </w:r>
    </w:p>
    <w:p w:rsidR="00800760" w:rsidRDefault="00235733">
      <w:pPr>
        <w:rPr>
          <w:szCs w:val="21"/>
        </w:rPr>
      </w:pPr>
      <w:r>
        <w:rPr>
          <w:rFonts w:hint="eastAsia"/>
          <w:szCs w:val="21"/>
        </w:rPr>
        <w:t>对于药品专利而言，数值或数值范围是经过严格的实验和专利审查确定的技术边界，对于要求保护的技术方案具有明确的限定作用，关系到药品的安全性、稳定性和有效性。微小的数值偏差可能引发药效不足或安全风险，不宜通过等同原则随意扩张。对于专利权人通过申请、授权程序自主划定的保护范围，禁止反悔和不当扩张。</w:t>
      </w:r>
    </w:p>
    <w:p w:rsidR="00800760" w:rsidRDefault="00235733">
      <w:pPr>
        <w:rPr>
          <w:szCs w:val="21"/>
        </w:rPr>
      </w:pPr>
      <w:r>
        <w:rPr>
          <w:rFonts w:hint="eastAsia"/>
          <w:szCs w:val="21"/>
        </w:rPr>
        <w:t>针对药物组合物专利，在进行设计时，改变辅料或者辅料成分，均是药品上市许可申请人规避原研药的可选路径。当药品上市许可申请人提出第四类声明时，仿制药中某成分的含量不同于专利权利要求中的相应数值或者未落入相应的数值范围时，两者是否构成等同技术特征往往成为争议焦点。</w:t>
      </w:r>
    </w:p>
    <w:p w:rsidR="00800760" w:rsidRDefault="00235733" w:rsidP="00C22A7B">
      <w:pPr>
        <w:keepNext/>
        <w:spacing w:beforeLines="50"/>
        <w:rPr>
          <w:rFonts w:eastAsia="黑体" w:cs="MingLiU_HKSCS"/>
          <w:szCs w:val="21"/>
          <w:lang w:val="zh-CN"/>
        </w:rPr>
      </w:pPr>
      <w:r>
        <w:rPr>
          <w:rFonts w:eastAsia="黑体" w:cs="MingLiU_HKSCS" w:hint="eastAsia"/>
          <w:szCs w:val="21"/>
          <w:lang w:val="zh-CN"/>
        </w:rPr>
        <w:t>【案例</w:t>
      </w:r>
      <w:r>
        <w:rPr>
          <w:rFonts w:eastAsia="黑体" w:cs="MingLiU_HKSCS" w:hint="eastAsia"/>
          <w:szCs w:val="21"/>
          <w:lang w:val="zh-CN"/>
        </w:rPr>
        <w:t>6-3-3</w:t>
      </w:r>
      <w:r>
        <w:rPr>
          <w:rFonts w:eastAsia="黑体" w:cs="MingLiU_HKSCS" w:hint="eastAsia"/>
          <w:szCs w:val="21"/>
          <w:lang w:val="zh-CN"/>
        </w:rPr>
        <w:t>】</w:t>
      </w:r>
    </w:p>
    <w:p w:rsidR="00800760" w:rsidRDefault="00235733">
      <w:pPr>
        <w:spacing w:line="360" w:lineRule="auto"/>
        <w:rPr>
          <w:rFonts w:eastAsia="楷体_GB2312" w:cs="HTJ-PK74820000537-Identity-H"/>
          <w:szCs w:val="21"/>
        </w:rPr>
      </w:pPr>
      <w:r>
        <w:rPr>
          <w:rFonts w:eastAsia="楷体_GB2312" w:cs="HTJ-PK74820000537-Identity-H" w:hint="eastAsia"/>
          <w:szCs w:val="21"/>
        </w:rPr>
        <w:t>在某药品专利纠纷案中，涉案专利权利要求</w:t>
      </w:r>
      <w:r>
        <w:rPr>
          <w:rFonts w:eastAsia="楷体_GB2312" w:cs="HTJ-PK74820000537-Identity-H" w:hint="eastAsia"/>
          <w:szCs w:val="21"/>
        </w:rPr>
        <w:t>1</w:t>
      </w:r>
      <w:r>
        <w:rPr>
          <w:rFonts w:eastAsia="楷体_GB2312" w:cs="HTJ-PK74820000537-Identity-H" w:hint="eastAsia"/>
          <w:szCs w:val="21"/>
        </w:rPr>
        <w:t>要求保护的药物组合物包含按重量计</w:t>
      </w:r>
      <w:r>
        <w:rPr>
          <w:rFonts w:eastAsia="楷体_GB2312" w:cs="HTJ-PK74820000537-Identity-H" w:hint="eastAsia"/>
          <w:szCs w:val="21"/>
        </w:rPr>
        <w:t>0.5%</w:t>
      </w:r>
      <w:r>
        <w:rPr>
          <w:rFonts w:eastAsia="楷体_GB2312" w:cs="HTJ-PK74820000537-Identity-H" w:hint="eastAsia"/>
          <w:szCs w:val="21"/>
        </w:rPr>
        <w:t>的表面活性剂，说明书分别记载了药物组合物含有按重量计</w:t>
      </w:r>
      <w:r>
        <w:rPr>
          <w:rFonts w:eastAsia="楷体_GB2312" w:cs="HTJ-PK74820000537-Identity-H" w:hint="eastAsia"/>
          <w:szCs w:val="21"/>
        </w:rPr>
        <w:t>0-3%</w:t>
      </w:r>
      <w:r>
        <w:rPr>
          <w:rFonts w:eastAsia="楷体_GB2312" w:cs="HTJ-PK74820000537-Identity-H" w:hint="eastAsia"/>
          <w:szCs w:val="21"/>
        </w:rPr>
        <w:t>以及</w:t>
      </w:r>
      <w:r>
        <w:rPr>
          <w:rFonts w:eastAsia="楷体_GB2312" w:cs="HTJ-PK74820000537-Identity-H" w:hint="eastAsia"/>
          <w:szCs w:val="21"/>
        </w:rPr>
        <w:t>0.5%-1%</w:t>
      </w:r>
      <w:r>
        <w:rPr>
          <w:rFonts w:eastAsia="楷体_GB2312" w:cs="HTJ-PK74820000537-Identity-H" w:hint="eastAsia"/>
          <w:szCs w:val="21"/>
        </w:rPr>
        <w:t>的表面活性剂。仿制药表面活性剂含量与上述数值不同。在涉案专利授权程序中，为克服权利要求不能得到说明书支持的缺陷，专利申请人将“按重量计</w:t>
      </w:r>
      <w:r>
        <w:rPr>
          <w:rFonts w:eastAsia="楷体_GB2312" w:cs="HTJ-PK74820000537-Identity-H" w:hint="eastAsia"/>
          <w:szCs w:val="21"/>
        </w:rPr>
        <w:t>0.5%</w:t>
      </w:r>
      <w:r>
        <w:rPr>
          <w:rFonts w:eastAsia="楷体_GB2312" w:cs="HTJ-PK74820000537-Identity-H" w:hint="eastAsia"/>
          <w:szCs w:val="21"/>
        </w:rPr>
        <w:t>的表面活性剂”技术特征补入权利要求</w:t>
      </w:r>
      <w:r>
        <w:rPr>
          <w:rFonts w:eastAsia="楷体_GB2312" w:cs="HTJ-PK74820000537-Identity-H" w:hint="eastAsia"/>
          <w:szCs w:val="21"/>
        </w:rPr>
        <w:t>1</w:t>
      </w:r>
      <w:r>
        <w:rPr>
          <w:rFonts w:eastAsia="楷体_GB2312" w:cs="HTJ-PK74820000537-Identity-H" w:hint="eastAsia"/>
          <w:szCs w:val="21"/>
        </w:rPr>
        <w:t>，并说明该技术特征对于解决发明技术问题是“特别有用的”，继而该专利获得授权。</w:t>
      </w:r>
    </w:p>
    <w:p w:rsidR="00800760" w:rsidRDefault="00235733">
      <w:pPr>
        <w:spacing w:line="360" w:lineRule="auto"/>
        <w:rPr>
          <w:rFonts w:eastAsia="楷体_GB2312" w:cs="HTJ-PK74820000537-Identity-H"/>
          <w:szCs w:val="21"/>
        </w:rPr>
      </w:pPr>
      <w:r>
        <w:rPr>
          <w:rFonts w:eastAsia="楷体_GB2312" w:cs="HTJ-PK74820000537-Identity-H" w:hint="eastAsia"/>
          <w:szCs w:val="21"/>
        </w:rPr>
        <w:t>行政裁决认为，权利人在专利授权或确权程序中通过修改权利要求书、说明书或者意见陈述而放弃的技术方案，在专利权被授予后，权利人重新将其纳入专利权保护范围的，不应予以支持。对于包含数值或数值范围的技术方案，应当严格适用等同原则；但是，如果仿制药技术方案的相应数值相较于权利要求的数值或数值范围端点虽然有区别，但仍属于相关领域公认的误差范围的，应当认为仿制药技术方案的该数值特征被权利要求所覆盖。</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spacing w:line="360" w:lineRule="auto"/>
        <w:rPr>
          <w:rFonts w:eastAsia="楷体_GB2312" w:cs="HTJ-PK74820000537-Identity-H"/>
          <w:szCs w:val="21"/>
        </w:rPr>
      </w:pPr>
      <w:r>
        <w:rPr>
          <w:rFonts w:eastAsia="楷体_GB2312" w:cs="HTJ-PK74820000537-Identity-H" w:hint="eastAsia"/>
          <w:szCs w:val="21"/>
        </w:rPr>
        <w:t>等同特征，是指与专利权利要求记载的技术特征相比，以基本相同的手段，实现基本相同的功能，达到基本相同的效果，并且属于本领域普通技术人员无需经过创造性劳动就能够联想到的技术特征。包含数值或数值范围的技术方案，应当严格适用等同原则。本案仿制药技术方案中的数值与权利要求</w:t>
      </w:r>
      <w:r>
        <w:rPr>
          <w:rFonts w:eastAsia="楷体_GB2312" w:cs="HTJ-PK74820000537-Identity-H" w:hint="eastAsia"/>
          <w:szCs w:val="21"/>
        </w:rPr>
        <w:t>1</w:t>
      </w:r>
      <w:r>
        <w:rPr>
          <w:rFonts w:eastAsia="楷体_GB2312" w:cs="HTJ-PK74820000537-Identity-H" w:hint="eastAsia"/>
          <w:szCs w:val="21"/>
        </w:rPr>
        <w:t>的技术特征存在明显区别，并且该区别不在公认的误差范围内，应当认为仿制药未落入权利要求的保护范围。</w:t>
      </w:r>
    </w:p>
    <w:p w:rsidR="00800760" w:rsidRDefault="00235733">
      <w:pPr>
        <w:pStyle w:val="3"/>
        <w:spacing w:before="240"/>
        <w:ind w:firstLine="444"/>
      </w:pPr>
      <w:bookmarkStart w:id="4390" w:name="_Toc72418773"/>
      <w:bookmarkStart w:id="4391" w:name="_Toc14463"/>
      <w:bookmarkStart w:id="4392" w:name="_Toc13024"/>
      <w:bookmarkStart w:id="4393" w:name="_Toc11559"/>
      <w:bookmarkStart w:id="4394" w:name="_Toc22795"/>
      <w:bookmarkStart w:id="4395" w:name="_Toc191478224"/>
      <w:bookmarkStart w:id="4396" w:name="_Toc27444"/>
      <w:bookmarkStart w:id="4397" w:name="_Toc14328"/>
      <w:bookmarkStart w:id="4398" w:name="_Toc31882"/>
      <w:bookmarkStart w:id="4399" w:name="_Toc12070"/>
      <w:bookmarkStart w:id="4400" w:name="_Toc15823"/>
      <w:bookmarkStart w:id="4401" w:name="_Toc12694"/>
      <w:bookmarkStart w:id="4402" w:name="_Toc17003"/>
      <w:bookmarkStart w:id="4403" w:name="_Toc27787"/>
      <w:bookmarkStart w:id="4404" w:name="_Toc9147"/>
      <w:bookmarkStart w:id="4405" w:name="_Toc29410"/>
      <w:bookmarkStart w:id="4406" w:name="_Toc16182"/>
      <w:bookmarkStart w:id="4407" w:name="_Toc15348"/>
      <w:bookmarkStart w:id="4408" w:name="_Toc14669"/>
      <w:bookmarkStart w:id="4409" w:name="_Toc6499"/>
      <w:bookmarkStart w:id="4410" w:name="_Toc20762"/>
      <w:bookmarkStart w:id="4411" w:name="_Toc27552"/>
      <w:bookmarkStart w:id="4412" w:name="_Toc5831"/>
      <w:bookmarkStart w:id="4413" w:name="_Toc28182"/>
      <w:bookmarkStart w:id="4414" w:name="_Toc217908683"/>
      <w:bookmarkStart w:id="4415" w:name="_Toc27482"/>
      <w:bookmarkStart w:id="4416" w:name="_Toc4242"/>
      <w:bookmarkStart w:id="4417" w:name="_Toc6043"/>
      <w:bookmarkStart w:id="4418" w:name="_Toc21921"/>
      <w:bookmarkStart w:id="4419" w:name="_Toc3655"/>
      <w:bookmarkStart w:id="4420" w:name="_Toc20341"/>
      <w:bookmarkStart w:id="4421" w:name="_Toc9293"/>
      <w:bookmarkStart w:id="4422" w:name="_Toc31447"/>
      <w:bookmarkStart w:id="4423" w:name="_Toc14529"/>
      <w:bookmarkStart w:id="4424" w:name="_Toc10959"/>
      <w:bookmarkStart w:id="4425" w:name="_Toc7410"/>
      <w:bookmarkStart w:id="4426" w:name="_Toc226"/>
      <w:bookmarkStart w:id="4427" w:name="_Toc229114428"/>
      <w:bookmarkStart w:id="4428" w:name="_Toc6888"/>
      <w:bookmarkStart w:id="4429" w:name="_Toc13081"/>
      <w:bookmarkStart w:id="4430" w:name="_Toc1066"/>
      <w:bookmarkStart w:id="4431" w:name="_Toc32050"/>
      <w:bookmarkStart w:id="4432" w:name="_Toc14046"/>
      <w:bookmarkStart w:id="4433" w:name="_Toc1365"/>
      <w:bookmarkStart w:id="4434" w:name="_Toc1894"/>
      <w:bookmarkStart w:id="4435" w:name="_Toc4508"/>
      <w:bookmarkStart w:id="4436" w:name="_Toc229225524"/>
      <w:r>
        <w:rPr>
          <w:rFonts w:hint="eastAsia"/>
        </w:rPr>
        <w:t>四、药品专利纠纷行政</w:t>
      </w:r>
      <w:r>
        <w:t>裁决</w:t>
      </w:r>
      <w:bookmarkEnd w:id="4390"/>
      <w:r>
        <w:rPr>
          <w:rFonts w:hint="eastAsia"/>
        </w:rPr>
        <w:t>书</w:t>
      </w:r>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p>
    <w:p w:rsidR="00800760" w:rsidRDefault="00235733" w:rsidP="00C22A7B">
      <w:pPr>
        <w:keepNext/>
        <w:topLinePunct/>
        <w:adjustRightInd w:val="0"/>
        <w:snapToGrid w:val="0"/>
        <w:spacing w:beforeLines="100"/>
        <w:ind w:firstLine="444"/>
        <w:outlineLvl w:val="3"/>
        <w:rPr>
          <w:rFonts w:eastAsia="黑体"/>
          <w:spacing w:val="6"/>
          <w:szCs w:val="21"/>
        </w:rPr>
      </w:pPr>
      <w:bookmarkStart w:id="4437" w:name="_Toc72418774"/>
      <w:bookmarkStart w:id="4438" w:name="_Toc191478225"/>
      <w:r>
        <w:rPr>
          <w:rFonts w:eastAsia="黑体" w:hint="eastAsia"/>
          <w:spacing w:val="6"/>
          <w:szCs w:val="21"/>
        </w:rPr>
        <w:t>（一）行政裁决书的类型</w:t>
      </w:r>
      <w:bookmarkEnd w:id="4437"/>
      <w:bookmarkEnd w:id="4438"/>
    </w:p>
    <w:p w:rsidR="00800760" w:rsidRDefault="00235733">
      <w:pPr>
        <w:rPr>
          <w:szCs w:val="21"/>
        </w:rPr>
      </w:pPr>
      <w:r>
        <w:rPr>
          <w:rFonts w:hint="eastAsia"/>
          <w:szCs w:val="21"/>
        </w:rPr>
        <w:t>行政裁决书的结论分为以下两种类型：</w:t>
      </w:r>
    </w:p>
    <w:p w:rsidR="00800760" w:rsidRDefault="00235733">
      <w:pPr>
        <w:rPr>
          <w:szCs w:val="21"/>
        </w:rPr>
      </w:pPr>
      <w:r>
        <w:rPr>
          <w:rFonts w:hint="eastAsia"/>
          <w:szCs w:val="21"/>
        </w:rPr>
        <w:t>（</w:t>
      </w:r>
      <w:r>
        <w:rPr>
          <w:rFonts w:hint="eastAsia"/>
          <w:szCs w:val="21"/>
        </w:rPr>
        <w:t>1</w:t>
      </w:r>
      <w:r>
        <w:rPr>
          <w:rFonts w:hint="eastAsia"/>
          <w:szCs w:val="21"/>
        </w:rPr>
        <w:t>）确认申请上市许可的药品相关技术方案落入专利权保护范围；</w:t>
      </w:r>
    </w:p>
    <w:p w:rsidR="00800760" w:rsidRDefault="00235733">
      <w:pPr>
        <w:rPr>
          <w:szCs w:val="21"/>
        </w:rPr>
      </w:pPr>
      <w:r>
        <w:rPr>
          <w:rFonts w:hint="eastAsia"/>
          <w:szCs w:val="21"/>
        </w:rPr>
        <w:t>（</w:t>
      </w:r>
      <w:r>
        <w:rPr>
          <w:rFonts w:hint="eastAsia"/>
          <w:szCs w:val="21"/>
        </w:rPr>
        <w:t>2</w:t>
      </w:r>
      <w:r>
        <w:rPr>
          <w:rFonts w:hint="eastAsia"/>
          <w:szCs w:val="21"/>
        </w:rPr>
        <w:t>）确认申请上市许可的药品相关技术方案未落入专利权保护范围。</w:t>
      </w:r>
    </w:p>
    <w:p w:rsidR="00800760" w:rsidRDefault="00235733">
      <w:pPr>
        <w:rPr>
          <w:szCs w:val="21"/>
        </w:rPr>
      </w:pPr>
      <w:r>
        <w:rPr>
          <w:rFonts w:hint="eastAsia"/>
          <w:szCs w:val="21"/>
        </w:rPr>
        <w:t>已经受理的行政裁决请求，合议组经审理后认定其不符合受理条件的，驳回该行政裁决请求。</w:t>
      </w:r>
    </w:p>
    <w:p w:rsidR="00800760" w:rsidRDefault="00235733">
      <w:pPr>
        <w:rPr>
          <w:szCs w:val="21"/>
        </w:rPr>
      </w:pPr>
      <w:r>
        <w:rPr>
          <w:rFonts w:hint="eastAsia"/>
          <w:szCs w:val="21"/>
        </w:rPr>
        <w:t>国务院专利行政部门作出行政裁决之前，请求人可以撤回其请求。请求人撤回其请求或者其请求视为撤回的，药品专利纠纷行政裁决程序终止。请求人在行政裁决的结论作出后撤回其请求的，不影响行政裁决的效力。</w:t>
      </w:r>
    </w:p>
    <w:p w:rsidR="00800760" w:rsidRDefault="00235733">
      <w:pPr>
        <w:rPr>
          <w:sz w:val="24"/>
        </w:rPr>
      </w:pPr>
      <w:r>
        <w:rPr>
          <w:rFonts w:hint="eastAsia"/>
          <w:szCs w:val="21"/>
        </w:rPr>
        <w:t>药品专利纠纷行政裁决案件办理中，涉案专利所涉及的部分权利要求被国家知识产权局宣告无效的，根据维持有效的权利要求为基础作出行政裁决；涉案专利所涉及的权利要求被国家知识产权局全部宣告无效的，驳回行政裁决请求。</w:t>
      </w:r>
    </w:p>
    <w:p w:rsidR="00800760" w:rsidRDefault="00235733" w:rsidP="00C22A7B">
      <w:pPr>
        <w:keepNext/>
        <w:topLinePunct/>
        <w:adjustRightInd w:val="0"/>
        <w:snapToGrid w:val="0"/>
        <w:spacing w:beforeLines="100"/>
        <w:ind w:firstLine="444"/>
        <w:outlineLvl w:val="3"/>
        <w:rPr>
          <w:rFonts w:eastAsia="黑体"/>
          <w:spacing w:val="6"/>
          <w:szCs w:val="21"/>
        </w:rPr>
      </w:pPr>
      <w:bookmarkStart w:id="4439" w:name="_Toc72418775"/>
      <w:bookmarkStart w:id="4440" w:name="_Toc191478226"/>
      <w:r>
        <w:rPr>
          <w:rFonts w:eastAsia="黑体" w:hint="eastAsia"/>
          <w:spacing w:val="6"/>
          <w:szCs w:val="21"/>
        </w:rPr>
        <w:t>（二）</w:t>
      </w:r>
      <w:r>
        <w:rPr>
          <w:rFonts w:eastAsia="黑体"/>
          <w:spacing w:val="6"/>
          <w:szCs w:val="21"/>
        </w:rPr>
        <w:t>行政裁决书</w:t>
      </w:r>
      <w:r>
        <w:rPr>
          <w:rFonts w:eastAsia="黑体" w:hint="eastAsia"/>
          <w:spacing w:val="6"/>
          <w:szCs w:val="21"/>
        </w:rPr>
        <w:t>的构成</w:t>
      </w:r>
      <w:bookmarkEnd w:id="4439"/>
      <w:bookmarkEnd w:id="4440"/>
    </w:p>
    <w:p w:rsidR="00800760" w:rsidRDefault="00235733">
      <w:pPr>
        <w:rPr>
          <w:szCs w:val="21"/>
        </w:rPr>
      </w:pPr>
      <w:r>
        <w:rPr>
          <w:rFonts w:hint="eastAsia"/>
          <w:szCs w:val="21"/>
        </w:rPr>
        <w:t>行政裁决书包括下列部分：</w:t>
      </w:r>
    </w:p>
    <w:p w:rsidR="00800760" w:rsidRDefault="00235733">
      <w:pPr>
        <w:rPr>
          <w:szCs w:val="21"/>
        </w:rPr>
      </w:pPr>
      <w:r>
        <w:rPr>
          <w:rFonts w:hint="eastAsia"/>
          <w:szCs w:val="21"/>
        </w:rPr>
        <w:t>（</w:t>
      </w:r>
      <w:r>
        <w:rPr>
          <w:rFonts w:hint="eastAsia"/>
          <w:szCs w:val="21"/>
        </w:rPr>
        <w:t>1</w:t>
      </w:r>
      <w:r>
        <w:rPr>
          <w:rFonts w:hint="eastAsia"/>
          <w:szCs w:val="21"/>
        </w:rPr>
        <w:t>）著录项目。行政裁决书的著录项目包括案件编号、专利号、发明创造名称、药品名称、行政裁决请求人和被请求人、行政裁决请求日、行政裁决作出日等信息。</w:t>
      </w:r>
    </w:p>
    <w:p w:rsidR="00800760" w:rsidRDefault="00235733">
      <w:pPr>
        <w:rPr>
          <w:szCs w:val="21"/>
        </w:rPr>
      </w:pPr>
      <w:r>
        <w:rPr>
          <w:rFonts w:hint="eastAsia"/>
          <w:szCs w:val="21"/>
        </w:rPr>
        <w:t>（</w:t>
      </w:r>
      <w:r>
        <w:rPr>
          <w:rFonts w:hint="eastAsia"/>
          <w:szCs w:val="21"/>
        </w:rPr>
        <w:t>2</w:t>
      </w:r>
      <w:r>
        <w:rPr>
          <w:rFonts w:hint="eastAsia"/>
          <w:szCs w:val="21"/>
        </w:rPr>
        <w:t>）行政裁决要点。针对案件争议点所采用的判断标准。</w:t>
      </w:r>
    </w:p>
    <w:p w:rsidR="00800760" w:rsidRDefault="00235733">
      <w:pPr>
        <w:rPr>
          <w:szCs w:val="21"/>
        </w:rPr>
      </w:pPr>
      <w:r>
        <w:rPr>
          <w:rFonts w:hint="eastAsia"/>
          <w:szCs w:val="21"/>
        </w:rPr>
        <w:t>（</w:t>
      </w:r>
      <w:r>
        <w:rPr>
          <w:rFonts w:hint="eastAsia"/>
          <w:szCs w:val="21"/>
        </w:rPr>
        <w:t>3</w:t>
      </w:r>
      <w:r>
        <w:rPr>
          <w:rFonts w:hint="eastAsia"/>
          <w:szCs w:val="21"/>
        </w:rPr>
        <w:t>）案由。按时间顺序客观记载行政裁决请求的提出、理由、证据和受理情况，文件的提交、转送情况，审查过程和事实查明情况。</w:t>
      </w:r>
    </w:p>
    <w:p w:rsidR="00800760" w:rsidRDefault="00235733">
      <w:pPr>
        <w:rPr>
          <w:szCs w:val="21"/>
        </w:rPr>
      </w:pPr>
      <w:r>
        <w:rPr>
          <w:rFonts w:hint="eastAsia"/>
          <w:szCs w:val="21"/>
        </w:rPr>
        <w:t>（</w:t>
      </w:r>
      <w:r>
        <w:rPr>
          <w:rFonts w:hint="eastAsia"/>
          <w:szCs w:val="21"/>
        </w:rPr>
        <w:t>4</w:t>
      </w:r>
      <w:r>
        <w:rPr>
          <w:rFonts w:hint="eastAsia"/>
          <w:szCs w:val="21"/>
        </w:rPr>
        <w:t>）裁决理由。阐明行政裁决所依据的法律、法规条款的规定，得出裁决结论所依据的事实，并具体说明所述条款对该案件的适用。对于裁决结论对其不利的当事人的全部理由、证据和主要观点应当进行具体分析，阐明其理由不成立、观点不被采纳的原因。</w:t>
      </w:r>
    </w:p>
    <w:p w:rsidR="00800760" w:rsidRDefault="00235733">
      <w:pPr>
        <w:rPr>
          <w:szCs w:val="21"/>
        </w:rPr>
      </w:pPr>
      <w:r>
        <w:rPr>
          <w:rFonts w:hint="eastAsia"/>
          <w:szCs w:val="21"/>
        </w:rPr>
        <w:t>（</w:t>
      </w:r>
      <w:r>
        <w:rPr>
          <w:rFonts w:hint="eastAsia"/>
          <w:szCs w:val="21"/>
        </w:rPr>
        <w:t>5</w:t>
      </w:r>
      <w:r>
        <w:rPr>
          <w:rFonts w:hint="eastAsia"/>
          <w:szCs w:val="21"/>
        </w:rPr>
        <w:t>）裁决结论。给出具体的审理结论，并对后续程序的启动、时限和受理单位等给出明确、具体的指引。</w:t>
      </w:r>
      <w:bookmarkStart w:id="4441" w:name="_Toc72418779"/>
      <w:bookmarkStart w:id="4442" w:name="_Toc191478227"/>
    </w:p>
    <w:p w:rsidR="00800760" w:rsidRDefault="00235733">
      <w:pPr>
        <w:pStyle w:val="3"/>
        <w:spacing w:before="240"/>
        <w:ind w:firstLine="444"/>
      </w:pPr>
      <w:bookmarkStart w:id="4443" w:name="_Toc24715"/>
      <w:bookmarkStart w:id="4444" w:name="_Toc15114"/>
      <w:bookmarkStart w:id="4445" w:name="_Toc14594"/>
      <w:bookmarkStart w:id="4446" w:name="_Toc17348"/>
      <w:bookmarkStart w:id="4447" w:name="_Toc23339"/>
      <w:bookmarkStart w:id="4448" w:name="_Toc10435"/>
      <w:bookmarkStart w:id="4449" w:name="_Toc14007"/>
      <w:bookmarkStart w:id="4450" w:name="_Toc18515"/>
      <w:bookmarkStart w:id="4451" w:name="_Toc7898"/>
      <w:bookmarkStart w:id="4452" w:name="_Toc25723"/>
      <w:bookmarkStart w:id="4453" w:name="_Toc7374"/>
      <w:bookmarkStart w:id="4454" w:name="_Toc10908"/>
      <w:bookmarkStart w:id="4455" w:name="_Toc25551"/>
      <w:bookmarkStart w:id="4456" w:name="_Toc20275"/>
      <w:bookmarkStart w:id="4457" w:name="_Toc27343"/>
      <w:bookmarkStart w:id="4458" w:name="_Toc25611"/>
      <w:bookmarkStart w:id="4459" w:name="_Toc18405"/>
      <w:bookmarkStart w:id="4460" w:name="_Toc26478"/>
      <w:bookmarkStart w:id="4461" w:name="_Toc16201"/>
      <w:bookmarkStart w:id="4462" w:name="_Toc30747"/>
      <w:bookmarkStart w:id="4463" w:name="_Toc15033"/>
      <w:bookmarkStart w:id="4464" w:name="_Toc3798"/>
      <w:bookmarkStart w:id="4465" w:name="_Toc18133"/>
      <w:bookmarkStart w:id="4466" w:name="_Toc4958"/>
      <w:bookmarkStart w:id="4467" w:name="_Toc19980"/>
      <w:bookmarkStart w:id="4468" w:name="_Toc217908684"/>
      <w:bookmarkStart w:id="4469" w:name="_Toc18721"/>
      <w:bookmarkStart w:id="4470" w:name="_Toc229114429"/>
      <w:bookmarkStart w:id="4471" w:name="_Toc229225525"/>
      <w:r>
        <w:rPr>
          <w:rFonts w:hint="eastAsia"/>
        </w:rPr>
        <w:t>五、行政裁决书的送达</w:t>
      </w:r>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r>
        <w:rPr>
          <w:rFonts w:hint="eastAsia"/>
        </w:rPr>
        <w:t>和救济</w:t>
      </w:r>
      <w:bookmarkEnd w:id="4470"/>
      <w:bookmarkEnd w:id="4471"/>
    </w:p>
    <w:p w:rsidR="00800760" w:rsidRDefault="00235733">
      <w:pPr>
        <w:rPr>
          <w:szCs w:val="21"/>
        </w:rPr>
      </w:pPr>
      <w:r>
        <w:rPr>
          <w:rFonts w:hint="eastAsia"/>
          <w:szCs w:val="21"/>
        </w:rPr>
        <w:t>行政裁决作出后，行政裁决书应当送达双方当事人。</w:t>
      </w:r>
    </w:p>
    <w:p w:rsidR="00800760" w:rsidRDefault="00235733">
      <w:pPr>
        <w:rPr>
          <w:szCs w:val="21"/>
        </w:rPr>
      </w:pPr>
      <w:r>
        <w:rPr>
          <w:szCs w:val="21"/>
        </w:rPr>
        <w:t>当事人对国务院专利行政部门作出的药品专利纠纷行政裁决不服的，可以依法向人民法院起诉。</w:t>
      </w:r>
    </w:p>
    <w:p w:rsidR="00800760" w:rsidRDefault="00235733">
      <w:pPr>
        <w:rPr>
          <w:szCs w:val="21"/>
        </w:rPr>
      </w:pPr>
      <w:r>
        <w:rPr>
          <w:rFonts w:hint="eastAsia"/>
        </w:rPr>
        <w:t>在行政裁决案件审理开始之前曾通知国务院药品监督管理部门的，行政裁决作出后，合议组应当将行政裁决书送达国务院药品</w:t>
      </w:r>
      <w:r>
        <w:rPr>
          <w:rFonts w:hint="eastAsia"/>
          <w:szCs w:val="21"/>
        </w:rPr>
        <w:t>监督管理部门。</w:t>
      </w:r>
    </w:p>
    <w:p w:rsidR="00800760" w:rsidRDefault="00235733">
      <w:pPr>
        <w:pStyle w:val="3"/>
        <w:spacing w:before="240"/>
        <w:ind w:firstLine="444"/>
      </w:pPr>
      <w:bookmarkStart w:id="4472" w:name="_Toc229114430"/>
      <w:bookmarkStart w:id="4473" w:name="_Toc229225526"/>
      <w:r>
        <w:rPr>
          <w:rFonts w:hint="eastAsia"/>
        </w:rPr>
        <w:t>六、行政裁决书的公开</w:t>
      </w:r>
      <w:bookmarkEnd w:id="4472"/>
      <w:bookmarkEnd w:id="4473"/>
    </w:p>
    <w:p w:rsidR="00800760" w:rsidRDefault="00235733">
      <w:pPr>
        <w:rPr>
          <w:szCs w:val="21"/>
        </w:rPr>
      </w:pPr>
      <w:r>
        <w:rPr>
          <w:rFonts w:hint="eastAsia"/>
          <w:szCs w:val="21"/>
        </w:rPr>
        <w:t>行政裁决作出后，应当按照《政府信息公开条例》及有关规定向社会公开。行政裁决公开时，应当删除涉及商业秘密的信息。</w:t>
      </w:r>
    </w:p>
    <w:p w:rsidR="00800760" w:rsidRDefault="00800760">
      <w:pPr>
        <w:rPr>
          <w:szCs w:val="21"/>
        </w:rPr>
      </w:pPr>
    </w:p>
    <w:p w:rsidR="00800760" w:rsidRDefault="00235733">
      <w:pPr>
        <w:pStyle w:val="1"/>
        <w:pageBreakBefore/>
        <w:ind w:firstLineChars="0" w:firstLine="0"/>
      </w:pPr>
      <w:bookmarkStart w:id="4474" w:name="_Toc17539"/>
      <w:bookmarkStart w:id="4475" w:name="_Toc11285"/>
      <w:bookmarkStart w:id="4476" w:name="_Toc623"/>
      <w:bookmarkStart w:id="4477" w:name="_Toc14099"/>
      <w:bookmarkStart w:id="4478" w:name="_Toc13303"/>
      <w:bookmarkStart w:id="4479" w:name="_Toc12705"/>
      <w:bookmarkStart w:id="4480" w:name="_Toc17105"/>
      <w:bookmarkStart w:id="4481" w:name="_Toc6736"/>
      <w:bookmarkStart w:id="4482" w:name="_Toc3144"/>
      <w:bookmarkStart w:id="4483" w:name="_Toc8498"/>
      <w:bookmarkStart w:id="4484" w:name="_Toc20308"/>
      <w:bookmarkStart w:id="4485" w:name="_Toc3470"/>
      <w:bookmarkStart w:id="4486" w:name="_Toc18579"/>
      <w:bookmarkStart w:id="4487" w:name="_Toc17350"/>
      <w:bookmarkStart w:id="4488" w:name="_Toc17968"/>
      <w:bookmarkStart w:id="4489" w:name="_Toc11416"/>
      <w:bookmarkStart w:id="4490" w:name="_Toc24193"/>
      <w:bookmarkStart w:id="4491" w:name="_Toc14285"/>
      <w:bookmarkStart w:id="4492" w:name="_Toc28259"/>
      <w:bookmarkStart w:id="4493" w:name="_Toc29076"/>
      <w:bookmarkStart w:id="4494" w:name="_Toc26053"/>
      <w:bookmarkStart w:id="4495" w:name="_Toc11217"/>
      <w:bookmarkStart w:id="4496" w:name="_Toc17818"/>
      <w:bookmarkStart w:id="4497" w:name="_Toc507"/>
      <w:bookmarkStart w:id="4498" w:name="_Toc15155"/>
      <w:bookmarkStart w:id="4499" w:name="_Toc6400"/>
      <w:bookmarkStart w:id="4500" w:name="_Toc28210"/>
      <w:bookmarkStart w:id="4501" w:name="_Toc16928"/>
      <w:bookmarkStart w:id="4502" w:name="_Toc217908685"/>
      <w:bookmarkStart w:id="4503" w:name="_Toc1241"/>
      <w:bookmarkStart w:id="4504" w:name="_Toc21320"/>
      <w:bookmarkStart w:id="4505" w:name="_Toc22888"/>
      <w:bookmarkStart w:id="4506" w:name="_Toc2006"/>
      <w:bookmarkStart w:id="4507" w:name="_Toc9390"/>
      <w:bookmarkStart w:id="4508" w:name="_Toc10819"/>
      <w:bookmarkStart w:id="4509" w:name="_Toc5647"/>
      <w:bookmarkStart w:id="4510" w:name="_Toc3975"/>
      <w:bookmarkStart w:id="4511" w:name="_Toc31955"/>
      <w:bookmarkStart w:id="4512" w:name="_Toc20671"/>
      <w:bookmarkStart w:id="4513" w:name="_Toc5261"/>
      <w:bookmarkStart w:id="4514" w:name="_Toc31994"/>
      <w:bookmarkStart w:id="4515" w:name="_Toc4540"/>
      <w:bookmarkStart w:id="4516" w:name="_Toc26313"/>
      <w:bookmarkStart w:id="4517" w:name="_Toc11069"/>
      <w:bookmarkStart w:id="4518" w:name="_Toc6201"/>
      <w:bookmarkStart w:id="4519" w:name="_Toc229114431"/>
      <w:bookmarkStart w:id="4520" w:name="_Toc229225527"/>
      <w:r>
        <w:rPr>
          <w:rFonts w:hint="eastAsia"/>
        </w:rPr>
        <w:t>第七章　专利纠纷行政裁决行政诉讼</w:t>
      </w:r>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p>
    <w:p w:rsidR="00800760" w:rsidRDefault="00235733">
      <w:pPr>
        <w:pStyle w:val="2"/>
        <w:ind w:firstLineChars="0" w:firstLine="0"/>
        <w:rPr>
          <w:rFonts w:ascii="Times New Roman" w:hAnsi="Times New Roman"/>
          <w:color w:val="000000"/>
        </w:rPr>
      </w:pPr>
      <w:bookmarkStart w:id="4521" w:name="_Toc18856"/>
      <w:bookmarkStart w:id="4522" w:name="_Toc28697"/>
      <w:bookmarkStart w:id="4523" w:name="_Toc30441"/>
      <w:bookmarkStart w:id="4524" w:name="_Toc29651"/>
      <w:bookmarkStart w:id="4525" w:name="_Toc18077"/>
      <w:bookmarkStart w:id="4526" w:name="_Toc30691"/>
      <w:bookmarkStart w:id="4527" w:name="_Toc27709"/>
      <w:bookmarkStart w:id="4528" w:name="_Toc1467"/>
      <w:bookmarkStart w:id="4529" w:name="_Toc31715"/>
      <w:bookmarkStart w:id="4530" w:name="_Toc30546"/>
      <w:bookmarkStart w:id="4531" w:name="_Toc6752"/>
      <w:bookmarkStart w:id="4532" w:name="_Toc26232"/>
      <w:bookmarkStart w:id="4533" w:name="_Toc27271"/>
      <w:bookmarkStart w:id="4534" w:name="_Toc13514"/>
      <w:bookmarkStart w:id="4535" w:name="_Toc8773"/>
      <w:bookmarkStart w:id="4536" w:name="_Toc28028"/>
      <w:bookmarkStart w:id="4537" w:name="_Toc31519"/>
      <w:bookmarkStart w:id="4538" w:name="_Toc15133"/>
      <w:bookmarkStart w:id="4539" w:name="_Toc20385"/>
      <w:bookmarkStart w:id="4540" w:name="_Toc29740"/>
      <w:bookmarkStart w:id="4541" w:name="_Toc11338"/>
      <w:bookmarkStart w:id="4542" w:name="_Toc5596"/>
      <w:bookmarkStart w:id="4543" w:name="_Toc6932"/>
      <w:bookmarkStart w:id="4544" w:name="_Toc508"/>
      <w:bookmarkStart w:id="4545" w:name="_Toc32329"/>
      <w:bookmarkStart w:id="4546" w:name="_Toc12214"/>
      <w:bookmarkStart w:id="4547" w:name="_Toc3286"/>
      <w:bookmarkStart w:id="4548" w:name="_Toc21393"/>
      <w:bookmarkStart w:id="4549" w:name="_Toc11392"/>
      <w:bookmarkStart w:id="4550" w:name="_Toc7208"/>
      <w:bookmarkStart w:id="4551" w:name="_Toc6511"/>
      <w:bookmarkStart w:id="4552" w:name="_Toc5279"/>
      <w:bookmarkStart w:id="4553" w:name="_Toc28188"/>
      <w:bookmarkStart w:id="4554" w:name="_Toc5115"/>
      <w:bookmarkStart w:id="4555" w:name="_Toc9235"/>
      <w:bookmarkStart w:id="4556" w:name="_Toc18636"/>
      <w:bookmarkStart w:id="4557" w:name="_Toc20415"/>
      <w:bookmarkStart w:id="4558" w:name="_Toc6175"/>
      <w:bookmarkStart w:id="4559" w:name="_Toc3583"/>
      <w:bookmarkStart w:id="4560" w:name="_Toc27180"/>
      <w:bookmarkStart w:id="4561" w:name="_Toc21520"/>
      <w:bookmarkStart w:id="4562" w:name="_Toc229114432"/>
      <w:bookmarkStart w:id="4563" w:name="_Toc217908686"/>
      <w:bookmarkStart w:id="4564" w:name="_Toc7336"/>
      <w:bookmarkStart w:id="4565" w:name="_Toc229225528"/>
      <w:r>
        <w:rPr>
          <w:rFonts w:ascii="Times New Roman" w:hAnsi="Times New Roman" w:hint="eastAsia"/>
        </w:rPr>
        <w:t>第一</w:t>
      </w:r>
      <w:r>
        <w:rPr>
          <w:rFonts w:ascii="Times New Roman" w:hAnsi="Times New Roman" w:hint="eastAsia"/>
          <w:color w:val="000000"/>
        </w:rPr>
        <w:t>节</w:t>
      </w:r>
      <w:r>
        <w:rPr>
          <w:rFonts w:ascii="Times New Roman" w:hAnsi="Times New Roman" w:hint="eastAsia"/>
        </w:rPr>
        <w:t xml:space="preserve">　</w:t>
      </w:r>
      <w:r>
        <w:rPr>
          <w:rFonts w:ascii="Times New Roman" w:hAnsi="Times New Roman" w:hint="eastAsia"/>
          <w:color w:val="000000"/>
        </w:rPr>
        <w:t>基本概念</w:t>
      </w:r>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行政诉讼，是指公民、法人或者其他组织认为行政机关和行政机关工作人员的行政行为侵犯其合法权益，依照法律</w:t>
      </w:r>
      <w:r>
        <w:rPr>
          <w:rFonts w:ascii="Times New Roman" w:eastAsia="宋体" w:hAnsi="Times New Roman" w:hint="eastAsia"/>
          <w:sz w:val="21"/>
          <w:szCs w:val="21"/>
        </w:rPr>
        <w:t>法规规定</w:t>
      </w:r>
      <w:r>
        <w:rPr>
          <w:rFonts w:ascii="Times New Roman" w:eastAsia="宋体" w:hAnsi="Times New Roman"/>
          <w:sz w:val="21"/>
          <w:szCs w:val="21"/>
        </w:rPr>
        <w:t>向人民法院提起的诉讼。</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专利纠纷裁决行政诉讼</w:t>
      </w:r>
      <w:r>
        <w:rPr>
          <w:rFonts w:ascii="Times New Roman" w:eastAsia="宋体" w:hAnsi="Times New Roman"/>
          <w:sz w:val="21"/>
          <w:szCs w:val="21"/>
        </w:rPr>
        <w:t>是指当事人对管理专利工作的部门作出的与</w:t>
      </w:r>
      <w:r>
        <w:rPr>
          <w:rFonts w:ascii="Times New Roman" w:eastAsia="宋体" w:hAnsi="Times New Roman" w:hint="eastAsia"/>
          <w:sz w:val="21"/>
          <w:szCs w:val="21"/>
        </w:rPr>
        <w:t>专利纠纷行政裁决</w:t>
      </w:r>
      <w:r>
        <w:rPr>
          <w:rFonts w:ascii="Times New Roman" w:eastAsia="宋体" w:hAnsi="Times New Roman"/>
          <w:sz w:val="21"/>
          <w:szCs w:val="21"/>
        </w:rPr>
        <w:t>有关的行政行为不服，依法向人民法院提起的行政诉讼。</w:t>
      </w:r>
    </w:p>
    <w:p w:rsidR="00800760" w:rsidRDefault="00235733">
      <w:pPr>
        <w:pStyle w:val="3"/>
        <w:spacing w:before="240"/>
        <w:ind w:firstLine="444"/>
        <w:rPr>
          <w:rFonts w:ascii="Times New Roman" w:hAnsi="Times New Roman"/>
          <w:color w:val="000000"/>
        </w:rPr>
      </w:pPr>
      <w:bookmarkStart w:id="4566" w:name="_Toc6402"/>
      <w:bookmarkStart w:id="4567" w:name="_Toc1663"/>
      <w:bookmarkStart w:id="4568" w:name="_Toc876"/>
      <w:bookmarkStart w:id="4569" w:name="_Toc25553"/>
      <w:bookmarkStart w:id="4570" w:name="_Toc1164"/>
      <w:bookmarkStart w:id="4571" w:name="_Toc8577"/>
      <w:bookmarkStart w:id="4572" w:name="_Toc28422"/>
      <w:bookmarkStart w:id="4573" w:name="_Toc30163"/>
      <w:bookmarkStart w:id="4574" w:name="_Toc26697"/>
      <w:bookmarkStart w:id="4575" w:name="_Toc8677"/>
      <w:bookmarkStart w:id="4576" w:name="_Toc31028"/>
      <w:bookmarkStart w:id="4577" w:name="_Toc395"/>
      <w:bookmarkStart w:id="4578" w:name="_Toc29575"/>
      <w:bookmarkStart w:id="4579" w:name="_Toc11905"/>
      <w:bookmarkStart w:id="4580" w:name="_Toc16314"/>
      <w:bookmarkStart w:id="4581" w:name="_Toc29035"/>
      <w:bookmarkStart w:id="4582" w:name="_Toc16716"/>
      <w:bookmarkStart w:id="4583" w:name="_Toc3116"/>
      <w:bookmarkStart w:id="4584" w:name="_Toc5099"/>
      <w:bookmarkStart w:id="4585" w:name="_Toc18270"/>
      <w:bookmarkStart w:id="4586" w:name="_Toc217908687"/>
      <w:bookmarkStart w:id="4587" w:name="_Toc18762"/>
      <w:bookmarkStart w:id="4588" w:name="_Toc15551"/>
      <w:bookmarkStart w:id="4589" w:name="_Toc10220"/>
      <w:bookmarkStart w:id="4590" w:name="_Toc19530"/>
      <w:bookmarkStart w:id="4591" w:name="_Toc32635"/>
      <w:bookmarkStart w:id="4592" w:name="_Toc2157"/>
      <w:bookmarkStart w:id="4593" w:name="_Toc75"/>
      <w:bookmarkStart w:id="4594" w:name="_Toc1056"/>
      <w:bookmarkStart w:id="4595" w:name="_Toc25257"/>
      <w:bookmarkStart w:id="4596" w:name="_Toc6079"/>
      <w:bookmarkStart w:id="4597" w:name="_Toc10702"/>
      <w:bookmarkStart w:id="4598" w:name="_Toc13341"/>
      <w:bookmarkStart w:id="4599" w:name="_Toc7888"/>
      <w:bookmarkStart w:id="4600" w:name="_Toc23191"/>
      <w:bookmarkStart w:id="4601" w:name="_Toc20215"/>
      <w:bookmarkStart w:id="4602" w:name="_Toc2783"/>
      <w:bookmarkStart w:id="4603" w:name="_Toc14853"/>
      <w:bookmarkStart w:id="4604" w:name="_Toc27810"/>
      <w:bookmarkStart w:id="4605" w:name="_Toc3125"/>
      <w:bookmarkStart w:id="4606" w:name="_Toc26648"/>
      <w:bookmarkStart w:id="4607" w:name="_Toc15773"/>
      <w:bookmarkStart w:id="4608" w:name="_Toc6234"/>
      <w:bookmarkStart w:id="4609" w:name="_Toc229114433"/>
      <w:bookmarkStart w:id="4610" w:name="_Toc229225529"/>
      <w:bookmarkStart w:id="4611" w:name="_Toc18912"/>
      <w:bookmarkStart w:id="4612" w:name="_Toc19194"/>
      <w:bookmarkStart w:id="4613" w:name="_Toc13441"/>
      <w:bookmarkStart w:id="4614" w:name="_Toc6373"/>
      <w:bookmarkStart w:id="4615" w:name="_Toc27018"/>
      <w:bookmarkStart w:id="4616" w:name="_Toc29992"/>
      <w:bookmarkStart w:id="4617" w:name="_Toc29227"/>
      <w:bookmarkStart w:id="4618" w:name="_Toc9486"/>
      <w:bookmarkStart w:id="4619" w:name="_Toc4489"/>
      <w:bookmarkStart w:id="4620" w:name="_Toc17131"/>
      <w:bookmarkStart w:id="4621" w:name="_Toc28896"/>
      <w:bookmarkStart w:id="4622" w:name="_Toc30399"/>
      <w:bookmarkStart w:id="4623" w:name="_Toc26855"/>
      <w:bookmarkStart w:id="4624" w:name="_Toc10270"/>
      <w:bookmarkStart w:id="4625" w:name="_Toc568"/>
      <w:bookmarkStart w:id="4626" w:name="_Toc26226"/>
      <w:bookmarkStart w:id="4627" w:name="_Toc12146"/>
      <w:bookmarkStart w:id="4628" w:name="_Toc3624"/>
      <w:bookmarkStart w:id="4629" w:name="_Toc15373"/>
      <w:bookmarkStart w:id="4630" w:name="_Toc17898"/>
      <w:bookmarkStart w:id="4631" w:name="_Toc24575"/>
      <w:bookmarkStart w:id="4632" w:name="_Toc409"/>
      <w:bookmarkStart w:id="4633" w:name="_Toc17794"/>
      <w:bookmarkStart w:id="4634" w:name="_Toc30289"/>
      <w:bookmarkStart w:id="4635" w:name="_Toc30896"/>
      <w:bookmarkStart w:id="4636" w:name="_Toc29259"/>
      <w:bookmarkStart w:id="4637" w:name="_Toc28022"/>
      <w:bookmarkStart w:id="4638" w:name="_Toc20883"/>
      <w:bookmarkStart w:id="4639" w:name="_Toc26476"/>
      <w:bookmarkStart w:id="4640" w:name="_Toc6365"/>
      <w:bookmarkStart w:id="4641" w:name="_Toc12836"/>
      <w:bookmarkStart w:id="4642" w:name="_Toc5021"/>
      <w:bookmarkStart w:id="4643" w:name="_Toc846"/>
      <w:bookmarkStart w:id="4644" w:name="_Toc16561"/>
      <w:bookmarkStart w:id="4645" w:name="_Toc25864"/>
      <w:bookmarkStart w:id="4646" w:name="_Toc10518"/>
      <w:bookmarkStart w:id="4647" w:name="_Toc1050"/>
      <w:bookmarkStart w:id="4648" w:name="_Toc6366"/>
      <w:bookmarkStart w:id="4649" w:name="_Toc12009"/>
      <w:bookmarkStart w:id="4650" w:name="_Toc16951"/>
      <w:bookmarkStart w:id="4651" w:name="_Toc17484"/>
      <w:bookmarkStart w:id="4652" w:name="_Toc1948"/>
      <w:r>
        <w:rPr>
          <w:rFonts w:ascii="Times New Roman" w:hAnsi="Times New Roman" w:hint="eastAsia"/>
          <w:color w:val="000000"/>
        </w:rPr>
        <w:t>一、可行政诉讼的情形</w:t>
      </w:r>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管理专利工作的部门针对请求人提出的专利侵权纠纷处理请求进行的以下处理，当事人不服相应行政裁决的，可以依据《中华人民共和国行政诉讼法》</w:t>
      </w:r>
      <w:r>
        <w:rPr>
          <w:rFonts w:ascii="Times New Roman" w:eastAsia="宋体" w:hAnsi="Times New Roman"/>
          <w:sz w:val="21"/>
          <w:szCs w:val="21"/>
        </w:rPr>
        <w:t>(</w:t>
      </w:r>
      <w:r>
        <w:rPr>
          <w:rFonts w:ascii="Times New Roman" w:eastAsia="宋体" w:hAnsi="Times New Roman"/>
          <w:sz w:val="21"/>
          <w:szCs w:val="21"/>
        </w:rPr>
        <w:t>以下简称《行政诉讼法》</w:t>
      </w:r>
      <w:r>
        <w:rPr>
          <w:rFonts w:ascii="Times New Roman" w:eastAsia="宋体" w:hAnsi="Times New Roman"/>
          <w:sz w:val="21"/>
          <w:szCs w:val="21"/>
        </w:rPr>
        <w:t>)</w:t>
      </w:r>
      <w:r>
        <w:rPr>
          <w:rFonts w:ascii="Times New Roman" w:eastAsia="宋体" w:hAnsi="Times New Roman" w:hint="eastAsia"/>
          <w:sz w:val="21"/>
          <w:szCs w:val="21"/>
        </w:rPr>
        <w:t>第十二条之规定，向人民法院提起行政诉讼：</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 xml:space="preserve">1. </w:t>
      </w:r>
      <w:r>
        <w:rPr>
          <w:rFonts w:ascii="Times New Roman" w:eastAsia="宋体" w:hAnsi="Times New Roman" w:hint="eastAsia"/>
          <w:sz w:val="21"/>
          <w:szCs w:val="21"/>
        </w:rPr>
        <w:t>认为不符合立案条件，向请求人发出《专利侵权纠纷处理请求不予受理通知书》的。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 xml:space="preserve">2. </w:t>
      </w:r>
      <w:r>
        <w:rPr>
          <w:rFonts w:ascii="Times New Roman" w:eastAsia="宋体" w:hAnsi="Times New Roman" w:hint="eastAsia"/>
          <w:sz w:val="21"/>
          <w:szCs w:val="21"/>
        </w:rPr>
        <w:t>经审理，认为需要作出行政裁决，向当事人发出《专利侵权纠纷案件行政裁决书》的。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 xml:space="preserve">3. </w:t>
      </w:r>
      <w:r>
        <w:rPr>
          <w:rFonts w:ascii="Times New Roman" w:eastAsia="宋体" w:hAnsi="Times New Roman" w:hint="eastAsia"/>
          <w:sz w:val="21"/>
          <w:szCs w:val="21"/>
        </w:rPr>
        <w:t>经审理，认为存在本指南本章第三节的“撤销案件”情形，向当事人发出《撤销专利侵权纠纷案件决定书》的。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 xml:space="preserve">4. </w:t>
      </w:r>
      <w:r>
        <w:rPr>
          <w:rFonts w:ascii="Times New Roman" w:eastAsia="宋体" w:hAnsi="Times New Roman" w:hint="eastAsia"/>
          <w:sz w:val="21"/>
          <w:szCs w:val="21"/>
        </w:rPr>
        <w:t>管理专利工作的部门在接到请求之日起</w:t>
      </w:r>
      <w:r>
        <w:rPr>
          <w:rFonts w:ascii="Times New Roman" w:eastAsia="宋体" w:hAnsi="Times New Roman" w:hint="eastAsia"/>
          <w:sz w:val="21"/>
          <w:szCs w:val="21"/>
        </w:rPr>
        <w:t>2</w:t>
      </w:r>
      <w:r>
        <w:rPr>
          <w:rFonts w:ascii="Times New Roman" w:eastAsia="宋体" w:hAnsi="Times New Roman" w:hint="eastAsia"/>
          <w:sz w:val="21"/>
          <w:szCs w:val="21"/>
        </w:rPr>
        <w:t>个月内不履行法定职责的。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管辖权异议、调查取证、登记保存证据、中止等程序性行为以及确认不侵权咨询意见，不属于行政诉讼范围。</w:t>
      </w:r>
    </w:p>
    <w:p w:rsidR="00800760" w:rsidRDefault="00235733">
      <w:pPr>
        <w:pStyle w:val="3"/>
        <w:spacing w:before="240"/>
        <w:ind w:firstLine="444"/>
        <w:rPr>
          <w:rFonts w:ascii="Times New Roman" w:hAnsi="Times New Roman"/>
          <w:color w:val="000000"/>
        </w:rPr>
      </w:pPr>
      <w:bookmarkStart w:id="4653" w:name="_Toc229114434"/>
      <w:bookmarkStart w:id="4654" w:name="_Toc217908688"/>
      <w:bookmarkStart w:id="4655" w:name="_Toc229225530"/>
      <w:r>
        <w:rPr>
          <w:rFonts w:ascii="Times New Roman" w:hAnsi="Times New Roman" w:hint="eastAsia"/>
          <w:color w:val="000000"/>
        </w:rPr>
        <w:t>二、案件的管辖</w:t>
      </w:r>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依据《行政诉讼法》</w:t>
      </w:r>
      <w:r>
        <w:rPr>
          <w:rFonts w:ascii="Times New Roman" w:eastAsia="宋体" w:hAnsi="Times New Roman" w:hint="eastAsia"/>
          <w:sz w:val="21"/>
          <w:szCs w:val="21"/>
        </w:rPr>
        <w:t>，专利纠纷裁决行政诉讼</w:t>
      </w:r>
      <w:r>
        <w:rPr>
          <w:rFonts w:ascii="Times New Roman" w:eastAsia="宋体" w:hAnsi="Times New Roman"/>
          <w:sz w:val="21"/>
          <w:szCs w:val="21"/>
        </w:rPr>
        <w:t>案件实行两审终审制。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截至</w:t>
      </w:r>
      <w:r>
        <w:rPr>
          <w:rFonts w:ascii="Times New Roman" w:eastAsia="宋体" w:hAnsi="Times New Roman" w:hint="eastAsia"/>
          <w:sz w:val="21"/>
          <w:szCs w:val="21"/>
        </w:rPr>
        <w:t>2024</w:t>
      </w:r>
      <w:r>
        <w:rPr>
          <w:rFonts w:ascii="Times New Roman" w:eastAsia="宋体" w:hAnsi="Times New Roman" w:hint="eastAsia"/>
          <w:sz w:val="21"/>
          <w:szCs w:val="21"/>
        </w:rPr>
        <w:t>年</w:t>
      </w:r>
      <w:r>
        <w:rPr>
          <w:rFonts w:ascii="Times New Roman" w:eastAsia="宋体" w:hAnsi="Times New Roman" w:hint="eastAsia"/>
          <w:sz w:val="21"/>
          <w:szCs w:val="21"/>
        </w:rPr>
        <w:t>12</w:t>
      </w:r>
      <w:r>
        <w:rPr>
          <w:rFonts w:ascii="Times New Roman" w:eastAsia="宋体" w:hAnsi="Times New Roman" w:hint="eastAsia"/>
          <w:sz w:val="21"/>
          <w:szCs w:val="21"/>
        </w:rPr>
        <w:t>月</w:t>
      </w:r>
      <w:r>
        <w:rPr>
          <w:rFonts w:ascii="Times New Roman" w:eastAsia="宋体" w:hAnsi="Times New Roman" w:hint="eastAsia"/>
          <w:sz w:val="21"/>
          <w:szCs w:val="21"/>
        </w:rPr>
        <w:t>31</w:t>
      </w:r>
      <w:r>
        <w:rPr>
          <w:rFonts w:ascii="Times New Roman" w:eastAsia="宋体" w:hAnsi="Times New Roman" w:hint="eastAsia"/>
          <w:sz w:val="21"/>
          <w:szCs w:val="21"/>
        </w:rPr>
        <w:t>日，最高人民法院关于知识产权纠纷案件的管辖相关规定如下：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最高人民法院知识产权法庭统一受理专利等专业技术性较强的知识产权上诉案件；北京、上海、广州</w:t>
      </w:r>
      <w:r>
        <w:rPr>
          <w:rFonts w:ascii="Times New Roman" w:eastAsia="宋体" w:hAnsi="Times New Roman" w:hint="eastAsia"/>
          <w:sz w:val="21"/>
          <w:szCs w:val="21"/>
        </w:rPr>
        <w:t>、海南自由贸易港</w:t>
      </w:r>
      <w:r>
        <w:rPr>
          <w:rFonts w:ascii="Times New Roman" w:eastAsia="宋体" w:hAnsi="Times New Roman"/>
          <w:sz w:val="21"/>
          <w:szCs w:val="21"/>
        </w:rPr>
        <w:t>设立的知识产权法院，以及多个省级行政区设立的若干个知识产权法庭，统一审理专利等专业技术性较强的民事、行政知识产权案件。</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（一）</w:t>
      </w:r>
      <w:r>
        <w:rPr>
          <w:rFonts w:ascii="Times New Roman" w:hAnsi="Times New Roman"/>
          <w:color w:val="000000"/>
        </w:rPr>
        <w:t>一审案件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不服管理专利工作的部门所作行政</w:t>
      </w:r>
      <w:r>
        <w:rPr>
          <w:rFonts w:ascii="Times New Roman" w:eastAsia="宋体" w:hAnsi="Times New Roman" w:hint="eastAsia"/>
          <w:sz w:val="21"/>
          <w:szCs w:val="21"/>
        </w:rPr>
        <w:t>裁决</w:t>
      </w:r>
      <w:r>
        <w:rPr>
          <w:rFonts w:ascii="Times New Roman" w:eastAsia="宋体" w:hAnsi="Times New Roman"/>
          <w:sz w:val="21"/>
          <w:szCs w:val="21"/>
        </w:rPr>
        <w:t>提起的一审行政诉讼案件，由各省、自治区、直辖市人民政府所在地中级人民法院和最高人民法院指定的中级人民法院知识产权法庭管辖。</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 xml:space="preserve">1. </w:t>
      </w:r>
      <w:r>
        <w:rPr>
          <w:rFonts w:ascii="Times New Roman" w:eastAsia="宋体" w:hAnsi="Times New Roman"/>
          <w:sz w:val="21"/>
          <w:szCs w:val="21"/>
        </w:rPr>
        <w:t>不服北京市、上海市</w:t>
      </w:r>
      <w:r>
        <w:rPr>
          <w:rFonts w:ascii="Times New Roman" w:eastAsia="宋体" w:hAnsi="Times New Roman" w:hint="eastAsia"/>
          <w:sz w:val="21"/>
          <w:szCs w:val="21"/>
        </w:rPr>
        <w:t>、海南省</w:t>
      </w:r>
      <w:r>
        <w:rPr>
          <w:rFonts w:ascii="Times New Roman" w:eastAsia="宋体" w:hAnsi="Times New Roman"/>
          <w:sz w:val="21"/>
          <w:szCs w:val="21"/>
        </w:rPr>
        <w:t>、广东省</w:t>
      </w:r>
      <w:r>
        <w:rPr>
          <w:rFonts w:ascii="Times New Roman" w:eastAsia="宋体" w:hAnsi="Times New Roman"/>
          <w:sz w:val="21"/>
          <w:szCs w:val="21"/>
        </w:rPr>
        <w:t>(</w:t>
      </w:r>
      <w:r>
        <w:rPr>
          <w:rFonts w:ascii="Times New Roman" w:eastAsia="宋体" w:hAnsi="Times New Roman"/>
          <w:sz w:val="21"/>
          <w:szCs w:val="21"/>
        </w:rPr>
        <w:t>深圳地区除外</w:t>
      </w:r>
      <w:r>
        <w:rPr>
          <w:rFonts w:ascii="Times New Roman" w:eastAsia="宋体" w:hAnsi="Times New Roman"/>
          <w:sz w:val="21"/>
          <w:szCs w:val="21"/>
        </w:rPr>
        <w:t>)</w:t>
      </w:r>
      <w:r>
        <w:rPr>
          <w:rFonts w:ascii="Times New Roman" w:eastAsia="宋体" w:hAnsi="Times New Roman"/>
          <w:sz w:val="21"/>
          <w:szCs w:val="21"/>
        </w:rPr>
        <w:t>各管理专利工作的部门的行政</w:t>
      </w:r>
      <w:r>
        <w:rPr>
          <w:rFonts w:ascii="Times New Roman" w:eastAsia="宋体" w:hAnsi="Times New Roman" w:hint="eastAsia"/>
          <w:sz w:val="21"/>
          <w:szCs w:val="21"/>
        </w:rPr>
        <w:t>裁决</w:t>
      </w:r>
      <w:r>
        <w:rPr>
          <w:rFonts w:ascii="Times New Roman" w:eastAsia="宋体" w:hAnsi="Times New Roman"/>
          <w:sz w:val="21"/>
          <w:szCs w:val="21"/>
        </w:rPr>
        <w:t>提起的行政诉讼，分别由北京知识产权法院、上海知识产权法院</w:t>
      </w:r>
      <w:r>
        <w:rPr>
          <w:rFonts w:ascii="Times New Roman" w:eastAsia="宋体" w:hAnsi="Times New Roman" w:hint="eastAsia"/>
          <w:sz w:val="21"/>
          <w:szCs w:val="21"/>
        </w:rPr>
        <w:t>、海南自由贸易港知识产权法院</w:t>
      </w:r>
      <w:r>
        <w:rPr>
          <w:rFonts w:ascii="Times New Roman" w:eastAsia="宋体" w:hAnsi="Times New Roman"/>
          <w:sz w:val="21"/>
          <w:szCs w:val="21"/>
        </w:rPr>
        <w:t>、广州知识产权法院管辖；不服深圳地区管理专利工作的部门的行政</w:t>
      </w:r>
      <w:r>
        <w:rPr>
          <w:rFonts w:ascii="Times New Roman" w:eastAsia="宋体" w:hAnsi="Times New Roman" w:hint="eastAsia"/>
          <w:sz w:val="21"/>
          <w:szCs w:val="21"/>
        </w:rPr>
        <w:t>裁决</w:t>
      </w:r>
      <w:r>
        <w:rPr>
          <w:rFonts w:ascii="Times New Roman" w:eastAsia="宋体" w:hAnsi="Times New Roman"/>
          <w:sz w:val="21"/>
          <w:szCs w:val="21"/>
        </w:rPr>
        <w:t>提起的行政诉讼，由深圳市中级人民法院知识产权法庭管辖。</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 xml:space="preserve">2. </w:t>
      </w:r>
      <w:r>
        <w:rPr>
          <w:rFonts w:ascii="Times New Roman" w:eastAsia="宋体" w:hAnsi="Times New Roman"/>
          <w:sz w:val="21"/>
          <w:szCs w:val="21"/>
        </w:rPr>
        <w:t>不服其他省、自治区、直辖市管理专利工作的部门的行政</w:t>
      </w:r>
      <w:r>
        <w:rPr>
          <w:rFonts w:ascii="Times New Roman" w:eastAsia="宋体" w:hAnsi="Times New Roman" w:hint="eastAsia"/>
          <w:sz w:val="21"/>
          <w:szCs w:val="21"/>
        </w:rPr>
        <w:t>裁决</w:t>
      </w:r>
      <w:r>
        <w:rPr>
          <w:rFonts w:ascii="Times New Roman" w:eastAsia="宋体" w:hAnsi="Times New Roman"/>
          <w:sz w:val="21"/>
          <w:szCs w:val="21"/>
        </w:rPr>
        <w:t>提起的行政诉讼，由各省、自治区、直辖市人民政府所在地中级人民法院</w:t>
      </w:r>
      <w:r>
        <w:rPr>
          <w:rFonts w:ascii="Times New Roman" w:eastAsia="宋体" w:hAnsi="Times New Roman"/>
          <w:sz w:val="21"/>
          <w:szCs w:val="21"/>
        </w:rPr>
        <w:t>(</w:t>
      </w:r>
      <w:r>
        <w:rPr>
          <w:rFonts w:ascii="Times New Roman" w:eastAsia="宋体" w:hAnsi="Times New Roman"/>
          <w:sz w:val="21"/>
          <w:szCs w:val="21"/>
        </w:rPr>
        <w:t>知识产权法庭</w:t>
      </w:r>
      <w:r>
        <w:rPr>
          <w:rFonts w:ascii="Times New Roman" w:eastAsia="宋体" w:hAnsi="Times New Roman"/>
          <w:sz w:val="21"/>
          <w:szCs w:val="21"/>
        </w:rPr>
        <w:t>)</w:t>
      </w:r>
      <w:r>
        <w:rPr>
          <w:rFonts w:ascii="Times New Roman" w:eastAsia="宋体" w:hAnsi="Times New Roman"/>
          <w:sz w:val="21"/>
          <w:szCs w:val="21"/>
        </w:rPr>
        <w:t>或者最高人民法院指定的中级人民法院管辖。</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lang w:val="en-US"/>
        </w:rPr>
        <w:t xml:space="preserve">3. </w:t>
      </w:r>
      <w:r>
        <w:rPr>
          <w:rFonts w:ascii="Times New Roman" w:eastAsia="宋体" w:hAnsi="Times New Roman"/>
          <w:sz w:val="21"/>
          <w:szCs w:val="21"/>
        </w:rPr>
        <w:t>设区的市、由地方性法规授权的县</w:t>
      </w:r>
      <w:r>
        <w:rPr>
          <w:rFonts w:ascii="Times New Roman" w:eastAsia="宋体" w:hAnsi="Times New Roman"/>
          <w:sz w:val="21"/>
          <w:szCs w:val="21"/>
        </w:rPr>
        <w:t>(</w:t>
      </w:r>
      <w:r>
        <w:rPr>
          <w:rFonts w:ascii="Times New Roman" w:eastAsia="宋体" w:hAnsi="Times New Roman"/>
          <w:sz w:val="21"/>
          <w:szCs w:val="21"/>
        </w:rPr>
        <w:t>市</w:t>
      </w:r>
      <w:r>
        <w:rPr>
          <w:rFonts w:ascii="Times New Roman" w:eastAsia="宋体" w:hAnsi="Times New Roman"/>
          <w:sz w:val="21"/>
          <w:szCs w:val="21"/>
        </w:rPr>
        <w:t>)</w:t>
      </w:r>
      <w:r>
        <w:rPr>
          <w:rFonts w:ascii="Times New Roman" w:eastAsia="宋体" w:hAnsi="Times New Roman"/>
          <w:sz w:val="21"/>
          <w:szCs w:val="21"/>
        </w:rPr>
        <w:t>级管理专利工作的部门作出的行政</w:t>
      </w:r>
      <w:r>
        <w:rPr>
          <w:rFonts w:ascii="Times New Roman" w:eastAsia="宋体" w:hAnsi="Times New Roman" w:hint="eastAsia"/>
          <w:sz w:val="21"/>
          <w:szCs w:val="21"/>
        </w:rPr>
        <w:t>裁决</w:t>
      </w:r>
      <w:r>
        <w:rPr>
          <w:rFonts w:ascii="Times New Roman" w:eastAsia="宋体" w:hAnsi="Times New Roman"/>
          <w:sz w:val="21"/>
          <w:szCs w:val="21"/>
        </w:rPr>
        <w:t>，当事人对其不服的，由各省、自治区、直辖市人民政府所在地中级人民法院或者最高人民法院指定的中级人民法院管辖。</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lang w:val="en-US"/>
        </w:rPr>
        <w:t xml:space="preserve">4. </w:t>
      </w:r>
      <w:r>
        <w:rPr>
          <w:rFonts w:ascii="Times New Roman" w:eastAsia="宋体" w:hAnsi="Times New Roman"/>
          <w:sz w:val="21"/>
          <w:szCs w:val="21"/>
        </w:rPr>
        <w:t>受省、自治区、直辖市管理专利工作的部门委托进行</w:t>
      </w:r>
      <w:r>
        <w:rPr>
          <w:rFonts w:ascii="Times New Roman" w:eastAsia="宋体" w:hAnsi="Times New Roman" w:hint="eastAsia"/>
          <w:sz w:val="21"/>
          <w:szCs w:val="21"/>
        </w:rPr>
        <w:t>专利纠纷行政裁决</w:t>
      </w:r>
      <w:r>
        <w:rPr>
          <w:rFonts w:ascii="Times New Roman" w:eastAsia="宋体" w:hAnsi="Times New Roman"/>
          <w:sz w:val="21"/>
          <w:szCs w:val="21"/>
        </w:rPr>
        <w:t>的县</w:t>
      </w:r>
      <w:r>
        <w:rPr>
          <w:rFonts w:ascii="Times New Roman" w:eastAsia="宋体" w:hAnsi="Times New Roman" w:hint="eastAsia"/>
          <w:sz w:val="21"/>
          <w:szCs w:val="21"/>
        </w:rPr>
        <w:t>（市）</w:t>
      </w:r>
      <w:r>
        <w:rPr>
          <w:rFonts w:ascii="Times New Roman" w:eastAsia="宋体" w:hAnsi="Times New Roman"/>
          <w:sz w:val="21"/>
          <w:szCs w:val="21"/>
        </w:rPr>
        <w:t>级管理专利工作的部门所作的行政</w:t>
      </w:r>
      <w:r>
        <w:rPr>
          <w:rFonts w:ascii="Times New Roman" w:eastAsia="宋体" w:hAnsi="Times New Roman" w:hint="eastAsia"/>
          <w:sz w:val="21"/>
          <w:szCs w:val="21"/>
        </w:rPr>
        <w:t>裁决</w:t>
      </w:r>
      <w:r>
        <w:rPr>
          <w:rFonts w:ascii="Times New Roman" w:eastAsia="宋体" w:hAnsi="Times New Roman"/>
          <w:sz w:val="21"/>
          <w:szCs w:val="21"/>
        </w:rPr>
        <w:t>，当事人对其不服的，通常由各省、自治区、直辖市人民政府所在地中级人民法院或者最高人民法院指定的中级人民法院管辖。</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（二）</w:t>
      </w:r>
      <w:r>
        <w:rPr>
          <w:rFonts w:ascii="Times New Roman" w:hAnsi="Times New Roman"/>
          <w:color w:val="000000"/>
        </w:rPr>
        <w:t>二审案件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根据《全国人民代表大会常务委员会关于专利等知识产权案件诉讼程序若干问题的决定》</w:t>
      </w:r>
      <w:r>
        <w:rPr>
          <w:rFonts w:ascii="Times New Roman" w:eastAsia="宋体" w:hAnsi="Times New Roman" w:hint="eastAsia"/>
          <w:sz w:val="21"/>
          <w:szCs w:val="21"/>
        </w:rPr>
        <w:t>(2018</w:t>
      </w:r>
      <w:r>
        <w:rPr>
          <w:rFonts w:ascii="Times New Roman" w:eastAsia="宋体" w:hAnsi="Times New Roman" w:hint="eastAsia"/>
          <w:sz w:val="21"/>
          <w:szCs w:val="21"/>
        </w:rPr>
        <w:t>年</w:t>
      </w:r>
      <w:r>
        <w:rPr>
          <w:rFonts w:ascii="Times New Roman" w:eastAsia="宋体" w:hAnsi="Times New Roman" w:hint="eastAsia"/>
          <w:sz w:val="21"/>
          <w:szCs w:val="21"/>
        </w:rPr>
        <w:t>10</w:t>
      </w:r>
      <w:r>
        <w:rPr>
          <w:rFonts w:ascii="Times New Roman" w:eastAsia="宋体" w:hAnsi="Times New Roman" w:hint="eastAsia"/>
          <w:sz w:val="21"/>
          <w:szCs w:val="21"/>
        </w:rPr>
        <w:t>月</w:t>
      </w:r>
      <w:r>
        <w:rPr>
          <w:rFonts w:ascii="Times New Roman" w:eastAsia="宋体" w:hAnsi="Times New Roman" w:hint="eastAsia"/>
          <w:sz w:val="21"/>
          <w:szCs w:val="21"/>
        </w:rPr>
        <w:t>26</w:t>
      </w:r>
      <w:r>
        <w:rPr>
          <w:rFonts w:ascii="Times New Roman" w:eastAsia="宋体" w:hAnsi="Times New Roman" w:hint="eastAsia"/>
          <w:sz w:val="21"/>
          <w:szCs w:val="21"/>
        </w:rPr>
        <w:t>日第十三届全国人民代表大会常务委员会第六次会议通过</w:t>
      </w:r>
      <w:r>
        <w:rPr>
          <w:rFonts w:ascii="Times New Roman" w:eastAsia="宋体" w:hAnsi="Times New Roman" w:hint="eastAsia"/>
          <w:sz w:val="21"/>
          <w:szCs w:val="21"/>
        </w:rPr>
        <w:t>)</w:t>
      </w:r>
      <w:r>
        <w:rPr>
          <w:rFonts w:ascii="Times New Roman" w:eastAsia="宋体" w:hAnsi="Times New Roman" w:hint="eastAsia"/>
          <w:sz w:val="21"/>
          <w:szCs w:val="21"/>
        </w:rPr>
        <w:t>、《最高人民法院关于知识产权法庭若干问题的规定（</w:t>
      </w:r>
      <w:r>
        <w:rPr>
          <w:rFonts w:ascii="Times New Roman" w:eastAsia="宋体" w:hAnsi="Times New Roman" w:hint="eastAsia"/>
          <w:sz w:val="21"/>
          <w:szCs w:val="21"/>
        </w:rPr>
        <w:t>2023</w:t>
      </w:r>
      <w:r>
        <w:rPr>
          <w:rFonts w:ascii="Times New Roman" w:eastAsia="宋体" w:hAnsi="Times New Roman" w:hint="eastAsia"/>
          <w:sz w:val="21"/>
          <w:szCs w:val="21"/>
        </w:rPr>
        <w:t>修正）》</w:t>
      </w:r>
      <w:r>
        <w:rPr>
          <w:rFonts w:ascii="Times New Roman" w:eastAsia="宋体" w:hAnsi="Times New Roman" w:hint="eastAsia"/>
          <w:sz w:val="21"/>
          <w:szCs w:val="21"/>
        </w:rPr>
        <w:t>(</w:t>
      </w:r>
      <w:r>
        <w:rPr>
          <w:rFonts w:ascii="Times New Roman" w:eastAsia="宋体" w:hAnsi="Times New Roman" w:hint="eastAsia"/>
          <w:sz w:val="21"/>
          <w:szCs w:val="21"/>
        </w:rPr>
        <w:t>法释〔</w:t>
      </w:r>
      <w:r>
        <w:rPr>
          <w:rFonts w:ascii="Times New Roman" w:eastAsia="宋体" w:hAnsi="Times New Roman" w:hint="eastAsia"/>
          <w:sz w:val="21"/>
          <w:szCs w:val="21"/>
        </w:rPr>
        <w:t>2023</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rPr>
        <w:t>号</w:t>
      </w:r>
      <w:r>
        <w:rPr>
          <w:rFonts w:ascii="Times New Roman" w:eastAsia="宋体" w:hAnsi="Times New Roman" w:hint="eastAsia"/>
          <w:sz w:val="21"/>
          <w:szCs w:val="21"/>
        </w:rPr>
        <w:t>)</w:t>
      </w:r>
      <w:r>
        <w:rPr>
          <w:rFonts w:ascii="Times New Roman" w:eastAsia="宋体" w:hAnsi="Times New Roman" w:hint="eastAsia"/>
          <w:sz w:val="21"/>
          <w:szCs w:val="21"/>
        </w:rPr>
        <w:t>规定，当事人对</w:t>
      </w:r>
      <w:r>
        <w:rPr>
          <w:rFonts w:ascii="Times New Roman" w:eastAsia="宋体" w:hAnsi="Times New Roman" w:hint="eastAsia"/>
          <w:sz w:val="21"/>
          <w:szCs w:val="21"/>
          <w:lang w:val="en-US"/>
        </w:rPr>
        <w:t>发明专利、重大复杂的实用新型专利</w:t>
      </w:r>
      <w:r>
        <w:rPr>
          <w:rFonts w:ascii="Times New Roman" w:eastAsia="宋体" w:hAnsi="Times New Roman" w:hint="eastAsia"/>
          <w:sz w:val="21"/>
          <w:szCs w:val="21"/>
        </w:rPr>
        <w:t>一审判决、裁定不服，提起上诉的，由最高人民法院知识产权法庭管辖。当事人对非重大复杂的实用新型专利、外观设计专利一审判决、裁定不服，提起上诉的，由一审法院的上一级法院管辖。</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（三）</w:t>
      </w:r>
      <w:r>
        <w:rPr>
          <w:rFonts w:ascii="Times New Roman" w:hAnsi="Times New Roman"/>
          <w:color w:val="000000"/>
        </w:rPr>
        <w:t>再审案件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当事人对已经发生法律效力的判决、裁定，认为确有错误的，可以向人民法院申请再审，但原判决、裁定不停止执行。</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对已经发生法律效力的</w:t>
      </w:r>
      <w:r>
        <w:rPr>
          <w:rFonts w:ascii="Times New Roman" w:eastAsia="宋体" w:hAnsi="Times New Roman" w:hint="eastAsia"/>
          <w:sz w:val="21"/>
          <w:szCs w:val="21"/>
        </w:rPr>
        <w:t>专利纠纷裁决</w:t>
      </w:r>
      <w:r>
        <w:rPr>
          <w:rFonts w:ascii="Times New Roman" w:eastAsia="宋体" w:hAnsi="Times New Roman"/>
          <w:sz w:val="21"/>
          <w:szCs w:val="21"/>
        </w:rPr>
        <w:t>行政</w:t>
      </w:r>
      <w:r>
        <w:rPr>
          <w:rFonts w:ascii="Times New Roman" w:eastAsia="宋体" w:hAnsi="Times New Roman" w:hint="eastAsia"/>
          <w:sz w:val="21"/>
          <w:szCs w:val="21"/>
        </w:rPr>
        <w:t>诉讼</w:t>
      </w:r>
      <w:r>
        <w:rPr>
          <w:rFonts w:ascii="Times New Roman" w:eastAsia="宋体" w:hAnsi="Times New Roman"/>
          <w:sz w:val="21"/>
          <w:szCs w:val="21"/>
        </w:rPr>
        <w:t>案件一审判决、裁定、调解书，依法申请再审、抗诉等，适用审判监督程序的，由最高人民法院知识产权法庭审理。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对于已经发生法律效力的</w:t>
      </w:r>
      <w:r>
        <w:rPr>
          <w:rFonts w:ascii="Times New Roman" w:eastAsia="宋体" w:hAnsi="Times New Roman" w:hint="eastAsia"/>
          <w:sz w:val="21"/>
          <w:szCs w:val="21"/>
        </w:rPr>
        <w:t>专利纠纷裁决</w:t>
      </w:r>
      <w:r>
        <w:rPr>
          <w:rFonts w:ascii="Times New Roman" w:eastAsia="宋体" w:hAnsi="Times New Roman"/>
          <w:sz w:val="21"/>
          <w:szCs w:val="21"/>
        </w:rPr>
        <w:t>行政</w:t>
      </w:r>
      <w:r>
        <w:rPr>
          <w:rFonts w:ascii="Times New Roman" w:eastAsia="宋体" w:hAnsi="Times New Roman" w:hint="eastAsia"/>
          <w:sz w:val="21"/>
          <w:szCs w:val="21"/>
        </w:rPr>
        <w:t>诉讼</w:t>
      </w:r>
      <w:r>
        <w:rPr>
          <w:rFonts w:ascii="Times New Roman" w:eastAsia="宋体" w:hAnsi="Times New Roman"/>
          <w:sz w:val="21"/>
          <w:szCs w:val="21"/>
        </w:rPr>
        <w:t>案件二审判决、裁定、调解书，依法申请再审、抗诉等，适用审判监督程序的，由最高人民法院审理。</w:t>
      </w:r>
    </w:p>
    <w:p w:rsidR="00800760" w:rsidRDefault="00235733">
      <w:pPr>
        <w:pStyle w:val="2"/>
        <w:ind w:firstLineChars="0" w:firstLine="0"/>
        <w:rPr>
          <w:rFonts w:ascii="Times New Roman" w:hAnsi="Times New Roman"/>
          <w:color w:val="000000"/>
        </w:rPr>
      </w:pPr>
      <w:bookmarkStart w:id="4656" w:name="_Toc31045"/>
      <w:bookmarkStart w:id="4657" w:name="_Toc1388"/>
      <w:bookmarkStart w:id="4658" w:name="_Toc11154"/>
      <w:bookmarkStart w:id="4659" w:name="_Toc192"/>
      <w:bookmarkStart w:id="4660" w:name="_Toc6628"/>
      <w:bookmarkStart w:id="4661" w:name="_Toc24175"/>
      <w:bookmarkStart w:id="4662" w:name="_Toc16083"/>
      <w:bookmarkStart w:id="4663" w:name="_Toc32095"/>
      <w:bookmarkStart w:id="4664" w:name="_Toc32345"/>
      <w:bookmarkStart w:id="4665" w:name="_Toc4630"/>
      <w:bookmarkStart w:id="4666" w:name="_Toc17440"/>
      <w:bookmarkStart w:id="4667" w:name="_Toc3804"/>
      <w:bookmarkStart w:id="4668" w:name="_Toc27671"/>
      <w:bookmarkStart w:id="4669" w:name="_Toc21676"/>
      <w:bookmarkStart w:id="4670" w:name="_Toc28137"/>
      <w:bookmarkStart w:id="4671" w:name="_Toc7748"/>
      <w:bookmarkStart w:id="4672" w:name="_Toc17551"/>
      <w:bookmarkStart w:id="4673" w:name="_Toc15337"/>
      <w:bookmarkStart w:id="4674" w:name="_Toc16075"/>
      <w:bookmarkStart w:id="4675" w:name="_Toc27824"/>
      <w:bookmarkStart w:id="4676" w:name="_Toc229114435"/>
      <w:bookmarkStart w:id="4677" w:name="_Toc14172"/>
      <w:bookmarkStart w:id="4678" w:name="_Toc7034"/>
      <w:bookmarkStart w:id="4679" w:name="_Toc8370"/>
      <w:bookmarkStart w:id="4680" w:name="_Toc9685"/>
      <w:bookmarkStart w:id="4681" w:name="_Toc23039"/>
      <w:bookmarkStart w:id="4682" w:name="_Toc217908689"/>
      <w:bookmarkStart w:id="4683" w:name="_Toc17944"/>
      <w:bookmarkStart w:id="4684" w:name="_Toc381"/>
      <w:bookmarkStart w:id="4685" w:name="_Toc18444"/>
      <w:bookmarkStart w:id="4686" w:name="_Toc8353"/>
      <w:bookmarkStart w:id="4687" w:name="_Toc1549"/>
      <w:bookmarkStart w:id="4688" w:name="_Toc4441"/>
      <w:bookmarkStart w:id="4689" w:name="_Toc17664"/>
      <w:bookmarkStart w:id="4690" w:name="_Toc20529"/>
      <w:bookmarkStart w:id="4691" w:name="_Toc4772"/>
      <w:bookmarkStart w:id="4692" w:name="_Toc861"/>
      <w:bookmarkStart w:id="4693" w:name="_Toc5214"/>
      <w:bookmarkStart w:id="4694" w:name="_Toc18849"/>
      <w:bookmarkStart w:id="4695" w:name="_Toc20768"/>
      <w:bookmarkStart w:id="4696" w:name="_Toc2428"/>
      <w:bookmarkStart w:id="4697" w:name="_Toc3842"/>
      <w:bookmarkStart w:id="4698" w:name="_Toc1875"/>
      <w:bookmarkStart w:id="4699" w:name="_Toc1213"/>
      <w:bookmarkStart w:id="4700" w:name="_Toc229225531"/>
      <w:r>
        <w:rPr>
          <w:rFonts w:ascii="Times New Roman" w:hAnsi="Times New Roman"/>
          <w:color w:val="000000"/>
        </w:rPr>
        <w:t>第二</w:t>
      </w:r>
      <w:r>
        <w:rPr>
          <w:rFonts w:ascii="Times New Roman" w:hAnsi="Times New Roman" w:hint="eastAsia"/>
          <w:color w:val="000000"/>
        </w:rPr>
        <w:t>节</w:t>
      </w:r>
      <w:r>
        <w:rPr>
          <w:rFonts w:ascii="Times New Roman" w:hAnsi="Times New Roman" w:hint="eastAsia"/>
        </w:rPr>
        <w:t xml:space="preserve">　</w:t>
      </w:r>
      <w:r>
        <w:rPr>
          <w:rFonts w:ascii="Times New Roman" w:hAnsi="Times New Roman"/>
          <w:color w:val="000000"/>
        </w:rPr>
        <w:t>案件的处理</w:t>
      </w:r>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p>
    <w:p w:rsidR="00800760" w:rsidRDefault="00235733">
      <w:pPr>
        <w:pStyle w:val="12"/>
        <w:topLinePunct/>
        <w:spacing w:line="336" w:lineRule="auto"/>
        <w:ind w:firstLine="420"/>
        <w:rPr>
          <w:rFonts w:ascii="Times New Roman" w:hAnsi="Times New Roman"/>
        </w:rPr>
      </w:pPr>
      <w:r>
        <w:rPr>
          <w:rFonts w:ascii="Times New Roman" w:eastAsia="宋体" w:hAnsi="Times New Roman" w:hint="eastAsia"/>
          <w:sz w:val="21"/>
          <w:szCs w:val="21"/>
        </w:rPr>
        <w:t>专利纠纷裁决行政诉讼程序启动后，管理专利工作的部门应当做好立案建档、指派诉讼代理人、开庭前准备、出庭应诉工作。</w:t>
      </w:r>
    </w:p>
    <w:p w:rsidR="00800760" w:rsidRDefault="00235733">
      <w:pPr>
        <w:pStyle w:val="3"/>
        <w:spacing w:before="240"/>
        <w:ind w:firstLine="444"/>
        <w:rPr>
          <w:rFonts w:ascii="Times New Roman" w:hAnsi="Times New Roman"/>
        </w:rPr>
      </w:pPr>
      <w:bookmarkStart w:id="4701" w:name="_Toc30241"/>
      <w:bookmarkStart w:id="4702" w:name="_Toc13522"/>
      <w:bookmarkStart w:id="4703" w:name="_Toc29941"/>
      <w:bookmarkStart w:id="4704" w:name="_Toc262"/>
      <w:bookmarkStart w:id="4705" w:name="_Toc10574"/>
      <w:bookmarkStart w:id="4706" w:name="_Toc28672"/>
      <w:bookmarkStart w:id="4707" w:name="_Toc26687"/>
      <w:bookmarkStart w:id="4708" w:name="_Toc23418"/>
      <w:bookmarkStart w:id="4709" w:name="_Toc23899"/>
      <w:bookmarkStart w:id="4710" w:name="_Toc15850"/>
      <w:bookmarkStart w:id="4711" w:name="_Toc2082"/>
      <w:bookmarkStart w:id="4712" w:name="_Toc11733"/>
      <w:bookmarkStart w:id="4713" w:name="_Toc26578"/>
      <w:bookmarkStart w:id="4714" w:name="_Toc32697"/>
      <w:bookmarkStart w:id="4715" w:name="_Toc31596"/>
      <w:bookmarkStart w:id="4716" w:name="_Toc25803"/>
      <w:bookmarkStart w:id="4717" w:name="_Toc10538"/>
      <w:bookmarkStart w:id="4718" w:name="_Toc678"/>
      <w:bookmarkStart w:id="4719" w:name="_Toc22484"/>
      <w:bookmarkStart w:id="4720" w:name="_Toc27618"/>
      <w:bookmarkStart w:id="4721" w:name="_Toc17338"/>
      <w:bookmarkStart w:id="4722" w:name="_Toc217908690"/>
      <w:bookmarkStart w:id="4723" w:name="_Toc8260"/>
      <w:bookmarkStart w:id="4724" w:name="_Toc7622"/>
      <w:bookmarkStart w:id="4725" w:name="_Toc9902"/>
      <w:bookmarkStart w:id="4726" w:name="_Toc28583"/>
      <w:bookmarkStart w:id="4727" w:name="_Toc9952"/>
      <w:bookmarkStart w:id="4728" w:name="_Toc5221"/>
      <w:bookmarkStart w:id="4729" w:name="_Toc25217"/>
      <w:bookmarkStart w:id="4730" w:name="_Toc28274"/>
      <w:bookmarkStart w:id="4731" w:name="_Toc14577"/>
      <w:bookmarkStart w:id="4732" w:name="_Toc22160"/>
      <w:bookmarkStart w:id="4733" w:name="_Toc229114436"/>
      <w:bookmarkStart w:id="4734" w:name="_Toc9711"/>
      <w:bookmarkStart w:id="4735" w:name="_Toc21618"/>
      <w:bookmarkStart w:id="4736" w:name="_Toc32385"/>
      <w:bookmarkStart w:id="4737" w:name="_Toc25809"/>
      <w:bookmarkStart w:id="4738" w:name="_Toc8863"/>
      <w:bookmarkStart w:id="4739" w:name="_Toc7679"/>
      <w:bookmarkStart w:id="4740" w:name="_Toc19172"/>
      <w:bookmarkStart w:id="4741" w:name="_Toc25805"/>
      <w:bookmarkStart w:id="4742" w:name="_Toc2375"/>
      <w:bookmarkStart w:id="4743" w:name="_Toc8307"/>
      <w:bookmarkStart w:id="4744" w:name="_Toc22098"/>
      <w:bookmarkStart w:id="4745" w:name="_Toc229225532"/>
      <w:r>
        <w:rPr>
          <w:rFonts w:ascii="Times New Roman" w:hAnsi="Times New Roman" w:hint="eastAsia"/>
          <w:color w:val="000000"/>
        </w:rPr>
        <w:t>一、诉讼程序</w:t>
      </w:r>
      <w:r>
        <w:rPr>
          <w:rFonts w:ascii="Times New Roman" w:hAnsi="Times New Roman"/>
          <w:color w:val="000000"/>
        </w:rPr>
        <w:t>启动</w:t>
      </w:r>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专利纠纷裁决行政诉讼</w:t>
      </w:r>
      <w:r>
        <w:rPr>
          <w:rFonts w:ascii="Times New Roman" w:eastAsia="宋体" w:hAnsi="Times New Roman"/>
          <w:sz w:val="21"/>
          <w:szCs w:val="21"/>
        </w:rPr>
        <w:t>案件通常由</w:t>
      </w:r>
      <w:r>
        <w:rPr>
          <w:rFonts w:ascii="Times New Roman" w:eastAsia="宋体" w:hAnsi="Times New Roman" w:hint="eastAsia"/>
          <w:sz w:val="21"/>
          <w:szCs w:val="21"/>
        </w:rPr>
        <w:t>专利纠纷行政裁决</w:t>
      </w:r>
      <w:r>
        <w:rPr>
          <w:rFonts w:ascii="Times New Roman" w:eastAsia="宋体" w:hAnsi="Times New Roman"/>
          <w:sz w:val="21"/>
          <w:szCs w:val="21"/>
        </w:rPr>
        <w:t>案件的当事人向人民法院提起诉讼，管理专利工作的部门作为被告、被上诉人参加诉讼；在第二审程序自行提起上诉或再审申请的案件除外。</w:t>
      </w:r>
    </w:p>
    <w:p w:rsidR="00800760" w:rsidRDefault="00235733">
      <w:pPr>
        <w:pStyle w:val="4"/>
        <w:spacing w:before="240"/>
        <w:ind w:firstLine="444"/>
        <w:rPr>
          <w:rFonts w:ascii="Times New Roman" w:hAnsi="Times New Roman"/>
          <w:color w:val="000000"/>
        </w:rPr>
      </w:pPr>
      <w:bookmarkStart w:id="4746" w:name="bookmark564"/>
      <w:bookmarkStart w:id="4747" w:name="bookmark565"/>
      <w:bookmarkEnd w:id="4746"/>
      <w:bookmarkEnd w:id="4747"/>
      <w:r>
        <w:rPr>
          <w:rFonts w:ascii="Times New Roman" w:hAnsi="Times New Roman" w:hint="eastAsia"/>
          <w:color w:val="000000"/>
        </w:rPr>
        <w:t>（一）</w:t>
      </w:r>
      <w:r>
        <w:rPr>
          <w:rFonts w:ascii="Times New Roman" w:hAnsi="Times New Roman"/>
          <w:color w:val="000000"/>
        </w:rPr>
        <w:t>一审程序的启动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专利纠纷裁决</w:t>
      </w:r>
      <w:r>
        <w:rPr>
          <w:rFonts w:ascii="Times New Roman" w:eastAsia="宋体" w:hAnsi="Times New Roman"/>
          <w:sz w:val="21"/>
          <w:szCs w:val="21"/>
        </w:rPr>
        <w:t>行政诉讼案件的第一审程序均由行政决定所涉当事人启动，管理专利工作的部门作为</w:t>
      </w:r>
      <w:r>
        <w:rPr>
          <w:rFonts w:ascii="Times New Roman" w:eastAsia="宋体" w:hAnsi="Times New Roman" w:hint="eastAsia"/>
          <w:sz w:val="21"/>
          <w:szCs w:val="21"/>
        </w:rPr>
        <w:t>行政</w:t>
      </w:r>
      <w:r>
        <w:rPr>
          <w:rFonts w:ascii="Times New Roman" w:eastAsia="宋体" w:hAnsi="Times New Roman"/>
          <w:sz w:val="21"/>
          <w:szCs w:val="21"/>
        </w:rPr>
        <w:t>被告进行应诉。</w:t>
      </w:r>
    </w:p>
    <w:p w:rsidR="00800760" w:rsidRDefault="00235733">
      <w:pPr>
        <w:pStyle w:val="5"/>
        <w:spacing w:before="120"/>
        <w:rPr>
          <w:color w:val="000000"/>
        </w:rPr>
      </w:pPr>
      <w:r>
        <w:rPr>
          <w:rFonts w:hint="eastAsia"/>
          <w:color w:val="000000"/>
        </w:rPr>
        <w:t xml:space="preserve">1. </w:t>
      </w:r>
      <w:r>
        <w:rPr>
          <w:color w:val="000000"/>
        </w:rPr>
        <w:t>起诉期限</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当事人启动第一审程序的期限为自知道或者应当知道作出行政行为之日起</w:t>
      </w:r>
      <w:r>
        <w:rPr>
          <w:rFonts w:ascii="Times New Roman" w:eastAsia="宋体" w:hAnsi="Times New Roman"/>
          <w:sz w:val="21"/>
          <w:szCs w:val="21"/>
        </w:rPr>
        <w:t>6</w:t>
      </w:r>
      <w:r>
        <w:rPr>
          <w:rFonts w:ascii="Times New Roman" w:eastAsia="宋体" w:hAnsi="Times New Roman"/>
          <w:sz w:val="21"/>
          <w:szCs w:val="21"/>
        </w:rPr>
        <w:t>个月内。针对专利侵权纠纷行政裁决提起行政诉讼的，起诉期限为自收到</w:t>
      </w:r>
      <w:r>
        <w:rPr>
          <w:rFonts w:ascii="Times New Roman" w:eastAsia="宋体" w:hAnsi="Times New Roman" w:hint="eastAsia"/>
          <w:sz w:val="21"/>
          <w:szCs w:val="21"/>
        </w:rPr>
        <w:t>行政裁决</w:t>
      </w:r>
      <w:r>
        <w:rPr>
          <w:rFonts w:ascii="Times New Roman" w:eastAsia="宋体" w:hAnsi="Times New Roman"/>
          <w:sz w:val="21"/>
          <w:szCs w:val="21"/>
        </w:rPr>
        <w:t>通知之日起</w:t>
      </w:r>
      <w:r>
        <w:rPr>
          <w:rFonts w:ascii="Times New Roman" w:eastAsia="宋体" w:hAnsi="Times New Roman"/>
          <w:sz w:val="21"/>
          <w:szCs w:val="21"/>
        </w:rPr>
        <w:t>15</w:t>
      </w:r>
      <w:r>
        <w:rPr>
          <w:rFonts w:ascii="Times New Roman" w:eastAsia="宋体" w:hAnsi="Times New Roman"/>
          <w:sz w:val="21"/>
          <w:szCs w:val="21"/>
        </w:rPr>
        <w:t>日内</w:t>
      </w:r>
      <w:r>
        <w:rPr>
          <w:rFonts w:ascii="Times New Roman" w:eastAsia="宋体" w:hAnsi="Times New Roman" w:hint="eastAsia"/>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管理专利工作的部门在接到专利侵权纠纷处理请求之日起</w:t>
      </w:r>
      <w:r>
        <w:rPr>
          <w:rFonts w:ascii="Times New Roman" w:eastAsia="宋体" w:hAnsi="Times New Roman"/>
          <w:sz w:val="21"/>
          <w:szCs w:val="21"/>
        </w:rPr>
        <w:t>2</w:t>
      </w:r>
      <w:r>
        <w:rPr>
          <w:rFonts w:ascii="Times New Roman" w:eastAsia="宋体" w:hAnsi="Times New Roman"/>
          <w:sz w:val="21"/>
          <w:szCs w:val="21"/>
        </w:rPr>
        <w:t>个月内不履行法定职责的，</w:t>
      </w:r>
      <w:r>
        <w:rPr>
          <w:rFonts w:ascii="Times New Roman" w:eastAsia="宋体" w:hAnsi="Times New Roman"/>
          <w:sz w:val="21"/>
          <w:szCs w:val="21"/>
        </w:rPr>
        <w:t>2</w:t>
      </w:r>
      <w:r>
        <w:rPr>
          <w:rFonts w:ascii="Times New Roman" w:eastAsia="宋体" w:hAnsi="Times New Roman"/>
          <w:sz w:val="21"/>
          <w:szCs w:val="21"/>
        </w:rPr>
        <w:t>个月期限届满后，当事人即可以向人民法院提起行政诉讼。</w:t>
      </w:r>
    </w:p>
    <w:p w:rsidR="00800760" w:rsidRDefault="00235733">
      <w:pPr>
        <w:pStyle w:val="5"/>
        <w:spacing w:before="120"/>
        <w:rPr>
          <w:color w:val="000000"/>
        </w:rPr>
      </w:pPr>
      <w:r>
        <w:rPr>
          <w:rFonts w:hint="eastAsia"/>
          <w:color w:val="000000"/>
        </w:rPr>
        <w:t xml:space="preserve">2. </w:t>
      </w:r>
      <w:r>
        <w:rPr>
          <w:color w:val="000000"/>
        </w:rPr>
        <w:t>当事人地位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当事人针对与专利侵权纠纷案件相关的行政行为提起行政诉讼的，该当事人为原告，管理专利工作的部门为被告，通知书或裁决书中涉及的其他当事人作为第三人。</w:t>
      </w:r>
    </w:p>
    <w:p w:rsidR="00800760" w:rsidRDefault="00235733">
      <w:pPr>
        <w:pStyle w:val="4"/>
        <w:spacing w:before="240"/>
        <w:ind w:firstLine="444"/>
        <w:rPr>
          <w:rFonts w:ascii="Times New Roman" w:hAnsi="Times New Roman"/>
          <w:color w:val="000000"/>
        </w:rPr>
      </w:pPr>
      <w:bookmarkStart w:id="4748" w:name="bookmark566"/>
      <w:bookmarkEnd w:id="4748"/>
      <w:r>
        <w:rPr>
          <w:rFonts w:ascii="Times New Roman" w:hAnsi="Times New Roman" w:hint="eastAsia"/>
          <w:color w:val="000000"/>
        </w:rPr>
        <w:t>（</w:t>
      </w:r>
      <w:r>
        <w:rPr>
          <w:rFonts w:ascii="Times New Roman" w:hAnsi="Times New Roman"/>
          <w:color w:val="000000"/>
        </w:rPr>
        <w:t>二</w:t>
      </w:r>
      <w:r>
        <w:rPr>
          <w:rFonts w:ascii="Times New Roman" w:hAnsi="Times New Roman" w:hint="eastAsia"/>
          <w:color w:val="000000"/>
        </w:rPr>
        <w:t>）</w:t>
      </w:r>
      <w:r>
        <w:rPr>
          <w:rFonts w:ascii="Times New Roman" w:hAnsi="Times New Roman"/>
          <w:color w:val="000000"/>
        </w:rPr>
        <w:t>二审程序的启动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专利纠纷裁决</w:t>
      </w:r>
      <w:r>
        <w:rPr>
          <w:rFonts w:ascii="Times New Roman" w:eastAsia="宋体" w:hAnsi="Times New Roman"/>
          <w:sz w:val="21"/>
          <w:szCs w:val="21"/>
        </w:rPr>
        <w:t>行政诉讼案件的二审程序可由一审程序中的</w:t>
      </w:r>
      <w:r>
        <w:rPr>
          <w:rFonts w:ascii="Times New Roman" w:eastAsia="宋体" w:hAnsi="Times New Roman" w:hint="eastAsia"/>
          <w:sz w:val="21"/>
          <w:szCs w:val="21"/>
        </w:rPr>
        <w:t>其中</w:t>
      </w:r>
      <w:r>
        <w:rPr>
          <w:rFonts w:ascii="Times New Roman" w:eastAsia="宋体" w:hAnsi="Times New Roman"/>
          <w:sz w:val="21"/>
          <w:szCs w:val="21"/>
        </w:rPr>
        <w:t>一方启动，包括原告、被告和第三人。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原告不服一审判决或裁定提起上诉的，该当事人为上诉人，管理专利工作的部门作为被上诉人应诉，其他当事人通常被列为原审第三人。第三人不服一审判决或裁定提起上诉的，该原审第三人为上诉人，原审原告作为被上诉人应诉，管理专利工作的部门通常被列为原审被告。管理专利工作的部门不服一审判决，也可以作为上诉人主动提起上诉，此时原审原告被列为被上诉人，原审第三人仍作为第三人参加诉讼。</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针对</w:t>
      </w:r>
      <w:r>
        <w:rPr>
          <w:rFonts w:ascii="Times New Roman" w:eastAsia="宋体" w:hAnsi="Times New Roman" w:hint="eastAsia"/>
          <w:sz w:val="21"/>
          <w:szCs w:val="21"/>
        </w:rPr>
        <w:t>一审法院</w:t>
      </w:r>
      <w:r>
        <w:rPr>
          <w:rFonts w:ascii="Times New Roman" w:eastAsia="宋体" w:hAnsi="Times New Roman"/>
          <w:sz w:val="21"/>
          <w:szCs w:val="21"/>
        </w:rPr>
        <w:t>判决书提起上诉的期限为自判决书送达之日起</w:t>
      </w:r>
      <w:r>
        <w:rPr>
          <w:rFonts w:ascii="Times New Roman" w:eastAsia="宋体" w:hAnsi="Times New Roman"/>
          <w:sz w:val="21"/>
          <w:szCs w:val="21"/>
        </w:rPr>
        <w:t>15</w:t>
      </w:r>
      <w:r>
        <w:rPr>
          <w:rFonts w:ascii="Times New Roman" w:eastAsia="宋体" w:hAnsi="Times New Roman"/>
          <w:sz w:val="21"/>
          <w:szCs w:val="21"/>
        </w:rPr>
        <w:t>日内，针对</w:t>
      </w:r>
      <w:r>
        <w:rPr>
          <w:rFonts w:ascii="Times New Roman" w:eastAsia="宋体" w:hAnsi="Times New Roman" w:hint="eastAsia"/>
          <w:sz w:val="21"/>
          <w:szCs w:val="21"/>
        </w:rPr>
        <w:t>一审法院</w:t>
      </w:r>
      <w:r>
        <w:rPr>
          <w:rFonts w:ascii="Times New Roman" w:eastAsia="宋体" w:hAnsi="Times New Roman"/>
          <w:sz w:val="21"/>
          <w:szCs w:val="21"/>
        </w:rPr>
        <w:t>裁定书提起上诉的期限为自裁定书送达之日起</w:t>
      </w:r>
      <w:r>
        <w:rPr>
          <w:rFonts w:ascii="Times New Roman" w:eastAsia="宋体" w:hAnsi="Times New Roman"/>
          <w:sz w:val="21"/>
          <w:szCs w:val="21"/>
        </w:rPr>
        <w:t>10</w:t>
      </w:r>
      <w:r>
        <w:rPr>
          <w:rFonts w:ascii="Times New Roman" w:eastAsia="宋体" w:hAnsi="Times New Roman"/>
          <w:sz w:val="21"/>
          <w:szCs w:val="21"/>
        </w:rPr>
        <w:t>日内。送达之日是指当事人收到人民法院送达裁判文书的日期，上诉期限从该日期的第二天起算。</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（三）</w:t>
      </w:r>
      <w:r>
        <w:rPr>
          <w:rFonts w:ascii="Times New Roman" w:hAnsi="Times New Roman"/>
          <w:color w:val="000000"/>
        </w:rPr>
        <w:t>再审程序的启动</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再审程序是对两审终审制的补充。再审程序的启动有三种渠道：当事人申请、法院主动再审和检察院抗诉。</w:t>
      </w:r>
    </w:p>
    <w:p w:rsidR="00800760" w:rsidRDefault="00235733">
      <w:pPr>
        <w:pStyle w:val="5"/>
        <w:spacing w:before="120"/>
        <w:rPr>
          <w:color w:val="000000"/>
        </w:rPr>
      </w:pPr>
      <w:r>
        <w:rPr>
          <w:rFonts w:hint="eastAsia"/>
          <w:color w:val="000000"/>
        </w:rPr>
        <w:t xml:space="preserve">1. </w:t>
      </w:r>
      <w:r>
        <w:rPr>
          <w:color w:val="000000"/>
        </w:rPr>
        <w:t>当事人申请再审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任何一方当事人，包括管理专利工作的部门，对已经发生法律效力的判决、裁定不服，均可以向最高人民法院申请再审。申请再审应当在判决、裁定发生法律效力后</w:t>
      </w:r>
      <w:r>
        <w:rPr>
          <w:rFonts w:ascii="Times New Roman" w:eastAsia="宋体" w:hAnsi="Times New Roman"/>
          <w:sz w:val="21"/>
          <w:szCs w:val="21"/>
        </w:rPr>
        <w:t>6</w:t>
      </w:r>
      <w:r>
        <w:rPr>
          <w:rFonts w:ascii="Times New Roman" w:eastAsia="宋体" w:hAnsi="Times New Roman"/>
          <w:sz w:val="21"/>
          <w:szCs w:val="21"/>
        </w:rPr>
        <w:t>个月内提出。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当事人的申请符合下列情形之一的，人民法院应当再审：</w:t>
      </w:r>
      <w:r>
        <w:rPr>
          <w:rFonts w:ascii="Times New Roman" w:eastAsia="宋体" w:hAnsi="Times New Roman"/>
          <w:sz w:val="21"/>
          <w:szCs w:val="21"/>
        </w:rPr>
        <w:t xml:space="preserve"> </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 xml:space="preserve">1. </w:t>
      </w:r>
      <w:r>
        <w:rPr>
          <w:rFonts w:ascii="Times New Roman" w:eastAsia="宋体" w:hAnsi="Times New Roman"/>
          <w:sz w:val="21"/>
          <w:szCs w:val="21"/>
        </w:rPr>
        <w:t>不予立案或者驳回起诉确有错误的。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 xml:space="preserve">2. </w:t>
      </w:r>
      <w:r>
        <w:rPr>
          <w:rFonts w:ascii="Times New Roman" w:eastAsia="宋体" w:hAnsi="Times New Roman"/>
          <w:sz w:val="21"/>
          <w:szCs w:val="21"/>
        </w:rPr>
        <w:t>有新的证据，足以推翻原判决、裁定的。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 xml:space="preserve">3. </w:t>
      </w:r>
      <w:r>
        <w:rPr>
          <w:rFonts w:ascii="Times New Roman" w:eastAsia="宋体" w:hAnsi="Times New Roman"/>
          <w:sz w:val="21"/>
          <w:szCs w:val="21"/>
        </w:rPr>
        <w:t>原判决、裁定认定事实的主要证据不足、未经质证或者系伪造的。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 xml:space="preserve">4. </w:t>
      </w:r>
      <w:r>
        <w:rPr>
          <w:rFonts w:ascii="Times New Roman" w:eastAsia="宋体" w:hAnsi="Times New Roman"/>
          <w:sz w:val="21"/>
          <w:szCs w:val="21"/>
        </w:rPr>
        <w:t>原判决、裁定适用法律、法规确有错误的。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 xml:space="preserve">5. </w:t>
      </w:r>
      <w:r>
        <w:rPr>
          <w:rFonts w:ascii="Times New Roman" w:eastAsia="宋体" w:hAnsi="Times New Roman"/>
          <w:sz w:val="21"/>
          <w:szCs w:val="21"/>
        </w:rPr>
        <w:t>违反法律规定的诉讼程序，可能影响公正审判的。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 xml:space="preserve">6. </w:t>
      </w:r>
      <w:r>
        <w:rPr>
          <w:rFonts w:ascii="Times New Roman" w:eastAsia="宋体" w:hAnsi="Times New Roman"/>
          <w:sz w:val="21"/>
          <w:szCs w:val="21"/>
        </w:rPr>
        <w:t>原判决、裁定遗漏诉讼请求的。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7.</w:t>
      </w:r>
      <w:r>
        <w:rPr>
          <w:rFonts w:ascii="Times New Roman" w:eastAsia="宋体" w:hAnsi="Times New Roman" w:hint="eastAsia"/>
          <w:sz w:val="21"/>
          <w:szCs w:val="21"/>
        </w:rPr>
        <w:t xml:space="preserve"> </w:t>
      </w:r>
      <w:r>
        <w:rPr>
          <w:rFonts w:ascii="Times New Roman" w:eastAsia="宋体" w:hAnsi="Times New Roman"/>
          <w:sz w:val="21"/>
          <w:szCs w:val="21"/>
        </w:rPr>
        <w:t>据以作出原判决、裁定的法律文书被撤销或者变更的。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8.</w:t>
      </w:r>
      <w:r>
        <w:rPr>
          <w:rFonts w:ascii="Times New Roman" w:eastAsia="宋体" w:hAnsi="Times New Roman" w:hint="eastAsia"/>
          <w:sz w:val="21"/>
          <w:szCs w:val="21"/>
        </w:rPr>
        <w:t xml:space="preserve"> </w:t>
      </w:r>
      <w:r>
        <w:rPr>
          <w:rFonts w:ascii="Times New Roman" w:eastAsia="宋体" w:hAnsi="Times New Roman"/>
          <w:sz w:val="21"/>
          <w:szCs w:val="21"/>
        </w:rPr>
        <w:t>审判人员在审理该案件时有贪污受贿、徇私舞弊、枉法裁判行为的。</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原告或第三人提出再审申请时，该当事人为再审申请人，管理专利工作的部门为被申请人，另一方当事人通常被列为原审原告或原审第三人。管理专利工作的部门提出再审申请的，原审原告将被列为被申请人，原审第三人仍作为原审第三人参加诉讼。</w:t>
      </w:r>
    </w:p>
    <w:p w:rsidR="00800760" w:rsidRDefault="00235733">
      <w:pPr>
        <w:pStyle w:val="5"/>
        <w:spacing w:before="120"/>
        <w:rPr>
          <w:color w:val="000000"/>
        </w:rPr>
      </w:pPr>
      <w:r>
        <w:rPr>
          <w:rFonts w:hint="eastAsia"/>
          <w:color w:val="000000"/>
        </w:rPr>
        <w:t xml:space="preserve">2. </w:t>
      </w:r>
      <w:r>
        <w:rPr>
          <w:color w:val="000000"/>
        </w:rPr>
        <w:t>法院主动再审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各知识产权法院或具有专利</w:t>
      </w:r>
      <w:r>
        <w:rPr>
          <w:rFonts w:ascii="Times New Roman" w:eastAsia="宋体" w:hAnsi="Times New Roman" w:hint="eastAsia"/>
          <w:sz w:val="21"/>
          <w:szCs w:val="21"/>
        </w:rPr>
        <w:t>纠纷裁决</w:t>
      </w:r>
      <w:r>
        <w:rPr>
          <w:rFonts w:ascii="Times New Roman" w:eastAsia="宋体" w:hAnsi="Times New Roman"/>
          <w:sz w:val="21"/>
          <w:szCs w:val="21"/>
        </w:rPr>
        <w:t>行政诉讼案件管辖权的中级人民法院的院长对本院已经发生法律效力的判决、裁定，发现有《行政诉讼法》第九十一条规定情形之一，或者发现调解违反自愿原则</w:t>
      </w:r>
      <w:r>
        <w:rPr>
          <w:rFonts w:ascii="Times New Roman" w:eastAsia="宋体" w:hAnsi="Times New Roman" w:hint="eastAsia"/>
          <w:sz w:val="21"/>
          <w:szCs w:val="21"/>
        </w:rPr>
        <w:t>，</w:t>
      </w:r>
      <w:r>
        <w:rPr>
          <w:rFonts w:ascii="Times New Roman" w:eastAsia="宋体" w:hAnsi="Times New Roman"/>
          <w:sz w:val="21"/>
          <w:szCs w:val="21"/>
        </w:rPr>
        <w:t>或者调解书内容违法，认为需要再审的，应当提交审判委员会讨论决定。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最高人民法院对各知识产权法院或具有专利</w:t>
      </w:r>
      <w:r>
        <w:rPr>
          <w:rFonts w:ascii="Times New Roman" w:eastAsia="宋体" w:hAnsi="Times New Roman" w:hint="eastAsia"/>
          <w:sz w:val="21"/>
          <w:szCs w:val="21"/>
        </w:rPr>
        <w:t>纠纷裁决</w:t>
      </w:r>
      <w:r>
        <w:rPr>
          <w:rFonts w:ascii="Times New Roman" w:eastAsia="宋体" w:hAnsi="Times New Roman"/>
          <w:sz w:val="21"/>
          <w:szCs w:val="21"/>
        </w:rPr>
        <w:t>行政诉讼案件管辖权的中级人民法院已经发生法律效力的判决、裁定，发现有《行政诉讼法》第九十一条规定情形之一</w:t>
      </w:r>
      <w:r>
        <w:rPr>
          <w:rFonts w:ascii="Times New Roman" w:eastAsia="宋体" w:hAnsi="Times New Roman" w:hint="eastAsia"/>
          <w:sz w:val="21"/>
          <w:szCs w:val="21"/>
        </w:rPr>
        <w:t>的</w:t>
      </w:r>
      <w:r>
        <w:rPr>
          <w:rFonts w:ascii="Times New Roman" w:eastAsia="宋体" w:hAnsi="Times New Roman"/>
          <w:sz w:val="21"/>
          <w:szCs w:val="21"/>
        </w:rPr>
        <w:t>，或者发现调解违反自愿原则或者调解书内容违法的，有权提审或者指令法院再审。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最高人民法院对最高人民法院知识产权法庭已经发生法律效力的判决、裁定，发现有《行政诉讼法》第九十一条规定情形之一的，有权再审。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管理专利工作的部门根据人民法院的通知和要求参加诉讼。</w:t>
      </w:r>
    </w:p>
    <w:p w:rsidR="00800760" w:rsidRDefault="00235733">
      <w:pPr>
        <w:pStyle w:val="5"/>
        <w:spacing w:before="120"/>
        <w:rPr>
          <w:color w:val="000000"/>
        </w:rPr>
      </w:pPr>
      <w:r>
        <w:rPr>
          <w:rFonts w:hint="eastAsia"/>
          <w:color w:val="000000"/>
        </w:rPr>
        <w:t xml:space="preserve">3. </w:t>
      </w:r>
      <w:r>
        <w:rPr>
          <w:color w:val="000000"/>
        </w:rPr>
        <w:t>检察院抗诉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最高人民检察院对最高人民法院知识产权法庭、各知识产权法院或具有专利</w:t>
      </w:r>
      <w:r>
        <w:rPr>
          <w:rFonts w:ascii="Times New Roman" w:eastAsia="宋体" w:hAnsi="Times New Roman" w:hint="eastAsia"/>
          <w:sz w:val="21"/>
          <w:szCs w:val="21"/>
        </w:rPr>
        <w:t>纠纷裁决</w:t>
      </w:r>
      <w:r>
        <w:rPr>
          <w:rFonts w:ascii="Times New Roman" w:eastAsia="宋体" w:hAnsi="Times New Roman"/>
          <w:sz w:val="21"/>
          <w:szCs w:val="21"/>
        </w:rPr>
        <w:t>行政诉讼案件管辖权的中级人民法院已经发生法律效力的判决、裁定，发现有《行政诉讼法》第九十一条规定情形之一，或者发现调解书损害国家利益、社会公共利益的，应当提出抗诉。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与各知识产权法院或具有专利</w:t>
      </w:r>
      <w:r>
        <w:rPr>
          <w:rFonts w:ascii="Times New Roman" w:eastAsia="宋体" w:hAnsi="Times New Roman" w:hint="eastAsia"/>
          <w:sz w:val="21"/>
          <w:szCs w:val="21"/>
        </w:rPr>
        <w:t>纠纷裁决</w:t>
      </w:r>
      <w:r>
        <w:rPr>
          <w:rFonts w:ascii="Times New Roman" w:eastAsia="宋体" w:hAnsi="Times New Roman"/>
          <w:sz w:val="21"/>
          <w:szCs w:val="21"/>
        </w:rPr>
        <w:t>行政诉讼案件管辖权的中级人民法院同级的人民检察院对其已经发生法律效力的判决、裁定，发现有《行政诉讼法》第九十一条规定情形之一，或者发现调解书损害国家利益、社会公共利益的，可以向其提出检察建议，并报上级人民检察院备案；也可以提请上级人民检察院抗诉。</w:t>
      </w:r>
    </w:p>
    <w:p w:rsidR="00800760" w:rsidRDefault="00235733">
      <w:pPr>
        <w:pStyle w:val="3"/>
        <w:spacing w:before="240"/>
        <w:ind w:firstLine="444"/>
        <w:rPr>
          <w:rFonts w:ascii="Times New Roman" w:hAnsi="Times New Roman"/>
          <w:color w:val="000000"/>
        </w:rPr>
      </w:pPr>
      <w:bookmarkStart w:id="4749" w:name="_Toc26587"/>
      <w:bookmarkStart w:id="4750" w:name="_Toc25037"/>
      <w:bookmarkStart w:id="4751" w:name="_Toc2298"/>
      <w:bookmarkStart w:id="4752" w:name="_Toc20490"/>
      <w:bookmarkStart w:id="4753" w:name="_Toc22249"/>
      <w:bookmarkStart w:id="4754" w:name="_Toc2570"/>
      <w:bookmarkStart w:id="4755" w:name="_Toc10214"/>
      <w:bookmarkStart w:id="4756" w:name="_Toc10340"/>
      <w:bookmarkStart w:id="4757" w:name="_Toc11052"/>
      <w:bookmarkStart w:id="4758" w:name="_Toc6602"/>
      <w:bookmarkStart w:id="4759" w:name="_Toc316"/>
      <w:bookmarkStart w:id="4760" w:name="_Toc2608"/>
      <w:bookmarkStart w:id="4761" w:name="_Toc12598"/>
      <w:bookmarkStart w:id="4762" w:name="_Toc20218"/>
      <w:bookmarkStart w:id="4763" w:name="_Toc20166"/>
      <w:bookmarkStart w:id="4764" w:name="_Toc14034"/>
      <w:bookmarkStart w:id="4765" w:name="_Toc2258"/>
      <w:bookmarkStart w:id="4766" w:name="_Toc16021"/>
      <w:bookmarkStart w:id="4767" w:name="_Toc15271"/>
      <w:bookmarkStart w:id="4768" w:name="_Toc4760"/>
      <w:bookmarkStart w:id="4769" w:name="_Toc17863"/>
      <w:bookmarkStart w:id="4770" w:name="_Toc22611"/>
      <w:bookmarkStart w:id="4771" w:name="_Toc16518"/>
      <w:bookmarkStart w:id="4772" w:name="_Toc13079"/>
      <w:bookmarkStart w:id="4773" w:name="_Toc985"/>
      <w:bookmarkStart w:id="4774" w:name="_Toc5529"/>
      <w:bookmarkStart w:id="4775" w:name="_Toc18497"/>
      <w:bookmarkStart w:id="4776" w:name="_Toc8542"/>
      <w:bookmarkStart w:id="4777" w:name="_Toc13448"/>
      <w:bookmarkStart w:id="4778" w:name="_Toc24557"/>
      <w:bookmarkStart w:id="4779" w:name="_Toc20600"/>
      <w:bookmarkStart w:id="4780" w:name="_Toc9516"/>
      <w:bookmarkStart w:id="4781" w:name="_Toc855"/>
      <w:bookmarkStart w:id="4782" w:name="_Toc2303"/>
      <w:bookmarkStart w:id="4783" w:name="_Toc20953"/>
      <w:bookmarkStart w:id="4784" w:name="_Toc28416"/>
      <w:bookmarkStart w:id="4785" w:name="_Toc23711"/>
      <w:bookmarkStart w:id="4786" w:name="_Toc1943"/>
      <w:bookmarkStart w:id="4787" w:name="_Toc22244"/>
      <w:bookmarkStart w:id="4788" w:name="_Toc12795"/>
      <w:bookmarkStart w:id="4789" w:name="_Toc229114437"/>
      <w:bookmarkStart w:id="4790" w:name="_Toc217908691"/>
      <w:bookmarkStart w:id="4791" w:name="_Toc17544"/>
      <w:bookmarkStart w:id="4792" w:name="_Toc22543"/>
      <w:bookmarkStart w:id="4793" w:name="_Toc229225533"/>
      <w:r>
        <w:rPr>
          <w:rFonts w:ascii="Times New Roman" w:hAnsi="Times New Roman" w:hint="eastAsia"/>
          <w:color w:val="000000"/>
        </w:rPr>
        <w:t>二、</w:t>
      </w:r>
      <w:r>
        <w:rPr>
          <w:rFonts w:ascii="Times New Roman" w:hAnsi="Times New Roman"/>
          <w:color w:val="000000"/>
        </w:rPr>
        <w:t>立案建档和指派代理人</w:t>
      </w:r>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w:t>
      </w:r>
      <w:r>
        <w:rPr>
          <w:rFonts w:ascii="Times New Roman" w:hAnsi="Times New Roman"/>
          <w:color w:val="000000"/>
        </w:rPr>
        <w:t>一</w:t>
      </w:r>
      <w:r>
        <w:rPr>
          <w:rFonts w:ascii="Times New Roman" w:hAnsi="Times New Roman" w:hint="eastAsia"/>
          <w:color w:val="000000"/>
        </w:rPr>
        <w:t>）</w:t>
      </w:r>
      <w:r>
        <w:rPr>
          <w:rFonts w:ascii="Times New Roman" w:hAnsi="Times New Roman"/>
          <w:color w:val="000000"/>
        </w:rPr>
        <w:t>立案建档</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立案建档是行政诉讼案件处理的第一环节。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管理专利工作的部门应当根据实际情况，指定承担法规工作的处</w:t>
      </w:r>
      <w:r>
        <w:rPr>
          <w:rFonts w:ascii="Times New Roman" w:eastAsia="宋体" w:hAnsi="Times New Roman"/>
          <w:sz w:val="21"/>
          <w:szCs w:val="21"/>
        </w:rPr>
        <w:t>(</w:t>
      </w:r>
      <w:r>
        <w:rPr>
          <w:rFonts w:ascii="Times New Roman" w:eastAsia="宋体" w:hAnsi="Times New Roman"/>
          <w:sz w:val="21"/>
          <w:szCs w:val="21"/>
        </w:rPr>
        <w:t>科</w:t>
      </w:r>
      <w:r>
        <w:rPr>
          <w:rFonts w:ascii="Times New Roman" w:eastAsia="宋体" w:hAnsi="Times New Roman"/>
          <w:sz w:val="21"/>
          <w:szCs w:val="21"/>
        </w:rPr>
        <w:t>)</w:t>
      </w:r>
      <w:r>
        <w:rPr>
          <w:rFonts w:ascii="Times New Roman" w:eastAsia="宋体" w:hAnsi="Times New Roman"/>
          <w:sz w:val="21"/>
          <w:szCs w:val="21"/>
        </w:rPr>
        <w:t>室</w:t>
      </w:r>
      <w:r>
        <w:rPr>
          <w:rFonts w:ascii="Times New Roman" w:eastAsia="宋体" w:hAnsi="Times New Roman"/>
          <w:sz w:val="21"/>
          <w:szCs w:val="21"/>
        </w:rPr>
        <w:t>(</w:t>
      </w:r>
      <w:r>
        <w:rPr>
          <w:rFonts w:ascii="Times New Roman" w:eastAsia="宋体" w:hAnsi="Times New Roman"/>
          <w:sz w:val="21"/>
          <w:szCs w:val="21"/>
        </w:rPr>
        <w:t>以下简称</w:t>
      </w:r>
      <w:r>
        <w:rPr>
          <w:rFonts w:ascii="Times New Roman" w:eastAsia="宋体" w:hAnsi="Times New Roman"/>
          <w:sz w:val="21"/>
          <w:szCs w:val="21"/>
        </w:rPr>
        <w:t>“</w:t>
      </w:r>
      <w:r>
        <w:rPr>
          <w:rFonts w:ascii="Times New Roman" w:eastAsia="宋体" w:hAnsi="Times New Roman"/>
          <w:sz w:val="21"/>
          <w:szCs w:val="21"/>
        </w:rPr>
        <w:t>行政诉讼处室</w:t>
      </w:r>
      <w:r>
        <w:rPr>
          <w:rFonts w:ascii="Times New Roman" w:eastAsia="宋体" w:hAnsi="Times New Roman"/>
          <w:sz w:val="21"/>
          <w:szCs w:val="21"/>
        </w:rPr>
        <w:t>”)</w:t>
      </w:r>
      <w:r>
        <w:rPr>
          <w:rFonts w:ascii="Times New Roman" w:eastAsia="宋体" w:hAnsi="Times New Roman"/>
          <w:sz w:val="21"/>
          <w:szCs w:val="21"/>
        </w:rPr>
        <w:t>专门负责行政诉讼工作，并与作出被诉行政行为的处</w:t>
      </w:r>
      <w:r>
        <w:rPr>
          <w:rFonts w:ascii="Times New Roman" w:eastAsia="宋体" w:hAnsi="Times New Roman"/>
          <w:sz w:val="21"/>
          <w:szCs w:val="21"/>
        </w:rPr>
        <w:t>(</w:t>
      </w:r>
      <w:r>
        <w:rPr>
          <w:rFonts w:ascii="Times New Roman" w:eastAsia="宋体" w:hAnsi="Times New Roman"/>
          <w:sz w:val="21"/>
          <w:szCs w:val="21"/>
        </w:rPr>
        <w:t>科</w:t>
      </w:r>
      <w:r>
        <w:rPr>
          <w:rFonts w:ascii="Times New Roman" w:eastAsia="宋体" w:hAnsi="Times New Roman"/>
          <w:sz w:val="21"/>
          <w:szCs w:val="21"/>
        </w:rPr>
        <w:t>)</w:t>
      </w:r>
      <w:r>
        <w:rPr>
          <w:rFonts w:ascii="Times New Roman" w:eastAsia="宋体" w:hAnsi="Times New Roman"/>
          <w:sz w:val="21"/>
          <w:szCs w:val="21"/>
        </w:rPr>
        <w:t>室</w:t>
      </w:r>
      <w:r>
        <w:rPr>
          <w:rFonts w:ascii="Times New Roman" w:eastAsia="宋体" w:hAnsi="Times New Roman"/>
          <w:sz w:val="21"/>
          <w:szCs w:val="21"/>
        </w:rPr>
        <w:t>(</w:t>
      </w:r>
      <w:r>
        <w:rPr>
          <w:rFonts w:ascii="Times New Roman" w:eastAsia="宋体" w:hAnsi="Times New Roman"/>
          <w:sz w:val="21"/>
          <w:szCs w:val="21"/>
        </w:rPr>
        <w:t>以下简称</w:t>
      </w:r>
      <w:r>
        <w:rPr>
          <w:rFonts w:ascii="Times New Roman" w:eastAsia="宋体" w:hAnsi="Times New Roman"/>
          <w:sz w:val="21"/>
          <w:szCs w:val="21"/>
        </w:rPr>
        <w:t>“</w:t>
      </w:r>
      <w:r>
        <w:rPr>
          <w:rFonts w:ascii="Times New Roman" w:eastAsia="宋体" w:hAnsi="Times New Roman"/>
          <w:sz w:val="21"/>
          <w:szCs w:val="21"/>
        </w:rPr>
        <w:t>业务处室</w:t>
      </w:r>
      <w:r>
        <w:rPr>
          <w:rFonts w:ascii="Times New Roman" w:eastAsia="宋体" w:hAnsi="Times New Roman"/>
          <w:sz w:val="21"/>
          <w:szCs w:val="21"/>
        </w:rPr>
        <w:t>”)</w:t>
      </w:r>
      <w:r>
        <w:rPr>
          <w:rFonts w:ascii="Times New Roman" w:eastAsia="宋体" w:hAnsi="Times New Roman"/>
          <w:sz w:val="21"/>
          <w:szCs w:val="21"/>
        </w:rPr>
        <w:t>做好衔接和分工。</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行政诉讼处室在收到法院的应诉通知书等材料后，应当签收送达回证并进行登记，注明收到日期，生成诉讼案件编号，制作诉讼案卷。</w:t>
      </w:r>
    </w:p>
    <w:p w:rsidR="00800760" w:rsidRDefault="00235733">
      <w:pPr>
        <w:pStyle w:val="4"/>
        <w:spacing w:before="240"/>
        <w:ind w:firstLine="444"/>
        <w:rPr>
          <w:rFonts w:ascii="Times New Roman" w:hAnsi="Times New Roman"/>
          <w:color w:val="000000"/>
        </w:rPr>
      </w:pPr>
      <w:bookmarkStart w:id="4794" w:name="bookmark573"/>
      <w:bookmarkStart w:id="4795" w:name="bookmark572"/>
      <w:bookmarkStart w:id="4796" w:name="bookmark571"/>
      <w:bookmarkEnd w:id="4794"/>
      <w:bookmarkEnd w:id="4795"/>
      <w:bookmarkEnd w:id="4796"/>
      <w:r>
        <w:rPr>
          <w:rFonts w:ascii="Times New Roman" w:hAnsi="Times New Roman" w:hint="eastAsia"/>
          <w:color w:val="000000"/>
        </w:rPr>
        <w:t>（</w:t>
      </w:r>
      <w:r>
        <w:rPr>
          <w:rFonts w:ascii="Times New Roman" w:hAnsi="Times New Roman"/>
          <w:color w:val="000000"/>
        </w:rPr>
        <w:t>二</w:t>
      </w:r>
      <w:r>
        <w:rPr>
          <w:rFonts w:ascii="Times New Roman" w:hAnsi="Times New Roman" w:hint="eastAsia"/>
          <w:color w:val="000000"/>
        </w:rPr>
        <w:t>）指派</w:t>
      </w:r>
      <w:r>
        <w:rPr>
          <w:rFonts w:ascii="Times New Roman" w:hAnsi="Times New Roman"/>
          <w:color w:val="000000"/>
        </w:rPr>
        <w:t>代理人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专利纠纷裁决</w:t>
      </w:r>
      <w:r>
        <w:rPr>
          <w:rFonts w:ascii="Times New Roman" w:eastAsia="宋体" w:hAnsi="Times New Roman"/>
          <w:sz w:val="21"/>
          <w:szCs w:val="21"/>
        </w:rPr>
        <w:t>行政诉讼案件通常应当指派两名代理人参加诉讼，一般应包括一名被诉行政行为的承办人或者熟悉相关案件情况的工作人员。根据工作需要，管理专利工作的部门也可以委托本单位以外的专业人士作为委托代理人参加行政诉讼。两名诉讼代理人的分工应根据实际情况确定。</w:t>
      </w:r>
    </w:p>
    <w:p w:rsidR="00800760" w:rsidRDefault="00235733">
      <w:pPr>
        <w:pStyle w:val="3"/>
        <w:spacing w:before="240"/>
        <w:ind w:firstLine="444"/>
        <w:rPr>
          <w:rFonts w:ascii="Times New Roman" w:hAnsi="Times New Roman"/>
          <w:color w:val="000000"/>
        </w:rPr>
      </w:pPr>
      <w:bookmarkStart w:id="4797" w:name="_Toc9571"/>
      <w:bookmarkStart w:id="4798" w:name="_Toc26489"/>
      <w:bookmarkStart w:id="4799" w:name="_Toc4146"/>
      <w:bookmarkStart w:id="4800" w:name="_Toc2053"/>
      <w:bookmarkStart w:id="4801" w:name="_Toc16603"/>
      <w:bookmarkStart w:id="4802" w:name="_Toc19113"/>
      <w:bookmarkStart w:id="4803" w:name="_Toc31119"/>
      <w:bookmarkStart w:id="4804" w:name="_Toc9851"/>
      <w:bookmarkStart w:id="4805" w:name="_Toc17951"/>
      <w:bookmarkStart w:id="4806" w:name="_Toc27970"/>
      <w:bookmarkStart w:id="4807" w:name="_Toc4272"/>
      <w:bookmarkStart w:id="4808" w:name="_Toc31172"/>
      <w:bookmarkStart w:id="4809" w:name="_Toc217908692"/>
      <w:bookmarkStart w:id="4810" w:name="_Toc15325"/>
      <w:bookmarkStart w:id="4811" w:name="_Toc9798"/>
      <w:bookmarkStart w:id="4812" w:name="_Toc229114438"/>
      <w:bookmarkStart w:id="4813" w:name="_Toc22890"/>
      <w:bookmarkStart w:id="4814" w:name="_Toc15707"/>
      <w:bookmarkStart w:id="4815" w:name="_Toc27375"/>
      <w:bookmarkStart w:id="4816" w:name="_Toc31048"/>
      <w:bookmarkStart w:id="4817" w:name="_Toc15143"/>
      <w:bookmarkStart w:id="4818" w:name="_Toc16050"/>
      <w:bookmarkStart w:id="4819" w:name="_Toc12854"/>
      <w:bookmarkStart w:id="4820" w:name="_Toc2362"/>
      <w:bookmarkStart w:id="4821" w:name="_Toc13796"/>
      <w:bookmarkStart w:id="4822" w:name="_Toc20561"/>
      <w:bookmarkStart w:id="4823" w:name="_Toc28322"/>
      <w:bookmarkStart w:id="4824" w:name="_Toc8504"/>
      <w:bookmarkStart w:id="4825" w:name="_Toc8931"/>
      <w:bookmarkStart w:id="4826" w:name="_Toc9407"/>
      <w:bookmarkStart w:id="4827" w:name="_Toc21062"/>
      <w:bookmarkStart w:id="4828" w:name="_Toc8084"/>
      <w:bookmarkStart w:id="4829" w:name="_Toc9217"/>
      <w:bookmarkStart w:id="4830" w:name="_Toc11574"/>
      <w:bookmarkStart w:id="4831" w:name="_Toc20445"/>
      <w:bookmarkStart w:id="4832" w:name="_Toc16298"/>
      <w:bookmarkStart w:id="4833" w:name="_Toc23428"/>
      <w:bookmarkStart w:id="4834" w:name="_Toc21689"/>
      <w:bookmarkStart w:id="4835" w:name="_Toc26632"/>
      <w:bookmarkStart w:id="4836" w:name="_Toc31094"/>
      <w:bookmarkStart w:id="4837" w:name="_Toc2669"/>
      <w:bookmarkStart w:id="4838" w:name="_Toc26959"/>
      <w:bookmarkStart w:id="4839" w:name="_Toc24429"/>
      <w:bookmarkStart w:id="4840" w:name="_Toc25752"/>
      <w:bookmarkStart w:id="4841" w:name="_Toc229225534"/>
      <w:r>
        <w:rPr>
          <w:rFonts w:ascii="Times New Roman" w:hAnsi="Times New Roman" w:hint="eastAsia"/>
          <w:color w:val="000000"/>
        </w:rPr>
        <w:t>三、准备诉讼材料</w:t>
      </w:r>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管理专利工作的部门在行政诉讼中应依据其在诉讼中的不同地位准备材料。</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w:t>
      </w:r>
      <w:r>
        <w:rPr>
          <w:rFonts w:ascii="Times New Roman" w:hAnsi="Times New Roman"/>
          <w:color w:val="000000"/>
        </w:rPr>
        <w:t>一</w:t>
      </w:r>
      <w:r>
        <w:rPr>
          <w:rFonts w:ascii="Times New Roman" w:hAnsi="Times New Roman" w:hint="eastAsia"/>
          <w:color w:val="000000"/>
        </w:rPr>
        <w:t>）</w:t>
      </w:r>
      <w:r>
        <w:rPr>
          <w:rFonts w:ascii="Times New Roman" w:hAnsi="Times New Roman"/>
          <w:color w:val="000000"/>
        </w:rPr>
        <w:t>当事人启动的行政诉讼案件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针对当事人启动的行政诉讼案件，管理专利工作的部门作为被告、被上诉人或者再审被申请人，需要在自收到应诉通知书及起诉状副本之日起</w:t>
      </w:r>
      <w:r>
        <w:rPr>
          <w:rFonts w:ascii="Times New Roman" w:eastAsia="宋体" w:hAnsi="Times New Roman"/>
          <w:sz w:val="21"/>
          <w:szCs w:val="21"/>
        </w:rPr>
        <w:t>15</w:t>
      </w:r>
      <w:r>
        <w:rPr>
          <w:rFonts w:ascii="Times New Roman" w:eastAsia="宋体" w:hAnsi="Times New Roman"/>
          <w:sz w:val="21"/>
          <w:szCs w:val="21"/>
        </w:rPr>
        <w:t>日内提交答辩材料，包括但不限于：统一社会信用代码证书、法定代表人或主要负责人身份证明、授权委托书、答辩状、作出被诉行政行为依据的证据及证据清单、作出被诉行政行为所依据的法律、法规、条例、地方性法规、地方政府规章、国务院部门规章、规范性文件等。</w:t>
      </w:r>
    </w:p>
    <w:p w:rsidR="00800760" w:rsidRDefault="00235733">
      <w:pPr>
        <w:pStyle w:val="5"/>
        <w:spacing w:before="120"/>
        <w:rPr>
          <w:color w:val="000000"/>
        </w:rPr>
      </w:pPr>
      <w:r>
        <w:rPr>
          <w:rFonts w:hint="eastAsia"/>
          <w:color w:val="000000"/>
        </w:rPr>
        <w:t xml:space="preserve">1. </w:t>
      </w:r>
      <w:r>
        <w:rPr>
          <w:color w:val="000000"/>
        </w:rPr>
        <w:t>授权委托书</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授权委托书应当由单位负责人签批。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出庭前代理人发生变更的，变更后的代理人应向法院提交变更后的授权委托书。代理人应当在委托代理权限范围内进行诉讼活动。代理人的代理权限包括：</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1</w:t>
      </w:r>
      <w:r>
        <w:rPr>
          <w:rFonts w:ascii="Times New Roman" w:eastAsia="宋体" w:hAnsi="Times New Roman" w:hint="eastAsia"/>
          <w:sz w:val="21"/>
          <w:szCs w:val="21"/>
        </w:rPr>
        <w:t>）</w:t>
      </w:r>
      <w:r>
        <w:rPr>
          <w:rFonts w:ascii="Times New Roman" w:eastAsia="宋体" w:hAnsi="Times New Roman"/>
          <w:sz w:val="21"/>
          <w:szCs w:val="21"/>
        </w:rPr>
        <w:t>一般代理。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2</w:t>
      </w:r>
      <w:r>
        <w:rPr>
          <w:rFonts w:ascii="Times New Roman" w:eastAsia="宋体" w:hAnsi="Times New Roman" w:hint="eastAsia"/>
          <w:sz w:val="21"/>
          <w:szCs w:val="21"/>
        </w:rPr>
        <w:t>）</w:t>
      </w:r>
      <w:r>
        <w:rPr>
          <w:rFonts w:ascii="Times New Roman" w:eastAsia="宋体" w:hAnsi="Times New Roman"/>
          <w:sz w:val="21"/>
          <w:szCs w:val="21"/>
        </w:rPr>
        <w:t>特别授权：代为出庭，提供证据；代为承认、变更、放弃诉讼请求；代为调解；代为签收法律文书等。</w:t>
      </w:r>
    </w:p>
    <w:p w:rsidR="00800760" w:rsidRDefault="00235733">
      <w:pPr>
        <w:pStyle w:val="5"/>
        <w:spacing w:before="120"/>
        <w:rPr>
          <w:color w:val="000000"/>
        </w:rPr>
      </w:pPr>
      <w:r>
        <w:rPr>
          <w:rFonts w:hint="eastAsia"/>
          <w:color w:val="000000"/>
        </w:rPr>
        <w:t xml:space="preserve">2. </w:t>
      </w:r>
      <w:r>
        <w:rPr>
          <w:color w:val="000000"/>
        </w:rPr>
        <w:t>答辩状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答辩状是管理专利工作的部门针对起诉状、上诉状或者再审申请书的请求和理由，在法定期限内根据事实和法律进行答复与解释的法律文书。管理专利工作的部门应在答辩期内提交答辩状。代理人应当在收到应诉材料后，针对原告的起诉资格、诉讼时效、诉讼请求及理由等事项提出应诉意见，形成答辩状，连同整理的证据材料和证据清单一起报分管</w:t>
      </w:r>
      <w:bookmarkStart w:id="4842" w:name="bookmark574"/>
      <w:bookmarkEnd w:id="4842"/>
      <w:r>
        <w:rPr>
          <w:rFonts w:ascii="Times New Roman" w:eastAsia="宋体" w:hAnsi="Times New Roman" w:hint="eastAsia"/>
          <w:sz w:val="21"/>
          <w:szCs w:val="21"/>
        </w:rPr>
        <w:t>负</w:t>
      </w:r>
      <w:r>
        <w:rPr>
          <w:rFonts w:ascii="Times New Roman" w:eastAsia="宋体" w:hAnsi="Times New Roman"/>
          <w:sz w:val="21"/>
          <w:szCs w:val="21"/>
        </w:rPr>
        <w:t>责人和</w:t>
      </w:r>
      <w:r>
        <w:rPr>
          <w:rFonts w:ascii="Times New Roman" w:eastAsia="宋体" w:hAnsi="Times New Roman"/>
          <w:sz w:val="21"/>
          <w:szCs w:val="21"/>
        </w:rPr>
        <w:t>/</w:t>
      </w:r>
      <w:r>
        <w:rPr>
          <w:rFonts w:ascii="Times New Roman" w:eastAsia="宋体" w:hAnsi="Times New Roman"/>
          <w:sz w:val="21"/>
          <w:szCs w:val="21"/>
        </w:rPr>
        <w:t>或正职负责人审批；并在自收到应诉材料之日起</w:t>
      </w:r>
      <w:r>
        <w:rPr>
          <w:rFonts w:ascii="Times New Roman" w:eastAsia="宋体" w:hAnsi="Times New Roman"/>
          <w:sz w:val="21"/>
          <w:szCs w:val="21"/>
        </w:rPr>
        <w:t>15</w:t>
      </w:r>
      <w:r>
        <w:rPr>
          <w:rFonts w:ascii="Times New Roman" w:eastAsia="宋体" w:hAnsi="Times New Roman"/>
          <w:sz w:val="21"/>
          <w:szCs w:val="21"/>
        </w:rPr>
        <w:t>日内向人民法院提交答辩状，提交作出被诉行政行为的证据和所依据的规范性文件。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1</w:t>
      </w:r>
      <w:r>
        <w:rPr>
          <w:rFonts w:ascii="Times New Roman" w:eastAsia="宋体" w:hAnsi="Times New Roman" w:hint="eastAsia"/>
          <w:sz w:val="21"/>
          <w:szCs w:val="21"/>
        </w:rPr>
        <w:t>）</w:t>
      </w:r>
      <w:r>
        <w:rPr>
          <w:rFonts w:ascii="Times New Roman" w:eastAsia="宋体" w:hAnsi="Times New Roman"/>
          <w:sz w:val="21"/>
          <w:szCs w:val="21"/>
        </w:rPr>
        <w:t>答辩状的形式。行政答辩状应当包括首部、正文、尾部及附项三方面的内容。</w:t>
      </w:r>
      <w:r>
        <w:rPr>
          <w:rFonts w:ascii="Times New Roman" w:eastAsia="宋体" w:hAnsi="Times New Roman"/>
          <w:sz w:val="21"/>
          <w:szCs w:val="21"/>
        </w:rPr>
        <w:t xml:space="preserve"> </w:t>
      </w:r>
      <w:r>
        <w:rPr>
          <w:rFonts w:ascii="Times New Roman" w:eastAsia="宋体" w:hAnsi="Times New Roman"/>
          <w:sz w:val="21"/>
          <w:szCs w:val="21"/>
        </w:rPr>
        <w:t>首部即标题</w:t>
      </w:r>
      <w:r>
        <w:rPr>
          <w:rFonts w:ascii="Times New Roman" w:eastAsia="宋体" w:hAnsi="Times New Roman"/>
          <w:sz w:val="21"/>
          <w:szCs w:val="21"/>
        </w:rPr>
        <w:t>“</w:t>
      </w:r>
      <w:r>
        <w:rPr>
          <w:rFonts w:ascii="Times New Roman" w:eastAsia="宋体" w:hAnsi="Times New Roman"/>
          <w:sz w:val="21"/>
          <w:szCs w:val="21"/>
        </w:rPr>
        <w:t>行政答辩状</w:t>
      </w:r>
      <w:r>
        <w:rPr>
          <w:rFonts w:ascii="Times New Roman" w:eastAsia="宋体" w:hAnsi="Times New Roman"/>
          <w:sz w:val="21"/>
          <w:szCs w:val="21"/>
        </w:rPr>
        <w:t>”</w:t>
      </w:r>
      <w:r>
        <w:rPr>
          <w:rFonts w:ascii="Times New Roman" w:eastAsia="宋体" w:hAnsi="Times New Roman"/>
          <w:sz w:val="21"/>
          <w:szCs w:val="21"/>
        </w:rPr>
        <w:t>。</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正文部分由三部分组成：当事人栏、案由部分和答辩部分。</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尾部及附项部分包括三方面的内容：</w:t>
      </w:r>
      <w:r>
        <w:rPr>
          <w:rFonts w:ascii="Times New Roman" w:eastAsia="宋体" w:hAnsi="Times New Roman"/>
          <w:sz w:val="21"/>
          <w:szCs w:val="21"/>
        </w:rPr>
        <w:t>(1)</w:t>
      </w:r>
      <w:r>
        <w:rPr>
          <w:rFonts w:ascii="Times New Roman" w:eastAsia="宋体" w:hAnsi="Times New Roman"/>
          <w:sz w:val="21"/>
          <w:szCs w:val="21"/>
        </w:rPr>
        <w:t>致送机关；</w:t>
      </w:r>
      <w:r>
        <w:rPr>
          <w:rFonts w:ascii="Times New Roman" w:eastAsia="宋体" w:hAnsi="Times New Roman"/>
          <w:sz w:val="21"/>
          <w:szCs w:val="21"/>
        </w:rPr>
        <w:t>(2)</w:t>
      </w:r>
      <w:r>
        <w:rPr>
          <w:rFonts w:ascii="Times New Roman" w:eastAsia="宋体" w:hAnsi="Times New Roman"/>
          <w:sz w:val="21"/>
          <w:szCs w:val="21"/>
        </w:rPr>
        <w:t>答辩人及答辩日期；</w:t>
      </w:r>
      <w:r>
        <w:rPr>
          <w:rFonts w:ascii="Times New Roman" w:eastAsia="宋体" w:hAnsi="Times New Roman"/>
          <w:sz w:val="21"/>
          <w:szCs w:val="21"/>
        </w:rPr>
        <w:t xml:space="preserve"> (3)</w:t>
      </w:r>
      <w:r>
        <w:rPr>
          <w:rFonts w:ascii="Times New Roman" w:eastAsia="宋体" w:hAnsi="Times New Roman"/>
          <w:sz w:val="21"/>
          <w:szCs w:val="21"/>
        </w:rPr>
        <w:t>附项，包括答辩状副本份数、证物或书证件数、法律和法规复印件份数。</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2</w:t>
      </w:r>
      <w:r>
        <w:rPr>
          <w:rFonts w:ascii="Times New Roman" w:eastAsia="宋体" w:hAnsi="Times New Roman" w:hint="eastAsia"/>
          <w:sz w:val="21"/>
          <w:szCs w:val="21"/>
        </w:rPr>
        <w:t>）</w:t>
      </w:r>
      <w:r>
        <w:rPr>
          <w:rFonts w:ascii="Times New Roman" w:eastAsia="宋体" w:hAnsi="Times New Roman"/>
          <w:sz w:val="21"/>
          <w:szCs w:val="21"/>
        </w:rPr>
        <w:t>答辩状的撰写。撰写答辩状时，应当针对原告、上诉人或者再审申请人提出的全部理由并结合证据和法律依据逐一进行答辩，答辩内容具有针对性且不能遗漏。答辩理由应论证详尽、条理清楚，逻辑严密，必要时可以用证据</w:t>
      </w:r>
      <w:r>
        <w:rPr>
          <w:rFonts w:ascii="Times New Roman" w:eastAsia="宋体" w:hAnsi="Times New Roman"/>
          <w:sz w:val="21"/>
          <w:szCs w:val="21"/>
        </w:rPr>
        <w:t>(</w:t>
      </w:r>
      <w:r>
        <w:rPr>
          <w:rFonts w:ascii="Times New Roman" w:eastAsia="宋体" w:hAnsi="Times New Roman"/>
          <w:sz w:val="21"/>
          <w:szCs w:val="21"/>
        </w:rPr>
        <w:t>应主要是行政程序中采用的证据</w:t>
      </w:r>
      <w:r>
        <w:rPr>
          <w:rFonts w:ascii="Times New Roman" w:eastAsia="宋体" w:hAnsi="Times New Roman"/>
          <w:sz w:val="21"/>
          <w:szCs w:val="21"/>
        </w:rPr>
        <w:t>)</w:t>
      </w:r>
      <w:r>
        <w:rPr>
          <w:rFonts w:ascii="Times New Roman" w:eastAsia="宋体" w:hAnsi="Times New Roman"/>
          <w:sz w:val="21"/>
          <w:szCs w:val="21"/>
        </w:rPr>
        <w:t>和相关法律依据予以支持。没有证据或法律依据的答辩理由尽量不要写入答辩状，确保答辩理由符合法律规定。</w:t>
      </w:r>
    </w:p>
    <w:p w:rsidR="00800760" w:rsidRDefault="00235733">
      <w:pPr>
        <w:pStyle w:val="5"/>
        <w:spacing w:before="120"/>
        <w:rPr>
          <w:color w:val="000000"/>
        </w:rPr>
      </w:pPr>
      <w:r>
        <w:rPr>
          <w:rFonts w:hint="eastAsia"/>
          <w:color w:val="000000"/>
        </w:rPr>
        <w:t xml:space="preserve">3. </w:t>
      </w:r>
      <w:r>
        <w:rPr>
          <w:color w:val="000000"/>
        </w:rPr>
        <w:t>证据和证据清单</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行政诉讼是法院对行政行为的合法性进行审查的制度。在行政诉讼中，管理专利工作的部门应对其作出的行政行为的合法性负有举证责任；如果管理专利工作的部门不能在举证期限内提交证据，或者无正当理由逾期提交证据证明其行政行为合法，将要承担不利的法律后果，即存在败诉的可能性。因此，管理专利工作的部门应在答辩期内将证据完整地、按逻辑性顺序向人民法院提交。</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根据《行政诉讼法》第三十三条规定，证据可分为八类，即书证、物证、视听资料、电子数据、证人证言、当事人的陈述、鉴定意见、勘验笔录和现场笔录。在专利</w:t>
      </w:r>
      <w:r>
        <w:rPr>
          <w:rFonts w:ascii="Times New Roman" w:eastAsia="宋体" w:hAnsi="Times New Roman" w:hint="eastAsia"/>
          <w:sz w:val="21"/>
          <w:szCs w:val="21"/>
        </w:rPr>
        <w:t>纠纷裁决</w:t>
      </w:r>
      <w:r>
        <w:rPr>
          <w:rFonts w:ascii="Times New Roman" w:eastAsia="宋体" w:hAnsi="Times New Roman"/>
          <w:sz w:val="21"/>
          <w:szCs w:val="21"/>
        </w:rPr>
        <w:t>行政应诉中，证据应当与答辩状中的内容相对应，以证明专利</w:t>
      </w:r>
      <w:r>
        <w:rPr>
          <w:rFonts w:ascii="Times New Roman" w:eastAsia="宋体" w:hAnsi="Times New Roman" w:hint="eastAsia"/>
          <w:sz w:val="21"/>
          <w:szCs w:val="21"/>
        </w:rPr>
        <w:t>行政裁决</w:t>
      </w:r>
      <w:r>
        <w:rPr>
          <w:rFonts w:ascii="Times New Roman" w:eastAsia="宋体" w:hAnsi="Times New Roman"/>
          <w:sz w:val="21"/>
          <w:szCs w:val="21"/>
        </w:rPr>
        <w:t>行为合法性为目的，通常包括两种类型：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1</w:t>
      </w:r>
      <w:r>
        <w:rPr>
          <w:rFonts w:ascii="Times New Roman" w:eastAsia="宋体" w:hAnsi="Times New Roman" w:hint="eastAsia"/>
          <w:sz w:val="21"/>
          <w:szCs w:val="21"/>
        </w:rPr>
        <w:t>）</w:t>
      </w:r>
      <w:r>
        <w:rPr>
          <w:rFonts w:ascii="Times New Roman" w:eastAsia="宋体" w:hAnsi="Times New Roman"/>
          <w:sz w:val="21"/>
          <w:szCs w:val="21"/>
        </w:rPr>
        <w:t>证明行政行为程序合法的证据。例如受理通知书、答辩通知书、送达登记表、接收当事人证据材料清单、证据登记保存清单、查封</w:t>
      </w:r>
      <w:r>
        <w:rPr>
          <w:rFonts w:ascii="Times New Roman" w:eastAsia="宋体" w:hAnsi="Times New Roman"/>
          <w:sz w:val="21"/>
          <w:szCs w:val="21"/>
        </w:rPr>
        <w:t>(</w:t>
      </w:r>
      <w:r>
        <w:rPr>
          <w:rFonts w:ascii="Times New Roman" w:eastAsia="宋体" w:hAnsi="Times New Roman"/>
          <w:sz w:val="21"/>
          <w:szCs w:val="21"/>
        </w:rPr>
        <w:t>扣押</w:t>
      </w:r>
      <w:r>
        <w:rPr>
          <w:rFonts w:ascii="Times New Roman" w:eastAsia="宋体" w:hAnsi="Times New Roman"/>
          <w:sz w:val="21"/>
          <w:szCs w:val="21"/>
        </w:rPr>
        <w:t>)</w:t>
      </w:r>
      <w:r>
        <w:rPr>
          <w:rFonts w:ascii="Times New Roman" w:eastAsia="宋体" w:hAnsi="Times New Roman"/>
          <w:sz w:val="21"/>
          <w:szCs w:val="21"/>
        </w:rPr>
        <w:t>物品清单、口头审理通知书、听证笔录等。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2</w:t>
      </w:r>
      <w:r>
        <w:rPr>
          <w:rFonts w:ascii="Times New Roman" w:eastAsia="宋体" w:hAnsi="Times New Roman" w:hint="eastAsia"/>
          <w:sz w:val="21"/>
          <w:szCs w:val="21"/>
        </w:rPr>
        <w:t>）</w:t>
      </w:r>
      <w:r>
        <w:rPr>
          <w:rFonts w:ascii="Times New Roman" w:eastAsia="宋体" w:hAnsi="Times New Roman"/>
          <w:sz w:val="21"/>
          <w:szCs w:val="21"/>
        </w:rPr>
        <w:t>证明行政行为实体合法的证据。例如被控侵权产品、假冒专利产品、调查取证的照片或录像、现场勘验笔录、口头审理记录等。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对于需要提交的证据，应当制作证据清单，详细列明每个证据的证据名称和证明目的。</w:t>
      </w:r>
    </w:p>
    <w:p w:rsidR="00800760" w:rsidRDefault="00235733">
      <w:pPr>
        <w:pStyle w:val="5"/>
        <w:spacing w:before="120"/>
        <w:rPr>
          <w:color w:val="000000"/>
        </w:rPr>
      </w:pPr>
      <w:r>
        <w:rPr>
          <w:rFonts w:hint="eastAsia"/>
          <w:color w:val="000000"/>
        </w:rPr>
        <w:t xml:space="preserve">4. </w:t>
      </w:r>
      <w:r>
        <w:rPr>
          <w:color w:val="000000"/>
        </w:rPr>
        <w:t>行政行为的法律依据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目前司法实践中，在答辩期内，行政机关应将作出行政行为时所依据的法律、法规、条例、地方性法规、地方政府规章、国务院部门规章、规范性文件等以书面方式向人民法院提交。一般情况下，提供能够证明行政行为程序、实体合法的法律依据的相关条款即可。必要时，可打印或复印相应文件作为诉讼材料的一部分。</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w:t>
      </w:r>
      <w:r>
        <w:rPr>
          <w:rFonts w:ascii="Times New Roman" w:hAnsi="Times New Roman"/>
          <w:color w:val="000000"/>
        </w:rPr>
        <w:t>二</w:t>
      </w:r>
      <w:r>
        <w:rPr>
          <w:rFonts w:ascii="Times New Roman" w:hAnsi="Times New Roman" w:hint="eastAsia"/>
          <w:color w:val="000000"/>
        </w:rPr>
        <w:t>）</w:t>
      </w:r>
      <w:r>
        <w:rPr>
          <w:rFonts w:ascii="Times New Roman" w:hAnsi="Times New Roman"/>
          <w:color w:val="000000"/>
        </w:rPr>
        <w:t>管理专利工作的部门启动的行政诉讼案件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管理专利工作的部门启动的行政诉讼案件仅限于两种类型：一是管理专利工作的部门不服一审判决或裁定提起上诉的案件，二是管理专利工作的部门不服二审判决或裁定提起再审申请的案件。</w:t>
      </w:r>
    </w:p>
    <w:p w:rsidR="00800760" w:rsidRDefault="00235733">
      <w:pPr>
        <w:pStyle w:val="5"/>
        <w:spacing w:before="120"/>
        <w:rPr>
          <w:color w:val="000000"/>
        </w:rPr>
      </w:pPr>
      <w:r>
        <w:rPr>
          <w:rFonts w:hint="eastAsia"/>
          <w:color w:val="000000"/>
        </w:rPr>
        <w:t xml:space="preserve">1. </w:t>
      </w:r>
      <w:r>
        <w:rPr>
          <w:color w:val="000000"/>
        </w:rPr>
        <w:t>上诉案件</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管理专利工作的部门决定提起上诉的，应当在收到判决书之日起</w:t>
      </w:r>
      <w:r>
        <w:rPr>
          <w:rFonts w:ascii="Times New Roman" w:eastAsia="宋体" w:hAnsi="Times New Roman"/>
          <w:sz w:val="21"/>
          <w:szCs w:val="21"/>
        </w:rPr>
        <w:t>15</w:t>
      </w:r>
      <w:r>
        <w:rPr>
          <w:rFonts w:ascii="Times New Roman" w:eastAsia="宋体" w:hAnsi="Times New Roman"/>
          <w:sz w:val="21"/>
          <w:szCs w:val="21"/>
        </w:rPr>
        <w:t>日内或收到裁定书之日起</w:t>
      </w:r>
      <w:r>
        <w:rPr>
          <w:rFonts w:ascii="Times New Roman" w:eastAsia="宋体" w:hAnsi="Times New Roman"/>
          <w:sz w:val="21"/>
          <w:szCs w:val="21"/>
        </w:rPr>
        <w:t>10</w:t>
      </w:r>
      <w:r>
        <w:rPr>
          <w:rFonts w:ascii="Times New Roman" w:eastAsia="宋体" w:hAnsi="Times New Roman"/>
          <w:sz w:val="21"/>
          <w:szCs w:val="21"/>
        </w:rPr>
        <w:t>日内向原审人民法院的上一级人民法院提起上诉。</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1</w:t>
      </w:r>
      <w:r>
        <w:rPr>
          <w:rFonts w:ascii="Times New Roman" w:eastAsia="宋体" w:hAnsi="Times New Roman" w:cs="Times New Roman"/>
          <w:sz w:val="21"/>
          <w:szCs w:val="21"/>
        </w:rPr>
        <w:t>）启动上诉案件前的报批</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管理专利工作的部门收到一审判决书或裁定书后，应当于收文之日起</w:t>
      </w:r>
      <w:r>
        <w:rPr>
          <w:rFonts w:ascii="Times New Roman" w:eastAsia="宋体" w:hAnsi="Times New Roman" w:cs="Times New Roman"/>
          <w:sz w:val="21"/>
          <w:szCs w:val="21"/>
        </w:rPr>
        <w:t>3</w:t>
      </w:r>
      <w:r>
        <w:rPr>
          <w:rFonts w:ascii="Times New Roman" w:eastAsia="宋体" w:hAnsi="Times New Roman" w:cs="Times New Roman"/>
          <w:sz w:val="21"/>
          <w:szCs w:val="21"/>
        </w:rPr>
        <w:t>日内决定是否提起上诉，填写诉讼案件分析表，并报分管负责人审批，决定是否上诉。</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2</w:t>
      </w:r>
      <w:r>
        <w:rPr>
          <w:rFonts w:ascii="Times New Roman" w:eastAsia="宋体" w:hAnsi="Times New Roman" w:cs="Times New Roman"/>
          <w:sz w:val="21"/>
          <w:szCs w:val="21"/>
        </w:rPr>
        <w:t>）上诉材料的准备</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管理专利工作的部门决定提起上诉的，应当准备上诉材料，通常包括但不限于：统一社会信用代码证书、法定代表人或主要负责人身份证明、授权委托书、上诉状、证据清单、证据材料、用于供二审法院参考的其他材料等。</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3</w:t>
      </w:r>
      <w:r>
        <w:rPr>
          <w:rFonts w:ascii="Times New Roman" w:eastAsia="宋体" w:hAnsi="Times New Roman" w:cs="Times New Roman"/>
          <w:sz w:val="21"/>
          <w:szCs w:val="21"/>
        </w:rPr>
        <w:t>）上诉状内容的确定</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上诉状的内容由两名代理人共同商定。代理人应当根据具体分工，在收文之日起</w:t>
      </w:r>
      <w:r>
        <w:rPr>
          <w:rFonts w:ascii="Times New Roman" w:eastAsia="宋体" w:hAnsi="Times New Roman" w:cs="Times New Roman"/>
          <w:sz w:val="21"/>
          <w:szCs w:val="21"/>
        </w:rPr>
        <w:t>8</w:t>
      </w:r>
      <w:r>
        <w:rPr>
          <w:rFonts w:ascii="Times New Roman" w:eastAsia="宋体" w:hAnsi="Times New Roman" w:cs="Times New Roman"/>
          <w:sz w:val="21"/>
          <w:szCs w:val="21"/>
        </w:rPr>
        <w:t>日内起草上诉状，准备拟提交的证据材料和证据清单等诉讼材料，报单位负责人或分管负责人审批后，在上诉期限内提交二审法院。</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4</w:t>
      </w:r>
      <w:r>
        <w:rPr>
          <w:rFonts w:ascii="Times New Roman" w:eastAsia="宋体" w:hAnsi="Times New Roman" w:cs="Times New Roman"/>
          <w:sz w:val="21"/>
          <w:szCs w:val="21"/>
        </w:rPr>
        <w:t>）上诉状的撰写</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上诉状是当事人不服一审判决或裁定，按照法定程序和期限向上一级人民法院提起上诉时使用的文书。一份完整的上诉状应当包括首部、正文、尾部及附项三方面的内容。</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首部即标题</w:t>
      </w:r>
      <w:r>
        <w:rPr>
          <w:rFonts w:ascii="Times New Roman" w:eastAsia="宋体" w:hAnsi="Times New Roman" w:cs="Times New Roman"/>
          <w:sz w:val="21"/>
          <w:szCs w:val="21"/>
        </w:rPr>
        <w:t>“</w:t>
      </w:r>
      <w:r>
        <w:rPr>
          <w:rFonts w:ascii="Times New Roman" w:eastAsia="宋体" w:hAnsi="Times New Roman" w:cs="Times New Roman"/>
          <w:sz w:val="21"/>
          <w:szCs w:val="21"/>
        </w:rPr>
        <w:t>行政上诉状</w:t>
      </w:r>
      <w:r>
        <w:rPr>
          <w:rFonts w:ascii="Times New Roman" w:eastAsia="宋体" w:hAnsi="Times New Roman" w:cs="Times New Roman"/>
          <w:sz w:val="21"/>
          <w:szCs w:val="21"/>
        </w:rPr>
        <w:t>”</w:t>
      </w:r>
      <w:r>
        <w:rPr>
          <w:rFonts w:ascii="Times New Roman" w:eastAsia="宋体" w:hAnsi="Times New Roman" w:cs="Times New Roman"/>
          <w:sz w:val="21"/>
          <w:szCs w:val="21"/>
        </w:rPr>
        <w:t>。</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正文通常由三部分组成：当事人栏、诉讼请求、上诉的事实与理由。</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hint="eastAsia"/>
          <w:sz w:val="21"/>
          <w:szCs w:val="21"/>
        </w:rPr>
        <w:t>尾部和附项包括三方面的内容：</w:t>
      </w:r>
      <w:r>
        <w:rPr>
          <w:rFonts w:ascii="Times New Roman" w:eastAsia="宋体" w:hAnsi="Times New Roman" w:cs="Times New Roman"/>
          <w:sz w:val="21"/>
          <w:szCs w:val="21"/>
        </w:rPr>
        <w:t>(1)</w:t>
      </w:r>
      <w:r>
        <w:rPr>
          <w:rFonts w:ascii="Times New Roman" w:eastAsia="宋体" w:hAnsi="Times New Roman" w:cs="Times New Roman" w:hint="eastAsia"/>
          <w:sz w:val="21"/>
          <w:szCs w:val="21"/>
        </w:rPr>
        <w:t>致送机关；</w:t>
      </w:r>
      <w:r>
        <w:rPr>
          <w:rFonts w:ascii="Times New Roman" w:eastAsia="宋体" w:hAnsi="Times New Roman" w:cs="Times New Roman"/>
          <w:sz w:val="21"/>
          <w:szCs w:val="21"/>
        </w:rPr>
        <w:t>(2)</w:t>
      </w:r>
      <w:r>
        <w:rPr>
          <w:rFonts w:ascii="Times New Roman" w:eastAsia="宋体" w:hAnsi="Times New Roman" w:cs="Times New Roman" w:hint="eastAsia"/>
          <w:sz w:val="21"/>
          <w:szCs w:val="21"/>
        </w:rPr>
        <w:t>上诉人和上诉日期；</w:t>
      </w:r>
      <w:r>
        <w:rPr>
          <w:rFonts w:ascii="Times New Roman" w:eastAsia="宋体" w:hAnsi="Times New Roman" w:cs="Times New Roman"/>
          <w:sz w:val="21"/>
          <w:szCs w:val="21"/>
        </w:rPr>
        <w:t>(3)</w:t>
      </w:r>
      <w:r>
        <w:rPr>
          <w:rFonts w:ascii="Times New Roman" w:eastAsia="宋体" w:hAnsi="Times New Roman" w:cs="Times New Roman" w:hint="eastAsia"/>
          <w:sz w:val="21"/>
          <w:szCs w:val="21"/>
        </w:rPr>
        <w:t>附项，包括上诉状副本份数、证物或书证件数、法律和法规复印件份数。</w:t>
      </w:r>
    </w:p>
    <w:p w:rsidR="00800760" w:rsidRDefault="00235733">
      <w:pPr>
        <w:pStyle w:val="12"/>
        <w:spacing w:line="360" w:lineRule="auto"/>
        <w:ind w:firstLine="420"/>
        <w:rPr>
          <w:rFonts w:ascii="Times New Roman" w:eastAsia="宋体" w:hAnsi="Times New Roman"/>
          <w:sz w:val="21"/>
          <w:szCs w:val="21"/>
        </w:rPr>
      </w:pPr>
      <w:r>
        <w:rPr>
          <w:rFonts w:ascii="Times New Roman" w:eastAsia="宋体" w:hAnsi="Times New Roman" w:cs="Times New Roman" w:hint="eastAsia"/>
          <w:sz w:val="21"/>
          <w:szCs w:val="21"/>
        </w:rPr>
        <w:t>证据材料和证据清单的准备。提</w:t>
      </w:r>
      <w:r>
        <w:rPr>
          <w:rFonts w:ascii="Times New Roman" w:eastAsia="宋体" w:hAnsi="Times New Roman"/>
          <w:sz w:val="21"/>
          <w:szCs w:val="21"/>
        </w:rPr>
        <w:t>起上诉时证据和证据清单的准备</w:t>
      </w:r>
      <w:r>
        <w:rPr>
          <w:rFonts w:ascii="Times New Roman" w:eastAsia="宋体" w:hAnsi="Times New Roman" w:hint="eastAsia"/>
          <w:sz w:val="21"/>
          <w:szCs w:val="21"/>
        </w:rPr>
        <w:t>应</w:t>
      </w:r>
      <w:r>
        <w:rPr>
          <w:rFonts w:ascii="Times New Roman" w:eastAsia="宋体" w:hAnsi="Times New Roman"/>
          <w:sz w:val="21"/>
          <w:szCs w:val="21"/>
        </w:rPr>
        <w:t>与对当事人启动的行政诉讼案件的相应要求相同。</w:t>
      </w:r>
    </w:p>
    <w:p w:rsidR="00800760" w:rsidRDefault="00235733">
      <w:pPr>
        <w:pStyle w:val="5"/>
        <w:spacing w:before="120"/>
        <w:rPr>
          <w:color w:val="000000"/>
        </w:rPr>
      </w:pPr>
      <w:r>
        <w:rPr>
          <w:rFonts w:hint="eastAsia"/>
          <w:color w:val="000000"/>
        </w:rPr>
        <w:t xml:space="preserve">2. </w:t>
      </w:r>
      <w:r>
        <w:rPr>
          <w:color w:val="000000"/>
        </w:rPr>
        <w:t>再审申请案件</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管理专利工作的部门申请再审的，应当在判决、裁定发生法律效力后</w:t>
      </w:r>
      <w:r>
        <w:rPr>
          <w:rFonts w:ascii="Times New Roman" w:eastAsia="宋体" w:hAnsi="Times New Roman" w:cs="Times New Roman"/>
          <w:sz w:val="21"/>
          <w:szCs w:val="21"/>
        </w:rPr>
        <w:t>6</w:t>
      </w:r>
      <w:r>
        <w:rPr>
          <w:rFonts w:ascii="Times New Roman" w:eastAsia="宋体" w:hAnsi="Times New Roman" w:cs="Times New Roman"/>
          <w:sz w:val="21"/>
          <w:szCs w:val="21"/>
        </w:rPr>
        <w:t>个月内提出。</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1</w:t>
      </w:r>
      <w:r>
        <w:rPr>
          <w:rFonts w:ascii="Times New Roman" w:eastAsia="宋体" w:hAnsi="Times New Roman" w:cs="Times New Roman"/>
          <w:sz w:val="21"/>
          <w:szCs w:val="21"/>
        </w:rPr>
        <w:t>）启动再审申请前的报批</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管理专利工作的部门收到生效判决书或裁定书后，应当于收文之日起</w:t>
      </w:r>
      <w:r>
        <w:rPr>
          <w:rFonts w:ascii="Times New Roman" w:eastAsia="宋体" w:hAnsi="Times New Roman" w:cs="Times New Roman"/>
          <w:sz w:val="21"/>
          <w:szCs w:val="21"/>
        </w:rPr>
        <w:t>5</w:t>
      </w:r>
      <w:r>
        <w:rPr>
          <w:rFonts w:ascii="Times New Roman" w:eastAsia="宋体" w:hAnsi="Times New Roman" w:cs="Times New Roman"/>
          <w:sz w:val="21"/>
          <w:szCs w:val="21"/>
        </w:rPr>
        <w:t>日内决定是否提起再审申请，填写诉讼案件分析表，并在收文之日起</w:t>
      </w:r>
      <w:r>
        <w:rPr>
          <w:rFonts w:ascii="Times New Roman" w:eastAsia="宋体" w:hAnsi="Times New Roman" w:cs="Times New Roman"/>
          <w:sz w:val="21"/>
          <w:szCs w:val="21"/>
        </w:rPr>
        <w:t>2</w:t>
      </w:r>
      <w:r>
        <w:rPr>
          <w:rFonts w:ascii="Times New Roman" w:eastAsia="宋体" w:hAnsi="Times New Roman" w:cs="Times New Roman"/>
          <w:sz w:val="21"/>
          <w:szCs w:val="21"/>
        </w:rPr>
        <w:t>周内报相关负责人审批，决定是否提起再审申请。</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2</w:t>
      </w:r>
      <w:r>
        <w:rPr>
          <w:rFonts w:ascii="Times New Roman" w:eastAsia="宋体" w:hAnsi="Times New Roman" w:cs="Times New Roman"/>
          <w:sz w:val="21"/>
          <w:szCs w:val="21"/>
        </w:rPr>
        <w:t>）再审申请材料的准备</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管理专利工作的部门决定申请再审的，应当准备再审申请材料，通常包括但不限于：统一社会信用代码证书、法定代表人或主要负责人身份证明、授权委托书、再审申请书、证据清单、证据材料、用于供再审人民法院参考的其他材料等。</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再审申请书内容由两名代理人共同商定。代理人应当根据具体分工起草再审申请书，准备拟提交的证据材料和证据清单等诉讼材料，一并报单位负责人或分管负责人审批后，在法定期限内按照规定将相应的再审申请材料提交人民法院。</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3</w:t>
      </w:r>
      <w:r>
        <w:rPr>
          <w:rFonts w:ascii="Times New Roman" w:eastAsia="宋体" w:hAnsi="Times New Roman" w:cs="Times New Roman"/>
          <w:sz w:val="21"/>
          <w:szCs w:val="21"/>
        </w:rPr>
        <w:t>）再审申请书的撰写</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再审申请书针对的是生效判决或裁定中存在的事实认定、法律适用等错误，在撰写格式和行文方式上与上诉状类似。</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sz w:val="21"/>
          <w:szCs w:val="21"/>
        </w:rPr>
        <w:t>4</w:t>
      </w:r>
      <w:r>
        <w:rPr>
          <w:rFonts w:ascii="Times New Roman" w:eastAsia="宋体" w:hAnsi="Times New Roman" w:cs="Times New Roman"/>
          <w:sz w:val="21"/>
          <w:szCs w:val="21"/>
        </w:rPr>
        <w:t>）证据材料和证据清单的准备</w:t>
      </w:r>
    </w:p>
    <w:p w:rsidR="00800760" w:rsidRDefault="00235733">
      <w:pPr>
        <w:pStyle w:val="12"/>
        <w:spacing w:line="360" w:lineRule="auto"/>
        <w:ind w:firstLine="420"/>
        <w:rPr>
          <w:rFonts w:ascii="Times New Roman" w:eastAsia="宋体" w:hAnsi="Times New Roman" w:cs="Times New Roman"/>
          <w:sz w:val="21"/>
          <w:szCs w:val="21"/>
        </w:rPr>
      </w:pPr>
      <w:r>
        <w:rPr>
          <w:rFonts w:ascii="Times New Roman" w:eastAsia="宋体" w:hAnsi="Times New Roman" w:cs="Times New Roman"/>
          <w:sz w:val="21"/>
          <w:szCs w:val="21"/>
        </w:rPr>
        <w:t>提起再审申请时证据和证据清单的准备应与对当事人启动的行政诉讼案件的相应要求相同。</w:t>
      </w:r>
    </w:p>
    <w:p w:rsidR="00800760" w:rsidRDefault="00235733">
      <w:pPr>
        <w:pStyle w:val="3"/>
        <w:spacing w:before="240"/>
        <w:ind w:firstLine="444"/>
        <w:rPr>
          <w:rFonts w:ascii="Times New Roman" w:hAnsi="Times New Roman" w:cs="黑体"/>
          <w:color w:val="FF0000"/>
          <w:sz w:val="28"/>
          <w:szCs w:val="28"/>
          <w:u w:val="single"/>
        </w:rPr>
      </w:pPr>
      <w:bookmarkStart w:id="4843" w:name="bookmark581"/>
      <w:bookmarkStart w:id="4844" w:name="bookmark623"/>
      <w:bookmarkStart w:id="4845" w:name="bookmark582"/>
      <w:bookmarkStart w:id="4846" w:name="_Toc3284"/>
      <w:bookmarkStart w:id="4847" w:name="_Toc16490"/>
      <w:bookmarkStart w:id="4848" w:name="_Toc23074"/>
      <w:bookmarkStart w:id="4849" w:name="_Toc7687"/>
      <w:bookmarkStart w:id="4850" w:name="_Toc27235"/>
      <w:bookmarkStart w:id="4851" w:name="_Toc11675"/>
      <w:bookmarkStart w:id="4852" w:name="_Toc28508"/>
      <w:bookmarkStart w:id="4853" w:name="_Toc30686"/>
      <w:bookmarkStart w:id="4854" w:name="_Toc12111"/>
      <w:bookmarkStart w:id="4855" w:name="_Toc32485"/>
      <w:bookmarkStart w:id="4856" w:name="_Toc26647"/>
      <w:bookmarkStart w:id="4857" w:name="_Toc20268"/>
      <w:bookmarkStart w:id="4858" w:name="_Toc28815"/>
      <w:bookmarkStart w:id="4859" w:name="_Toc25507"/>
      <w:bookmarkStart w:id="4860" w:name="_Toc26994"/>
      <w:bookmarkStart w:id="4861" w:name="_Toc6380"/>
      <w:bookmarkStart w:id="4862" w:name="_Toc27003"/>
      <w:bookmarkStart w:id="4863" w:name="_Toc4547"/>
      <w:bookmarkStart w:id="4864" w:name="_Toc23841"/>
      <w:bookmarkStart w:id="4865" w:name="_Toc32502"/>
      <w:bookmarkStart w:id="4866" w:name="_Toc921"/>
      <w:bookmarkStart w:id="4867" w:name="_Toc24428"/>
      <w:bookmarkStart w:id="4868" w:name="_Toc1175"/>
      <w:bookmarkStart w:id="4869" w:name="_Toc26042"/>
      <w:bookmarkStart w:id="4870" w:name="_Toc24077"/>
      <w:bookmarkStart w:id="4871" w:name="_Toc10123"/>
      <w:bookmarkStart w:id="4872" w:name="_Toc5624"/>
      <w:bookmarkStart w:id="4873" w:name="_Toc29249"/>
      <w:bookmarkStart w:id="4874" w:name="_Toc4478"/>
      <w:bookmarkStart w:id="4875" w:name="_Toc23284"/>
      <w:bookmarkStart w:id="4876" w:name="_Toc24207"/>
      <w:bookmarkStart w:id="4877" w:name="_Toc11687"/>
      <w:bookmarkStart w:id="4878" w:name="_Toc24530"/>
      <w:bookmarkStart w:id="4879" w:name="_Toc12905"/>
      <w:bookmarkStart w:id="4880" w:name="_Toc229114439"/>
      <w:bookmarkStart w:id="4881" w:name="_Toc27122"/>
      <w:bookmarkStart w:id="4882" w:name="_Toc19644"/>
      <w:bookmarkStart w:id="4883" w:name="_Toc20351"/>
      <w:bookmarkStart w:id="4884" w:name="_Toc3700"/>
      <w:bookmarkStart w:id="4885" w:name="_Toc7319"/>
      <w:bookmarkStart w:id="4886" w:name="_Toc217908693"/>
      <w:bookmarkStart w:id="4887" w:name="_Toc23961"/>
      <w:bookmarkStart w:id="4888" w:name="_Toc14551"/>
      <w:bookmarkStart w:id="4889" w:name="_Toc17128"/>
      <w:bookmarkStart w:id="4890" w:name="_Toc229225535"/>
      <w:bookmarkEnd w:id="4843"/>
      <w:bookmarkEnd w:id="4844"/>
      <w:bookmarkEnd w:id="4845"/>
      <w:r>
        <w:rPr>
          <w:rFonts w:ascii="Times New Roman" w:hAnsi="Times New Roman" w:hint="eastAsia"/>
          <w:color w:val="000000"/>
        </w:rPr>
        <w:t>四、</w:t>
      </w:r>
      <w:r>
        <w:rPr>
          <w:rFonts w:ascii="Times New Roman" w:hAnsi="Times New Roman"/>
          <w:color w:val="000000"/>
        </w:rPr>
        <w:t>出庭前的准备</w:t>
      </w:r>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开庭前，应当针对庭审中可能遇到的情况进行充分的准备，以确保庭审顺利进行。</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（一）</w:t>
      </w:r>
      <w:r>
        <w:rPr>
          <w:rFonts w:ascii="Times New Roman" w:hAnsi="Times New Roman"/>
          <w:color w:val="000000"/>
        </w:rPr>
        <w:t>确定出庭人员</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单位负责人或分管负责人应当出庭应诉</w:t>
      </w:r>
      <w:r>
        <w:rPr>
          <w:rFonts w:ascii="Times New Roman" w:eastAsia="宋体" w:hAnsi="Times New Roman" w:hint="eastAsia"/>
          <w:sz w:val="21"/>
          <w:szCs w:val="21"/>
        </w:rPr>
        <w:t>，</w:t>
      </w:r>
      <w:r>
        <w:rPr>
          <w:rFonts w:ascii="Times New Roman" w:eastAsia="宋体" w:hAnsi="Times New Roman"/>
          <w:sz w:val="21"/>
          <w:szCs w:val="21"/>
        </w:rPr>
        <w:t>不能出庭的，应当委托工作人员出庭。</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对于涉及重大公共利益、社会高度关注或者可能引发群体性事件的案件，以及人民法院书面建议行政机关负责人出庭的行政诉讼案件，单位负责人或分管负责人应当出庭应诉。</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（二）</w:t>
      </w:r>
      <w:r>
        <w:rPr>
          <w:rFonts w:ascii="Times New Roman" w:hAnsi="Times New Roman"/>
          <w:color w:val="000000"/>
        </w:rPr>
        <w:t>庭前合议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开庭前，两名代理人应当全面阅卷，并就案件情况进行合议。针对起诉状、上诉状或者再审申请书中涉及的内容，分析庭审中可能遇到的问题，并确定应对方案。</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管理专利工作的部门的负责人出庭应诉的，应当参加庭前合议，了解在法院庭审中的应对思路和注意事项，准备预案。</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（三）</w:t>
      </w:r>
      <w:r>
        <w:rPr>
          <w:rFonts w:ascii="Times New Roman" w:hAnsi="Times New Roman"/>
          <w:color w:val="000000"/>
        </w:rPr>
        <w:t>根据需要准备代理词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代理词主要用于在人民法院开庭审理中或者开庭后向合议庭陈述意见。代理人可以根据案件的具体情况，决定是否在开庭审理时准备并提交代理词。</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对于庭审前确需拟订代理词的，代理词内容由两名代理人共同商定，根据需要提交人民法院。代理词</w:t>
      </w:r>
      <w:r>
        <w:rPr>
          <w:rFonts w:ascii="Times New Roman" w:eastAsia="宋体" w:hAnsi="Times New Roman" w:hint="eastAsia"/>
          <w:sz w:val="21"/>
          <w:szCs w:val="21"/>
        </w:rPr>
        <w:t>的</w:t>
      </w:r>
      <w:r>
        <w:rPr>
          <w:rFonts w:ascii="Times New Roman" w:eastAsia="宋体" w:hAnsi="Times New Roman"/>
          <w:sz w:val="21"/>
          <w:szCs w:val="21"/>
        </w:rPr>
        <w:t>撰写应当将重点放在答辩状、上诉状或再审申请书中遗漏的内容上</w:t>
      </w:r>
      <w:r>
        <w:rPr>
          <w:rFonts w:ascii="Times New Roman" w:eastAsia="宋体" w:hAnsi="Times New Roman" w:hint="eastAsia"/>
          <w:sz w:val="21"/>
          <w:szCs w:val="21"/>
        </w:rPr>
        <w:t>，</w:t>
      </w:r>
      <w:r>
        <w:rPr>
          <w:rFonts w:ascii="Times New Roman" w:eastAsia="宋体" w:hAnsi="Times New Roman"/>
          <w:sz w:val="21"/>
          <w:szCs w:val="21"/>
        </w:rPr>
        <w:t>对于答辩状、上诉状或再审申请书中已经全面阐述的内容不必重复。</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（四）</w:t>
      </w:r>
      <w:r>
        <w:rPr>
          <w:rFonts w:ascii="Times New Roman" w:hAnsi="Times New Roman"/>
          <w:color w:val="000000"/>
        </w:rPr>
        <w:t>准备开庭所需材料</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开庭前，代理人应当整理好诉讼案卷，将开庭所必需的材料装订入诉讼案卷中。对于需要质证的证据，根据实际情况准备证据原件。必要时，准备庭审中可能涉及的法律、法规及其他相关的规范性文件的复印件。</w:t>
      </w:r>
    </w:p>
    <w:p w:rsidR="00800760" w:rsidRDefault="00235733">
      <w:pPr>
        <w:pStyle w:val="3"/>
        <w:spacing w:before="240"/>
        <w:ind w:firstLine="444"/>
        <w:rPr>
          <w:rFonts w:ascii="Times New Roman" w:hAnsi="Times New Roman"/>
          <w:color w:val="000000"/>
        </w:rPr>
      </w:pPr>
      <w:bookmarkStart w:id="4891" w:name="_Toc1938"/>
      <w:bookmarkStart w:id="4892" w:name="_Toc698"/>
      <w:bookmarkStart w:id="4893" w:name="_Toc31772"/>
      <w:bookmarkStart w:id="4894" w:name="_Toc15913"/>
      <w:bookmarkStart w:id="4895" w:name="_Toc26086"/>
      <w:bookmarkStart w:id="4896" w:name="_Toc18904"/>
      <w:bookmarkStart w:id="4897" w:name="_Toc17358"/>
      <w:bookmarkStart w:id="4898" w:name="_Toc751"/>
      <w:bookmarkStart w:id="4899" w:name="_Toc22107"/>
      <w:bookmarkStart w:id="4900" w:name="_Toc28078"/>
      <w:bookmarkStart w:id="4901" w:name="_Toc16193"/>
      <w:bookmarkStart w:id="4902" w:name="_Toc3441"/>
      <w:bookmarkStart w:id="4903" w:name="_Toc536"/>
      <w:bookmarkStart w:id="4904" w:name="_Toc13048"/>
      <w:bookmarkStart w:id="4905" w:name="_Toc6678"/>
      <w:bookmarkStart w:id="4906" w:name="_Toc19502"/>
      <w:bookmarkStart w:id="4907" w:name="_Toc24834"/>
      <w:bookmarkStart w:id="4908" w:name="_Toc31088"/>
      <w:bookmarkStart w:id="4909" w:name="_Toc20307"/>
      <w:bookmarkStart w:id="4910" w:name="_Toc16743"/>
      <w:bookmarkStart w:id="4911" w:name="_Toc15595"/>
      <w:bookmarkStart w:id="4912" w:name="_Toc22903"/>
      <w:bookmarkStart w:id="4913" w:name="_Toc20888"/>
      <w:bookmarkStart w:id="4914" w:name="_Toc29570"/>
      <w:bookmarkStart w:id="4915" w:name="_Toc22306"/>
      <w:bookmarkStart w:id="4916" w:name="_Toc3658"/>
      <w:bookmarkStart w:id="4917" w:name="_Toc24798"/>
      <w:bookmarkStart w:id="4918" w:name="_Toc3828"/>
      <w:bookmarkStart w:id="4919" w:name="_Toc7913"/>
      <w:bookmarkStart w:id="4920" w:name="_Toc22461"/>
      <w:bookmarkStart w:id="4921" w:name="_Toc31676"/>
      <w:bookmarkStart w:id="4922" w:name="_Toc27297"/>
      <w:bookmarkStart w:id="4923" w:name="_Toc29673"/>
      <w:bookmarkStart w:id="4924" w:name="_Toc4398"/>
      <w:bookmarkStart w:id="4925" w:name="_Toc7002"/>
      <w:bookmarkStart w:id="4926" w:name="_Toc217908694"/>
      <w:bookmarkStart w:id="4927" w:name="_Toc31431"/>
      <w:bookmarkStart w:id="4928" w:name="_Toc25610"/>
      <w:bookmarkStart w:id="4929" w:name="_Toc532"/>
      <w:bookmarkStart w:id="4930" w:name="_Toc30982"/>
      <w:bookmarkStart w:id="4931" w:name="_Toc229114440"/>
      <w:bookmarkStart w:id="4932" w:name="_Toc934"/>
      <w:bookmarkStart w:id="4933" w:name="_Toc19650"/>
      <w:bookmarkStart w:id="4934" w:name="_Toc8704"/>
      <w:bookmarkStart w:id="4935" w:name="_Toc229225536"/>
      <w:r>
        <w:rPr>
          <w:rFonts w:ascii="Times New Roman" w:hAnsi="Times New Roman" w:hint="eastAsia"/>
          <w:color w:val="000000"/>
        </w:rPr>
        <w:t>五、</w:t>
      </w:r>
      <w:r>
        <w:rPr>
          <w:rFonts w:ascii="Times New Roman" w:hAnsi="Times New Roman"/>
          <w:color w:val="000000"/>
        </w:rPr>
        <w:t>出庭应诉</w:t>
      </w:r>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开庭审理是人民法院审判的核心阶段，是人民法院在完成审判前的准备工作后，在人民法院或其他适宜场所设置的法庭内，对案件进行审理的过程。</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w:t>
      </w:r>
      <w:r>
        <w:rPr>
          <w:rFonts w:ascii="Times New Roman" w:hAnsi="Times New Roman"/>
          <w:color w:val="000000"/>
        </w:rPr>
        <w:t>一</w:t>
      </w:r>
      <w:r>
        <w:rPr>
          <w:rFonts w:ascii="Times New Roman" w:hAnsi="Times New Roman" w:hint="eastAsia"/>
          <w:color w:val="000000"/>
        </w:rPr>
        <w:t>）</w:t>
      </w:r>
      <w:r>
        <w:rPr>
          <w:rFonts w:ascii="Times New Roman" w:hAnsi="Times New Roman"/>
          <w:color w:val="000000"/>
        </w:rPr>
        <w:t>庭审过程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庭审通常主要包括确认出庭人员资格、法庭调查、法庭辩论、最后意见陈述、核对笔录、签字等几个步骤。</w:t>
      </w:r>
    </w:p>
    <w:p w:rsidR="00800760" w:rsidRDefault="00235733">
      <w:pPr>
        <w:pStyle w:val="5"/>
        <w:spacing w:before="120"/>
        <w:rPr>
          <w:color w:val="000000"/>
        </w:rPr>
      </w:pPr>
      <w:r>
        <w:rPr>
          <w:color w:val="000000"/>
        </w:rPr>
        <w:t xml:space="preserve">1. </w:t>
      </w:r>
      <w:r>
        <w:rPr>
          <w:color w:val="000000"/>
        </w:rPr>
        <w:t>确认出庭资格</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确认当事人及出庭人员资格是法院庭审的第一阶段，通常由审判长主持，各方介绍当事人姓名或名称、住所地、法定代表人或主要负责人及其职务、出庭人员情况及各代理人代理权限，并核实各方当事人身份。之后，审判长宣布案由和审判人员、书记员名单，告知当事人诉讼权利义务，并询问当事人是否对合议庭组成人员提出回避申请等事项。该阶段通常由第一代理人负责陈述。</w:t>
      </w:r>
    </w:p>
    <w:p w:rsidR="00800760" w:rsidRDefault="00235733">
      <w:pPr>
        <w:pStyle w:val="5"/>
        <w:spacing w:before="120"/>
        <w:rPr>
          <w:color w:val="000000"/>
        </w:rPr>
      </w:pPr>
      <w:r>
        <w:rPr>
          <w:color w:val="000000"/>
        </w:rPr>
        <w:t xml:space="preserve">2. </w:t>
      </w:r>
      <w:r>
        <w:rPr>
          <w:color w:val="000000"/>
        </w:rPr>
        <w:t>法庭调查和法庭辩论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法庭调查和法庭辩论可能分阶段进行，但针对专利</w:t>
      </w:r>
      <w:r>
        <w:rPr>
          <w:rFonts w:ascii="Times New Roman" w:eastAsia="宋体" w:hAnsi="Times New Roman" w:hint="eastAsia"/>
          <w:sz w:val="21"/>
          <w:szCs w:val="21"/>
        </w:rPr>
        <w:t>侵权纠纷行政裁决</w:t>
      </w:r>
      <w:r>
        <w:rPr>
          <w:rFonts w:ascii="Times New Roman" w:eastAsia="宋体" w:hAnsi="Times New Roman"/>
          <w:sz w:val="21"/>
          <w:szCs w:val="21"/>
        </w:rPr>
        <w:t>执法行政诉讼案件，这两个阶段通常合二为一，没有严格的界线。法庭调查开始时，通常先由各方简单陈述诉讼请求或答辩意见、出示证据并与对方当事人进行证据质证；之后</w:t>
      </w:r>
      <w:r>
        <w:rPr>
          <w:rFonts w:ascii="Times New Roman" w:eastAsia="宋体" w:hAnsi="Times New Roman" w:hint="eastAsia"/>
          <w:sz w:val="21"/>
          <w:szCs w:val="21"/>
        </w:rPr>
        <w:t>，</w:t>
      </w:r>
      <w:r>
        <w:rPr>
          <w:rFonts w:ascii="Times New Roman" w:eastAsia="宋体" w:hAnsi="Times New Roman"/>
          <w:sz w:val="21"/>
          <w:szCs w:val="21"/>
        </w:rPr>
        <w:t>合议庭归纳庭审要点，并由各方围绕每个庭审要点陈述意见。</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在法庭调查和法庭辩论阶段，两名代理人应当根据事先确定的分工，分别负责对涉案决定的程序、法律及实体问题陈述意见。二人应当相互配合，必要时相互补充；对于庭审中新出现的、庭审前未准备的其他问题，应当协商后作出答辩。</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对于管理专利工作的部门提起上诉或再审申请的案件，管理专利工作的部门处于主动提出诉求的地位，在庭审中需要明确上诉或再审申请请求，并针对在前判决或裁定中存在的问题逐一反驳，必要时结合证据进行论述。</w:t>
      </w:r>
    </w:p>
    <w:p w:rsidR="00800760" w:rsidRDefault="00235733">
      <w:pPr>
        <w:pStyle w:val="5"/>
        <w:spacing w:before="120"/>
        <w:rPr>
          <w:color w:val="000000"/>
        </w:rPr>
      </w:pPr>
      <w:r>
        <w:rPr>
          <w:color w:val="000000"/>
        </w:rPr>
        <w:t xml:space="preserve">3. </w:t>
      </w:r>
      <w:r>
        <w:rPr>
          <w:color w:val="000000"/>
        </w:rPr>
        <w:t>最后意见陈述</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最后陈述阶段由诉讼代理人作最后陈述，一般情况下表明坚持当庭陈述意见即可，如有必要，可以对需要补充说明的法律适用等问题再进行陈述。这一阶段通常由第一代理人负责。</w:t>
      </w:r>
    </w:p>
    <w:p w:rsidR="00800760" w:rsidRDefault="00235733">
      <w:pPr>
        <w:pStyle w:val="5"/>
        <w:spacing w:before="120"/>
        <w:rPr>
          <w:color w:val="000000"/>
        </w:rPr>
      </w:pPr>
      <w:r>
        <w:rPr>
          <w:color w:val="000000"/>
        </w:rPr>
        <w:t xml:space="preserve">4. </w:t>
      </w:r>
      <w:r>
        <w:rPr>
          <w:color w:val="000000"/>
        </w:rPr>
        <w:t>核对笔录及签字</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庭审结束后，所有出庭人员均需要在开庭笔录上签字。两名代理人需要核对开庭笔录，尤其是本方陈述的意见是否完整、准确，</w:t>
      </w:r>
      <w:r>
        <w:rPr>
          <w:rFonts w:ascii="Times New Roman" w:eastAsia="宋体" w:hAnsi="Times New Roman" w:hint="eastAsia"/>
          <w:sz w:val="21"/>
          <w:szCs w:val="21"/>
        </w:rPr>
        <w:t>确认无误</w:t>
      </w:r>
      <w:r>
        <w:rPr>
          <w:rFonts w:ascii="Times New Roman" w:eastAsia="宋体" w:hAnsi="Times New Roman"/>
          <w:sz w:val="21"/>
          <w:szCs w:val="21"/>
        </w:rPr>
        <w:t>后再签字。</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w:t>
      </w:r>
      <w:r>
        <w:rPr>
          <w:rFonts w:ascii="Times New Roman" w:hAnsi="Times New Roman"/>
          <w:color w:val="000000"/>
        </w:rPr>
        <w:t>二</w:t>
      </w:r>
      <w:r>
        <w:rPr>
          <w:rFonts w:ascii="Times New Roman" w:hAnsi="Times New Roman" w:hint="eastAsia"/>
          <w:color w:val="000000"/>
        </w:rPr>
        <w:t>）</w:t>
      </w:r>
      <w:r>
        <w:rPr>
          <w:rFonts w:ascii="Times New Roman" w:hAnsi="Times New Roman"/>
          <w:color w:val="000000"/>
        </w:rPr>
        <w:t>出庭注意事项</w:t>
      </w:r>
    </w:p>
    <w:p w:rsidR="00800760" w:rsidRDefault="00235733">
      <w:pPr>
        <w:pStyle w:val="5"/>
        <w:spacing w:before="120"/>
        <w:rPr>
          <w:color w:val="000000"/>
        </w:rPr>
      </w:pPr>
      <w:r>
        <w:rPr>
          <w:color w:val="000000"/>
        </w:rPr>
        <w:t xml:space="preserve">1. </w:t>
      </w:r>
      <w:r>
        <w:rPr>
          <w:color w:val="000000"/>
        </w:rPr>
        <w:t>着装</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代理人开庭穿着应当庄重简洁，尽量着正装，避免穿着暴露、过于休闲。</w:t>
      </w:r>
      <w:r>
        <w:rPr>
          <w:rFonts w:ascii="Times New Roman" w:eastAsia="宋体" w:hAnsi="Times New Roman"/>
          <w:sz w:val="21"/>
          <w:szCs w:val="21"/>
        </w:rPr>
        <w:t xml:space="preserve"> </w:t>
      </w:r>
    </w:p>
    <w:p w:rsidR="00800760" w:rsidRDefault="00235733">
      <w:pPr>
        <w:pStyle w:val="5"/>
        <w:spacing w:before="120"/>
      </w:pPr>
      <w:r>
        <w:t xml:space="preserve">2. </w:t>
      </w:r>
      <w:r>
        <w:t>态度</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庭审中应当尊重审判人员及对方、第三方出庭人员；庭审前后注意保持行政机关的中立立场，避免与对方、第三方出庭人员有过于密切的行为或者交谈；对对方出庭人员在庭审中的过激言辞要不卑不亢，态度礼貌地提醒法官注意当事人的不当行为，避免直接与对方当事人争论。</w:t>
      </w:r>
    </w:p>
    <w:p w:rsidR="00800760" w:rsidRDefault="00235733">
      <w:pPr>
        <w:pStyle w:val="5"/>
        <w:spacing w:before="120"/>
      </w:pPr>
      <w:r>
        <w:t xml:space="preserve">3. </w:t>
      </w:r>
      <w:r>
        <w:t>表达</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庭审中语言表达以沟通为目的。代理人发言要用词礼貌，发言清晰、自信，语速适中，注意根据不同问题掌握发言节奏。对于案情的描述应当客观、完整、清楚、简洁；回应对方当事人的问题时，应当客观阐述，避免使用过激言辞。两名代理人之间要注重沟通，不要独自贸然回答，特别是对案件可能有重要影响的事实，更需要在沟通后再回答。</w:t>
      </w:r>
    </w:p>
    <w:p w:rsidR="00800760" w:rsidRDefault="00235733">
      <w:pPr>
        <w:pStyle w:val="5"/>
        <w:spacing w:before="120"/>
      </w:pPr>
      <w:r>
        <w:t xml:space="preserve">4. </w:t>
      </w:r>
      <w:r>
        <w:t>应对合议庭提问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在专利</w:t>
      </w:r>
      <w:r>
        <w:rPr>
          <w:rFonts w:ascii="Times New Roman" w:eastAsia="宋体" w:hAnsi="Times New Roman" w:hint="eastAsia"/>
          <w:sz w:val="21"/>
          <w:szCs w:val="21"/>
        </w:rPr>
        <w:t>纠纷裁决</w:t>
      </w:r>
      <w:r>
        <w:rPr>
          <w:rFonts w:ascii="Times New Roman" w:eastAsia="宋体" w:hAnsi="Times New Roman"/>
          <w:sz w:val="21"/>
          <w:szCs w:val="21"/>
        </w:rPr>
        <w:t>行政诉讼中，合议庭的提问一般包括两种情形，一是针对具体案件情况进行提问，二是针对法律适用问题进行提问。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合议庭对具体案件情况提问通常意味着相关内容很重要，行政裁决、决定或通知书中针对该部分内容的认定可能影响到判决或裁定的结论，此时应当关注合议庭针对该部分问题的疑惑，重点解释并详细阐述行政裁决、决定或通知书中的观点。</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合议庭对法律适用问题所作的一般性提问可能只意味着合议庭希望了解管理专利</w:t>
      </w:r>
      <w:bookmarkStart w:id="4936" w:name="bookmark583"/>
      <w:bookmarkEnd w:id="4936"/>
      <w:r>
        <w:rPr>
          <w:rFonts w:ascii="Times New Roman" w:eastAsia="宋体" w:hAnsi="Times New Roman"/>
          <w:sz w:val="21"/>
          <w:szCs w:val="21"/>
        </w:rPr>
        <w:t>工作的部门的普遍做法，可以简洁、系统地介绍现有的规定和处理方式。对于尚存在争议、部门没有统一结论的问题，可以从不同角度阐述不同观点，切忌将个人观点作为统一观点进行回复，以避免产生不必要的误导。</w:t>
      </w:r>
    </w:p>
    <w:p w:rsidR="00800760" w:rsidRDefault="00235733">
      <w:pPr>
        <w:pStyle w:val="5"/>
        <w:spacing w:before="120"/>
      </w:pPr>
      <w:r>
        <w:t xml:space="preserve">5. </w:t>
      </w:r>
      <w:r>
        <w:t>应对突发情况</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庭审中不可避免会遇到一些突发情况。代理人应当冷静面对，及时沟通。</w:t>
      </w:r>
    </w:p>
    <w:p w:rsidR="00800760" w:rsidRDefault="00235733">
      <w:r>
        <w:t>(1)</w:t>
      </w:r>
      <w:r>
        <w:t>是否需要提出回避请求</w:t>
      </w:r>
    </w:p>
    <w:p w:rsidR="00800760" w:rsidRDefault="00235733">
      <w:r>
        <w:t>根据《行政诉讼法》的相关规定，当事人认为审判人员与本案有利害关系或者有其他关系可能影响公正审判的，有权申请审判人员回避。</w:t>
      </w:r>
    </w:p>
    <w:p w:rsidR="00800760" w:rsidRDefault="00235733">
      <w:r>
        <w:t>(2)</w:t>
      </w:r>
      <w:r>
        <w:t>对方当事人未到庭或者中途退庭</w:t>
      </w:r>
    </w:p>
    <w:p w:rsidR="00800760" w:rsidRDefault="00235733">
      <w:r>
        <w:t>应当要求法庭明确对方仅是迟到还是无法参加。对于一审程序，如果确定原告经合法传唤未到庭，可以请求人民法院按撤诉处理。</w:t>
      </w:r>
    </w:p>
    <w:p w:rsidR="00800760" w:rsidRDefault="00235733">
      <w:r>
        <w:t>(3)</w:t>
      </w:r>
      <w:r>
        <w:t>当事人资格或出庭人员身份存在问题</w:t>
      </w:r>
    </w:p>
    <w:p w:rsidR="00800760" w:rsidRDefault="00235733">
      <w:r>
        <w:t>针对对方出庭人员，如果发现其身份资格或者授权委托书存在问题</w:t>
      </w:r>
      <w:r>
        <w:t>(</w:t>
      </w:r>
      <w:r>
        <w:t>尤其当对方当事人为境外公司，出庭人员为境外公司职员时</w:t>
      </w:r>
      <w:r>
        <w:t>),</w:t>
      </w:r>
      <w:r>
        <w:rPr>
          <w:rFonts w:hint="eastAsia"/>
        </w:rPr>
        <w:t>，</w:t>
      </w:r>
      <w:r>
        <w:t>可请求合议庭核实当事人或者委托代理人的出庭手续是否合法有效。</w:t>
      </w:r>
    </w:p>
    <w:p w:rsidR="00800760" w:rsidRDefault="00235733">
      <w:r>
        <w:t>(4)</w:t>
      </w:r>
      <w:r>
        <w:t>起诉或上诉期限超期</w:t>
      </w:r>
    </w:p>
    <w:p w:rsidR="00800760" w:rsidRDefault="00235733">
      <w:r>
        <w:t>庭审中，如果发现对方当事人可能存在起诉或上诉期限超期的问题，可请求合议庭当庭核实立案信息。</w:t>
      </w:r>
    </w:p>
    <w:p w:rsidR="00800760" w:rsidRDefault="00235733">
      <w:r>
        <w:t>(5)</w:t>
      </w:r>
      <w:r>
        <w:t>证人、专家辅助人、鉴定人等出庭作证</w:t>
      </w:r>
    </w:p>
    <w:p w:rsidR="00800760" w:rsidRDefault="00235733">
      <w:r>
        <w:t>对于对方当事人在未告知或通知的情况下，有证人出庭作证或者邀请专家辅助人的，应当请求合议庭查核其申请程序是否合法，提请合议庭注意相关出庭人员身份是否适格；在申请程序和资格均无瑕疵的情况下，可以根据具体案情重点针对证人的证言是否与事实相符、是否存在逻辑错误，鉴定人或专家辅助人的陈述是否超出其鉴定范围或专业知识范围等问题陈述意见或发表质证意见。</w:t>
      </w:r>
    </w:p>
    <w:p w:rsidR="00800760" w:rsidRDefault="00235733">
      <w:r>
        <w:t>(6)</w:t>
      </w:r>
      <w:r>
        <w:t>庭审中对方当事人突然提出新理由和要求提交新证据</w:t>
      </w:r>
    </w:p>
    <w:p w:rsidR="00800760" w:rsidRDefault="00235733">
      <w:r>
        <w:t>对于对方当事人在庭审过程中突然提出新理由、要求提交新证据的情况，代理人一般情况下可以请求合议庭不予接受；对于在起诉状、上诉状或者再审申请书中未涉及的新的诉讼理由，如果确实无法回应，可以要求合议庭再次开庭；对于对方当事人之前未提及、在庭前合议中也未准备的有关行政裁决、决定或通知书中的瑕疵或者缺陷，代理人应当及时沟通，商量应对。如果确实没有把握回答，可以表明坚持决定或通知书中的内容；如果确实需要，可以向合议庭说明情况，请求庭后补交相关资料、补充意见或者提交代理词等。</w:t>
      </w:r>
    </w:p>
    <w:p w:rsidR="00800760" w:rsidRDefault="00235733">
      <w:pPr>
        <w:pStyle w:val="2"/>
        <w:ind w:firstLineChars="0" w:firstLine="0"/>
        <w:rPr>
          <w:rFonts w:ascii="Times New Roman" w:hAnsi="Times New Roman"/>
          <w:color w:val="000000"/>
        </w:rPr>
      </w:pPr>
      <w:bookmarkStart w:id="4937" w:name="_Toc18581"/>
      <w:bookmarkStart w:id="4938" w:name="_Toc27807"/>
      <w:bookmarkStart w:id="4939" w:name="_Toc16001"/>
      <w:bookmarkStart w:id="4940" w:name="_Toc17175"/>
      <w:bookmarkStart w:id="4941" w:name="_Toc3407"/>
      <w:bookmarkStart w:id="4942" w:name="_Toc19488"/>
      <w:bookmarkStart w:id="4943" w:name="_Toc6035"/>
      <w:bookmarkStart w:id="4944" w:name="_Toc6253"/>
      <w:bookmarkStart w:id="4945" w:name="_Toc3277"/>
      <w:bookmarkStart w:id="4946" w:name="_Toc22673"/>
      <w:bookmarkStart w:id="4947" w:name="_Toc28628"/>
      <w:bookmarkStart w:id="4948" w:name="_Toc26144"/>
      <w:bookmarkStart w:id="4949" w:name="_Toc1724"/>
      <w:bookmarkStart w:id="4950" w:name="_Toc23490"/>
      <w:bookmarkStart w:id="4951" w:name="_Toc6113"/>
      <w:bookmarkStart w:id="4952" w:name="_Toc4186"/>
      <w:bookmarkStart w:id="4953" w:name="_Toc30667"/>
      <w:bookmarkStart w:id="4954" w:name="_Toc21332"/>
      <w:bookmarkStart w:id="4955" w:name="_Toc21594"/>
      <w:bookmarkStart w:id="4956" w:name="_Toc32166"/>
      <w:bookmarkStart w:id="4957" w:name="_Toc13059"/>
      <w:bookmarkStart w:id="4958" w:name="_Toc1289"/>
      <w:bookmarkStart w:id="4959" w:name="_Toc32586"/>
      <w:bookmarkStart w:id="4960" w:name="_Toc30781"/>
      <w:bookmarkStart w:id="4961" w:name="_Toc5531"/>
      <w:bookmarkStart w:id="4962" w:name="_Toc4702"/>
      <w:bookmarkStart w:id="4963" w:name="_Toc1255"/>
      <w:bookmarkStart w:id="4964" w:name="_Toc13267"/>
      <w:bookmarkStart w:id="4965" w:name="_Toc16873"/>
      <w:bookmarkStart w:id="4966" w:name="_Toc229114441"/>
      <w:bookmarkStart w:id="4967" w:name="_Toc4535"/>
      <w:bookmarkStart w:id="4968" w:name="_Toc14134"/>
      <w:bookmarkStart w:id="4969" w:name="_Toc23791"/>
      <w:bookmarkStart w:id="4970" w:name="_Toc14988"/>
      <w:bookmarkStart w:id="4971" w:name="_Toc1536"/>
      <w:bookmarkStart w:id="4972" w:name="_Toc18140"/>
      <w:bookmarkStart w:id="4973" w:name="_Toc5287"/>
      <w:bookmarkStart w:id="4974" w:name="_Toc217908695"/>
      <w:bookmarkStart w:id="4975" w:name="_Toc23096"/>
      <w:bookmarkStart w:id="4976" w:name="_Toc22807"/>
      <w:bookmarkStart w:id="4977" w:name="_Toc6258"/>
      <w:bookmarkStart w:id="4978" w:name="_Toc6469"/>
      <w:bookmarkStart w:id="4979" w:name="_Toc31532"/>
      <w:bookmarkStart w:id="4980" w:name="_Toc15803"/>
      <w:bookmarkStart w:id="4981" w:name="_Toc229225537"/>
      <w:r>
        <w:rPr>
          <w:rFonts w:ascii="Times New Roman" w:hAnsi="Times New Roman" w:hint="eastAsia"/>
          <w:color w:val="000000"/>
        </w:rPr>
        <w:t>第三节</w:t>
      </w:r>
      <w:r>
        <w:rPr>
          <w:rFonts w:ascii="Times New Roman" w:hAnsi="Times New Roman" w:hint="eastAsia"/>
        </w:rPr>
        <w:t xml:space="preserve">　</w:t>
      </w:r>
      <w:r>
        <w:rPr>
          <w:rFonts w:ascii="Times New Roman" w:hAnsi="Times New Roman" w:hint="eastAsia"/>
          <w:color w:val="000000"/>
        </w:rPr>
        <w:t>结案</w:t>
      </w:r>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p>
    <w:p w:rsidR="00800760" w:rsidRDefault="00235733">
      <w:pPr>
        <w:pStyle w:val="3"/>
        <w:spacing w:before="240"/>
        <w:ind w:firstLine="444"/>
        <w:rPr>
          <w:rFonts w:ascii="Times New Roman" w:hAnsi="Times New Roman"/>
          <w:color w:val="000000"/>
        </w:rPr>
      </w:pPr>
      <w:bookmarkStart w:id="4982" w:name="_Toc5165"/>
      <w:bookmarkStart w:id="4983" w:name="_Toc27631"/>
      <w:bookmarkStart w:id="4984" w:name="_Toc21548"/>
      <w:bookmarkStart w:id="4985" w:name="_Toc26441"/>
      <w:bookmarkStart w:id="4986" w:name="_Toc7217"/>
      <w:bookmarkStart w:id="4987" w:name="_Toc24370"/>
      <w:bookmarkStart w:id="4988" w:name="_Toc23375"/>
      <w:bookmarkStart w:id="4989" w:name="_Toc16696"/>
      <w:bookmarkStart w:id="4990" w:name="_Toc12382"/>
      <w:bookmarkStart w:id="4991" w:name="_Toc16515"/>
      <w:bookmarkStart w:id="4992" w:name="_Toc16738"/>
      <w:bookmarkStart w:id="4993" w:name="_Toc16690"/>
      <w:bookmarkStart w:id="4994" w:name="_Toc8356"/>
      <w:bookmarkStart w:id="4995" w:name="_Toc11426"/>
      <w:bookmarkStart w:id="4996" w:name="_Toc8721"/>
      <w:bookmarkStart w:id="4997" w:name="_Toc30063"/>
      <w:bookmarkStart w:id="4998" w:name="_Toc22569"/>
      <w:bookmarkStart w:id="4999" w:name="_Toc27275"/>
      <w:bookmarkStart w:id="5000" w:name="_Toc5632"/>
      <w:bookmarkStart w:id="5001" w:name="_Toc27901"/>
      <w:bookmarkStart w:id="5002" w:name="_Toc18147"/>
      <w:bookmarkStart w:id="5003" w:name="_Toc6968"/>
      <w:bookmarkStart w:id="5004" w:name="_Toc5501"/>
      <w:bookmarkStart w:id="5005" w:name="_Toc31742"/>
      <w:bookmarkStart w:id="5006" w:name="_Toc470"/>
      <w:bookmarkStart w:id="5007" w:name="_Toc9427"/>
      <w:bookmarkStart w:id="5008" w:name="_Toc12833"/>
      <w:bookmarkStart w:id="5009" w:name="_Toc19116"/>
      <w:bookmarkStart w:id="5010" w:name="_Toc217908696"/>
      <w:bookmarkStart w:id="5011" w:name="_Toc14422"/>
      <w:bookmarkStart w:id="5012" w:name="_Toc8508"/>
      <w:bookmarkStart w:id="5013" w:name="_Toc11960"/>
      <w:bookmarkStart w:id="5014" w:name="_Toc1487"/>
      <w:bookmarkStart w:id="5015" w:name="_Toc23715"/>
      <w:bookmarkStart w:id="5016" w:name="_Toc24450"/>
      <w:bookmarkStart w:id="5017" w:name="_Toc20792"/>
      <w:bookmarkStart w:id="5018" w:name="_Toc19917"/>
      <w:bookmarkStart w:id="5019" w:name="_Toc32684"/>
      <w:bookmarkStart w:id="5020" w:name="_Toc9408"/>
      <w:bookmarkStart w:id="5021" w:name="_Toc20514"/>
      <w:bookmarkStart w:id="5022" w:name="_Toc3491"/>
      <w:bookmarkStart w:id="5023" w:name="_Toc2112"/>
      <w:bookmarkStart w:id="5024" w:name="_Toc2072"/>
      <w:bookmarkStart w:id="5025" w:name="_Toc229114442"/>
      <w:bookmarkStart w:id="5026" w:name="_Toc229225538"/>
      <w:r>
        <w:rPr>
          <w:rFonts w:ascii="Times New Roman" w:hAnsi="Times New Roman" w:hint="eastAsia"/>
          <w:color w:val="000000"/>
        </w:rPr>
        <w:t>一、</w:t>
      </w:r>
      <w:r>
        <w:rPr>
          <w:rFonts w:ascii="Times New Roman" w:hAnsi="Times New Roman"/>
          <w:color w:val="000000"/>
        </w:rPr>
        <w:t>庭后事务处理</w:t>
      </w:r>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庭审结束后，应人民法院要求或代理人认为确有必要的情况下，可以补交诉讼代理词或者证据，提交程序与答辩材料的提交相同；或者根据案件情况与人民法院进行电话沟通。</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w:t>
      </w:r>
      <w:r>
        <w:rPr>
          <w:rFonts w:ascii="Times New Roman" w:hAnsi="Times New Roman"/>
          <w:color w:val="000000"/>
        </w:rPr>
        <w:t>一</w:t>
      </w:r>
      <w:r>
        <w:rPr>
          <w:rFonts w:ascii="Times New Roman" w:hAnsi="Times New Roman" w:hint="eastAsia"/>
          <w:color w:val="000000"/>
        </w:rPr>
        <w:t>）</w:t>
      </w:r>
      <w:r>
        <w:rPr>
          <w:rFonts w:ascii="Times New Roman" w:hAnsi="Times New Roman"/>
          <w:color w:val="000000"/>
        </w:rPr>
        <w:t>补交诉讼代理词或证据</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当合议庭明确要求代理人针对某些问题提交代理词时，可能意味着合议庭对某些事实的认定尚不明确，需要通过进一步的书面意见更准确地理解案情</w:t>
      </w:r>
      <w:r>
        <w:rPr>
          <w:rFonts w:ascii="Times New Roman" w:eastAsia="宋体" w:hAnsi="Times New Roman" w:hint="eastAsia"/>
          <w:sz w:val="21"/>
          <w:szCs w:val="21"/>
        </w:rPr>
        <w:t>，应</w:t>
      </w:r>
      <w:r>
        <w:rPr>
          <w:rFonts w:ascii="Times New Roman" w:eastAsia="宋体" w:hAnsi="Times New Roman"/>
          <w:sz w:val="21"/>
          <w:szCs w:val="21"/>
        </w:rPr>
        <w:t>认真对待，针对所述问题，结合庭审中合议庭关注的事项，逐一详细阐述，论证行政裁决或决定对于该问题认定的合法性与合理性。</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合议庭要求当事人庭后补充提交证据，通常是为了通过合议庭的依职权调取证据以突破《行政诉讼法》对被告举证期限的限制，以便于查清事实，解决原告当庭增加诉讼理由而被告对该理由没有机会提交证据的问题。对于合议庭明确要求补充提交证据的，代理人应当按时提交。</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w:t>
      </w:r>
      <w:r>
        <w:rPr>
          <w:rFonts w:ascii="Times New Roman" w:hAnsi="Times New Roman"/>
          <w:color w:val="000000"/>
        </w:rPr>
        <w:t>二</w:t>
      </w:r>
      <w:r>
        <w:rPr>
          <w:rFonts w:ascii="Times New Roman" w:hAnsi="Times New Roman" w:hint="eastAsia"/>
          <w:color w:val="000000"/>
        </w:rPr>
        <w:t>）</w:t>
      </w:r>
      <w:r>
        <w:rPr>
          <w:rFonts w:ascii="Times New Roman" w:hAnsi="Times New Roman"/>
          <w:color w:val="000000"/>
        </w:rPr>
        <w:t>收到判决书或裁定书后的事务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管理专利工作的部门收到人民法院判决书或裁定书后，由行政诉讼处室负责登记归档，纸件原件装订入诉讼案卷中，复印件转交代理人。</w:t>
      </w:r>
    </w:p>
    <w:p w:rsidR="00800760" w:rsidRDefault="00235733">
      <w:pPr>
        <w:pStyle w:val="5"/>
        <w:spacing w:before="120"/>
      </w:pPr>
      <w:r>
        <w:rPr>
          <w:rFonts w:hint="eastAsia"/>
        </w:rPr>
        <w:t xml:space="preserve">1. </w:t>
      </w:r>
      <w:r>
        <w:t>收到一审判决书或裁定书</w:t>
      </w:r>
      <w:r>
        <w:t xml:space="preserve"> </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针对专利执法行政诉讼案件，一审人民法院经审理后，作出的判决或者裁定主要包括以下几种类型：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(1)</w:t>
      </w:r>
      <w:r>
        <w:rPr>
          <w:rFonts w:ascii="Times New Roman" w:eastAsia="宋体" w:hAnsi="Times New Roman"/>
          <w:sz w:val="21"/>
          <w:szCs w:val="21"/>
        </w:rPr>
        <w:t>原告经合法传唤未到庭，裁定驳回起诉。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(2)</w:t>
      </w:r>
      <w:r>
        <w:rPr>
          <w:rFonts w:ascii="Times New Roman" w:eastAsia="宋体" w:hAnsi="Times New Roman"/>
          <w:sz w:val="21"/>
          <w:szCs w:val="21"/>
        </w:rPr>
        <w:t>行政行为证据确凿，适用法律、法规正确，符合法定程序，判决驳回原告的诉讼请求。</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(3)</w:t>
      </w:r>
      <w:r>
        <w:rPr>
          <w:rFonts w:ascii="Times New Roman" w:eastAsia="宋体" w:hAnsi="Times New Roman"/>
          <w:sz w:val="21"/>
          <w:szCs w:val="21"/>
        </w:rPr>
        <w:t>行政行为存在以下情形，如主要证据不足，适用法律、法规错误，违反法定程序，超越职权，滥用职权，明显不当，判决撤销或部分撤销行政行为，由管理专利</w:t>
      </w:r>
      <w:bookmarkStart w:id="5027" w:name="bookmark584"/>
      <w:bookmarkEnd w:id="5027"/>
      <w:r>
        <w:rPr>
          <w:rFonts w:ascii="Times New Roman" w:eastAsia="宋体" w:hAnsi="Times New Roman"/>
          <w:sz w:val="21"/>
          <w:szCs w:val="21"/>
        </w:rPr>
        <w:t>工作的部门重新作出行政行为。</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(4)</w:t>
      </w:r>
      <w:r>
        <w:rPr>
          <w:rFonts w:ascii="Times New Roman" w:eastAsia="宋体" w:hAnsi="Times New Roman"/>
          <w:sz w:val="21"/>
          <w:szCs w:val="21"/>
        </w:rPr>
        <w:t>行政行为程序轻微违法，但对原告实体权利不产生影响，判决确认行政行为违法。</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(5)</w:t>
      </w:r>
      <w:r>
        <w:rPr>
          <w:rFonts w:ascii="Times New Roman" w:eastAsia="宋体" w:hAnsi="Times New Roman"/>
          <w:sz w:val="21"/>
          <w:szCs w:val="21"/>
        </w:rPr>
        <w:t>行政处罚明显不当，判决变更。</w:t>
      </w:r>
      <w:r>
        <w:rPr>
          <w:rFonts w:ascii="Times New Roman" w:eastAsia="宋体" w:hAnsi="Times New Roman"/>
          <w:sz w:val="21"/>
          <w:szCs w:val="21"/>
        </w:rPr>
        <w:t xml:space="preserve"> </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管理专利工作的部门收到一审判决书或裁定书后，两名代理人应当于收文之日起</w:t>
      </w:r>
      <w:r>
        <w:rPr>
          <w:rFonts w:ascii="Times New Roman" w:eastAsia="宋体" w:hAnsi="Times New Roman"/>
          <w:sz w:val="21"/>
          <w:szCs w:val="21"/>
        </w:rPr>
        <w:t>3</w:t>
      </w:r>
      <w:r>
        <w:rPr>
          <w:rFonts w:ascii="Times New Roman" w:eastAsia="宋体" w:hAnsi="Times New Roman"/>
          <w:sz w:val="21"/>
          <w:szCs w:val="21"/>
        </w:rPr>
        <w:t>日内</w:t>
      </w:r>
      <w:r>
        <w:rPr>
          <w:rFonts w:ascii="Times New Roman" w:eastAsia="宋体" w:hAnsi="Times New Roman" w:hint="eastAsia"/>
          <w:sz w:val="21"/>
          <w:szCs w:val="21"/>
        </w:rPr>
        <w:t>决定</w:t>
      </w:r>
      <w:r>
        <w:rPr>
          <w:rFonts w:ascii="Times New Roman" w:eastAsia="宋体" w:hAnsi="Times New Roman"/>
          <w:sz w:val="21"/>
          <w:szCs w:val="21"/>
        </w:rPr>
        <w:t>是否提出上诉，填写诉讼案件分析表，并报相关负责人审批，决定是否提起上诉。对于决定不提起上诉的案件，如果确认原告也未提起上诉，代理人应当根据原定分工在判决或裁定生效后</w:t>
      </w:r>
      <w:r>
        <w:rPr>
          <w:rFonts w:ascii="Times New Roman" w:eastAsia="宋体" w:hAnsi="Times New Roman"/>
          <w:sz w:val="21"/>
          <w:szCs w:val="21"/>
        </w:rPr>
        <w:t>1</w:t>
      </w:r>
      <w:r>
        <w:rPr>
          <w:rFonts w:ascii="Times New Roman" w:eastAsia="宋体" w:hAnsi="Times New Roman"/>
          <w:sz w:val="21"/>
          <w:szCs w:val="21"/>
        </w:rPr>
        <w:t>个月内结案。其中，针对判决撤销或部分撤销原行政行为，并同时要求管理专利工作的部门重新作出行政行为的案件，应当重新立案处理。对于决定提起上诉的案件，按相关要求准备上诉材料。</w:t>
      </w:r>
    </w:p>
    <w:p w:rsidR="00800760" w:rsidRDefault="00235733">
      <w:pPr>
        <w:pStyle w:val="5"/>
        <w:spacing w:before="120"/>
      </w:pPr>
      <w:r>
        <w:rPr>
          <w:rFonts w:hint="eastAsia"/>
        </w:rPr>
        <w:t xml:space="preserve">2. </w:t>
      </w:r>
      <w:r>
        <w:t>收到二审判决书或裁定书</w:t>
      </w:r>
      <w:r>
        <w:t xml:space="preserve"> </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针对专利执法行政诉讼案件，二审人民法院经审理后，作出的判决或者裁定主要包括以下几种类型：</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(1)</w:t>
      </w:r>
      <w:r>
        <w:rPr>
          <w:rFonts w:ascii="Times New Roman" w:eastAsia="宋体" w:hAnsi="Times New Roman"/>
          <w:sz w:val="21"/>
          <w:szCs w:val="21"/>
        </w:rPr>
        <w:t>原判决、裁定认定事实清楚，适用法律、法规正确的，判决或者裁定驳回上诉，维持原判决、裁定。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(2)</w:t>
      </w:r>
      <w:r>
        <w:rPr>
          <w:rFonts w:ascii="Times New Roman" w:eastAsia="宋体" w:hAnsi="Times New Roman"/>
          <w:sz w:val="21"/>
          <w:szCs w:val="21"/>
        </w:rPr>
        <w:t>原判决、裁定认定事实错误或者适用法律、法规错误的，依法改判、撤销或者变更原判决、裁定。</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(3)</w:t>
      </w:r>
      <w:r>
        <w:rPr>
          <w:rFonts w:ascii="Times New Roman" w:eastAsia="宋体" w:hAnsi="Times New Roman"/>
          <w:sz w:val="21"/>
          <w:szCs w:val="21"/>
        </w:rPr>
        <w:t>原判决认定基本事实不清、证据不足的，或者存在遗漏当事人或者违法缺席判决等严重违反法定程序的情形，裁定发回原审人民法院重审。</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(4)</w:t>
      </w:r>
      <w:r>
        <w:rPr>
          <w:rFonts w:ascii="Times New Roman" w:eastAsia="宋体" w:hAnsi="Times New Roman"/>
          <w:sz w:val="21"/>
          <w:szCs w:val="21"/>
        </w:rPr>
        <w:t>原判决认定基本事实不清、证据不足的，在查清事实后直接改判。</w:t>
      </w:r>
      <w:r>
        <w:rPr>
          <w:rFonts w:ascii="Times New Roman" w:eastAsia="宋体" w:hAnsi="Times New Roman"/>
          <w:sz w:val="21"/>
          <w:szCs w:val="21"/>
        </w:rPr>
        <w:t xml:space="preserve"> </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管理专利工作的部门收到二审判决书或裁定书后，两名代理人应当于收文之日起</w:t>
      </w:r>
      <w:r>
        <w:rPr>
          <w:rFonts w:ascii="Times New Roman" w:eastAsia="宋体" w:hAnsi="Times New Roman"/>
          <w:sz w:val="21"/>
          <w:szCs w:val="21"/>
        </w:rPr>
        <w:t>5</w:t>
      </w:r>
      <w:r>
        <w:rPr>
          <w:rFonts w:ascii="Times New Roman" w:eastAsia="宋体" w:hAnsi="Times New Roman"/>
          <w:sz w:val="21"/>
          <w:szCs w:val="21"/>
        </w:rPr>
        <w:t>日内</w:t>
      </w:r>
      <w:r>
        <w:rPr>
          <w:rFonts w:ascii="Times New Roman" w:eastAsia="宋体" w:hAnsi="Times New Roman" w:hint="eastAsia"/>
          <w:sz w:val="21"/>
          <w:szCs w:val="21"/>
        </w:rPr>
        <w:t>决定</w:t>
      </w:r>
      <w:r>
        <w:rPr>
          <w:rFonts w:ascii="Times New Roman" w:eastAsia="宋体" w:hAnsi="Times New Roman"/>
          <w:sz w:val="21"/>
          <w:szCs w:val="21"/>
        </w:rPr>
        <w:t>是否提起再审申请，填写诉讼案件分析表，并在收文之日起</w:t>
      </w:r>
      <w:r>
        <w:rPr>
          <w:rFonts w:ascii="Times New Roman" w:eastAsia="宋体" w:hAnsi="Times New Roman"/>
          <w:sz w:val="21"/>
          <w:szCs w:val="21"/>
        </w:rPr>
        <w:t>2</w:t>
      </w:r>
      <w:r>
        <w:rPr>
          <w:rFonts w:ascii="Times New Roman" w:eastAsia="宋体" w:hAnsi="Times New Roman"/>
          <w:sz w:val="21"/>
          <w:szCs w:val="21"/>
        </w:rPr>
        <w:t>周内报相关负责人审批，决定是否提起再审申请。对于决定不提起再审申请的案件，如果确认对方当事人也未提起再审申请，代理人应当根据原定分工在判决或裁定生效后</w:t>
      </w:r>
      <w:r>
        <w:rPr>
          <w:rFonts w:ascii="Times New Roman" w:eastAsia="宋体" w:hAnsi="Times New Roman"/>
          <w:sz w:val="21"/>
          <w:szCs w:val="21"/>
        </w:rPr>
        <w:t>1</w:t>
      </w:r>
      <w:r>
        <w:rPr>
          <w:rFonts w:ascii="Times New Roman" w:eastAsia="宋体" w:hAnsi="Times New Roman"/>
          <w:sz w:val="21"/>
          <w:szCs w:val="21"/>
        </w:rPr>
        <w:t>个月内结案。其中，针对二审判决撤销或部分撤销原行政行为，并同时要求管理专利工作的部门重新作出行政行为的案件，应当重新立案处理。对于决定提起再审申请的案件，按相关要求准备再审申请材料。</w:t>
      </w:r>
    </w:p>
    <w:p w:rsidR="00800760" w:rsidRDefault="00235733">
      <w:pPr>
        <w:pStyle w:val="3"/>
        <w:spacing w:before="240"/>
        <w:ind w:firstLine="444"/>
        <w:rPr>
          <w:rFonts w:ascii="Times New Roman" w:hAnsi="Times New Roman"/>
          <w:color w:val="000000"/>
        </w:rPr>
      </w:pPr>
      <w:bookmarkStart w:id="5028" w:name="_Toc6599"/>
      <w:bookmarkStart w:id="5029" w:name="_Toc6416"/>
      <w:bookmarkStart w:id="5030" w:name="_Toc18681"/>
      <w:bookmarkStart w:id="5031" w:name="_Toc15601"/>
      <w:bookmarkStart w:id="5032" w:name="_Toc18987"/>
      <w:bookmarkStart w:id="5033" w:name="_Toc11110"/>
      <w:bookmarkStart w:id="5034" w:name="_Toc8181"/>
      <w:bookmarkStart w:id="5035" w:name="_Toc2368"/>
      <w:bookmarkStart w:id="5036" w:name="_Toc12912"/>
      <w:bookmarkStart w:id="5037" w:name="_Toc2655"/>
      <w:bookmarkStart w:id="5038" w:name="_Toc24094"/>
      <w:bookmarkStart w:id="5039" w:name="_Toc30112"/>
      <w:bookmarkStart w:id="5040" w:name="_Toc9401"/>
      <w:bookmarkStart w:id="5041" w:name="_Toc18258"/>
      <w:bookmarkStart w:id="5042" w:name="_Toc3476"/>
      <w:bookmarkStart w:id="5043" w:name="_Toc22591"/>
      <w:bookmarkStart w:id="5044" w:name="_Toc21933"/>
      <w:bookmarkStart w:id="5045" w:name="_Toc17561"/>
      <w:bookmarkStart w:id="5046" w:name="_Toc1058"/>
      <w:bookmarkStart w:id="5047" w:name="_Toc28868"/>
      <w:bookmarkStart w:id="5048" w:name="_Toc15492"/>
      <w:bookmarkStart w:id="5049" w:name="_Toc27647"/>
      <w:bookmarkStart w:id="5050" w:name="_Toc229114443"/>
      <w:bookmarkStart w:id="5051" w:name="_Toc28681"/>
      <w:bookmarkStart w:id="5052" w:name="_Toc25424"/>
      <w:bookmarkStart w:id="5053" w:name="_Toc25052"/>
      <w:bookmarkStart w:id="5054" w:name="_Toc18778"/>
      <w:bookmarkStart w:id="5055" w:name="_Toc28934"/>
      <w:bookmarkStart w:id="5056" w:name="_Toc29228"/>
      <w:bookmarkStart w:id="5057" w:name="_Toc21304"/>
      <w:bookmarkStart w:id="5058" w:name="_Toc1598"/>
      <w:bookmarkStart w:id="5059" w:name="_Toc2270"/>
      <w:bookmarkStart w:id="5060" w:name="_Toc32479"/>
      <w:bookmarkStart w:id="5061" w:name="_Toc27546"/>
      <w:bookmarkStart w:id="5062" w:name="_Toc1784"/>
      <w:bookmarkStart w:id="5063" w:name="_Toc26443"/>
      <w:bookmarkStart w:id="5064" w:name="_Toc21910"/>
      <w:bookmarkStart w:id="5065" w:name="_Toc24990"/>
      <w:bookmarkStart w:id="5066" w:name="_Toc2125"/>
      <w:bookmarkStart w:id="5067" w:name="_Toc12007"/>
      <w:bookmarkStart w:id="5068" w:name="_Toc27677"/>
      <w:bookmarkStart w:id="5069" w:name="_Toc23894"/>
      <w:bookmarkStart w:id="5070" w:name="_Toc217908697"/>
      <w:bookmarkStart w:id="5071" w:name="_Toc17154"/>
      <w:bookmarkStart w:id="5072" w:name="_Toc229225539"/>
      <w:r>
        <w:rPr>
          <w:rFonts w:ascii="Times New Roman" w:hAnsi="Times New Roman" w:hint="eastAsia"/>
          <w:color w:val="000000"/>
        </w:rPr>
        <w:t>二、</w:t>
      </w:r>
      <w:r>
        <w:rPr>
          <w:rFonts w:ascii="Times New Roman" w:hAnsi="Times New Roman"/>
          <w:color w:val="000000"/>
        </w:rPr>
        <w:t>结案归档</w:t>
      </w:r>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对于决定不提起上诉或再审申请的案件，如果确认对方当事人也未提起上诉或再审申请，</w:t>
      </w:r>
      <w:r>
        <w:rPr>
          <w:rFonts w:ascii="Times New Roman" w:eastAsia="宋体" w:hAnsi="Times New Roman" w:hint="eastAsia"/>
          <w:sz w:val="21"/>
          <w:szCs w:val="21"/>
        </w:rPr>
        <w:t>应</w:t>
      </w:r>
      <w:r>
        <w:rPr>
          <w:rFonts w:ascii="Times New Roman" w:eastAsia="宋体" w:hAnsi="Times New Roman"/>
          <w:sz w:val="21"/>
          <w:szCs w:val="21"/>
        </w:rPr>
        <w:t>在判决或裁定生效后</w:t>
      </w:r>
      <w:r>
        <w:rPr>
          <w:rFonts w:ascii="Times New Roman" w:eastAsia="宋体" w:hAnsi="Times New Roman"/>
          <w:sz w:val="21"/>
          <w:szCs w:val="21"/>
        </w:rPr>
        <w:t>1</w:t>
      </w:r>
      <w:r>
        <w:rPr>
          <w:rFonts w:ascii="Times New Roman" w:eastAsia="宋体" w:hAnsi="Times New Roman"/>
          <w:sz w:val="21"/>
          <w:szCs w:val="21"/>
        </w:rPr>
        <w:t>个月内结案。</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在结案前，</w:t>
      </w:r>
      <w:r>
        <w:rPr>
          <w:rFonts w:ascii="Times New Roman" w:eastAsia="宋体" w:hAnsi="Times New Roman" w:hint="eastAsia"/>
          <w:sz w:val="21"/>
          <w:szCs w:val="21"/>
        </w:rPr>
        <w:t>代理人</w:t>
      </w:r>
      <w:r>
        <w:rPr>
          <w:rFonts w:ascii="Times New Roman" w:eastAsia="宋体" w:hAnsi="Times New Roman"/>
          <w:sz w:val="21"/>
          <w:szCs w:val="21"/>
        </w:rPr>
        <w:t>应当整理诉讼案卷，并将下列法律文书归档：</w:t>
      </w:r>
      <w:r>
        <w:rPr>
          <w:rFonts w:ascii="Times New Roman" w:eastAsia="宋体" w:hAnsi="Times New Roman"/>
          <w:sz w:val="21"/>
          <w:szCs w:val="21"/>
        </w:rPr>
        <w:t>(1)</w:t>
      </w:r>
      <w:r>
        <w:rPr>
          <w:rFonts w:ascii="Times New Roman" w:eastAsia="宋体" w:hAnsi="Times New Roman"/>
          <w:sz w:val="21"/>
          <w:szCs w:val="21"/>
        </w:rPr>
        <w:t>应诉通知书原件、起诉状及证据材料副本。</w:t>
      </w:r>
      <w:r>
        <w:rPr>
          <w:rFonts w:ascii="Times New Roman" w:eastAsia="宋体" w:hAnsi="Times New Roman"/>
          <w:sz w:val="21"/>
          <w:szCs w:val="21"/>
        </w:rPr>
        <w:t>(2)</w:t>
      </w:r>
      <w:r>
        <w:rPr>
          <w:rFonts w:ascii="Times New Roman" w:eastAsia="宋体" w:hAnsi="Times New Roman"/>
          <w:sz w:val="21"/>
          <w:szCs w:val="21"/>
        </w:rPr>
        <w:t>一审答辩状、证据清单及证据材料副本。</w:t>
      </w:r>
      <w:r>
        <w:rPr>
          <w:rFonts w:ascii="Times New Roman" w:eastAsia="宋体" w:hAnsi="Times New Roman"/>
          <w:sz w:val="21"/>
          <w:szCs w:val="21"/>
        </w:rPr>
        <w:t>(3)</w:t>
      </w:r>
      <w:r>
        <w:rPr>
          <w:rFonts w:ascii="Times New Roman" w:eastAsia="宋体" w:hAnsi="Times New Roman"/>
          <w:sz w:val="21"/>
          <w:szCs w:val="21"/>
        </w:rPr>
        <w:t>一审判决书或裁定书原件。</w:t>
      </w:r>
      <w:r>
        <w:rPr>
          <w:rFonts w:ascii="Times New Roman" w:eastAsia="宋体" w:hAnsi="Times New Roman"/>
          <w:sz w:val="21"/>
          <w:szCs w:val="21"/>
        </w:rPr>
        <w:t>(4)</w:t>
      </w:r>
      <w:r>
        <w:rPr>
          <w:rFonts w:ascii="Times New Roman" w:eastAsia="宋体" w:hAnsi="Times New Roman"/>
          <w:sz w:val="21"/>
          <w:szCs w:val="21"/>
        </w:rPr>
        <w:t>其他重要的法律文书，如上诉状、证据清单和证据材料副本、二审判决或裁定书、诉讼代理词等。</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归档时案卷顺序依次为：应诉通知书、起诉状、原告提交的证据、诉讼代理人指派书、统一社会信用代码证书、法定代表人或主要负责人身份证明、授权委托书、答辩状、证据清单、依照证据清单顺序的一套完整的证据副本、第三人的答辩状及证据、传票、诉讼代理词、判决书或裁定书、诉讼案件分析报批表。其余未尽文件</w:t>
      </w:r>
      <w:r>
        <w:rPr>
          <w:rFonts w:ascii="Times New Roman" w:eastAsia="宋体" w:hAnsi="Times New Roman" w:hint="eastAsia"/>
          <w:sz w:val="21"/>
          <w:szCs w:val="21"/>
        </w:rPr>
        <w:t>可以</w:t>
      </w:r>
      <w:r>
        <w:rPr>
          <w:rFonts w:ascii="Times New Roman" w:eastAsia="宋体" w:hAnsi="Times New Roman"/>
          <w:sz w:val="21"/>
          <w:szCs w:val="21"/>
        </w:rPr>
        <w:t>依时间顺序排列。</w:t>
      </w:r>
    </w:p>
    <w:p w:rsidR="00800760" w:rsidRDefault="00235733">
      <w:pPr>
        <w:pStyle w:val="12"/>
        <w:topLinePunct/>
        <w:spacing w:line="336" w:lineRule="auto"/>
        <w:ind w:firstLine="420"/>
        <w:rPr>
          <w:rFonts w:ascii="Times New Roman" w:eastAsia="宋体" w:hAnsi="Times New Roman"/>
          <w:sz w:val="21"/>
          <w:szCs w:val="21"/>
        </w:rPr>
      </w:pPr>
      <w:r>
        <w:rPr>
          <w:rFonts w:ascii="Times New Roman" w:eastAsia="宋体" w:hAnsi="Times New Roman" w:hint="eastAsia"/>
          <w:sz w:val="21"/>
          <w:szCs w:val="21"/>
        </w:rPr>
        <w:t>专利纠纷</w:t>
      </w:r>
      <w:r>
        <w:rPr>
          <w:rFonts w:ascii="Times New Roman" w:eastAsia="宋体" w:hAnsi="Times New Roman"/>
          <w:sz w:val="21"/>
          <w:szCs w:val="21"/>
        </w:rPr>
        <w:t>行政诉讼结案归档后，管理专利工作的部门应当对案件情况进行登记，并定期进行统计和分析。管理专利工作的部门可以通过</w:t>
      </w:r>
      <w:r>
        <w:rPr>
          <w:rFonts w:ascii="Times New Roman" w:eastAsia="宋体" w:hAnsi="Times New Roman" w:hint="eastAsia"/>
          <w:sz w:val="21"/>
          <w:szCs w:val="21"/>
        </w:rPr>
        <w:t>案例</w:t>
      </w:r>
      <w:r>
        <w:rPr>
          <w:rFonts w:ascii="Times New Roman" w:eastAsia="宋体" w:hAnsi="Times New Roman"/>
          <w:sz w:val="21"/>
          <w:szCs w:val="21"/>
        </w:rPr>
        <w:t>分析研讨会等形式，组织业务处室和行政诉讼处室共同就行政诉讼中反映出的问题进行讨论交流，进一步规范行政执法，提高执法能力和水平</w:t>
      </w:r>
      <w:r>
        <w:rPr>
          <w:rFonts w:ascii="Times New Roman" w:eastAsia="宋体" w:hAnsi="Times New Roman" w:hint="eastAsia"/>
          <w:sz w:val="21"/>
          <w:szCs w:val="21"/>
        </w:rPr>
        <w:t>。</w:t>
      </w:r>
      <w:bookmarkStart w:id="5073" w:name="bookmark569"/>
      <w:bookmarkStart w:id="5074" w:name="bookmark567"/>
      <w:bookmarkStart w:id="5075" w:name="bookmark568"/>
      <w:bookmarkStart w:id="5076" w:name="bookmark570"/>
      <w:bookmarkEnd w:id="5073"/>
      <w:bookmarkEnd w:id="5074"/>
      <w:bookmarkEnd w:id="5075"/>
      <w:bookmarkEnd w:id="5076"/>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7A46B7" w:rsidRDefault="007A46B7">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800760" w:rsidRDefault="00800760">
      <w:pPr>
        <w:pStyle w:val="12"/>
        <w:topLinePunct/>
        <w:spacing w:line="336" w:lineRule="auto"/>
        <w:ind w:firstLine="420"/>
        <w:rPr>
          <w:rFonts w:ascii="Times New Roman" w:eastAsia="宋体" w:hAnsi="Times New Roman"/>
          <w:sz w:val="21"/>
          <w:szCs w:val="21"/>
        </w:rPr>
      </w:pPr>
    </w:p>
    <w:p w:rsidR="007A46B7" w:rsidRDefault="007A46B7">
      <w:pPr>
        <w:pStyle w:val="1"/>
      </w:pPr>
      <w:bookmarkStart w:id="5077" w:name="_Toc24867"/>
      <w:bookmarkStart w:id="5078" w:name="_Toc22566"/>
      <w:bookmarkStart w:id="5079" w:name="_Toc31320"/>
      <w:bookmarkStart w:id="5080" w:name="_Toc26626"/>
      <w:bookmarkStart w:id="5081" w:name="_Toc30572"/>
      <w:bookmarkStart w:id="5082" w:name="_Toc4066"/>
      <w:bookmarkStart w:id="5083" w:name="_Toc17660"/>
      <w:bookmarkStart w:id="5084" w:name="_Toc22327"/>
      <w:bookmarkStart w:id="5085" w:name="_Toc11943"/>
      <w:bookmarkStart w:id="5086" w:name="_Toc7334"/>
      <w:bookmarkStart w:id="5087" w:name="_Toc22438"/>
      <w:bookmarkStart w:id="5088" w:name="_Toc29329"/>
      <w:bookmarkStart w:id="5089" w:name="_Toc18888"/>
      <w:bookmarkStart w:id="5090" w:name="_Toc232"/>
      <w:bookmarkStart w:id="5091" w:name="_Toc8817"/>
      <w:bookmarkStart w:id="5092" w:name="_Toc24208"/>
      <w:bookmarkStart w:id="5093" w:name="_Toc29267"/>
      <w:bookmarkStart w:id="5094" w:name="_Toc22470"/>
      <w:bookmarkStart w:id="5095" w:name="_Toc6438"/>
      <w:bookmarkStart w:id="5096" w:name="_Toc20547"/>
      <w:bookmarkStart w:id="5097" w:name="_Toc27691"/>
      <w:bookmarkStart w:id="5098" w:name="_Toc25439"/>
      <w:bookmarkStart w:id="5099" w:name="_Toc26692"/>
      <w:bookmarkStart w:id="5100" w:name="_Toc13892"/>
      <w:bookmarkStart w:id="5101" w:name="_Toc7934"/>
      <w:bookmarkStart w:id="5102" w:name="_Toc30387"/>
      <w:bookmarkStart w:id="5103" w:name="_Toc3467"/>
      <w:bookmarkStart w:id="5104" w:name="_Toc6193"/>
      <w:bookmarkStart w:id="5105" w:name="_Toc27188"/>
      <w:bookmarkStart w:id="5106" w:name="_Toc22734"/>
      <w:bookmarkStart w:id="5107" w:name="_Toc9561"/>
      <w:bookmarkStart w:id="5108" w:name="_Toc8547"/>
      <w:bookmarkStart w:id="5109" w:name="_Toc24248"/>
      <w:bookmarkStart w:id="5110" w:name="_Toc13749"/>
      <w:bookmarkStart w:id="5111" w:name="_Toc27717"/>
      <w:bookmarkStart w:id="5112" w:name="_Toc10328"/>
      <w:bookmarkStart w:id="5113" w:name="_Toc25731"/>
      <w:bookmarkStart w:id="5114" w:name="_Toc6585"/>
      <w:bookmarkStart w:id="5115" w:name="_Toc9581"/>
      <w:bookmarkStart w:id="5116" w:name="_Toc30687"/>
      <w:bookmarkStart w:id="5117" w:name="_Toc7292"/>
      <w:bookmarkStart w:id="5118" w:name="_Toc3088"/>
      <w:bookmarkStart w:id="5119" w:name="_Toc2634"/>
      <w:bookmarkStart w:id="5120" w:name="_Toc22753"/>
      <w:bookmarkStart w:id="5121" w:name="_Toc229114444"/>
    </w:p>
    <w:p w:rsidR="007A46B7" w:rsidRDefault="007A46B7">
      <w:pPr>
        <w:pStyle w:val="1"/>
      </w:pPr>
    </w:p>
    <w:p w:rsidR="007A46B7" w:rsidRDefault="007A46B7">
      <w:pPr>
        <w:pStyle w:val="1"/>
      </w:pPr>
    </w:p>
    <w:p w:rsidR="007A46B7" w:rsidRDefault="007A46B7">
      <w:pPr>
        <w:pStyle w:val="1"/>
      </w:pPr>
    </w:p>
    <w:p w:rsidR="007A46B7" w:rsidRDefault="007A46B7">
      <w:pPr>
        <w:pStyle w:val="1"/>
      </w:pPr>
    </w:p>
    <w:p w:rsidR="007A46B7" w:rsidRDefault="007A46B7">
      <w:pPr>
        <w:pStyle w:val="1"/>
      </w:pPr>
    </w:p>
    <w:p w:rsidR="007A46B7" w:rsidRDefault="007A46B7">
      <w:pPr>
        <w:pStyle w:val="1"/>
      </w:pPr>
    </w:p>
    <w:p w:rsidR="007A46B7" w:rsidRDefault="007A46B7">
      <w:pPr>
        <w:pStyle w:val="1"/>
      </w:pPr>
    </w:p>
    <w:p w:rsidR="00800760" w:rsidRDefault="00235733">
      <w:pPr>
        <w:pStyle w:val="1"/>
        <w:sectPr w:rsidR="00800760" w:rsidSect="008175D7">
          <w:footerReference w:type="default" r:id="rId83"/>
          <w:pgSz w:w="11907" w:h="16839" w:code="9"/>
          <w:pgMar w:top="714" w:right="1077" w:bottom="1230" w:left="1077" w:header="431" w:footer="969" w:gutter="0"/>
          <w:cols w:space="720"/>
          <w:docGrid w:linePitch="286"/>
        </w:sectPr>
      </w:pPr>
      <w:bookmarkStart w:id="5122" w:name="_Toc229225540"/>
      <w:r>
        <w:rPr>
          <w:rFonts w:hint="eastAsia"/>
        </w:rPr>
        <w:t>第二部分　专利</w:t>
      </w:r>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r>
        <w:rPr>
          <w:rFonts w:hint="eastAsia"/>
        </w:rPr>
        <w:t>纠纷行政调解</w:t>
      </w:r>
      <w:bookmarkEnd w:id="5121"/>
      <w:bookmarkEnd w:id="5122"/>
    </w:p>
    <w:p w:rsidR="00800760" w:rsidRDefault="00800760">
      <w:pPr>
        <w:pStyle w:val="a5"/>
        <w:spacing w:line="260" w:lineRule="auto"/>
      </w:pPr>
    </w:p>
    <w:p w:rsidR="00800760" w:rsidRDefault="00235733">
      <w:pPr>
        <w:pStyle w:val="1"/>
        <w:spacing w:before="107"/>
        <w:ind w:firstLineChars="0" w:firstLine="595"/>
        <w:rPr>
          <w:rFonts w:cs="宋体"/>
          <w:sz w:val="33"/>
          <w:szCs w:val="33"/>
        </w:rPr>
      </w:pPr>
      <w:bookmarkStart w:id="5123" w:name="bookmark166"/>
      <w:bookmarkStart w:id="5124" w:name="_Toc5539"/>
      <w:bookmarkStart w:id="5125" w:name="_Toc2079"/>
      <w:bookmarkStart w:id="5126" w:name="_Toc29067"/>
      <w:bookmarkStart w:id="5127" w:name="_Toc22478"/>
      <w:bookmarkStart w:id="5128" w:name="_Toc7475"/>
      <w:bookmarkStart w:id="5129" w:name="_Toc26306"/>
      <w:bookmarkStart w:id="5130" w:name="_Toc16564"/>
      <w:bookmarkStart w:id="5131" w:name="_Toc4521"/>
      <w:bookmarkStart w:id="5132" w:name="_Toc24227"/>
      <w:bookmarkStart w:id="5133" w:name="_Toc1756"/>
      <w:bookmarkStart w:id="5134" w:name="_Toc9095"/>
      <w:bookmarkStart w:id="5135" w:name="_Toc23180"/>
      <w:bookmarkStart w:id="5136" w:name="_Toc9145"/>
      <w:bookmarkStart w:id="5137" w:name="_Toc9017"/>
      <w:bookmarkStart w:id="5138" w:name="_Toc13138"/>
      <w:bookmarkStart w:id="5139" w:name="_Toc25066"/>
      <w:bookmarkStart w:id="5140" w:name="_Toc4982"/>
      <w:bookmarkStart w:id="5141" w:name="_Toc7327"/>
      <w:bookmarkStart w:id="5142" w:name="_Toc2011"/>
      <w:bookmarkStart w:id="5143" w:name="_Toc16705"/>
      <w:bookmarkStart w:id="5144" w:name="_Toc22984"/>
      <w:bookmarkStart w:id="5145" w:name="_Toc17937"/>
      <w:bookmarkStart w:id="5146" w:name="_Toc24912"/>
      <w:bookmarkStart w:id="5147" w:name="_Toc12109"/>
      <w:bookmarkStart w:id="5148" w:name="_Toc22165"/>
      <w:bookmarkStart w:id="5149" w:name="_Toc15969"/>
      <w:bookmarkStart w:id="5150" w:name="_Toc6545"/>
      <w:bookmarkStart w:id="5151" w:name="_Toc4332"/>
      <w:bookmarkStart w:id="5152" w:name="_Toc20783"/>
      <w:bookmarkStart w:id="5153" w:name="_Toc7778"/>
      <w:bookmarkStart w:id="5154" w:name="_Toc14158"/>
      <w:bookmarkStart w:id="5155" w:name="_Toc9421"/>
      <w:bookmarkStart w:id="5156" w:name="_Toc217908699"/>
      <w:bookmarkStart w:id="5157" w:name="_Toc15817"/>
      <w:bookmarkStart w:id="5158" w:name="_Toc23939"/>
      <w:bookmarkStart w:id="5159" w:name="_Toc8786"/>
      <w:bookmarkStart w:id="5160" w:name="_Toc9224"/>
      <w:bookmarkStart w:id="5161" w:name="_Toc6729"/>
      <w:bookmarkStart w:id="5162" w:name="_Toc6302"/>
      <w:bookmarkStart w:id="5163" w:name="_Toc25226"/>
      <w:bookmarkStart w:id="5164" w:name="_Toc31162"/>
      <w:bookmarkStart w:id="5165" w:name="_Toc18844"/>
      <w:bookmarkStart w:id="5166" w:name="_Toc9677"/>
      <w:bookmarkStart w:id="5167" w:name="_Toc25191"/>
      <w:bookmarkStart w:id="5168" w:name="_Toc229114445"/>
      <w:bookmarkStart w:id="5169" w:name="_Toc21140"/>
      <w:bookmarkStart w:id="5170" w:name="_Toc229225541"/>
      <w:bookmarkStart w:id="5171" w:name="_Toc11142"/>
      <w:bookmarkStart w:id="5172" w:name="_Toc11289"/>
      <w:bookmarkStart w:id="5173" w:name="_Toc23519"/>
      <w:bookmarkStart w:id="5174" w:name="_Toc10663"/>
      <w:bookmarkStart w:id="5175" w:name="_Toc16487"/>
      <w:bookmarkStart w:id="5176" w:name="_Toc28826"/>
      <w:bookmarkStart w:id="5177" w:name="_Toc8330"/>
      <w:bookmarkStart w:id="5178" w:name="_Toc20170"/>
      <w:bookmarkStart w:id="5179" w:name="_Toc13455"/>
      <w:bookmarkStart w:id="5180" w:name="_Toc24406"/>
      <w:bookmarkStart w:id="5181" w:name="_Toc5047"/>
      <w:bookmarkStart w:id="5182" w:name="_Toc9735"/>
      <w:bookmarkStart w:id="5183" w:name="_Toc18464"/>
      <w:bookmarkStart w:id="5184" w:name="_Toc19558"/>
      <w:bookmarkStart w:id="5185" w:name="_Toc15508"/>
      <w:bookmarkStart w:id="5186" w:name="_Toc21952"/>
      <w:bookmarkStart w:id="5187" w:name="_Toc9154"/>
      <w:bookmarkStart w:id="5188" w:name="_Toc60"/>
      <w:bookmarkStart w:id="5189" w:name="_Toc4149"/>
      <w:bookmarkStart w:id="5190" w:name="_Toc15834"/>
      <w:bookmarkStart w:id="5191" w:name="_Toc5119"/>
      <w:bookmarkStart w:id="5192" w:name="_Toc26262"/>
      <w:bookmarkStart w:id="5193" w:name="_Toc877"/>
      <w:bookmarkStart w:id="5194" w:name="_Toc25204"/>
      <w:bookmarkStart w:id="5195" w:name="_Toc4369"/>
      <w:bookmarkStart w:id="5196" w:name="_Toc7984"/>
      <w:bookmarkStart w:id="5197" w:name="_Toc31482"/>
      <w:bookmarkStart w:id="5198" w:name="_Toc15733"/>
      <w:bookmarkStart w:id="5199" w:name="_Toc23363"/>
      <w:bookmarkStart w:id="5200" w:name="_Toc19946"/>
      <w:bookmarkStart w:id="5201" w:name="_Toc6082"/>
      <w:bookmarkStart w:id="5202" w:name="_Toc14131"/>
      <w:bookmarkStart w:id="5203" w:name="_Toc19823"/>
      <w:bookmarkStart w:id="5204" w:name="_Toc21220"/>
      <w:bookmarkStart w:id="5205" w:name="_Toc4740"/>
      <w:bookmarkStart w:id="5206" w:name="_Toc8008"/>
      <w:bookmarkStart w:id="5207" w:name="_Toc11852"/>
      <w:bookmarkStart w:id="5208" w:name="_Toc20885"/>
      <w:bookmarkStart w:id="5209" w:name="_Toc12596"/>
      <w:bookmarkStart w:id="5210" w:name="_Toc14815"/>
      <w:bookmarkStart w:id="5211" w:name="_Toc6491"/>
      <w:bookmarkStart w:id="5212" w:name="_Toc22718"/>
      <w:bookmarkEnd w:id="5123"/>
      <w:r>
        <w:rPr>
          <w:rFonts w:cs="宋体"/>
          <w:bCs/>
          <w:spacing w:val="-17"/>
          <w:sz w:val="33"/>
          <w:szCs w:val="33"/>
        </w:rPr>
        <w:t>第一章</w:t>
      </w:r>
      <w:r>
        <w:rPr>
          <w:rFonts w:hint="eastAsia"/>
        </w:rPr>
        <w:t xml:space="preserve">　</w:t>
      </w:r>
      <w:r>
        <w:rPr>
          <w:rFonts w:cs="宋体"/>
          <w:spacing w:val="-17"/>
          <w:sz w:val="33"/>
          <w:szCs w:val="33"/>
        </w:rPr>
        <w:t>概</w:t>
      </w:r>
      <w:r>
        <w:rPr>
          <w:rFonts w:cs="宋体"/>
          <w:bCs/>
          <w:spacing w:val="-17"/>
          <w:sz w:val="33"/>
          <w:szCs w:val="33"/>
        </w:rPr>
        <w:t>述</w:t>
      </w:r>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p>
    <w:p w:rsidR="00800760" w:rsidRDefault="00235733">
      <w:pPr>
        <w:ind w:firstLine="436"/>
        <w:jc w:val="both"/>
        <w:rPr>
          <w:rFonts w:cs="宋体"/>
          <w:spacing w:val="4"/>
        </w:rPr>
      </w:pPr>
      <w:r>
        <w:rPr>
          <w:rFonts w:cs="宋体"/>
          <w:spacing w:val="4"/>
        </w:rPr>
        <w:t>为规范专利纠纷行政调解行为，充分发挥管理专利工作的部门相对于其他调解组织</w:t>
      </w:r>
      <w:r>
        <w:rPr>
          <w:rFonts w:cs="宋体" w:hint="eastAsia"/>
          <w:spacing w:val="4"/>
        </w:rPr>
        <w:t>所</w:t>
      </w:r>
      <w:r>
        <w:rPr>
          <w:rFonts w:cs="宋体"/>
          <w:spacing w:val="4"/>
        </w:rPr>
        <w:t>具有的特定优势，化解社会矛盾，维护专利权人和社会公众的合法权益，营造良好</w:t>
      </w:r>
      <w:r>
        <w:rPr>
          <w:rFonts w:cs="宋体" w:hint="eastAsia"/>
          <w:spacing w:val="4"/>
        </w:rPr>
        <w:t>法治</w:t>
      </w:r>
      <w:r>
        <w:rPr>
          <w:rFonts w:cs="宋体"/>
          <w:spacing w:val="4"/>
        </w:rPr>
        <w:t>环境，构建美好和谐社会，根据《中华人民共和国专利法》</w:t>
      </w:r>
      <w:r>
        <w:rPr>
          <w:rFonts w:cs="宋体"/>
          <w:spacing w:val="4"/>
        </w:rPr>
        <w:t>(</w:t>
      </w:r>
      <w:r>
        <w:rPr>
          <w:rFonts w:cs="宋体"/>
          <w:spacing w:val="4"/>
        </w:rPr>
        <w:t>以下简称《专利法》</w:t>
      </w:r>
      <w:r>
        <w:rPr>
          <w:rFonts w:cs="宋体"/>
          <w:spacing w:val="4"/>
        </w:rPr>
        <w:t>)</w:t>
      </w:r>
      <w:r>
        <w:rPr>
          <w:rFonts w:cs="宋体"/>
          <w:spacing w:val="4"/>
        </w:rPr>
        <w:t>、《中华人民共和国专利法实施细则》</w:t>
      </w:r>
      <w:r>
        <w:rPr>
          <w:rFonts w:cs="宋体"/>
          <w:spacing w:val="4"/>
        </w:rPr>
        <w:t>(</w:t>
      </w:r>
      <w:r>
        <w:rPr>
          <w:rFonts w:cs="宋体"/>
          <w:spacing w:val="4"/>
        </w:rPr>
        <w:t>以下简称《专利法实施细则》</w:t>
      </w:r>
      <w:r>
        <w:rPr>
          <w:rFonts w:cs="宋体"/>
          <w:spacing w:val="4"/>
        </w:rPr>
        <w:t>)</w:t>
      </w:r>
      <w:r>
        <w:rPr>
          <w:rFonts w:cs="宋体"/>
          <w:spacing w:val="4"/>
        </w:rPr>
        <w:t>、《专利行政执法办法》和其他有关法律、法规，制定本指南。</w:t>
      </w:r>
    </w:p>
    <w:p w:rsidR="00800760" w:rsidRDefault="00800760">
      <w:pPr>
        <w:pStyle w:val="a5"/>
        <w:spacing w:line="340" w:lineRule="auto"/>
        <w:jc w:val="center"/>
      </w:pPr>
      <w:bookmarkStart w:id="5213" w:name="bookmark167"/>
      <w:bookmarkStart w:id="5214" w:name="bookmark168"/>
      <w:bookmarkEnd w:id="5213"/>
      <w:bookmarkEnd w:id="5214"/>
    </w:p>
    <w:p w:rsidR="00800760" w:rsidRDefault="00235733">
      <w:pPr>
        <w:pStyle w:val="2"/>
        <w:spacing w:before="91"/>
        <w:ind w:firstLineChars="0" w:firstLine="0"/>
        <w:rPr>
          <w:rFonts w:ascii="Times New Roman" w:hAnsi="Times New Roman"/>
        </w:rPr>
      </w:pPr>
      <w:bookmarkStart w:id="5215" w:name="_Toc30563"/>
      <w:bookmarkStart w:id="5216" w:name="_Toc15670"/>
      <w:bookmarkStart w:id="5217" w:name="_Toc24212"/>
      <w:bookmarkStart w:id="5218" w:name="_Toc17181"/>
      <w:bookmarkStart w:id="5219" w:name="_Toc28295"/>
      <w:bookmarkStart w:id="5220" w:name="_Toc11235"/>
      <w:bookmarkStart w:id="5221" w:name="_Toc15923"/>
      <w:bookmarkStart w:id="5222" w:name="_Toc13414"/>
      <w:bookmarkStart w:id="5223" w:name="_Toc6783"/>
      <w:bookmarkStart w:id="5224" w:name="_Toc5061"/>
      <w:bookmarkStart w:id="5225" w:name="_Toc26519"/>
      <w:bookmarkStart w:id="5226" w:name="_Toc30179"/>
      <w:bookmarkStart w:id="5227" w:name="_Toc8906"/>
      <w:bookmarkStart w:id="5228" w:name="_Toc2497"/>
      <w:bookmarkStart w:id="5229" w:name="_Toc23457"/>
      <w:bookmarkStart w:id="5230" w:name="_Toc23465"/>
      <w:bookmarkStart w:id="5231" w:name="_Toc12083"/>
      <w:bookmarkStart w:id="5232" w:name="_Toc7500"/>
      <w:bookmarkStart w:id="5233" w:name="_Toc7887"/>
      <w:bookmarkStart w:id="5234" w:name="_Toc8282"/>
      <w:bookmarkStart w:id="5235" w:name="_Toc18468"/>
      <w:bookmarkStart w:id="5236" w:name="_Toc19196"/>
      <w:bookmarkStart w:id="5237" w:name="_Toc32617"/>
      <w:bookmarkStart w:id="5238" w:name="_Toc20355"/>
      <w:bookmarkStart w:id="5239" w:name="_Toc19032"/>
      <w:bookmarkStart w:id="5240" w:name="_Toc22772"/>
      <w:bookmarkStart w:id="5241" w:name="_Toc17578"/>
      <w:bookmarkStart w:id="5242" w:name="_Toc3899"/>
      <w:bookmarkStart w:id="5243" w:name="_Toc3597"/>
      <w:bookmarkStart w:id="5244" w:name="_Toc25120"/>
      <w:bookmarkStart w:id="5245" w:name="_Toc12726"/>
      <w:bookmarkStart w:id="5246" w:name="_Toc14833"/>
      <w:bookmarkStart w:id="5247" w:name="_Toc4246"/>
      <w:bookmarkStart w:id="5248" w:name="_Toc27116"/>
      <w:bookmarkStart w:id="5249" w:name="_Toc16685"/>
      <w:bookmarkStart w:id="5250" w:name="_Toc28138"/>
      <w:bookmarkStart w:id="5251" w:name="_Toc16441"/>
      <w:bookmarkStart w:id="5252" w:name="_Toc217908711"/>
      <w:bookmarkStart w:id="5253" w:name="_Toc8614"/>
      <w:bookmarkStart w:id="5254" w:name="_Toc229114446"/>
      <w:bookmarkStart w:id="5255" w:name="_Toc12813"/>
      <w:bookmarkStart w:id="5256" w:name="_Toc11629"/>
      <w:bookmarkStart w:id="5257" w:name="_Toc463"/>
      <w:bookmarkStart w:id="5258" w:name="_Toc824"/>
      <w:bookmarkStart w:id="5259" w:name="_Toc229225542"/>
      <w:r>
        <w:rPr>
          <w:rFonts w:ascii="Times New Roman" w:hAnsi="Times New Roman"/>
        </w:rPr>
        <w:t>第</w:t>
      </w:r>
      <w:r>
        <w:rPr>
          <w:rFonts w:ascii="Times New Roman" w:hAnsi="Times New Roman" w:hint="eastAsia"/>
        </w:rPr>
        <w:t>一</w:t>
      </w:r>
      <w:r>
        <w:rPr>
          <w:rFonts w:ascii="Times New Roman" w:hAnsi="Times New Roman"/>
        </w:rPr>
        <w:t>节</w:t>
      </w:r>
      <w:r>
        <w:rPr>
          <w:rFonts w:ascii="Times New Roman" w:hAnsi="Times New Roman" w:hint="eastAsia"/>
        </w:rPr>
        <w:t xml:space="preserve">　</w:t>
      </w:r>
      <w:r>
        <w:rPr>
          <w:rFonts w:ascii="Times New Roman" w:hAnsi="Times New Roman"/>
        </w:rPr>
        <w:t>法律依据、</w:t>
      </w:r>
      <w:r>
        <w:rPr>
          <w:rFonts w:ascii="Times New Roman" w:hAnsi="Times New Roman" w:hint="eastAsia"/>
        </w:rPr>
        <w:t>基本原则及</w:t>
      </w:r>
      <w:r>
        <w:rPr>
          <w:rFonts w:ascii="Times New Roman" w:hAnsi="Times New Roman"/>
        </w:rPr>
        <w:t>管辖</w:t>
      </w:r>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p>
    <w:p w:rsidR="00800760" w:rsidRDefault="00235733">
      <w:pPr>
        <w:spacing w:line="360" w:lineRule="auto"/>
        <w:ind w:firstLine="436"/>
        <w:jc w:val="both"/>
        <w:rPr>
          <w:rFonts w:cs="宋体"/>
          <w:spacing w:val="4"/>
        </w:rPr>
      </w:pPr>
      <w:bookmarkStart w:id="5260" w:name="_Toc10264"/>
      <w:bookmarkStart w:id="5261" w:name="_Toc23131"/>
      <w:bookmarkStart w:id="5262" w:name="_Toc20251"/>
      <w:bookmarkStart w:id="5263" w:name="_Toc1946"/>
      <w:bookmarkStart w:id="5264" w:name="_Toc1761"/>
      <w:bookmarkStart w:id="5265" w:name="_Toc3704"/>
      <w:bookmarkStart w:id="5266" w:name="_Toc9661"/>
      <w:bookmarkStart w:id="5267" w:name="_Toc2581"/>
      <w:bookmarkStart w:id="5268" w:name="_Toc14826"/>
      <w:bookmarkStart w:id="5269" w:name="_Toc8442"/>
      <w:bookmarkStart w:id="5270" w:name="_Toc31764"/>
      <w:bookmarkStart w:id="5271" w:name="_Toc16957"/>
      <w:bookmarkStart w:id="5272" w:name="_Toc28051"/>
      <w:bookmarkStart w:id="5273" w:name="_Toc28993"/>
      <w:bookmarkStart w:id="5274" w:name="_Toc16163"/>
      <w:bookmarkStart w:id="5275" w:name="_Toc20548"/>
      <w:bookmarkStart w:id="5276" w:name="_Toc8341"/>
      <w:bookmarkStart w:id="5277" w:name="_Toc29284"/>
      <w:bookmarkStart w:id="5278" w:name="_Toc3959"/>
      <w:bookmarkStart w:id="5279" w:name="_Toc1489"/>
      <w:bookmarkStart w:id="5280" w:name="_Toc29131"/>
      <w:bookmarkStart w:id="5281" w:name="_Toc30802"/>
      <w:bookmarkStart w:id="5282" w:name="_Toc19842"/>
      <w:bookmarkStart w:id="5283" w:name="_Toc21961"/>
      <w:bookmarkStart w:id="5284" w:name="_Toc6811"/>
      <w:bookmarkStart w:id="5285" w:name="_Toc19729"/>
      <w:bookmarkStart w:id="5286" w:name="_Toc31131"/>
      <w:bookmarkStart w:id="5287" w:name="_Toc13857"/>
      <w:bookmarkStart w:id="5288" w:name="_Toc29649"/>
      <w:bookmarkStart w:id="5289" w:name="_Toc16790"/>
      <w:bookmarkStart w:id="5290" w:name="_Toc15328"/>
      <w:bookmarkStart w:id="5291" w:name="_Toc27348"/>
      <w:bookmarkStart w:id="5292" w:name="_Toc22062"/>
      <w:bookmarkStart w:id="5293" w:name="_Toc23547"/>
      <w:bookmarkStart w:id="5294" w:name="_Toc217908712"/>
      <w:bookmarkStart w:id="5295" w:name="_Toc25164"/>
      <w:bookmarkStart w:id="5296" w:name="_Toc6869"/>
      <w:bookmarkStart w:id="5297" w:name="_Toc12909"/>
      <w:bookmarkStart w:id="5298" w:name="_Toc23066"/>
      <w:bookmarkStart w:id="5299" w:name="_Toc9656"/>
      <w:bookmarkStart w:id="5300" w:name="_Toc9152"/>
      <w:bookmarkStart w:id="5301" w:name="_Toc27569"/>
      <w:bookmarkStart w:id="5302" w:name="_Toc8880"/>
      <w:r>
        <w:rPr>
          <w:rFonts w:cs="宋体"/>
          <w:spacing w:val="4"/>
        </w:rPr>
        <w:t>专利纠纷行政调解是指管理专利工作的部门对于涉及专利且不属于专利侵权纠纷的争议，在各方当事人自愿的基础上，以《专利法》及相关法律、法规为依据，以当事人自愿为原则，通过对当事人的说服</w:t>
      </w:r>
      <w:r>
        <w:rPr>
          <w:rFonts w:cs="宋体" w:hint="eastAsia"/>
          <w:spacing w:val="4"/>
        </w:rPr>
        <w:t>与劝导</w:t>
      </w:r>
      <w:r>
        <w:rPr>
          <w:rFonts w:cs="宋体"/>
          <w:spacing w:val="4"/>
        </w:rPr>
        <w:t>，促使当事人平等协商，互谅互让，达成调解协议，以快速解决纠纷的行为。</w:t>
      </w:r>
    </w:p>
    <w:p w:rsidR="00800760" w:rsidRDefault="00235733">
      <w:pPr>
        <w:spacing w:line="360" w:lineRule="auto"/>
      </w:pPr>
      <w:r>
        <w:t>管理专利工作的部门在对专利侵权纠纷作出行政裁决的过程中，可以进行调解，对侵犯专利权的赔偿数额纠纷也可以应当事人的请求进行调解。本指南中的专利纠纷</w:t>
      </w:r>
      <w:r>
        <w:rPr>
          <w:rFonts w:hint="eastAsia"/>
        </w:rPr>
        <w:t>行政</w:t>
      </w:r>
      <w:r>
        <w:t>调解主要是指除专利侵权纠纷以外的其他专利纠纷调解。</w:t>
      </w:r>
    </w:p>
    <w:p w:rsidR="00800760" w:rsidRDefault="00235733">
      <w:pPr>
        <w:pStyle w:val="3"/>
        <w:spacing w:before="240"/>
        <w:ind w:firstLine="444"/>
        <w:rPr>
          <w:rFonts w:ascii="Times New Roman" w:hAnsi="Times New Roman"/>
        </w:rPr>
      </w:pPr>
      <w:bookmarkStart w:id="5303" w:name="_Toc229114447"/>
      <w:bookmarkStart w:id="5304" w:name="_Toc229225543"/>
      <w:r>
        <w:rPr>
          <w:rFonts w:ascii="Times New Roman" w:hAnsi="Times New Roman"/>
        </w:rPr>
        <w:t>一、法律依据</w:t>
      </w:r>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p>
    <w:p w:rsidR="00800760" w:rsidRDefault="00235733">
      <w:pPr>
        <w:ind w:firstLine="436"/>
        <w:jc w:val="both"/>
        <w:rPr>
          <w:rFonts w:cs="宋体"/>
          <w:spacing w:val="4"/>
        </w:rPr>
      </w:pPr>
      <w:r>
        <w:rPr>
          <w:rFonts w:cs="宋体"/>
          <w:spacing w:val="4"/>
        </w:rPr>
        <w:t>管理专利工作的部门受理专利纠纷行政调解的法律依据为《专利法》第六十</w:t>
      </w:r>
      <w:r>
        <w:rPr>
          <w:rFonts w:cs="宋体" w:hint="eastAsia"/>
          <w:spacing w:val="4"/>
        </w:rPr>
        <w:t>五</w:t>
      </w:r>
      <w:r>
        <w:rPr>
          <w:rFonts w:cs="宋体"/>
          <w:spacing w:val="4"/>
        </w:rPr>
        <w:t>条和《专利法实施细则》第</w:t>
      </w:r>
      <w:r>
        <w:rPr>
          <w:rFonts w:cs="宋体" w:hint="eastAsia"/>
          <w:spacing w:val="4"/>
        </w:rPr>
        <w:t>一百零二</w:t>
      </w:r>
      <w:r>
        <w:rPr>
          <w:rFonts w:cs="宋体"/>
          <w:spacing w:val="4"/>
        </w:rPr>
        <w:t>条。</w:t>
      </w:r>
    </w:p>
    <w:p w:rsidR="00800760" w:rsidRDefault="00235733">
      <w:pPr>
        <w:ind w:firstLine="436"/>
        <w:jc w:val="both"/>
        <w:rPr>
          <w:rFonts w:cs="宋体"/>
          <w:spacing w:val="4"/>
        </w:rPr>
      </w:pPr>
      <w:r>
        <w:rPr>
          <w:rFonts w:cs="宋体"/>
          <w:spacing w:val="4"/>
        </w:rPr>
        <w:t>《专利法》第六十</w:t>
      </w:r>
      <w:r>
        <w:rPr>
          <w:rFonts w:cs="宋体" w:hint="eastAsia"/>
          <w:spacing w:val="4"/>
        </w:rPr>
        <w:t>五</w:t>
      </w:r>
      <w:r>
        <w:rPr>
          <w:rFonts w:cs="宋体"/>
          <w:spacing w:val="4"/>
        </w:rPr>
        <w:t>条规定：</w:t>
      </w:r>
      <w:r>
        <w:rPr>
          <w:rFonts w:cs="宋体"/>
          <w:spacing w:val="4"/>
        </w:rPr>
        <w:t>“</w:t>
      </w:r>
      <w:r>
        <w:rPr>
          <w:rFonts w:cs="宋体"/>
          <w:spacing w:val="4"/>
        </w:rPr>
        <w:t>进行处理的管理专利工作的部门应当事人的请求，可以就侵犯专利权的赔偿数额进行调解；调解不成的，当事人可以依照《中华人民共和国民事诉讼法》向人民法院起诉。</w:t>
      </w:r>
      <w:r>
        <w:rPr>
          <w:rFonts w:cs="宋体"/>
          <w:spacing w:val="4"/>
        </w:rPr>
        <w:t>”</w:t>
      </w:r>
    </w:p>
    <w:p w:rsidR="00800760" w:rsidRDefault="00235733">
      <w:pPr>
        <w:ind w:firstLine="436"/>
        <w:jc w:val="both"/>
        <w:rPr>
          <w:rFonts w:cs="宋体"/>
          <w:spacing w:val="4"/>
        </w:rPr>
      </w:pPr>
      <w:r>
        <w:rPr>
          <w:rFonts w:cs="宋体"/>
          <w:spacing w:val="4"/>
        </w:rPr>
        <w:t>《专利法实施细则》第</w:t>
      </w:r>
      <w:r>
        <w:rPr>
          <w:rFonts w:cs="宋体" w:hint="eastAsia"/>
          <w:spacing w:val="4"/>
        </w:rPr>
        <w:t>一百零二</w:t>
      </w:r>
      <w:r>
        <w:rPr>
          <w:rFonts w:cs="宋体"/>
          <w:spacing w:val="4"/>
        </w:rPr>
        <w:t>条规定：</w:t>
      </w:r>
      <w:r>
        <w:rPr>
          <w:rFonts w:cs="宋体"/>
          <w:spacing w:val="4"/>
        </w:rPr>
        <w:t>“</w:t>
      </w:r>
      <w:r>
        <w:rPr>
          <w:rFonts w:cs="宋体"/>
          <w:spacing w:val="4"/>
        </w:rPr>
        <w:t>除专利法第六十</w:t>
      </w:r>
      <w:r>
        <w:rPr>
          <w:rFonts w:cs="宋体" w:hint="eastAsia"/>
          <w:spacing w:val="4"/>
        </w:rPr>
        <w:t>五</w:t>
      </w:r>
      <w:r>
        <w:rPr>
          <w:rFonts w:cs="宋体"/>
          <w:spacing w:val="4"/>
        </w:rPr>
        <w:t>条规定的外，管理专利工作的部门应当事人请求，可以对下列专利纠纷进行调解：</w:t>
      </w:r>
      <w:r>
        <w:rPr>
          <w:rFonts w:cs="宋体"/>
          <w:spacing w:val="4"/>
        </w:rPr>
        <w:t>(</w:t>
      </w:r>
      <w:r>
        <w:rPr>
          <w:rFonts w:cs="宋体"/>
          <w:spacing w:val="4"/>
        </w:rPr>
        <w:t>一</w:t>
      </w:r>
      <w:r>
        <w:rPr>
          <w:rFonts w:cs="宋体"/>
          <w:spacing w:val="4"/>
        </w:rPr>
        <w:t>)</w:t>
      </w:r>
      <w:r>
        <w:rPr>
          <w:rFonts w:cs="宋体"/>
          <w:spacing w:val="4"/>
        </w:rPr>
        <w:t>专利申请权和专利权归属纠纷；</w:t>
      </w:r>
      <w:r>
        <w:rPr>
          <w:rFonts w:cs="宋体"/>
          <w:spacing w:val="4"/>
        </w:rPr>
        <w:t>(</w:t>
      </w:r>
      <w:r>
        <w:rPr>
          <w:rFonts w:cs="宋体"/>
          <w:spacing w:val="4"/>
        </w:rPr>
        <w:t>二</w:t>
      </w:r>
      <w:r>
        <w:rPr>
          <w:rFonts w:cs="宋体"/>
          <w:spacing w:val="4"/>
        </w:rPr>
        <w:t>)</w:t>
      </w:r>
      <w:r>
        <w:rPr>
          <w:rFonts w:cs="宋体"/>
          <w:spacing w:val="4"/>
        </w:rPr>
        <w:t>发明人、设计人资格纠纷；</w:t>
      </w:r>
      <w:r>
        <w:rPr>
          <w:rFonts w:cs="宋体"/>
          <w:spacing w:val="4"/>
        </w:rPr>
        <w:t>(</w:t>
      </w:r>
      <w:r>
        <w:rPr>
          <w:rFonts w:cs="宋体"/>
          <w:spacing w:val="4"/>
        </w:rPr>
        <w:t>三</w:t>
      </w:r>
      <w:r>
        <w:rPr>
          <w:rFonts w:cs="宋体"/>
          <w:spacing w:val="4"/>
        </w:rPr>
        <w:t>)</w:t>
      </w:r>
      <w:r>
        <w:rPr>
          <w:rFonts w:cs="宋体"/>
          <w:spacing w:val="4"/>
        </w:rPr>
        <w:t>职务发明创造的发明人、设计人的奖励和报酬纠纷；</w:t>
      </w:r>
      <w:r>
        <w:rPr>
          <w:rFonts w:cs="宋体"/>
          <w:spacing w:val="4"/>
        </w:rPr>
        <w:t>(</w:t>
      </w:r>
      <w:r>
        <w:rPr>
          <w:rFonts w:cs="宋体"/>
          <w:spacing w:val="4"/>
        </w:rPr>
        <w:t>四</w:t>
      </w:r>
      <w:r>
        <w:rPr>
          <w:rFonts w:cs="宋体"/>
          <w:spacing w:val="4"/>
        </w:rPr>
        <w:t>)</w:t>
      </w:r>
      <w:r>
        <w:rPr>
          <w:rFonts w:cs="宋体"/>
          <w:spacing w:val="4"/>
        </w:rPr>
        <w:t>在发明专利申请公布后专利权授予前使用发明而未支付适当费用的纠纷；</w:t>
      </w:r>
      <w:r>
        <w:rPr>
          <w:rFonts w:cs="宋体"/>
          <w:spacing w:val="4"/>
        </w:rPr>
        <w:t>(</w:t>
      </w:r>
      <w:r>
        <w:rPr>
          <w:rFonts w:cs="宋体"/>
          <w:spacing w:val="4"/>
        </w:rPr>
        <w:t>五</w:t>
      </w:r>
      <w:r>
        <w:rPr>
          <w:rFonts w:cs="宋体"/>
          <w:spacing w:val="4"/>
        </w:rPr>
        <w:t>)</w:t>
      </w:r>
      <w:r>
        <w:rPr>
          <w:rFonts w:cs="宋体"/>
          <w:spacing w:val="4"/>
        </w:rPr>
        <w:t>其他专利纠纷。对于前款第</w:t>
      </w:r>
      <w:r>
        <w:rPr>
          <w:rFonts w:cs="宋体"/>
          <w:spacing w:val="4"/>
        </w:rPr>
        <w:t>(</w:t>
      </w:r>
      <w:r>
        <w:rPr>
          <w:rFonts w:cs="宋体"/>
          <w:spacing w:val="4"/>
        </w:rPr>
        <w:t>四</w:t>
      </w:r>
      <w:r>
        <w:rPr>
          <w:rFonts w:cs="宋体"/>
          <w:spacing w:val="4"/>
        </w:rPr>
        <w:t>)</w:t>
      </w:r>
      <w:r>
        <w:rPr>
          <w:rFonts w:cs="宋体"/>
          <w:spacing w:val="4"/>
        </w:rPr>
        <w:t>项所列的纠纷，当事人请求管理专利工作的部门调解的，应当在专利权被授予之后提出。</w:t>
      </w:r>
      <w:r>
        <w:rPr>
          <w:rFonts w:cs="宋体"/>
          <w:spacing w:val="4"/>
        </w:rPr>
        <w:t>”</w:t>
      </w:r>
      <w:r>
        <w:rPr>
          <w:rFonts w:cs="宋体"/>
          <w:spacing w:val="4"/>
        </w:rPr>
        <w:t>该条第一款第</w:t>
      </w:r>
      <w:r>
        <w:rPr>
          <w:rFonts w:cs="宋体"/>
          <w:spacing w:val="4"/>
        </w:rPr>
        <w:t>(</w:t>
      </w:r>
      <w:r>
        <w:rPr>
          <w:rFonts w:cs="宋体"/>
          <w:spacing w:val="4"/>
        </w:rPr>
        <w:t>五</w:t>
      </w:r>
      <w:r>
        <w:rPr>
          <w:rFonts w:cs="宋体"/>
          <w:spacing w:val="4"/>
        </w:rPr>
        <w:t>)</w:t>
      </w:r>
      <w:r>
        <w:rPr>
          <w:rFonts w:cs="宋体"/>
          <w:spacing w:val="4"/>
        </w:rPr>
        <w:t>项为兜底条款，其意是指所有涉及专利的纠纷，只要应当事人的请求和同意，管理专利工作的部门都可以进行行政调解。</w:t>
      </w:r>
    </w:p>
    <w:p w:rsidR="00800760" w:rsidRDefault="00235733">
      <w:pPr>
        <w:pStyle w:val="3"/>
        <w:spacing w:before="240"/>
        <w:ind w:firstLine="444"/>
        <w:rPr>
          <w:rFonts w:ascii="Times New Roman" w:hAnsi="Times New Roman"/>
        </w:rPr>
      </w:pPr>
      <w:bookmarkStart w:id="5305" w:name="bookmark169"/>
      <w:bookmarkStart w:id="5306" w:name="_Toc19632"/>
      <w:bookmarkStart w:id="5307" w:name="_Toc13759"/>
      <w:bookmarkStart w:id="5308" w:name="_Toc28116"/>
      <w:bookmarkStart w:id="5309" w:name="_Toc27363"/>
      <w:bookmarkStart w:id="5310" w:name="_Toc28800"/>
      <w:bookmarkStart w:id="5311" w:name="_Toc1984"/>
      <w:bookmarkStart w:id="5312" w:name="_Toc24598"/>
      <w:bookmarkStart w:id="5313" w:name="_Toc4044"/>
      <w:bookmarkStart w:id="5314" w:name="_Toc21852"/>
      <w:bookmarkStart w:id="5315" w:name="_Toc21411"/>
      <w:bookmarkStart w:id="5316" w:name="_Toc12420"/>
      <w:bookmarkStart w:id="5317" w:name="_Toc25416"/>
      <w:bookmarkStart w:id="5318" w:name="_Toc19845"/>
      <w:bookmarkStart w:id="5319" w:name="_Toc8800"/>
      <w:bookmarkStart w:id="5320" w:name="_Toc9892"/>
      <w:bookmarkStart w:id="5321" w:name="_Toc32217"/>
      <w:bookmarkStart w:id="5322" w:name="_Toc7657"/>
      <w:bookmarkStart w:id="5323" w:name="_Toc26280"/>
      <w:bookmarkStart w:id="5324" w:name="_Toc953"/>
      <w:bookmarkStart w:id="5325" w:name="_Toc229114448"/>
      <w:bookmarkStart w:id="5326" w:name="_Toc5570"/>
      <w:bookmarkStart w:id="5327" w:name="_Toc9208"/>
      <w:bookmarkStart w:id="5328" w:name="_Toc24577"/>
      <w:bookmarkStart w:id="5329" w:name="_Toc8360"/>
      <w:bookmarkStart w:id="5330" w:name="_Toc25652"/>
      <w:bookmarkStart w:id="5331" w:name="_Toc7978"/>
      <w:bookmarkStart w:id="5332" w:name="_Toc29366"/>
      <w:bookmarkStart w:id="5333" w:name="_Toc19186"/>
      <w:bookmarkStart w:id="5334" w:name="_Toc27328"/>
      <w:bookmarkStart w:id="5335" w:name="_Toc18552"/>
      <w:bookmarkStart w:id="5336" w:name="_Toc9506"/>
      <w:bookmarkStart w:id="5337" w:name="_Toc2358"/>
      <w:bookmarkStart w:id="5338" w:name="_Toc2935"/>
      <w:bookmarkStart w:id="5339" w:name="_Toc16581"/>
      <w:bookmarkStart w:id="5340" w:name="_Toc16109"/>
      <w:bookmarkStart w:id="5341" w:name="_Toc79"/>
      <w:bookmarkStart w:id="5342" w:name="_Toc31626"/>
      <w:bookmarkStart w:id="5343" w:name="_Toc23811"/>
      <w:bookmarkStart w:id="5344" w:name="_Toc8740"/>
      <w:bookmarkStart w:id="5345" w:name="_Toc8770"/>
      <w:bookmarkStart w:id="5346" w:name="_Toc11975"/>
      <w:bookmarkStart w:id="5347" w:name="_Toc5477"/>
      <w:bookmarkStart w:id="5348" w:name="_Toc9111"/>
      <w:bookmarkStart w:id="5349" w:name="_Toc217908713"/>
      <w:bookmarkStart w:id="5350" w:name="_Toc229225544"/>
      <w:bookmarkEnd w:id="5305"/>
      <w:r>
        <w:rPr>
          <w:rFonts w:ascii="Times New Roman" w:hAnsi="Times New Roman"/>
        </w:rPr>
        <w:t>二、基本原则</w:t>
      </w:r>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p>
    <w:p w:rsidR="00800760" w:rsidRDefault="00235733">
      <w:pPr>
        <w:ind w:firstLine="436"/>
        <w:jc w:val="both"/>
        <w:rPr>
          <w:rFonts w:cs="宋体"/>
          <w:spacing w:val="4"/>
        </w:rPr>
      </w:pPr>
      <w:r>
        <w:rPr>
          <w:rFonts w:cs="宋体"/>
          <w:spacing w:val="4"/>
        </w:rPr>
        <w:t>专利纠纷行政调解除遵循专利行政</w:t>
      </w:r>
      <w:r>
        <w:rPr>
          <w:rFonts w:cs="宋体" w:hint="eastAsia"/>
          <w:spacing w:val="4"/>
        </w:rPr>
        <w:t>保护</w:t>
      </w:r>
      <w:r>
        <w:rPr>
          <w:rFonts w:cs="宋体"/>
          <w:spacing w:val="4"/>
        </w:rPr>
        <w:t>的基本原则外，还应当遵循以下原则：</w:t>
      </w:r>
    </w:p>
    <w:p w:rsidR="00800760" w:rsidRDefault="00235733">
      <w:pPr>
        <w:ind w:firstLine="436"/>
        <w:jc w:val="both"/>
        <w:rPr>
          <w:rFonts w:cs="宋体"/>
          <w:spacing w:val="4"/>
        </w:rPr>
      </w:pPr>
      <w:r>
        <w:rPr>
          <w:rFonts w:cs="宋体"/>
          <w:spacing w:val="4"/>
        </w:rPr>
        <w:t xml:space="preserve">1. </w:t>
      </w:r>
      <w:r>
        <w:rPr>
          <w:rFonts w:cs="宋体"/>
          <w:spacing w:val="4"/>
        </w:rPr>
        <w:t>自愿原则。调解应当充分尊重当事人意愿，不得强迫当事人接受调解方式或者调解协议。</w:t>
      </w:r>
    </w:p>
    <w:p w:rsidR="00800760" w:rsidRDefault="00235733">
      <w:pPr>
        <w:ind w:firstLine="436"/>
        <w:jc w:val="both"/>
        <w:rPr>
          <w:rFonts w:cs="宋体"/>
          <w:spacing w:val="4"/>
        </w:rPr>
      </w:pPr>
      <w:r>
        <w:rPr>
          <w:rFonts w:cs="宋体"/>
          <w:spacing w:val="4"/>
        </w:rPr>
        <w:t xml:space="preserve">2. </w:t>
      </w:r>
      <w:r>
        <w:rPr>
          <w:rFonts w:cs="宋体"/>
          <w:spacing w:val="4"/>
        </w:rPr>
        <w:t>合法原则。调解应当符合法律、法规、规章及政策，不得损害国家利益、公共利益和他人合法权益。</w:t>
      </w:r>
    </w:p>
    <w:p w:rsidR="00800760" w:rsidRDefault="00235733">
      <w:pPr>
        <w:ind w:firstLine="436"/>
        <w:jc w:val="both"/>
        <w:rPr>
          <w:rFonts w:cs="宋体"/>
          <w:spacing w:val="4"/>
        </w:rPr>
      </w:pPr>
      <w:r>
        <w:rPr>
          <w:rFonts w:cs="宋体"/>
          <w:spacing w:val="4"/>
        </w:rPr>
        <w:t xml:space="preserve">3. </w:t>
      </w:r>
      <w:r>
        <w:rPr>
          <w:rFonts w:cs="宋体"/>
          <w:spacing w:val="4"/>
        </w:rPr>
        <w:t>保密原则。除双方当事人均明确表示可以公开进行外，调解应当在保密状态下进行，调解内容和文件材料不得对外公开。</w:t>
      </w:r>
    </w:p>
    <w:p w:rsidR="00800760" w:rsidRDefault="00235733">
      <w:pPr>
        <w:ind w:firstLine="436"/>
        <w:jc w:val="both"/>
        <w:rPr>
          <w:rFonts w:cs="宋体"/>
          <w:spacing w:val="4"/>
        </w:rPr>
      </w:pPr>
      <w:r>
        <w:rPr>
          <w:rFonts w:cs="宋体"/>
          <w:spacing w:val="4"/>
        </w:rPr>
        <w:t xml:space="preserve">4. </w:t>
      </w:r>
      <w:r>
        <w:rPr>
          <w:rFonts w:cs="宋体"/>
          <w:spacing w:val="4"/>
        </w:rPr>
        <w:t>无偿原则。管理专利工作的部门调解专利纠纷，不得收取任何费用。</w:t>
      </w:r>
    </w:p>
    <w:p w:rsidR="00800760" w:rsidRDefault="00235733">
      <w:pPr>
        <w:pStyle w:val="3"/>
        <w:spacing w:before="240"/>
        <w:ind w:firstLine="444"/>
        <w:rPr>
          <w:rFonts w:ascii="Times New Roman" w:hAnsi="Times New Roman"/>
        </w:rPr>
      </w:pPr>
      <w:bookmarkStart w:id="5351" w:name="_Toc29606"/>
      <w:bookmarkStart w:id="5352" w:name="_Toc12192"/>
      <w:bookmarkStart w:id="5353" w:name="_Toc17438"/>
      <w:bookmarkStart w:id="5354" w:name="_Toc18074"/>
      <w:bookmarkStart w:id="5355" w:name="_Toc3036"/>
      <w:bookmarkStart w:id="5356" w:name="_Toc13475"/>
      <w:bookmarkStart w:id="5357" w:name="_Toc22135"/>
      <w:bookmarkStart w:id="5358" w:name="_Toc12916"/>
      <w:bookmarkStart w:id="5359" w:name="_Toc4048"/>
      <w:bookmarkStart w:id="5360" w:name="_Toc29449"/>
      <w:bookmarkStart w:id="5361" w:name="_Toc15067"/>
      <w:bookmarkStart w:id="5362" w:name="_Toc14804"/>
      <w:bookmarkStart w:id="5363" w:name="_Toc8443"/>
      <w:bookmarkStart w:id="5364" w:name="_Toc13489"/>
      <w:bookmarkStart w:id="5365" w:name="_Toc10561"/>
      <w:bookmarkStart w:id="5366" w:name="_Toc20409"/>
      <w:bookmarkStart w:id="5367" w:name="_Toc8794"/>
      <w:bookmarkStart w:id="5368" w:name="_Toc11350"/>
      <w:bookmarkStart w:id="5369" w:name="_Toc16831"/>
      <w:bookmarkStart w:id="5370" w:name="_Toc12901"/>
      <w:bookmarkStart w:id="5371" w:name="_Toc11135"/>
      <w:bookmarkStart w:id="5372" w:name="_Toc7055"/>
      <w:bookmarkStart w:id="5373" w:name="_Toc1534"/>
      <w:bookmarkStart w:id="5374" w:name="_Toc18347"/>
      <w:bookmarkStart w:id="5375" w:name="_Toc18827"/>
      <w:bookmarkStart w:id="5376" w:name="_Toc25692"/>
      <w:bookmarkStart w:id="5377" w:name="_Toc1465"/>
      <w:bookmarkStart w:id="5378" w:name="_Toc27101"/>
      <w:bookmarkStart w:id="5379" w:name="_Toc30298"/>
      <w:bookmarkStart w:id="5380" w:name="_Toc6796"/>
      <w:bookmarkStart w:id="5381" w:name="_Toc30093"/>
      <w:bookmarkStart w:id="5382" w:name="_Toc8960"/>
      <w:bookmarkStart w:id="5383" w:name="_Toc2088"/>
      <w:bookmarkStart w:id="5384" w:name="_Toc13038"/>
      <w:bookmarkStart w:id="5385" w:name="_Toc22207"/>
      <w:bookmarkStart w:id="5386" w:name="_Toc15562"/>
      <w:bookmarkStart w:id="5387" w:name="_Toc31011"/>
      <w:bookmarkStart w:id="5388" w:name="_Toc217908715"/>
      <w:bookmarkStart w:id="5389" w:name="_Toc27301"/>
      <w:bookmarkStart w:id="5390" w:name="_Toc29869"/>
      <w:bookmarkStart w:id="5391" w:name="_Toc229114449"/>
      <w:bookmarkStart w:id="5392" w:name="_Toc25193"/>
      <w:bookmarkStart w:id="5393" w:name="_Toc1343"/>
      <w:bookmarkStart w:id="5394" w:name="_Toc18852"/>
      <w:bookmarkStart w:id="5395" w:name="_Toc229225545"/>
      <w:r>
        <w:rPr>
          <w:rFonts w:ascii="Times New Roman" w:hAnsi="Times New Roman" w:hint="eastAsia"/>
        </w:rPr>
        <w:t>三</w:t>
      </w:r>
      <w:r>
        <w:rPr>
          <w:rFonts w:ascii="Times New Roman" w:hAnsi="Times New Roman"/>
        </w:rPr>
        <w:t>、调解请求的管辖</w:t>
      </w:r>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p>
    <w:p w:rsidR="00800760" w:rsidRDefault="00235733">
      <w:pPr>
        <w:jc w:val="both"/>
        <w:rPr>
          <w:rFonts w:cs="宋体"/>
          <w:spacing w:val="4"/>
        </w:rPr>
      </w:pPr>
      <w:r>
        <w:t>当事人请求调解专利纠纷的，应向被请求人所在地的管理专利工作的部门请求予</w:t>
      </w:r>
      <w:r>
        <w:rPr>
          <w:rFonts w:cs="宋体"/>
          <w:spacing w:val="4"/>
        </w:rPr>
        <w:t>以调解。管理专利工作的部门认为请求调解的案件不属于本部门管辖的，应当告知当事人向有管辖权的部门请求调解。</w:t>
      </w:r>
    </w:p>
    <w:p w:rsidR="00800760" w:rsidRDefault="00235733" w:rsidP="00730AFA">
      <w:pPr>
        <w:ind w:firstLine="436"/>
        <w:jc w:val="both"/>
      </w:pPr>
      <w:r>
        <w:rPr>
          <w:rFonts w:cs="宋体"/>
          <w:spacing w:val="4"/>
        </w:rPr>
        <w:t>管理专利工作的部门对管辖权发生争议的，应由其共同的上级人民政府管理专利工作的部门指定管辖；无共同上级人民政府管理专利工作的部门的，由</w:t>
      </w:r>
      <w:r>
        <w:rPr>
          <w:rFonts w:cs="宋体" w:hint="eastAsia"/>
          <w:spacing w:val="4"/>
        </w:rPr>
        <w:t>国务院专利行政部门</w:t>
      </w:r>
      <w:r>
        <w:rPr>
          <w:rFonts w:cs="宋体"/>
          <w:spacing w:val="4"/>
        </w:rPr>
        <w:t>指定管辖。</w:t>
      </w:r>
      <w:bookmarkStart w:id="5396" w:name="bookmark170"/>
      <w:bookmarkEnd w:id="5396"/>
    </w:p>
    <w:p w:rsidR="00800760" w:rsidRDefault="00235733">
      <w:pPr>
        <w:pStyle w:val="2"/>
        <w:spacing w:before="91"/>
        <w:ind w:firstLineChars="0" w:firstLine="0"/>
        <w:rPr>
          <w:rFonts w:ascii="Times New Roman" w:hAnsi="Times New Roman"/>
        </w:rPr>
      </w:pPr>
      <w:bookmarkStart w:id="5397" w:name="_Toc8092"/>
      <w:bookmarkStart w:id="5398" w:name="_Toc7743"/>
      <w:bookmarkStart w:id="5399" w:name="_Toc26871"/>
      <w:bookmarkStart w:id="5400" w:name="_Toc17499"/>
      <w:bookmarkStart w:id="5401" w:name="_Toc11198"/>
      <w:bookmarkStart w:id="5402" w:name="_Toc22453"/>
      <w:bookmarkStart w:id="5403" w:name="_Toc19717"/>
      <w:bookmarkStart w:id="5404" w:name="_Toc29749"/>
      <w:bookmarkStart w:id="5405" w:name="_Toc6766"/>
      <w:bookmarkStart w:id="5406" w:name="_Toc12405"/>
      <w:bookmarkStart w:id="5407" w:name="_Toc20852"/>
      <w:bookmarkStart w:id="5408" w:name="_Toc20208"/>
      <w:bookmarkStart w:id="5409" w:name="_Toc31998"/>
      <w:bookmarkStart w:id="5410" w:name="_Toc29250"/>
      <w:bookmarkStart w:id="5411" w:name="_Toc28325"/>
      <w:bookmarkStart w:id="5412" w:name="_Toc30073"/>
      <w:bookmarkStart w:id="5413" w:name="_Toc15152"/>
      <w:bookmarkStart w:id="5414" w:name="_Toc15916"/>
      <w:bookmarkStart w:id="5415" w:name="_Toc19888"/>
      <w:bookmarkStart w:id="5416" w:name="_Toc13136"/>
      <w:bookmarkStart w:id="5417" w:name="_Toc12133"/>
      <w:bookmarkStart w:id="5418" w:name="_Toc217908717"/>
      <w:bookmarkStart w:id="5419" w:name="_Toc18776"/>
      <w:bookmarkStart w:id="5420" w:name="_Toc9894"/>
      <w:bookmarkStart w:id="5421" w:name="_Toc229114450"/>
      <w:bookmarkStart w:id="5422" w:name="_Toc6999"/>
      <w:bookmarkStart w:id="5423" w:name="_Toc26407"/>
      <w:bookmarkStart w:id="5424" w:name="_Toc514"/>
      <w:bookmarkStart w:id="5425" w:name="_Toc17958"/>
      <w:bookmarkStart w:id="5426" w:name="_Toc17768"/>
      <w:bookmarkStart w:id="5427" w:name="_Toc27124"/>
      <w:bookmarkStart w:id="5428" w:name="_Toc29192"/>
      <w:bookmarkStart w:id="5429" w:name="_Toc8122"/>
      <w:bookmarkStart w:id="5430" w:name="_Toc6782"/>
      <w:bookmarkStart w:id="5431" w:name="_Toc26122"/>
      <w:bookmarkStart w:id="5432" w:name="_Toc2400"/>
      <w:bookmarkStart w:id="5433" w:name="_Toc16231"/>
      <w:bookmarkStart w:id="5434" w:name="_Toc1846"/>
      <w:bookmarkStart w:id="5435" w:name="_Toc1651"/>
      <w:bookmarkStart w:id="5436" w:name="_Toc32498"/>
      <w:bookmarkStart w:id="5437" w:name="_Toc11842"/>
      <w:bookmarkStart w:id="5438" w:name="_Toc25941"/>
      <w:bookmarkStart w:id="5439" w:name="_Toc14432"/>
      <w:bookmarkStart w:id="5440" w:name="_Toc15635"/>
      <w:bookmarkStart w:id="5441" w:name="_Toc229225546"/>
      <w:r>
        <w:rPr>
          <w:rFonts w:ascii="Times New Roman" w:hAnsi="Times New Roman"/>
        </w:rPr>
        <w:t>第</w:t>
      </w:r>
      <w:r>
        <w:rPr>
          <w:rFonts w:ascii="Times New Roman" w:hAnsi="Times New Roman" w:hint="eastAsia"/>
        </w:rPr>
        <w:t>二</w:t>
      </w:r>
      <w:r>
        <w:rPr>
          <w:rFonts w:ascii="Times New Roman" w:hAnsi="Times New Roman"/>
        </w:rPr>
        <w:t>节</w:t>
      </w:r>
      <w:r>
        <w:rPr>
          <w:rFonts w:ascii="Times New Roman" w:hAnsi="Times New Roman" w:hint="eastAsia"/>
        </w:rPr>
        <w:t xml:space="preserve">　行政调解的</w:t>
      </w:r>
      <w:r>
        <w:rPr>
          <w:rFonts w:ascii="Times New Roman" w:hAnsi="Times New Roman"/>
        </w:rPr>
        <w:t>专利纠纷的类型</w:t>
      </w:r>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p>
    <w:p w:rsidR="00800760" w:rsidRDefault="00235733">
      <w:pPr>
        <w:ind w:firstLine="436"/>
        <w:jc w:val="both"/>
        <w:rPr>
          <w:rFonts w:cs="宋体"/>
        </w:rPr>
      </w:pPr>
      <w:r>
        <w:rPr>
          <w:rFonts w:cs="宋体"/>
          <w:spacing w:val="4"/>
        </w:rPr>
        <w:t>管理专利工作的部门依申请可以调解的专利纠纷的类型包括专利申请权和专利权归属纠纷</w:t>
      </w:r>
      <w:r>
        <w:rPr>
          <w:rFonts w:cs="宋体"/>
          <w:spacing w:val="4"/>
        </w:rPr>
        <w:t>(</w:t>
      </w:r>
      <w:r>
        <w:rPr>
          <w:rFonts w:cs="宋体"/>
          <w:spacing w:val="4"/>
        </w:rPr>
        <w:t>以下简称</w:t>
      </w:r>
      <w:r>
        <w:rPr>
          <w:rFonts w:cs="宋体"/>
          <w:spacing w:val="4"/>
        </w:rPr>
        <w:t>“</w:t>
      </w:r>
      <w:r>
        <w:rPr>
          <w:rFonts w:cs="宋体"/>
          <w:spacing w:val="4"/>
        </w:rPr>
        <w:t>专利权属纠纷</w:t>
      </w:r>
      <w:r>
        <w:rPr>
          <w:rFonts w:cs="宋体"/>
          <w:spacing w:val="4"/>
        </w:rPr>
        <w:t>”)</w:t>
      </w:r>
      <w:r>
        <w:rPr>
          <w:rFonts w:cs="宋体"/>
          <w:spacing w:val="4"/>
        </w:rPr>
        <w:t>，发明人、设计人资格纠纷，职务发明创造的发明人、设计人的奖励和报酬纠纷</w:t>
      </w:r>
      <w:r>
        <w:rPr>
          <w:rFonts w:cs="宋体"/>
          <w:spacing w:val="4"/>
        </w:rPr>
        <w:t>(</w:t>
      </w:r>
      <w:r>
        <w:rPr>
          <w:rFonts w:cs="宋体"/>
          <w:spacing w:val="4"/>
        </w:rPr>
        <w:t>以下简称</w:t>
      </w:r>
      <w:r>
        <w:rPr>
          <w:rFonts w:cs="宋体"/>
          <w:spacing w:val="4"/>
        </w:rPr>
        <w:t>“</w:t>
      </w:r>
      <w:r>
        <w:rPr>
          <w:rFonts w:cs="宋体"/>
          <w:spacing w:val="4"/>
        </w:rPr>
        <w:t>奖酬纠纷</w:t>
      </w:r>
      <w:r>
        <w:rPr>
          <w:rFonts w:cs="宋体"/>
          <w:spacing w:val="4"/>
        </w:rPr>
        <w:t>”)</w:t>
      </w:r>
      <w:r>
        <w:rPr>
          <w:rFonts w:cs="宋体"/>
          <w:spacing w:val="4"/>
        </w:rPr>
        <w:t>，</w:t>
      </w:r>
      <w:r>
        <w:t>在发明专利申请公布后专利权授予前使用发明而未支付适当费用的纠纷</w:t>
      </w:r>
      <w:r>
        <w:t>(</w:t>
      </w:r>
      <w:r>
        <w:t>以下简称</w:t>
      </w:r>
      <w:r>
        <w:t>“</w:t>
      </w:r>
      <w:r>
        <w:t>发明专利临时保护期使用费纠纷</w:t>
      </w:r>
      <w:r>
        <w:t>”)</w:t>
      </w:r>
      <w:r>
        <w:rPr>
          <w:rFonts w:cs="宋体"/>
          <w:spacing w:val="4"/>
        </w:rPr>
        <w:t>，侵犯专利权的赔偿数额纠纷及其他</w:t>
      </w:r>
      <w:r>
        <w:rPr>
          <w:rFonts w:cs="宋体" w:hint="eastAsia"/>
          <w:spacing w:val="4"/>
        </w:rPr>
        <w:t>专利</w:t>
      </w:r>
      <w:r>
        <w:rPr>
          <w:rFonts w:cs="宋体"/>
          <w:spacing w:val="4"/>
        </w:rPr>
        <w:t>纠纷等。</w:t>
      </w:r>
    </w:p>
    <w:p w:rsidR="00800760" w:rsidRDefault="00235733">
      <w:pPr>
        <w:pStyle w:val="3"/>
        <w:spacing w:before="240"/>
        <w:ind w:firstLine="444"/>
        <w:rPr>
          <w:rFonts w:ascii="Times New Roman" w:hAnsi="Times New Roman"/>
        </w:rPr>
      </w:pPr>
      <w:bookmarkStart w:id="5442" w:name="_Toc13623"/>
      <w:bookmarkStart w:id="5443" w:name="_Toc263"/>
      <w:bookmarkStart w:id="5444" w:name="_Toc27566"/>
      <w:bookmarkStart w:id="5445" w:name="_Toc15563"/>
      <w:bookmarkStart w:id="5446" w:name="_Toc12222"/>
      <w:bookmarkStart w:id="5447" w:name="_Toc21763"/>
      <w:bookmarkStart w:id="5448" w:name="_Toc86"/>
      <w:bookmarkStart w:id="5449" w:name="_Toc1202"/>
      <w:bookmarkStart w:id="5450" w:name="_Toc9510"/>
      <w:bookmarkStart w:id="5451" w:name="_Toc447"/>
      <w:bookmarkStart w:id="5452" w:name="_Toc8610"/>
      <w:bookmarkStart w:id="5453" w:name="_Toc2002"/>
      <w:bookmarkStart w:id="5454" w:name="_Toc24197"/>
      <w:bookmarkStart w:id="5455" w:name="_Toc11233"/>
      <w:bookmarkStart w:id="5456" w:name="_Toc26970"/>
      <w:bookmarkStart w:id="5457" w:name="_Toc30454"/>
      <w:bookmarkStart w:id="5458" w:name="_Toc16713"/>
      <w:bookmarkStart w:id="5459" w:name="_Toc32315"/>
      <w:bookmarkStart w:id="5460" w:name="_Toc3928"/>
      <w:bookmarkStart w:id="5461" w:name="_Toc5286"/>
      <w:bookmarkStart w:id="5462" w:name="_Toc16500"/>
      <w:bookmarkStart w:id="5463" w:name="_Toc29730"/>
      <w:bookmarkStart w:id="5464" w:name="_Toc19191"/>
      <w:bookmarkStart w:id="5465" w:name="_Toc18885"/>
      <w:bookmarkStart w:id="5466" w:name="_Toc14255"/>
      <w:bookmarkStart w:id="5467" w:name="_Toc25525"/>
      <w:bookmarkStart w:id="5468" w:name="_Toc18090"/>
      <w:bookmarkStart w:id="5469" w:name="_Toc2"/>
      <w:bookmarkStart w:id="5470" w:name="_Toc29026"/>
      <w:bookmarkStart w:id="5471" w:name="_Toc9439"/>
      <w:bookmarkStart w:id="5472" w:name="_Toc22086"/>
      <w:bookmarkStart w:id="5473" w:name="_Toc5931"/>
      <w:bookmarkStart w:id="5474" w:name="_Toc21368"/>
      <w:bookmarkStart w:id="5475" w:name="_Toc229114451"/>
      <w:bookmarkStart w:id="5476" w:name="_Toc31256"/>
      <w:bookmarkStart w:id="5477" w:name="_Toc217908718"/>
      <w:bookmarkStart w:id="5478" w:name="_Toc13416"/>
      <w:bookmarkStart w:id="5479" w:name="_Toc25826"/>
      <w:bookmarkStart w:id="5480" w:name="_Toc24439"/>
      <w:bookmarkStart w:id="5481" w:name="_Toc21684"/>
      <w:bookmarkStart w:id="5482" w:name="_Toc22835"/>
      <w:bookmarkStart w:id="5483" w:name="_Toc6966"/>
      <w:bookmarkStart w:id="5484" w:name="_Toc26417"/>
      <w:bookmarkStart w:id="5485" w:name="_Toc12393"/>
      <w:bookmarkStart w:id="5486" w:name="_Toc229225547"/>
      <w:r>
        <w:rPr>
          <w:rFonts w:ascii="Times New Roman" w:hAnsi="Times New Roman"/>
        </w:rPr>
        <w:t>一、专利申请权归属纠纷</w:t>
      </w:r>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p>
    <w:p w:rsidR="00800760" w:rsidRDefault="00235733">
      <w:pPr>
        <w:ind w:firstLine="436"/>
        <w:jc w:val="both"/>
        <w:rPr>
          <w:rFonts w:cs="宋体"/>
          <w:spacing w:val="4"/>
        </w:rPr>
      </w:pPr>
      <w:r>
        <w:rPr>
          <w:rFonts w:cs="宋体"/>
          <w:spacing w:val="4"/>
        </w:rPr>
        <w:t>专利申请权是指从发明创造被提交专利申请之后到被授予专利权之前，申请人享有的处置该专利申请的权利，包括修改申请文件、决定是否继续进行申请程序等权利，其指向的是已经提出专利申请但尚未被</w:t>
      </w:r>
      <w:r>
        <w:rPr>
          <w:rFonts w:cs="宋体" w:hint="eastAsia"/>
          <w:spacing w:val="4"/>
        </w:rPr>
        <w:t>授予专利权</w:t>
      </w:r>
      <w:r>
        <w:rPr>
          <w:rFonts w:cs="宋体"/>
          <w:spacing w:val="4"/>
        </w:rPr>
        <w:t>的发明创造。</w:t>
      </w:r>
    </w:p>
    <w:p w:rsidR="00800760" w:rsidRDefault="00235733">
      <w:pPr>
        <w:ind w:firstLine="436"/>
        <w:jc w:val="both"/>
        <w:rPr>
          <w:rFonts w:cs="宋体"/>
          <w:spacing w:val="4"/>
        </w:rPr>
      </w:pPr>
      <w:r>
        <w:rPr>
          <w:rFonts w:cs="宋体"/>
          <w:spacing w:val="4"/>
        </w:rPr>
        <w:t>专利申请权归属纠纷是指在专利申请过程中，各方当事人对于哪一方应是合法的申请人而产生的纠纷。专利申请权归属纠纷主要包括职务发明创造与非职务发明创造的纠纷和涉及合作完成或接受委托完成发明创造后专利申请权归属的纠纷。</w:t>
      </w:r>
    </w:p>
    <w:p w:rsidR="00800760" w:rsidRDefault="00235733">
      <w:pPr>
        <w:ind w:firstLine="436"/>
        <w:jc w:val="both"/>
        <w:rPr>
          <w:rFonts w:cs="宋体"/>
          <w:spacing w:val="4"/>
        </w:rPr>
      </w:pPr>
      <w:r>
        <w:rPr>
          <w:rFonts w:cs="宋体"/>
          <w:spacing w:val="4"/>
        </w:rPr>
        <w:t>职务发明创造是指执行本单位的任务，或者主要是利用本单位的资金、设备、零部件、原材料或者不对外公开的技术资料等物质技术条件所完成的发明创造。其他不属于上述职务发明创造的，都为非职务发明创造。职务发明创造申请专利的权利应该属于该单位，非职务发明创造申请专利的权利属于发明人或者设计人。</w:t>
      </w:r>
    </w:p>
    <w:p w:rsidR="00800760" w:rsidRDefault="00235733">
      <w:pPr>
        <w:ind w:firstLine="436"/>
        <w:jc w:val="both"/>
        <w:rPr>
          <w:rFonts w:cs="宋体"/>
          <w:spacing w:val="4"/>
        </w:rPr>
      </w:pPr>
      <w:r>
        <w:rPr>
          <w:rFonts w:cs="宋体"/>
          <w:spacing w:val="4"/>
        </w:rPr>
        <w:t>职务发明创造与非职务发明创造的纠纷主要是由发明人或设计人与其单位就哪一方有权对一项发明创造申请专利而产生的纠纷。利用本单位的物质技术条件所完成的发明创造，单位与发明人或者设计人订有合同，对申请专利的权利作出约定的，从其约定。</w:t>
      </w:r>
    </w:p>
    <w:p w:rsidR="00800760" w:rsidRDefault="00235733">
      <w:pPr>
        <w:ind w:firstLine="436"/>
        <w:jc w:val="both"/>
        <w:rPr>
          <w:rFonts w:cs="宋体"/>
          <w:spacing w:val="4"/>
        </w:rPr>
      </w:pPr>
      <w:r>
        <w:rPr>
          <w:rFonts w:cs="宋体"/>
          <w:spacing w:val="4"/>
        </w:rPr>
        <w:t>合作完成或接受委托完成发明创造后发生专利申请权归属纠纷的，除另有协议外，申请专利的权利属于完成或者共同完成的单位或者个人。</w:t>
      </w:r>
    </w:p>
    <w:p w:rsidR="00800760" w:rsidRDefault="00235733">
      <w:pPr>
        <w:pStyle w:val="3"/>
        <w:spacing w:before="240"/>
        <w:ind w:firstLine="444"/>
        <w:rPr>
          <w:rFonts w:ascii="Times New Roman" w:hAnsi="Times New Roman"/>
        </w:rPr>
      </w:pPr>
      <w:bookmarkStart w:id="5487" w:name="bookmark171"/>
      <w:bookmarkStart w:id="5488" w:name="_Toc1015"/>
      <w:bookmarkStart w:id="5489" w:name="_Toc6935"/>
      <w:bookmarkStart w:id="5490" w:name="_Toc20593"/>
      <w:bookmarkStart w:id="5491" w:name="_Toc7365"/>
      <w:bookmarkStart w:id="5492" w:name="_Toc24817"/>
      <w:bookmarkStart w:id="5493" w:name="_Toc1084"/>
      <w:bookmarkStart w:id="5494" w:name="_Toc13854"/>
      <w:bookmarkStart w:id="5495" w:name="_Toc13803"/>
      <w:bookmarkStart w:id="5496" w:name="_Toc10785"/>
      <w:bookmarkStart w:id="5497" w:name="_Toc30877"/>
      <w:bookmarkStart w:id="5498" w:name="_Toc15740"/>
      <w:bookmarkStart w:id="5499" w:name="_Toc16855"/>
      <w:bookmarkStart w:id="5500" w:name="_Toc12978"/>
      <w:bookmarkStart w:id="5501" w:name="_Toc17227"/>
      <w:bookmarkStart w:id="5502" w:name="_Toc13121"/>
      <w:bookmarkStart w:id="5503" w:name="_Toc2161"/>
      <w:bookmarkStart w:id="5504" w:name="_Toc17752"/>
      <w:bookmarkStart w:id="5505" w:name="_Toc24067"/>
      <w:bookmarkStart w:id="5506" w:name="_Toc15851"/>
      <w:bookmarkStart w:id="5507" w:name="_Toc3285"/>
      <w:bookmarkStart w:id="5508" w:name="_Toc25628"/>
      <w:bookmarkStart w:id="5509" w:name="_Toc11377"/>
      <w:bookmarkStart w:id="5510" w:name="_Toc25617"/>
      <w:bookmarkStart w:id="5511" w:name="_Toc31832"/>
      <w:bookmarkStart w:id="5512" w:name="_Toc17376"/>
      <w:bookmarkStart w:id="5513" w:name="_Toc9978"/>
      <w:bookmarkStart w:id="5514" w:name="_Toc3822"/>
      <w:bookmarkStart w:id="5515" w:name="_Toc8853"/>
      <w:bookmarkStart w:id="5516" w:name="_Toc28475"/>
      <w:bookmarkStart w:id="5517" w:name="_Toc20402"/>
      <w:bookmarkStart w:id="5518" w:name="_Toc9968"/>
      <w:bookmarkStart w:id="5519" w:name="_Toc30439"/>
      <w:bookmarkStart w:id="5520" w:name="_Toc5312"/>
      <w:bookmarkStart w:id="5521" w:name="_Toc11531"/>
      <w:bookmarkStart w:id="5522" w:name="_Toc217908719"/>
      <w:bookmarkStart w:id="5523" w:name="_Toc32206"/>
      <w:bookmarkStart w:id="5524" w:name="_Toc31622"/>
      <w:bookmarkStart w:id="5525" w:name="_Toc20106"/>
      <w:bookmarkStart w:id="5526" w:name="_Toc229114452"/>
      <w:bookmarkStart w:id="5527" w:name="_Toc25295"/>
      <w:bookmarkStart w:id="5528" w:name="_Toc22582"/>
      <w:bookmarkStart w:id="5529" w:name="_Toc24095"/>
      <w:bookmarkStart w:id="5530" w:name="_Toc25330"/>
      <w:bookmarkStart w:id="5531" w:name="_Toc16436"/>
      <w:bookmarkStart w:id="5532" w:name="_Toc229225548"/>
      <w:bookmarkEnd w:id="5487"/>
      <w:r>
        <w:rPr>
          <w:rFonts w:ascii="Times New Roman" w:hAnsi="Times New Roman"/>
        </w:rPr>
        <w:t>二、专利权归属纠纷</w:t>
      </w:r>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p>
    <w:p w:rsidR="00800760" w:rsidRDefault="00235733">
      <w:pPr>
        <w:ind w:firstLine="436"/>
        <w:jc w:val="both"/>
        <w:rPr>
          <w:rFonts w:cs="宋体"/>
          <w:spacing w:val="4"/>
        </w:rPr>
      </w:pPr>
      <w:r>
        <w:rPr>
          <w:rFonts w:cs="宋体"/>
          <w:spacing w:val="4"/>
        </w:rPr>
        <w:t>专利权是指发明创造被公告授予专利权之后，专利权人享有的对该发明创造进行处置的权利，包括放弃其专利、转让其专利、许可他人实施其专利、制止他人未经专利权人许可以生产经营为目的实施其专利的权利等，其指向的是已经被授予专利权的发明创造。</w:t>
      </w:r>
    </w:p>
    <w:p w:rsidR="00800760" w:rsidRDefault="00235733">
      <w:pPr>
        <w:ind w:firstLine="436"/>
        <w:jc w:val="both"/>
        <w:rPr>
          <w:rFonts w:cs="宋体"/>
          <w:spacing w:val="4"/>
        </w:rPr>
      </w:pPr>
      <w:r>
        <w:rPr>
          <w:rFonts w:cs="宋体"/>
          <w:spacing w:val="4"/>
        </w:rPr>
        <w:t>专利权归属纠纷是指发明创造被授予专利权后，各方当事人对于哪一方才是合法的专利权人所产生的纠纷。专利权</w:t>
      </w:r>
      <w:r>
        <w:rPr>
          <w:rFonts w:cs="宋体" w:hint="eastAsia"/>
          <w:spacing w:val="4"/>
        </w:rPr>
        <w:t>归</w:t>
      </w:r>
      <w:r>
        <w:rPr>
          <w:rFonts w:cs="宋体"/>
          <w:spacing w:val="4"/>
        </w:rPr>
        <w:t>属纠纷主要包括：</w:t>
      </w:r>
    </w:p>
    <w:p w:rsidR="00800760" w:rsidRDefault="00235733">
      <w:pPr>
        <w:ind w:firstLine="436"/>
        <w:jc w:val="both"/>
        <w:rPr>
          <w:rFonts w:cs="宋体"/>
          <w:spacing w:val="4"/>
        </w:rPr>
      </w:pPr>
      <w:r>
        <w:rPr>
          <w:rFonts w:cs="宋体"/>
          <w:spacing w:val="4"/>
        </w:rPr>
        <w:t xml:space="preserve">1. </w:t>
      </w:r>
      <w:r>
        <w:rPr>
          <w:rFonts w:cs="宋体"/>
          <w:spacing w:val="4"/>
        </w:rPr>
        <w:t>属于职务发明创造，但被发明人或设计人作为非职务发明创造申请专利并获得了专利权而引起的纠纷。</w:t>
      </w:r>
    </w:p>
    <w:p w:rsidR="00800760" w:rsidRDefault="00235733">
      <w:pPr>
        <w:ind w:firstLine="436"/>
        <w:jc w:val="both"/>
        <w:rPr>
          <w:rFonts w:cs="宋体"/>
          <w:spacing w:val="4"/>
        </w:rPr>
      </w:pPr>
      <w:r>
        <w:rPr>
          <w:rFonts w:cs="宋体"/>
          <w:spacing w:val="4"/>
        </w:rPr>
        <w:t xml:space="preserve">2. </w:t>
      </w:r>
      <w:r>
        <w:rPr>
          <w:rFonts w:cs="宋体"/>
          <w:spacing w:val="4"/>
        </w:rPr>
        <w:t>属于非职务发明创造，但被单位作为职务发明创造申请专利并获得专利权而引起的纠纷。</w:t>
      </w:r>
    </w:p>
    <w:p w:rsidR="00800760" w:rsidRDefault="00235733">
      <w:pPr>
        <w:ind w:firstLine="436"/>
        <w:jc w:val="both"/>
        <w:rPr>
          <w:rFonts w:cs="宋体"/>
          <w:spacing w:val="4"/>
        </w:rPr>
      </w:pPr>
      <w:r>
        <w:rPr>
          <w:rFonts w:cs="宋体"/>
          <w:spacing w:val="4"/>
        </w:rPr>
        <w:t xml:space="preserve">3. </w:t>
      </w:r>
      <w:r>
        <w:rPr>
          <w:rFonts w:cs="宋体"/>
          <w:spacing w:val="4"/>
        </w:rPr>
        <w:t>委托开发完成的发明创造，在当事人未明确约定的情况下，该发明创造的委托开发方申请专利并获得专利权而引起的纠纷。</w:t>
      </w:r>
    </w:p>
    <w:p w:rsidR="00800760" w:rsidRDefault="00235733">
      <w:pPr>
        <w:ind w:firstLine="436"/>
        <w:jc w:val="both"/>
        <w:rPr>
          <w:rFonts w:cs="宋体"/>
          <w:sz w:val="17"/>
          <w:szCs w:val="17"/>
        </w:rPr>
      </w:pPr>
      <w:r>
        <w:rPr>
          <w:rFonts w:cs="宋体"/>
          <w:spacing w:val="4"/>
        </w:rPr>
        <w:t xml:space="preserve">4. </w:t>
      </w:r>
      <w:r>
        <w:rPr>
          <w:rFonts w:cs="宋体"/>
          <w:spacing w:val="4"/>
        </w:rPr>
        <w:t>合作开发所完成的发明创造，在无合同约定又无其他各方声明放弃其所共有的专利申请权的情况下，该发明创造被共有人中的一方申请专利并获得专利权而引起的纠纷。</w:t>
      </w:r>
    </w:p>
    <w:p w:rsidR="00800760" w:rsidRDefault="00235733">
      <w:pPr>
        <w:pStyle w:val="3"/>
        <w:spacing w:before="240"/>
        <w:ind w:firstLine="444"/>
        <w:rPr>
          <w:rFonts w:ascii="Times New Roman" w:hAnsi="Times New Roman"/>
        </w:rPr>
      </w:pPr>
      <w:bookmarkStart w:id="5533" w:name="_Toc11393"/>
      <w:bookmarkStart w:id="5534" w:name="_Toc23520"/>
      <w:bookmarkStart w:id="5535" w:name="_Toc29451"/>
      <w:bookmarkStart w:id="5536" w:name="_Toc5154"/>
      <w:bookmarkStart w:id="5537" w:name="_Toc3836"/>
      <w:bookmarkStart w:id="5538" w:name="_Toc26372"/>
      <w:bookmarkStart w:id="5539" w:name="_Toc2876"/>
      <w:bookmarkStart w:id="5540" w:name="_Toc11642"/>
      <w:bookmarkStart w:id="5541" w:name="_Toc8464"/>
      <w:bookmarkStart w:id="5542" w:name="_Toc435"/>
      <w:bookmarkStart w:id="5543" w:name="_Toc9468"/>
      <w:bookmarkStart w:id="5544" w:name="_Toc651"/>
      <w:bookmarkStart w:id="5545" w:name="_Toc25262"/>
      <w:bookmarkStart w:id="5546" w:name="_Toc10683"/>
      <w:bookmarkStart w:id="5547" w:name="_Toc7493"/>
      <w:bookmarkStart w:id="5548" w:name="_Toc2734"/>
      <w:bookmarkStart w:id="5549" w:name="_Toc4102"/>
      <w:bookmarkStart w:id="5550" w:name="_Toc29647"/>
      <w:bookmarkStart w:id="5551" w:name="_Toc11893"/>
      <w:bookmarkStart w:id="5552" w:name="_Toc27707"/>
      <w:bookmarkStart w:id="5553" w:name="_Toc20843"/>
      <w:bookmarkStart w:id="5554" w:name="_Toc26464"/>
      <w:bookmarkStart w:id="5555" w:name="_Toc18148"/>
      <w:bookmarkStart w:id="5556" w:name="_Toc217908720"/>
      <w:bookmarkStart w:id="5557" w:name="_Toc1615"/>
      <w:bookmarkStart w:id="5558" w:name="_Toc19260"/>
      <w:bookmarkStart w:id="5559" w:name="_Toc8155"/>
      <w:bookmarkStart w:id="5560" w:name="_Toc30194"/>
      <w:bookmarkStart w:id="5561" w:name="_Toc5029"/>
      <w:bookmarkStart w:id="5562" w:name="_Toc13802"/>
      <w:bookmarkStart w:id="5563" w:name="_Toc27874"/>
      <w:bookmarkStart w:id="5564" w:name="_Toc16662"/>
      <w:bookmarkStart w:id="5565" w:name="_Toc2107"/>
      <w:bookmarkStart w:id="5566" w:name="_Toc22127"/>
      <w:bookmarkStart w:id="5567" w:name="_Toc229114453"/>
      <w:bookmarkStart w:id="5568" w:name="_Toc21712"/>
      <w:bookmarkStart w:id="5569" w:name="_Toc14572"/>
      <w:bookmarkStart w:id="5570" w:name="_Toc16798"/>
      <w:bookmarkStart w:id="5571" w:name="_Toc30386"/>
      <w:bookmarkStart w:id="5572" w:name="_Toc10391"/>
      <w:bookmarkStart w:id="5573" w:name="_Toc26940"/>
      <w:bookmarkStart w:id="5574" w:name="_Toc12866"/>
      <w:bookmarkStart w:id="5575" w:name="_Toc1802"/>
      <w:bookmarkStart w:id="5576" w:name="_Toc29600"/>
      <w:bookmarkStart w:id="5577" w:name="_Toc229225549"/>
      <w:r>
        <w:rPr>
          <w:rFonts w:ascii="Times New Roman" w:hAnsi="Times New Roman"/>
        </w:rPr>
        <w:t>三、发明人、设计人资格纠纷</w:t>
      </w:r>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p>
    <w:p w:rsidR="00800760" w:rsidRDefault="00235733">
      <w:pPr>
        <w:ind w:firstLine="436"/>
        <w:jc w:val="both"/>
        <w:rPr>
          <w:rFonts w:cs="宋体"/>
          <w:spacing w:val="4"/>
        </w:rPr>
      </w:pPr>
      <w:r>
        <w:rPr>
          <w:rFonts w:cs="宋体"/>
          <w:spacing w:val="4"/>
        </w:rPr>
        <w:t>发明人资格纠纷是指对于发明专利文件、实用新型专利文件中注明的发明人是否属实产生的纠纷。设计人资格纠纷是指对于外观设计专利文件中注明的设计人是否属实产生的纠纷。</w:t>
      </w:r>
    </w:p>
    <w:p w:rsidR="00800760" w:rsidRDefault="00235733">
      <w:pPr>
        <w:ind w:firstLine="436"/>
        <w:jc w:val="both"/>
        <w:rPr>
          <w:rFonts w:cs="宋体"/>
        </w:rPr>
      </w:pPr>
      <w:r>
        <w:rPr>
          <w:rFonts w:cs="宋体"/>
          <w:spacing w:val="4"/>
        </w:rPr>
        <w:t>《专利法》第十</w:t>
      </w:r>
      <w:r>
        <w:rPr>
          <w:rFonts w:cs="宋体" w:hint="eastAsia"/>
          <w:spacing w:val="4"/>
        </w:rPr>
        <w:t>六</w:t>
      </w:r>
      <w:r>
        <w:rPr>
          <w:rFonts w:cs="宋体"/>
          <w:spacing w:val="4"/>
        </w:rPr>
        <w:t>条第一款规定：</w:t>
      </w:r>
      <w:r>
        <w:rPr>
          <w:rFonts w:cs="宋体"/>
          <w:spacing w:val="4"/>
        </w:rPr>
        <w:t>“</w:t>
      </w:r>
      <w:r>
        <w:rPr>
          <w:rFonts w:cs="宋体"/>
          <w:spacing w:val="4"/>
        </w:rPr>
        <w:t>发明人或者设计人有权在专利文件中写明自己是发明人或者设计人。</w:t>
      </w:r>
      <w:r>
        <w:rPr>
          <w:rFonts w:cs="宋体"/>
          <w:spacing w:val="4"/>
        </w:rPr>
        <w:t>”</w:t>
      </w:r>
      <w:r>
        <w:rPr>
          <w:rFonts w:cs="宋体"/>
          <w:spacing w:val="4"/>
        </w:rPr>
        <w:t>这里所称发明人或者设计人，是指对发明创造的实质性特点作出创造性贡献的人。在完成发明创造过程中，只负责组织工作的人、为物质技术条件的利用提供方便的人或者从事其他辅助工作的人，不是发明人或者设计人。</w:t>
      </w:r>
    </w:p>
    <w:p w:rsidR="00800760" w:rsidRDefault="00235733">
      <w:pPr>
        <w:pStyle w:val="3"/>
        <w:spacing w:before="240"/>
        <w:ind w:firstLine="444"/>
        <w:rPr>
          <w:rFonts w:ascii="Times New Roman" w:hAnsi="Times New Roman"/>
        </w:rPr>
      </w:pPr>
      <w:bookmarkStart w:id="5578" w:name="_Toc20882"/>
      <w:bookmarkStart w:id="5579" w:name="_Toc12707"/>
      <w:bookmarkStart w:id="5580" w:name="_Toc16455"/>
      <w:bookmarkStart w:id="5581" w:name="_Toc32651"/>
      <w:bookmarkStart w:id="5582" w:name="_Toc4683"/>
      <w:bookmarkStart w:id="5583" w:name="_Toc21725"/>
      <w:bookmarkStart w:id="5584" w:name="_Toc26368"/>
      <w:bookmarkStart w:id="5585" w:name="_Toc7658"/>
      <w:bookmarkStart w:id="5586" w:name="_Toc3068"/>
      <w:bookmarkStart w:id="5587" w:name="_Toc20333"/>
      <w:bookmarkStart w:id="5588" w:name="_Toc23810"/>
      <w:bookmarkStart w:id="5589" w:name="_Toc2537"/>
      <w:bookmarkStart w:id="5590" w:name="_Toc505"/>
      <w:bookmarkStart w:id="5591" w:name="_Toc16423"/>
      <w:bookmarkStart w:id="5592" w:name="_Toc3400"/>
      <w:bookmarkStart w:id="5593" w:name="_Toc12574"/>
      <w:bookmarkStart w:id="5594" w:name="_Toc12895"/>
      <w:bookmarkStart w:id="5595" w:name="_Toc7543"/>
      <w:bookmarkStart w:id="5596" w:name="_Toc8685"/>
      <w:bookmarkStart w:id="5597" w:name="_Toc19752"/>
      <w:bookmarkStart w:id="5598" w:name="_Toc22537"/>
      <w:bookmarkStart w:id="5599" w:name="_Toc12203"/>
      <w:bookmarkStart w:id="5600" w:name="_Toc4070"/>
      <w:bookmarkStart w:id="5601" w:name="_Toc6961"/>
      <w:bookmarkStart w:id="5602" w:name="_Toc12722"/>
      <w:bookmarkStart w:id="5603" w:name="_Toc229114454"/>
      <w:bookmarkStart w:id="5604" w:name="_Toc9587"/>
      <w:bookmarkStart w:id="5605" w:name="_Toc26385"/>
      <w:bookmarkStart w:id="5606" w:name="_Toc7799"/>
      <w:bookmarkStart w:id="5607" w:name="_Toc19110"/>
      <w:bookmarkStart w:id="5608" w:name="_Toc9242"/>
      <w:bookmarkStart w:id="5609" w:name="_Toc6342"/>
      <w:bookmarkStart w:id="5610" w:name="_Toc27625"/>
      <w:bookmarkStart w:id="5611" w:name="_Toc3367"/>
      <w:bookmarkStart w:id="5612" w:name="_Toc28315"/>
      <w:bookmarkStart w:id="5613" w:name="_Toc10624"/>
      <w:bookmarkStart w:id="5614" w:name="_Toc217908721"/>
      <w:bookmarkStart w:id="5615" w:name="_Toc8101"/>
      <w:bookmarkStart w:id="5616" w:name="_Toc9927"/>
      <w:bookmarkStart w:id="5617" w:name="_Toc25460"/>
      <w:bookmarkStart w:id="5618" w:name="_Toc26917"/>
      <w:bookmarkStart w:id="5619" w:name="_Toc26772"/>
      <w:bookmarkStart w:id="5620" w:name="_Toc21273"/>
      <w:bookmarkStart w:id="5621" w:name="_Toc20890"/>
      <w:bookmarkStart w:id="5622" w:name="_Toc229225550"/>
      <w:r>
        <w:rPr>
          <w:rFonts w:ascii="Times New Roman" w:hAnsi="Times New Roman"/>
        </w:rPr>
        <w:t>四、奖酬纠纷</w:t>
      </w:r>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p>
    <w:p w:rsidR="00800760" w:rsidRDefault="00235733">
      <w:pPr>
        <w:ind w:firstLine="436"/>
        <w:jc w:val="both"/>
        <w:rPr>
          <w:rFonts w:cs="宋体"/>
          <w:spacing w:val="4"/>
        </w:rPr>
      </w:pPr>
      <w:r>
        <w:rPr>
          <w:rFonts w:cs="宋体"/>
          <w:spacing w:val="4"/>
        </w:rPr>
        <w:t>奖酬纠纷是指对于职务发明创造的发明人、设计人在专利权授予后，以及在专利实施后是否给予奖励和报酬及奖励和报酬金额是否合理产生的纠纷。</w:t>
      </w:r>
    </w:p>
    <w:p w:rsidR="00800760" w:rsidRDefault="00235733">
      <w:pPr>
        <w:ind w:firstLine="436"/>
        <w:jc w:val="both"/>
        <w:rPr>
          <w:rFonts w:cs="宋体"/>
          <w:spacing w:val="4"/>
        </w:rPr>
      </w:pPr>
      <w:r>
        <w:rPr>
          <w:rFonts w:cs="宋体"/>
          <w:spacing w:val="4"/>
        </w:rPr>
        <w:t>《专利法》第十</w:t>
      </w:r>
      <w:r>
        <w:rPr>
          <w:rFonts w:cs="宋体" w:hint="eastAsia"/>
          <w:spacing w:val="4"/>
        </w:rPr>
        <w:t>五</w:t>
      </w:r>
      <w:r>
        <w:rPr>
          <w:rFonts w:cs="宋体"/>
          <w:spacing w:val="4"/>
        </w:rPr>
        <w:t>条规定：</w:t>
      </w:r>
      <w:r>
        <w:rPr>
          <w:rFonts w:cs="宋体"/>
          <w:spacing w:val="4"/>
        </w:rPr>
        <w:t>“</w:t>
      </w:r>
      <w:r>
        <w:rPr>
          <w:rFonts w:cs="宋体"/>
          <w:spacing w:val="4"/>
        </w:rPr>
        <w:t>被授予专利权的单位应当对职务发明创造的发明人或</w:t>
      </w:r>
      <w:bookmarkStart w:id="5623" w:name="bookmark172"/>
      <w:bookmarkEnd w:id="5623"/>
      <w:r>
        <w:rPr>
          <w:rFonts w:cs="宋体"/>
          <w:spacing w:val="4"/>
        </w:rPr>
        <w:t>者设计人给予奖励；发明创造专利实施后，根据其推广应用的范围和取得的经济效益，对发明人或者设计人给予合理的报酬。</w:t>
      </w:r>
      <w:r>
        <w:rPr>
          <w:rFonts w:cs="宋体" w:hint="eastAsia"/>
          <w:spacing w:val="4"/>
        </w:rPr>
        <w:t>国家鼓励被授予专利权的单位实行产权激励，采取股权、期权、分红等方式，使发明人或者设计人合理分享创新收益。</w:t>
      </w:r>
      <w:r>
        <w:rPr>
          <w:rFonts w:cs="宋体"/>
          <w:spacing w:val="4"/>
        </w:rPr>
        <w:t>”</w:t>
      </w:r>
    </w:p>
    <w:p w:rsidR="00800760" w:rsidRDefault="00235733">
      <w:pPr>
        <w:ind w:firstLine="436"/>
        <w:jc w:val="both"/>
        <w:rPr>
          <w:rFonts w:cs="宋体"/>
          <w:spacing w:val="4"/>
        </w:rPr>
      </w:pPr>
      <w:r>
        <w:rPr>
          <w:rFonts w:cs="宋体"/>
          <w:spacing w:val="4"/>
        </w:rPr>
        <w:t>《专利法实施细则》第</w:t>
      </w:r>
      <w:r>
        <w:rPr>
          <w:rFonts w:cs="宋体" w:hint="eastAsia"/>
          <w:spacing w:val="4"/>
        </w:rPr>
        <w:t>九十三</w:t>
      </w:r>
      <w:r>
        <w:rPr>
          <w:rFonts w:cs="宋体"/>
          <w:spacing w:val="4"/>
        </w:rPr>
        <w:t>条规定：</w:t>
      </w:r>
      <w:r>
        <w:rPr>
          <w:rFonts w:cs="宋体"/>
          <w:spacing w:val="4"/>
        </w:rPr>
        <w:t>“</w:t>
      </w:r>
      <w:r>
        <w:rPr>
          <w:rFonts w:cs="宋体"/>
          <w:spacing w:val="4"/>
        </w:rPr>
        <w:t>被授予专利权的单位未与发明人、设计人约定也未在其依法制定的规章制度中规定专利法第十</w:t>
      </w:r>
      <w:r>
        <w:rPr>
          <w:rFonts w:cs="宋体" w:hint="eastAsia"/>
          <w:spacing w:val="4"/>
        </w:rPr>
        <w:t>五</w:t>
      </w:r>
      <w:r>
        <w:rPr>
          <w:rFonts w:cs="宋体"/>
          <w:spacing w:val="4"/>
        </w:rPr>
        <w:t>条规定的奖励的方式和数额的，应当自专利权公告之日起</w:t>
      </w:r>
      <w:r>
        <w:rPr>
          <w:rFonts w:cs="宋体"/>
          <w:spacing w:val="4"/>
        </w:rPr>
        <w:t>3</w:t>
      </w:r>
      <w:r>
        <w:rPr>
          <w:rFonts w:cs="宋体"/>
          <w:spacing w:val="4"/>
        </w:rPr>
        <w:t>个月内发给发明人或者设计人奖金。一项发明专利的奖金最低不少于</w:t>
      </w:r>
      <w:r>
        <w:rPr>
          <w:rFonts w:cs="宋体" w:hint="eastAsia"/>
          <w:spacing w:val="4"/>
        </w:rPr>
        <w:t>4000</w:t>
      </w:r>
      <w:r>
        <w:rPr>
          <w:rFonts w:cs="宋体"/>
          <w:spacing w:val="4"/>
        </w:rPr>
        <w:t>元；一项实用新型专利或者外观设计专利的奖金最低不少于</w:t>
      </w:r>
      <w:r>
        <w:rPr>
          <w:rFonts w:cs="宋体" w:hint="eastAsia"/>
          <w:spacing w:val="4"/>
        </w:rPr>
        <w:t>1500</w:t>
      </w:r>
      <w:r>
        <w:rPr>
          <w:rFonts w:cs="宋体"/>
          <w:spacing w:val="4"/>
        </w:rPr>
        <w:t>元。由于发明人或者设计人的建议被其所属单位采纳而完成的发明创造，被授予专利权的单位应当从优发给奖金。</w:t>
      </w:r>
      <w:r>
        <w:rPr>
          <w:rFonts w:cs="宋体"/>
          <w:spacing w:val="4"/>
        </w:rPr>
        <w:t>”</w:t>
      </w:r>
    </w:p>
    <w:p w:rsidR="00800760" w:rsidRDefault="00235733">
      <w:pPr>
        <w:ind w:firstLine="436"/>
        <w:jc w:val="both"/>
        <w:rPr>
          <w:rFonts w:cs="宋体"/>
          <w:spacing w:val="4"/>
        </w:rPr>
      </w:pPr>
      <w:r>
        <w:rPr>
          <w:rFonts w:cs="宋体"/>
          <w:spacing w:val="4"/>
        </w:rPr>
        <w:t>《专利法实施细则》第</w:t>
      </w:r>
      <w:r>
        <w:rPr>
          <w:rFonts w:cs="宋体" w:hint="eastAsia"/>
          <w:spacing w:val="4"/>
        </w:rPr>
        <w:t>九十四</w:t>
      </w:r>
      <w:r>
        <w:rPr>
          <w:rFonts w:cs="宋体"/>
          <w:spacing w:val="4"/>
        </w:rPr>
        <w:t>条规定：</w:t>
      </w:r>
      <w:r>
        <w:rPr>
          <w:rFonts w:cs="宋体"/>
          <w:spacing w:val="4"/>
        </w:rPr>
        <w:t>“</w:t>
      </w:r>
      <w:r>
        <w:rPr>
          <w:rFonts w:cs="宋体" w:hint="eastAsia"/>
          <w:spacing w:val="4"/>
        </w:rPr>
        <w:t>被授予专利权的单位未与发明人、设计人约定也未在其依法制定的规章制度中规定专利法第十五条规定的报酬的方式和数额的，应当依照《中华人民共和国促进科技成果转化法》的规定，给予发明人或者设计人合理的报酬。</w:t>
      </w:r>
      <w:r>
        <w:rPr>
          <w:rFonts w:cs="宋体"/>
          <w:spacing w:val="4"/>
        </w:rPr>
        <w:t>”</w:t>
      </w:r>
    </w:p>
    <w:p w:rsidR="00800760" w:rsidRDefault="00235733">
      <w:pPr>
        <w:pStyle w:val="3"/>
        <w:spacing w:before="240"/>
        <w:ind w:firstLine="444"/>
        <w:rPr>
          <w:rFonts w:ascii="Times New Roman" w:hAnsi="Times New Roman"/>
        </w:rPr>
      </w:pPr>
      <w:bookmarkStart w:id="5624" w:name="_Toc30158"/>
      <w:bookmarkStart w:id="5625" w:name="_Toc25957"/>
      <w:bookmarkStart w:id="5626" w:name="_Toc4387"/>
      <w:bookmarkStart w:id="5627" w:name="_Toc4945"/>
      <w:bookmarkStart w:id="5628" w:name="_Toc24035"/>
      <w:bookmarkStart w:id="5629" w:name="_Toc31670"/>
      <w:bookmarkStart w:id="5630" w:name="_Toc7665"/>
      <w:bookmarkStart w:id="5631" w:name="_Toc17490"/>
      <w:bookmarkStart w:id="5632" w:name="_Toc9687"/>
      <w:bookmarkStart w:id="5633" w:name="_Toc6719"/>
      <w:bookmarkStart w:id="5634" w:name="_Toc8567"/>
      <w:bookmarkStart w:id="5635" w:name="_Toc15110"/>
      <w:bookmarkStart w:id="5636" w:name="_Toc28831"/>
      <w:bookmarkStart w:id="5637" w:name="_Toc15365"/>
      <w:bookmarkStart w:id="5638" w:name="_Toc19345"/>
      <w:bookmarkStart w:id="5639" w:name="_Toc21046"/>
      <w:bookmarkStart w:id="5640" w:name="_Toc31029"/>
      <w:bookmarkStart w:id="5641" w:name="_Toc31490"/>
      <w:bookmarkStart w:id="5642" w:name="_Toc3379"/>
      <w:bookmarkStart w:id="5643" w:name="_Toc10025"/>
      <w:bookmarkStart w:id="5644" w:name="_Toc5440"/>
      <w:bookmarkStart w:id="5645" w:name="_Toc14523"/>
      <w:bookmarkStart w:id="5646" w:name="_Toc23655"/>
      <w:bookmarkStart w:id="5647" w:name="_Toc26133"/>
      <w:bookmarkStart w:id="5648" w:name="_Toc7705"/>
      <w:bookmarkStart w:id="5649" w:name="_Toc4864"/>
      <w:bookmarkStart w:id="5650" w:name="_Toc11845"/>
      <w:bookmarkStart w:id="5651" w:name="_Toc19226"/>
      <w:bookmarkStart w:id="5652" w:name="_Toc3346"/>
      <w:bookmarkStart w:id="5653" w:name="_Toc30104"/>
      <w:bookmarkStart w:id="5654" w:name="_Toc3143"/>
      <w:bookmarkStart w:id="5655" w:name="_Toc8910"/>
      <w:bookmarkStart w:id="5656" w:name="_Toc31863"/>
      <w:bookmarkStart w:id="5657" w:name="_Toc21100"/>
      <w:bookmarkStart w:id="5658" w:name="_Toc23786"/>
      <w:bookmarkStart w:id="5659" w:name="_Toc9923"/>
      <w:bookmarkStart w:id="5660" w:name="_Toc4419"/>
      <w:bookmarkStart w:id="5661" w:name="_Toc18190"/>
      <w:bookmarkStart w:id="5662" w:name="_Toc24862"/>
      <w:bookmarkStart w:id="5663" w:name="_Toc26328"/>
      <w:bookmarkStart w:id="5664" w:name="_Toc229114455"/>
      <w:bookmarkStart w:id="5665" w:name="_Toc217908722"/>
      <w:bookmarkStart w:id="5666" w:name="_Toc7129"/>
      <w:bookmarkStart w:id="5667" w:name="_Toc17839"/>
      <w:bookmarkStart w:id="5668" w:name="_Toc229225551"/>
      <w:r>
        <w:rPr>
          <w:rFonts w:ascii="Times New Roman" w:hAnsi="Times New Roman"/>
        </w:rPr>
        <w:t>五、发明专利临时保护期使用费纠纷</w:t>
      </w:r>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p>
    <w:p w:rsidR="00800760" w:rsidRDefault="00235733">
      <w:pPr>
        <w:ind w:firstLine="436"/>
        <w:jc w:val="both"/>
        <w:rPr>
          <w:rFonts w:cs="宋体"/>
          <w:spacing w:val="4"/>
        </w:rPr>
      </w:pPr>
      <w:r>
        <w:rPr>
          <w:rFonts w:cs="宋体"/>
          <w:spacing w:val="4"/>
        </w:rPr>
        <w:t>发明专利临时保护期使用费纠纷是指发明专利申请在公布以后授权之前，他人实施专利申请的技术方案，在专利授权之后，专利权人与实施人因这一期间的</w:t>
      </w:r>
      <w:r>
        <w:rPr>
          <w:rFonts w:cs="宋体" w:hint="eastAsia"/>
          <w:spacing w:val="4"/>
        </w:rPr>
        <w:t>使用</w:t>
      </w:r>
      <w:r>
        <w:rPr>
          <w:rFonts w:cs="宋体"/>
          <w:spacing w:val="4"/>
        </w:rPr>
        <w:t>费用发生争议而产生的纠纷。</w:t>
      </w:r>
    </w:p>
    <w:p w:rsidR="00800760" w:rsidRDefault="00235733">
      <w:pPr>
        <w:ind w:firstLine="436"/>
        <w:jc w:val="both"/>
        <w:rPr>
          <w:rFonts w:cs="宋体"/>
          <w:spacing w:val="4"/>
        </w:rPr>
      </w:pPr>
      <w:r>
        <w:rPr>
          <w:rFonts w:cs="宋体"/>
          <w:spacing w:val="4"/>
        </w:rPr>
        <w:t>对于发明专利临时保护期使用费纠纷，当事人请求管理专利工作的部门调解的，应当在专利权被授予之后提出。</w:t>
      </w:r>
    </w:p>
    <w:p w:rsidR="00800760" w:rsidRDefault="00235733">
      <w:pPr>
        <w:pStyle w:val="3"/>
        <w:spacing w:before="240"/>
        <w:ind w:firstLine="444"/>
        <w:rPr>
          <w:rFonts w:ascii="Times New Roman" w:hAnsi="Times New Roman"/>
        </w:rPr>
      </w:pPr>
      <w:bookmarkStart w:id="5669" w:name="_Toc19851"/>
      <w:bookmarkStart w:id="5670" w:name="_Toc17726"/>
      <w:bookmarkStart w:id="5671" w:name="_Toc6271"/>
      <w:bookmarkStart w:id="5672" w:name="_Toc26208"/>
      <w:bookmarkStart w:id="5673" w:name="_Toc17040"/>
      <w:bookmarkStart w:id="5674" w:name="_Toc896"/>
      <w:bookmarkStart w:id="5675" w:name="_Toc10523"/>
      <w:bookmarkStart w:id="5676" w:name="_Toc25774"/>
      <w:bookmarkStart w:id="5677" w:name="_Toc11177"/>
      <w:bookmarkStart w:id="5678" w:name="_Toc13860"/>
      <w:bookmarkStart w:id="5679" w:name="_Toc580"/>
      <w:bookmarkStart w:id="5680" w:name="_Toc27102"/>
      <w:bookmarkStart w:id="5681" w:name="_Toc27278"/>
      <w:bookmarkStart w:id="5682" w:name="_Toc11155"/>
      <w:bookmarkStart w:id="5683" w:name="_Toc18734"/>
      <w:bookmarkStart w:id="5684" w:name="_Toc2485"/>
      <w:bookmarkStart w:id="5685" w:name="_Toc28485"/>
      <w:bookmarkStart w:id="5686" w:name="_Toc12207"/>
      <w:bookmarkStart w:id="5687" w:name="_Toc11391"/>
      <w:bookmarkStart w:id="5688" w:name="_Toc436"/>
      <w:bookmarkStart w:id="5689" w:name="_Toc30876"/>
      <w:bookmarkStart w:id="5690" w:name="_Toc21361"/>
      <w:bookmarkStart w:id="5691" w:name="_Toc19170"/>
      <w:bookmarkStart w:id="5692" w:name="_Toc138"/>
      <w:bookmarkStart w:id="5693" w:name="_Toc20452"/>
      <w:bookmarkStart w:id="5694" w:name="_Toc229114456"/>
      <w:bookmarkStart w:id="5695" w:name="_Toc30097"/>
      <w:bookmarkStart w:id="5696" w:name="_Toc25795"/>
      <w:bookmarkStart w:id="5697" w:name="_Toc23599"/>
      <w:bookmarkStart w:id="5698" w:name="_Toc7170"/>
      <w:bookmarkStart w:id="5699" w:name="_Toc8977"/>
      <w:bookmarkStart w:id="5700" w:name="_Toc22221"/>
      <w:bookmarkStart w:id="5701" w:name="_Toc23831"/>
      <w:bookmarkStart w:id="5702" w:name="_Toc3853"/>
      <w:bookmarkStart w:id="5703" w:name="_Toc26525"/>
      <w:bookmarkStart w:id="5704" w:name="_Toc19820"/>
      <w:bookmarkStart w:id="5705" w:name="_Toc20752"/>
      <w:bookmarkStart w:id="5706" w:name="_Toc23204"/>
      <w:bookmarkStart w:id="5707" w:name="_Toc7272"/>
      <w:bookmarkStart w:id="5708" w:name="_Toc21518"/>
      <w:bookmarkStart w:id="5709" w:name="_Toc30649"/>
      <w:bookmarkStart w:id="5710" w:name="_Toc19860"/>
      <w:bookmarkStart w:id="5711" w:name="_Toc23000"/>
      <w:bookmarkStart w:id="5712" w:name="_Toc217908723"/>
      <w:bookmarkStart w:id="5713" w:name="_Toc229225552"/>
      <w:r>
        <w:rPr>
          <w:rFonts w:ascii="Times New Roman" w:hAnsi="Times New Roman" w:hint="eastAsia"/>
        </w:rPr>
        <w:t>六</w:t>
      </w:r>
      <w:r>
        <w:rPr>
          <w:rFonts w:ascii="Times New Roman" w:hAnsi="Times New Roman"/>
        </w:rPr>
        <w:t>、侵犯专利权的赔偿数额纠纷</w:t>
      </w:r>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p>
    <w:p w:rsidR="00800760" w:rsidRDefault="00235733">
      <w:pPr>
        <w:ind w:firstLine="436"/>
        <w:jc w:val="both"/>
        <w:rPr>
          <w:rFonts w:cs="宋体"/>
          <w:spacing w:val="4"/>
        </w:rPr>
      </w:pPr>
      <w:r>
        <w:rPr>
          <w:rFonts w:cs="宋体"/>
          <w:spacing w:val="4"/>
        </w:rPr>
        <w:t>处理专利侵权纠纷的管理专利工作的部门应当事人请求，在裁定侵权成立后，可以就侵犯专利权的赔偿数额进行调解；调解不成的，当事人可以依照《</w:t>
      </w:r>
      <w:r>
        <w:rPr>
          <w:rFonts w:cs="宋体" w:hint="eastAsia"/>
          <w:spacing w:val="4"/>
        </w:rPr>
        <w:t>中国人民共和国</w:t>
      </w:r>
      <w:r>
        <w:rPr>
          <w:rFonts w:cs="宋体"/>
          <w:spacing w:val="4"/>
        </w:rPr>
        <w:t>民事诉讼法》的规定向人民法院起诉。权利人与被控侵权人就侵犯专利权的赔偿数额或者计算方式有约定的，管理专利工作的部门应当按照约定确定赔偿数额；没有约定的，管理专利工作的部门应当在根据《专利法》第</w:t>
      </w:r>
      <w:r>
        <w:rPr>
          <w:rFonts w:cs="宋体" w:hint="eastAsia"/>
          <w:spacing w:val="4"/>
        </w:rPr>
        <w:t>七十一</w:t>
      </w:r>
      <w:r>
        <w:rPr>
          <w:rFonts w:cs="宋体"/>
          <w:spacing w:val="4"/>
        </w:rPr>
        <w:t>条的规定确定的赔偿数额基础上，本着公平、合理的原则组织双方就赔偿数额进行调解。</w:t>
      </w:r>
    </w:p>
    <w:p w:rsidR="00800760" w:rsidRDefault="00235733">
      <w:pPr>
        <w:ind w:firstLine="436"/>
        <w:jc w:val="both"/>
        <w:rPr>
          <w:rFonts w:cs="宋体"/>
          <w:spacing w:val="4"/>
        </w:rPr>
      </w:pPr>
      <w:r>
        <w:rPr>
          <w:rFonts w:cs="宋体"/>
          <w:spacing w:val="4"/>
        </w:rPr>
        <w:t>《专利法》</w:t>
      </w:r>
      <w:r>
        <w:rPr>
          <w:rFonts w:cs="宋体" w:hint="eastAsia"/>
          <w:spacing w:val="4"/>
        </w:rPr>
        <w:t>第七十一条规定：“侵犯专利权的赔偿数额按照权利人因被侵权所受到的实际损失或者侵权人因侵权所获得的利益确定；权利人的损失或者侵权人获得的利益难以确定的，参照该专利许可使用费的倍数合理确定。对故意侵犯专利权，情节严重的，可以在按照上述方法确定数额的一倍以上五倍以下确定赔偿数额。权利人的损失、侵权人获得的利益和专利许可使用费均难以确定的，人民法院可以根据专利权的类型、侵权行为的性质和情节等因素，确定给予三万元以上五百万元以下的赔偿。赔偿数额还应当包括权利人为制止侵权行为所支付的合理开支。人民法院为确定赔偿数额，在权利人已经尽力举证，而与侵权行为相关的账簿、资料主要由侵权人掌握的情况下，可以责令侵权人提供与侵权行为相关的账簿、资料；侵权人不提供或者提供虚假的账簿、资料的，人民法院可以参考权利人的主张和提供的证据判定赔偿数额”。</w:t>
      </w:r>
    </w:p>
    <w:p w:rsidR="00800760" w:rsidRDefault="00235733">
      <w:pPr>
        <w:pStyle w:val="3"/>
        <w:spacing w:before="240"/>
        <w:ind w:firstLine="444"/>
        <w:rPr>
          <w:rFonts w:ascii="Times New Roman" w:hAnsi="Times New Roman"/>
        </w:rPr>
      </w:pPr>
      <w:bookmarkStart w:id="5714" w:name="_Toc32553"/>
      <w:bookmarkStart w:id="5715" w:name="_Toc2600"/>
      <w:bookmarkStart w:id="5716" w:name="_Toc32577"/>
      <w:bookmarkStart w:id="5717" w:name="_Toc16330"/>
      <w:bookmarkStart w:id="5718" w:name="_Toc21495"/>
      <w:bookmarkStart w:id="5719" w:name="_Toc3314"/>
      <w:bookmarkStart w:id="5720" w:name="_Toc9590"/>
      <w:bookmarkStart w:id="5721" w:name="_Toc8723"/>
      <w:bookmarkStart w:id="5722" w:name="_Toc27256"/>
      <w:bookmarkStart w:id="5723" w:name="_Toc8310"/>
      <w:bookmarkStart w:id="5724" w:name="_Toc15127"/>
      <w:bookmarkStart w:id="5725" w:name="_Toc12092"/>
      <w:bookmarkStart w:id="5726" w:name="_Toc3328"/>
      <w:bookmarkStart w:id="5727" w:name="_Toc5232"/>
      <w:bookmarkStart w:id="5728" w:name="_Toc29981"/>
      <w:bookmarkStart w:id="5729" w:name="_Toc31257"/>
      <w:bookmarkStart w:id="5730" w:name="_Toc2833"/>
      <w:bookmarkStart w:id="5731" w:name="_Toc8916"/>
      <w:bookmarkStart w:id="5732" w:name="_Toc3612"/>
      <w:bookmarkStart w:id="5733" w:name="_Toc13752"/>
      <w:bookmarkStart w:id="5734" w:name="_Toc2776"/>
      <w:bookmarkStart w:id="5735" w:name="_Toc24985"/>
      <w:bookmarkStart w:id="5736" w:name="_Toc20588"/>
      <w:bookmarkStart w:id="5737" w:name="_Toc229114457"/>
      <w:bookmarkStart w:id="5738" w:name="_Toc13575"/>
      <w:bookmarkStart w:id="5739" w:name="_Toc13434"/>
      <w:bookmarkStart w:id="5740" w:name="_Toc3165"/>
      <w:bookmarkStart w:id="5741" w:name="_Toc22650"/>
      <w:bookmarkStart w:id="5742" w:name="_Toc5543"/>
      <w:bookmarkStart w:id="5743" w:name="_Toc331"/>
      <w:bookmarkStart w:id="5744" w:name="_Toc217908724"/>
      <w:bookmarkStart w:id="5745" w:name="_Toc26369"/>
      <w:bookmarkStart w:id="5746" w:name="_Toc4918"/>
      <w:bookmarkStart w:id="5747" w:name="_Toc32207"/>
      <w:bookmarkStart w:id="5748" w:name="_Toc24578"/>
      <w:bookmarkStart w:id="5749" w:name="_Toc14095"/>
      <w:bookmarkStart w:id="5750" w:name="_Toc12672"/>
      <w:bookmarkStart w:id="5751" w:name="_Toc12287"/>
      <w:bookmarkStart w:id="5752" w:name="_Toc21191"/>
      <w:bookmarkStart w:id="5753" w:name="_Toc28556"/>
      <w:bookmarkStart w:id="5754" w:name="_Toc1063"/>
      <w:bookmarkStart w:id="5755" w:name="_Toc31739"/>
      <w:bookmarkStart w:id="5756" w:name="_Toc1916"/>
      <w:bookmarkStart w:id="5757" w:name="_Toc17456"/>
      <w:bookmarkStart w:id="5758" w:name="_Toc229225553"/>
      <w:r>
        <w:rPr>
          <w:rFonts w:ascii="Times New Roman" w:hAnsi="Times New Roman" w:hint="eastAsia"/>
        </w:rPr>
        <w:t>七、其他专利纠纷</w:t>
      </w:r>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p>
    <w:p w:rsidR="00800760" w:rsidRDefault="00235733">
      <w:pPr>
        <w:topLinePunct/>
        <w:ind w:firstLine="436"/>
        <w:rPr>
          <w:color w:val="FF0000"/>
          <w:szCs w:val="21"/>
          <w:u w:val="single"/>
        </w:rPr>
      </w:pPr>
      <w:r>
        <w:rPr>
          <w:rFonts w:cs="宋体" w:hint="eastAsia"/>
          <w:spacing w:val="4"/>
          <w:lang w:val="en-US"/>
        </w:rPr>
        <w:t>其他</w:t>
      </w:r>
      <w:r>
        <w:rPr>
          <w:rFonts w:cs="宋体"/>
          <w:spacing w:val="4"/>
          <w:lang w:val="en-US"/>
        </w:rPr>
        <w:t>专利纠纷主要包括专利合同纠纷，</w:t>
      </w:r>
      <w:r>
        <w:rPr>
          <w:rFonts w:cs="宋体" w:hint="eastAsia"/>
          <w:spacing w:val="4"/>
          <w:lang w:val="en-US"/>
        </w:rPr>
        <w:t>常见类型包括：专利权转让合同纠纷、专利</w:t>
      </w:r>
      <w:r>
        <w:rPr>
          <w:rFonts w:cs="宋体"/>
          <w:spacing w:val="4"/>
          <w:lang w:val="en-US"/>
        </w:rPr>
        <w:t>申请权转让合同纠纷、</w:t>
      </w:r>
      <w:r>
        <w:rPr>
          <w:rFonts w:cs="宋体" w:hint="eastAsia"/>
          <w:spacing w:val="4"/>
          <w:lang w:val="en-US"/>
        </w:rPr>
        <w:t>专利实施许可合同纠纷等。专利</w:t>
      </w:r>
      <w:r>
        <w:rPr>
          <w:rFonts w:cs="宋体"/>
          <w:spacing w:val="4"/>
          <w:lang w:val="en-US"/>
        </w:rPr>
        <w:t>合同纠纷</w:t>
      </w:r>
      <w:r>
        <w:rPr>
          <w:rFonts w:cs="宋体" w:hint="eastAsia"/>
          <w:spacing w:val="4"/>
          <w:lang w:val="en-US"/>
        </w:rPr>
        <w:t>通常涉及专利转让合同或专利许可合同的订立或履行问题。例如，合同双方就转让条件、专利使用费、专利许可费、许可范围、</w:t>
      </w:r>
      <w:r>
        <w:rPr>
          <w:rFonts w:cs="宋体"/>
          <w:spacing w:val="4"/>
          <w:lang w:val="en-US"/>
        </w:rPr>
        <w:t>收益方式</w:t>
      </w:r>
      <w:r>
        <w:rPr>
          <w:rFonts w:cs="宋体" w:hint="eastAsia"/>
          <w:spacing w:val="4"/>
          <w:lang w:val="en-US"/>
        </w:rPr>
        <w:t>等产生争议，或者当事人违反合同约定，未按时支付使用费或未履行转让义务等</w:t>
      </w:r>
      <w:r>
        <w:rPr>
          <w:rFonts w:cs="宋体"/>
          <w:spacing w:val="4"/>
          <w:lang w:val="en-US"/>
        </w:rPr>
        <w:t>‌</w:t>
      </w:r>
      <w:r>
        <w:rPr>
          <w:rFonts w:cs="宋体" w:hint="eastAsia"/>
          <w:spacing w:val="4"/>
          <w:lang w:val="en-US"/>
        </w:rPr>
        <w:t>。</w:t>
      </w:r>
    </w:p>
    <w:p w:rsidR="00800760" w:rsidRDefault="00235733">
      <w:r>
        <w:br w:type="page"/>
      </w:r>
    </w:p>
    <w:p w:rsidR="00800760" w:rsidRDefault="00800760">
      <w:pPr>
        <w:pStyle w:val="a5"/>
        <w:spacing w:line="288" w:lineRule="auto"/>
      </w:pPr>
    </w:p>
    <w:p w:rsidR="00800760" w:rsidRDefault="00235733">
      <w:pPr>
        <w:pStyle w:val="1"/>
        <w:spacing w:before="104"/>
        <w:ind w:firstLineChars="0" w:firstLine="0"/>
        <w:rPr>
          <w:rFonts w:cs="宋体"/>
          <w:sz w:val="32"/>
          <w:szCs w:val="32"/>
        </w:rPr>
      </w:pPr>
      <w:bookmarkStart w:id="5759" w:name="bookmark173"/>
      <w:bookmarkStart w:id="5760" w:name="_Toc20183"/>
      <w:bookmarkStart w:id="5761" w:name="_Toc29025"/>
      <w:bookmarkStart w:id="5762" w:name="_Toc2220"/>
      <w:bookmarkStart w:id="5763" w:name="_Toc10885"/>
      <w:bookmarkStart w:id="5764" w:name="_Toc5168"/>
      <w:bookmarkStart w:id="5765" w:name="_Toc24047"/>
      <w:bookmarkStart w:id="5766" w:name="_Toc29576"/>
      <w:bookmarkStart w:id="5767" w:name="_Toc19505"/>
      <w:bookmarkStart w:id="5768" w:name="_Toc29690"/>
      <w:bookmarkStart w:id="5769" w:name="_Toc3558"/>
      <w:bookmarkStart w:id="5770" w:name="_Toc4129"/>
      <w:bookmarkStart w:id="5771" w:name="_Toc31404"/>
      <w:bookmarkStart w:id="5772" w:name="_Toc26783"/>
      <w:bookmarkStart w:id="5773" w:name="_Toc5595"/>
      <w:bookmarkStart w:id="5774" w:name="_Toc7508"/>
      <w:bookmarkStart w:id="5775" w:name="_Toc7936"/>
      <w:bookmarkStart w:id="5776" w:name="_Toc594"/>
      <w:bookmarkStart w:id="5777" w:name="_Toc30197"/>
      <w:bookmarkStart w:id="5778" w:name="_Toc11143"/>
      <w:bookmarkStart w:id="5779" w:name="_Toc28925"/>
      <w:bookmarkStart w:id="5780" w:name="_Toc30666"/>
      <w:bookmarkStart w:id="5781" w:name="_Toc7627"/>
      <w:bookmarkStart w:id="5782" w:name="_Toc11017"/>
      <w:bookmarkStart w:id="5783" w:name="_Toc6131"/>
      <w:bookmarkStart w:id="5784" w:name="_Toc32693"/>
      <w:bookmarkStart w:id="5785" w:name="_Toc11937"/>
      <w:bookmarkStart w:id="5786" w:name="_Toc14752"/>
      <w:bookmarkStart w:id="5787" w:name="_Toc6209"/>
      <w:bookmarkStart w:id="5788" w:name="_Toc2997"/>
      <w:bookmarkStart w:id="5789" w:name="_Toc19140"/>
      <w:bookmarkStart w:id="5790" w:name="_Toc9159"/>
      <w:bookmarkStart w:id="5791" w:name="_Toc18185"/>
      <w:bookmarkStart w:id="5792" w:name="_Toc328"/>
      <w:bookmarkStart w:id="5793" w:name="_Toc1313"/>
      <w:bookmarkStart w:id="5794" w:name="_Toc27304"/>
      <w:bookmarkStart w:id="5795" w:name="_Toc11321"/>
      <w:bookmarkStart w:id="5796" w:name="_Toc22284"/>
      <w:bookmarkStart w:id="5797" w:name="_Toc11190"/>
      <w:bookmarkStart w:id="5798" w:name="_Toc15146"/>
      <w:bookmarkStart w:id="5799" w:name="_Toc13708"/>
      <w:bookmarkStart w:id="5800" w:name="_Toc23480"/>
      <w:bookmarkStart w:id="5801" w:name="_Toc24294"/>
      <w:bookmarkStart w:id="5802" w:name="_Toc217908725"/>
      <w:bookmarkStart w:id="5803" w:name="_Toc14421"/>
      <w:bookmarkStart w:id="5804" w:name="_Toc19162"/>
      <w:bookmarkStart w:id="5805" w:name="_Toc229114458"/>
      <w:bookmarkStart w:id="5806" w:name="_Toc229225554"/>
      <w:bookmarkEnd w:id="5759"/>
      <w:r>
        <w:rPr>
          <w:rFonts w:cs="宋体"/>
          <w:bCs/>
          <w:spacing w:val="-6"/>
          <w:sz w:val="32"/>
          <w:szCs w:val="32"/>
        </w:rPr>
        <w:t>第二章</w:t>
      </w:r>
      <w:r>
        <w:rPr>
          <w:rFonts w:hint="eastAsia"/>
        </w:rPr>
        <w:t xml:space="preserve">　</w:t>
      </w:r>
      <w:r>
        <w:rPr>
          <w:rFonts w:cs="宋体"/>
          <w:bCs/>
          <w:spacing w:val="-6"/>
          <w:sz w:val="32"/>
          <w:szCs w:val="32"/>
        </w:rPr>
        <w:t>调解专利纠纷的程序</w:t>
      </w:r>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p>
    <w:p w:rsidR="00800760" w:rsidRDefault="00235733">
      <w:pPr>
        <w:pStyle w:val="2"/>
        <w:spacing w:before="91"/>
        <w:ind w:firstLineChars="0" w:firstLine="0"/>
        <w:rPr>
          <w:rFonts w:ascii="Times New Roman" w:hAnsi="Times New Roman"/>
        </w:rPr>
      </w:pPr>
      <w:bookmarkStart w:id="5807" w:name="_Toc12272"/>
      <w:bookmarkStart w:id="5808" w:name="_Toc9237"/>
      <w:bookmarkStart w:id="5809" w:name="_Toc1109"/>
      <w:bookmarkStart w:id="5810" w:name="_Toc22003"/>
      <w:bookmarkStart w:id="5811" w:name="_Toc1669"/>
      <w:bookmarkStart w:id="5812" w:name="_Toc13076"/>
      <w:bookmarkStart w:id="5813" w:name="_Toc12360"/>
      <w:bookmarkStart w:id="5814" w:name="_Toc20946"/>
      <w:bookmarkStart w:id="5815" w:name="_Toc31413"/>
      <w:bookmarkStart w:id="5816" w:name="_Toc3045"/>
      <w:bookmarkStart w:id="5817" w:name="_Toc16338"/>
      <w:bookmarkStart w:id="5818" w:name="_Toc9642"/>
      <w:bookmarkStart w:id="5819" w:name="_Toc17629"/>
      <w:bookmarkStart w:id="5820" w:name="_Toc24965"/>
      <w:bookmarkStart w:id="5821" w:name="_Toc27797"/>
      <w:bookmarkStart w:id="5822" w:name="_Toc14357"/>
      <w:bookmarkStart w:id="5823" w:name="_Toc3754"/>
      <w:bookmarkStart w:id="5824" w:name="_Toc27680"/>
      <w:bookmarkStart w:id="5825" w:name="_Toc25620"/>
      <w:bookmarkStart w:id="5826" w:name="_Toc15927"/>
      <w:bookmarkStart w:id="5827" w:name="_Toc30203"/>
      <w:bookmarkStart w:id="5828" w:name="_Toc5713"/>
      <w:bookmarkStart w:id="5829" w:name="_Toc31342"/>
      <w:bookmarkStart w:id="5830" w:name="_Toc32058"/>
      <w:bookmarkStart w:id="5831" w:name="_Toc25659"/>
      <w:bookmarkStart w:id="5832" w:name="_Toc25746"/>
      <w:bookmarkStart w:id="5833" w:name="_Toc10995"/>
      <w:bookmarkStart w:id="5834" w:name="_Toc20827"/>
      <w:bookmarkStart w:id="5835" w:name="_Toc217908726"/>
      <w:bookmarkStart w:id="5836" w:name="_Toc229114459"/>
      <w:bookmarkStart w:id="5837" w:name="_Toc19688"/>
      <w:bookmarkStart w:id="5838" w:name="_Toc17514"/>
      <w:bookmarkStart w:id="5839" w:name="_Toc11310"/>
      <w:bookmarkStart w:id="5840" w:name="_Toc10193"/>
      <w:bookmarkStart w:id="5841" w:name="_Toc27952"/>
      <w:bookmarkStart w:id="5842" w:name="_Toc8297"/>
      <w:bookmarkStart w:id="5843" w:name="_Toc26490"/>
      <w:bookmarkStart w:id="5844" w:name="_Toc2479"/>
      <w:bookmarkStart w:id="5845" w:name="_Toc15840"/>
      <w:bookmarkStart w:id="5846" w:name="_Toc23951"/>
      <w:bookmarkStart w:id="5847" w:name="_Toc6103"/>
      <w:bookmarkStart w:id="5848" w:name="_Toc9314"/>
      <w:bookmarkStart w:id="5849" w:name="_Toc22119"/>
      <w:bookmarkStart w:id="5850" w:name="_Toc18678"/>
      <w:bookmarkStart w:id="5851" w:name="_Toc229225555"/>
      <w:r>
        <w:rPr>
          <w:rFonts w:ascii="Times New Roman" w:hAnsi="Times New Roman"/>
        </w:rPr>
        <w:t>第一节</w:t>
      </w:r>
      <w:r>
        <w:rPr>
          <w:rFonts w:ascii="Times New Roman" w:hAnsi="Times New Roman" w:hint="eastAsia"/>
        </w:rPr>
        <w:t xml:space="preserve">　</w:t>
      </w:r>
      <w:r>
        <w:rPr>
          <w:rFonts w:ascii="Times New Roman" w:hAnsi="Times New Roman"/>
        </w:rPr>
        <w:t>受理及立案</w:t>
      </w:r>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p>
    <w:p w:rsidR="00800760" w:rsidRDefault="00235733">
      <w:pPr>
        <w:ind w:firstLine="436"/>
        <w:jc w:val="both"/>
        <w:rPr>
          <w:rFonts w:cs="宋体"/>
          <w:spacing w:val="4"/>
        </w:rPr>
      </w:pPr>
      <w:r>
        <w:rPr>
          <w:rFonts w:cs="宋体" w:hint="eastAsia"/>
          <w:spacing w:val="4"/>
        </w:rPr>
        <w:t>可以</w:t>
      </w:r>
      <w:r>
        <w:rPr>
          <w:rFonts w:cs="宋体"/>
          <w:spacing w:val="4"/>
        </w:rPr>
        <w:t>请求调解</w:t>
      </w:r>
      <w:r>
        <w:rPr>
          <w:rFonts w:cs="宋体" w:hint="eastAsia"/>
          <w:spacing w:val="4"/>
        </w:rPr>
        <w:t>的</w:t>
      </w:r>
      <w:r>
        <w:rPr>
          <w:rFonts w:cs="宋体"/>
          <w:spacing w:val="4"/>
        </w:rPr>
        <w:t>专利纠纷</w:t>
      </w:r>
      <w:r>
        <w:rPr>
          <w:rFonts w:cs="宋体" w:hint="eastAsia"/>
          <w:spacing w:val="4"/>
        </w:rPr>
        <w:t>包括</w:t>
      </w:r>
      <w:r>
        <w:rPr>
          <w:rFonts w:cs="宋体"/>
          <w:spacing w:val="4"/>
        </w:rPr>
        <w:t>专利权属纠纷</w:t>
      </w:r>
      <w:r>
        <w:rPr>
          <w:rFonts w:cs="宋体" w:hint="eastAsia"/>
          <w:spacing w:val="4"/>
        </w:rPr>
        <w:t>，</w:t>
      </w:r>
      <w:r>
        <w:rPr>
          <w:rFonts w:cs="宋体"/>
          <w:spacing w:val="4"/>
        </w:rPr>
        <w:t>发明人、设计人资格纠纷</w:t>
      </w:r>
      <w:r>
        <w:rPr>
          <w:rFonts w:cs="宋体" w:hint="eastAsia"/>
          <w:spacing w:val="4"/>
        </w:rPr>
        <w:t>，</w:t>
      </w:r>
      <w:r>
        <w:rPr>
          <w:rFonts w:cs="宋体"/>
          <w:spacing w:val="4"/>
        </w:rPr>
        <w:t>奖酬纠纷</w:t>
      </w:r>
      <w:r>
        <w:rPr>
          <w:rFonts w:cs="宋体" w:hint="eastAsia"/>
          <w:spacing w:val="4"/>
        </w:rPr>
        <w:t>，</w:t>
      </w:r>
      <w:r>
        <w:rPr>
          <w:rFonts w:cs="宋体"/>
          <w:spacing w:val="4"/>
        </w:rPr>
        <w:t>发明专利临时保护期使用费纠纷</w:t>
      </w:r>
      <w:r>
        <w:rPr>
          <w:rFonts w:cs="宋体" w:hint="eastAsia"/>
          <w:spacing w:val="4"/>
        </w:rPr>
        <w:t>和</w:t>
      </w:r>
      <w:r>
        <w:rPr>
          <w:rFonts w:cs="宋体"/>
          <w:spacing w:val="4"/>
        </w:rPr>
        <w:t>侵犯专利权的赔偿数额纠纷</w:t>
      </w:r>
      <w:r>
        <w:rPr>
          <w:rFonts w:cs="宋体" w:hint="eastAsia"/>
          <w:spacing w:val="4"/>
        </w:rPr>
        <w:t>。</w:t>
      </w:r>
      <w:r>
        <w:rPr>
          <w:rFonts w:cs="宋体"/>
          <w:spacing w:val="4"/>
        </w:rPr>
        <w:t>专利纠纷调解案件与专利侵权处理案件的立案不同。处理专利侵权案件是依据当事人的请求立案，当事人的请求只要符合条件，管理专利工作的部门就应当立案，并且立案后应当通知请求人，同时将请求书及其附件的副本送达被请求人。调解专利纠纷案件是依当事人请求，由管理专利工作的部门受理后通知另一方当事人进行调解。调解立案的前提条件是双方当事人都同意参加调解，一方当事人提出调解请求并不能立案，只能先行受理，在另一方当事人同意调解后，管理专利工作的部门才能正式立案。</w:t>
      </w:r>
    </w:p>
    <w:p w:rsidR="00800760" w:rsidRDefault="00235733">
      <w:pPr>
        <w:pStyle w:val="3"/>
        <w:spacing w:before="240"/>
        <w:ind w:firstLineChars="0" w:firstLine="444"/>
        <w:rPr>
          <w:rFonts w:ascii="Times New Roman" w:hAnsi="Times New Roman"/>
        </w:rPr>
      </w:pPr>
      <w:bookmarkStart w:id="5852" w:name="_Toc20213"/>
      <w:bookmarkStart w:id="5853" w:name="_Toc21749"/>
      <w:bookmarkStart w:id="5854" w:name="_Toc4768"/>
      <w:bookmarkStart w:id="5855" w:name="_Toc45"/>
      <w:bookmarkStart w:id="5856" w:name="_Toc29635"/>
      <w:bookmarkStart w:id="5857" w:name="_Toc8425"/>
      <w:bookmarkStart w:id="5858" w:name="_Toc21328"/>
      <w:bookmarkStart w:id="5859" w:name="_Toc12313"/>
      <w:bookmarkStart w:id="5860" w:name="_Toc13463"/>
      <w:bookmarkStart w:id="5861" w:name="_Toc19722"/>
      <w:bookmarkStart w:id="5862" w:name="_Toc12771"/>
      <w:bookmarkStart w:id="5863" w:name="_Toc30889"/>
      <w:bookmarkStart w:id="5864" w:name="_Toc8710"/>
      <w:bookmarkStart w:id="5865" w:name="_Toc14816"/>
      <w:bookmarkStart w:id="5866" w:name="_Toc23059"/>
      <w:bookmarkStart w:id="5867" w:name="_Toc29456"/>
      <w:bookmarkStart w:id="5868" w:name="_Toc874"/>
      <w:bookmarkStart w:id="5869" w:name="_Toc14628"/>
      <w:bookmarkStart w:id="5870" w:name="_Toc8714"/>
      <w:bookmarkStart w:id="5871" w:name="_Toc23412"/>
      <w:bookmarkStart w:id="5872" w:name="_Toc20579"/>
      <w:bookmarkStart w:id="5873" w:name="_Toc3737"/>
      <w:bookmarkStart w:id="5874" w:name="_Toc14090"/>
      <w:bookmarkStart w:id="5875" w:name="_Toc7989"/>
      <w:bookmarkStart w:id="5876" w:name="_Toc17349"/>
      <w:bookmarkStart w:id="5877" w:name="_Toc15066"/>
      <w:bookmarkStart w:id="5878" w:name="_Toc21036"/>
      <w:bookmarkStart w:id="5879" w:name="_Toc29498"/>
      <w:bookmarkStart w:id="5880" w:name="_Toc23954"/>
      <w:bookmarkStart w:id="5881" w:name="_Toc13180"/>
      <w:bookmarkStart w:id="5882" w:name="_Toc8927"/>
      <w:bookmarkStart w:id="5883" w:name="_Toc32460"/>
      <w:bookmarkStart w:id="5884" w:name="_Toc217908727"/>
      <w:bookmarkStart w:id="5885" w:name="_Toc229114460"/>
      <w:bookmarkStart w:id="5886" w:name="_Toc9980"/>
      <w:bookmarkStart w:id="5887" w:name="_Toc25116"/>
      <w:bookmarkStart w:id="5888" w:name="_Toc31292"/>
      <w:bookmarkStart w:id="5889" w:name="_Toc22335"/>
      <w:bookmarkStart w:id="5890" w:name="_Toc30504"/>
      <w:bookmarkStart w:id="5891" w:name="_Toc18381"/>
      <w:bookmarkStart w:id="5892" w:name="_Toc25884"/>
      <w:bookmarkStart w:id="5893" w:name="_Toc5684"/>
      <w:bookmarkStart w:id="5894" w:name="_Toc1016"/>
      <w:bookmarkStart w:id="5895" w:name="_Toc6246"/>
      <w:bookmarkStart w:id="5896" w:name="_Toc229225556"/>
      <w:r>
        <w:rPr>
          <w:rFonts w:ascii="Times New Roman" w:hAnsi="Times New Roman" w:hint="eastAsia"/>
        </w:rPr>
        <w:t>一、请求调解专利纠纷的条件</w:t>
      </w:r>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p>
    <w:p w:rsidR="00800760" w:rsidRDefault="00235733">
      <w:pPr>
        <w:ind w:firstLine="436"/>
        <w:jc w:val="both"/>
        <w:rPr>
          <w:rFonts w:cs="宋体"/>
          <w:spacing w:val="4"/>
        </w:rPr>
      </w:pPr>
      <w:r>
        <w:rPr>
          <w:rFonts w:cs="宋体"/>
          <w:spacing w:val="4"/>
        </w:rPr>
        <w:t>行政调解可以由一方当事人或者双方当事人共同提出请求。请求调解专利纠纷，应当符合以下条件：</w:t>
      </w:r>
    </w:p>
    <w:p w:rsidR="00800760" w:rsidRDefault="00235733">
      <w:pPr>
        <w:ind w:firstLine="436"/>
        <w:jc w:val="both"/>
        <w:rPr>
          <w:rFonts w:cs="宋体"/>
          <w:spacing w:val="4"/>
        </w:rPr>
      </w:pPr>
      <w:r>
        <w:rPr>
          <w:rFonts w:cs="宋体"/>
          <w:spacing w:val="4"/>
        </w:rPr>
        <w:t xml:space="preserve">1. </w:t>
      </w:r>
      <w:r>
        <w:rPr>
          <w:rFonts w:cs="宋体"/>
          <w:spacing w:val="4"/>
        </w:rPr>
        <w:t>请求人是专利权人或者</w:t>
      </w:r>
      <w:r>
        <w:rPr>
          <w:rFonts w:cs="宋体" w:hint="eastAsia"/>
          <w:spacing w:val="4"/>
        </w:rPr>
        <w:t>其</w:t>
      </w:r>
      <w:r>
        <w:rPr>
          <w:rFonts w:cs="宋体"/>
          <w:spacing w:val="4"/>
        </w:rPr>
        <w:t>利害关系人</w:t>
      </w:r>
      <w:r>
        <w:rPr>
          <w:rFonts w:cs="宋体" w:hint="eastAsia"/>
          <w:spacing w:val="4"/>
        </w:rPr>
        <w:t>。</w:t>
      </w:r>
    </w:p>
    <w:p w:rsidR="00800760" w:rsidRDefault="00235733">
      <w:pPr>
        <w:ind w:firstLine="436"/>
        <w:jc w:val="both"/>
        <w:rPr>
          <w:rFonts w:cs="宋体"/>
          <w:spacing w:val="4"/>
        </w:rPr>
      </w:pPr>
      <w:r>
        <w:rPr>
          <w:rFonts w:cs="宋体"/>
          <w:spacing w:val="4"/>
        </w:rPr>
        <w:t xml:space="preserve">2. </w:t>
      </w:r>
      <w:r>
        <w:rPr>
          <w:rFonts w:cs="宋体"/>
          <w:spacing w:val="4"/>
        </w:rPr>
        <w:t>有明确的被请求人。</w:t>
      </w:r>
    </w:p>
    <w:p w:rsidR="00800760" w:rsidRDefault="00235733">
      <w:pPr>
        <w:ind w:firstLine="436"/>
        <w:jc w:val="both"/>
        <w:rPr>
          <w:rFonts w:cs="宋体"/>
          <w:spacing w:val="4"/>
        </w:rPr>
      </w:pPr>
      <w:r>
        <w:rPr>
          <w:rFonts w:cs="宋体"/>
          <w:spacing w:val="4"/>
        </w:rPr>
        <w:t xml:space="preserve">3. </w:t>
      </w:r>
      <w:r>
        <w:rPr>
          <w:rFonts w:cs="宋体"/>
          <w:spacing w:val="4"/>
        </w:rPr>
        <w:t>有具体的请求事项</w:t>
      </w:r>
      <w:r>
        <w:rPr>
          <w:rFonts w:cs="宋体" w:hint="eastAsia"/>
          <w:spacing w:val="4"/>
        </w:rPr>
        <w:t>、</w:t>
      </w:r>
      <w:r>
        <w:rPr>
          <w:rFonts w:cs="宋体"/>
          <w:spacing w:val="4"/>
        </w:rPr>
        <w:t>事实</w:t>
      </w:r>
      <w:r>
        <w:rPr>
          <w:rFonts w:cs="宋体" w:hint="eastAsia"/>
          <w:spacing w:val="4"/>
        </w:rPr>
        <w:t>和</w:t>
      </w:r>
      <w:r>
        <w:rPr>
          <w:rFonts w:cs="宋体"/>
          <w:spacing w:val="4"/>
        </w:rPr>
        <w:t>理由。</w:t>
      </w:r>
    </w:p>
    <w:p w:rsidR="00800760" w:rsidRDefault="00235733">
      <w:pPr>
        <w:ind w:firstLine="436"/>
        <w:jc w:val="both"/>
        <w:rPr>
          <w:rFonts w:cs="宋体"/>
          <w:spacing w:val="4"/>
        </w:rPr>
      </w:pPr>
      <w:r>
        <w:rPr>
          <w:rFonts w:cs="宋体"/>
          <w:spacing w:val="4"/>
        </w:rPr>
        <w:t xml:space="preserve">4. </w:t>
      </w:r>
      <w:r>
        <w:rPr>
          <w:rFonts w:cs="宋体"/>
          <w:spacing w:val="4"/>
        </w:rPr>
        <w:t>属于受案管理专利工作的部门的受案范围和管辖范围。</w:t>
      </w:r>
    </w:p>
    <w:p w:rsidR="00800760" w:rsidRDefault="00235733">
      <w:pPr>
        <w:ind w:firstLine="436"/>
        <w:jc w:val="both"/>
        <w:rPr>
          <w:rFonts w:cs="宋体"/>
          <w:spacing w:val="4"/>
        </w:rPr>
      </w:pPr>
      <w:r>
        <w:rPr>
          <w:rFonts w:cs="宋体"/>
          <w:spacing w:val="4"/>
        </w:rPr>
        <w:t xml:space="preserve">5. </w:t>
      </w:r>
      <w:r>
        <w:rPr>
          <w:rFonts w:cs="宋体"/>
          <w:spacing w:val="4"/>
        </w:rPr>
        <w:t>当事人没有就该专利纠纷向人民法院起诉，也没有仲裁约定</w:t>
      </w:r>
      <w:r>
        <w:rPr>
          <w:rFonts w:cs="宋体" w:hint="eastAsia"/>
          <w:spacing w:val="4"/>
        </w:rPr>
        <w:t>或者申请仲裁</w:t>
      </w:r>
      <w:r>
        <w:rPr>
          <w:rFonts w:cs="宋体"/>
          <w:spacing w:val="4"/>
        </w:rPr>
        <w:t>。</w:t>
      </w:r>
    </w:p>
    <w:p w:rsidR="00800760" w:rsidRDefault="00235733">
      <w:pPr>
        <w:ind w:firstLine="436"/>
        <w:jc w:val="both"/>
        <w:rPr>
          <w:rFonts w:cs="宋体"/>
          <w:spacing w:val="4"/>
        </w:rPr>
      </w:pPr>
      <w:r>
        <w:rPr>
          <w:rFonts w:cs="宋体"/>
          <w:spacing w:val="4"/>
        </w:rPr>
        <w:t>专利权属纠纷的当事人包括专利权人或专利申请人</w:t>
      </w:r>
      <w:r>
        <w:rPr>
          <w:rFonts w:cs="宋体" w:hint="eastAsia"/>
          <w:spacing w:val="4"/>
        </w:rPr>
        <w:t>以及</w:t>
      </w:r>
      <w:r>
        <w:rPr>
          <w:rFonts w:cs="宋体"/>
          <w:spacing w:val="4"/>
        </w:rPr>
        <w:t>其他主张对专利或专利申请享有权利的人。</w:t>
      </w:r>
    </w:p>
    <w:p w:rsidR="00800760" w:rsidRDefault="00235733">
      <w:pPr>
        <w:ind w:firstLine="436"/>
        <w:jc w:val="both"/>
        <w:rPr>
          <w:rFonts w:cs="宋体"/>
          <w:spacing w:val="4"/>
        </w:rPr>
      </w:pPr>
      <w:r>
        <w:rPr>
          <w:rFonts w:cs="宋体"/>
          <w:spacing w:val="4"/>
        </w:rPr>
        <w:t>发明人、设计人资格纠纷的当事人包括发明人或设计人、主张自己为发明人或设计人的人以及专利申请人或专利权人。专利文件上列有多个发明人或设计人，部分发明人主张其中某一个或某一些发明人或设计人未对发明创造的实质性特点作出创造性贡献的，主张者和被主张者均为当事人。</w:t>
      </w:r>
    </w:p>
    <w:p w:rsidR="00800760" w:rsidRDefault="00235733">
      <w:pPr>
        <w:ind w:firstLine="436"/>
        <w:jc w:val="both"/>
        <w:rPr>
          <w:rFonts w:cs="宋体"/>
          <w:spacing w:val="4"/>
        </w:rPr>
      </w:pPr>
      <w:r>
        <w:rPr>
          <w:rFonts w:cs="宋体"/>
          <w:spacing w:val="4"/>
        </w:rPr>
        <w:t>奖酬纠纷的当事人包括专利权人、发明人或设计人或其权利继受人，主张自己为发明人或设计人的人。</w:t>
      </w:r>
    </w:p>
    <w:p w:rsidR="00800760" w:rsidRDefault="00235733">
      <w:pPr>
        <w:ind w:firstLine="436"/>
        <w:jc w:val="both"/>
        <w:rPr>
          <w:rFonts w:cs="宋体"/>
          <w:spacing w:val="4"/>
        </w:rPr>
      </w:pPr>
      <w:bookmarkStart w:id="5897" w:name="bookmark174"/>
      <w:bookmarkEnd w:id="5897"/>
      <w:r>
        <w:rPr>
          <w:rFonts w:cs="宋体"/>
          <w:spacing w:val="4"/>
        </w:rPr>
        <w:t>发明专利临时保护期使用费纠纷的当事人包括发明专利技术使用者和专利权人或其权利继受人，但不包括专利实施许可合同的被许可人。</w:t>
      </w:r>
    </w:p>
    <w:p w:rsidR="00800760" w:rsidRDefault="00235733">
      <w:pPr>
        <w:ind w:firstLine="436"/>
        <w:jc w:val="both"/>
        <w:rPr>
          <w:rFonts w:cs="宋体"/>
          <w:spacing w:val="4"/>
        </w:rPr>
      </w:pPr>
      <w:r>
        <w:rPr>
          <w:rFonts w:cs="宋体"/>
          <w:spacing w:val="4"/>
        </w:rPr>
        <w:t>侵犯专利权的赔偿数额纠纷的当事人包括管理专利工作的部门在处理专利侵权纠纷案件过程中的请求人与被请求人。</w:t>
      </w:r>
    </w:p>
    <w:p w:rsidR="00800760" w:rsidRDefault="00235733">
      <w:pPr>
        <w:ind w:firstLine="436"/>
        <w:jc w:val="both"/>
        <w:rPr>
          <w:rFonts w:cs="宋体"/>
          <w:spacing w:val="4"/>
        </w:rPr>
      </w:pPr>
      <w:r>
        <w:rPr>
          <w:rFonts w:cs="宋体" w:hint="eastAsia"/>
          <w:spacing w:val="4"/>
        </w:rPr>
        <w:t>其他专利纠纷中的当事人包括专利合同纠纷中的合同双方当事人。</w:t>
      </w:r>
    </w:p>
    <w:p w:rsidR="00800760" w:rsidRDefault="00235733">
      <w:pPr>
        <w:ind w:firstLine="436"/>
        <w:jc w:val="both"/>
        <w:rPr>
          <w:rFonts w:cs="宋体"/>
          <w:spacing w:val="4"/>
        </w:rPr>
      </w:pPr>
      <w:r>
        <w:rPr>
          <w:rFonts w:cs="宋体"/>
          <w:spacing w:val="4"/>
        </w:rPr>
        <w:t>对于当事人提出的专利纠纷行政调解请求，</w:t>
      </w:r>
      <w:r>
        <w:rPr>
          <w:rFonts w:cs="宋体" w:hint="eastAsia"/>
          <w:spacing w:val="4"/>
        </w:rPr>
        <w:t>存在下列情形的，</w:t>
      </w:r>
      <w:r>
        <w:rPr>
          <w:rFonts w:cs="宋体"/>
          <w:spacing w:val="4"/>
        </w:rPr>
        <w:t>管理专利工作的部门不予受理：</w:t>
      </w:r>
    </w:p>
    <w:p w:rsidR="00800760" w:rsidRDefault="00235733">
      <w:pPr>
        <w:ind w:firstLine="436"/>
        <w:jc w:val="both"/>
        <w:rPr>
          <w:rFonts w:cs="宋体"/>
          <w:spacing w:val="4"/>
        </w:rPr>
      </w:pPr>
      <w:r>
        <w:rPr>
          <w:rFonts w:cs="宋体"/>
          <w:spacing w:val="4"/>
        </w:rPr>
        <w:t xml:space="preserve">1. </w:t>
      </w:r>
      <w:r>
        <w:rPr>
          <w:rFonts w:cs="宋体"/>
          <w:spacing w:val="4"/>
        </w:rPr>
        <w:t>已向仲裁机构申请仲裁的。</w:t>
      </w:r>
    </w:p>
    <w:p w:rsidR="00800760" w:rsidRDefault="00235733">
      <w:pPr>
        <w:ind w:firstLine="436"/>
        <w:jc w:val="both"/>
        <w:rPr>
          <w:rFonts w:cs="宋体"/>
          <w:spacing w:val="4"/>
        </w:rPr>
      </w:pPr>
      <w:r>
        <w:rPr>
          <w:rFonts w:cs="宋体"/>
          <w:spacing w:val="4"/>
        </w:rPr>
        <w:t xml:space="preserve">2. </w:t>
      </w:r>
      <w:r>
        <w:rPr>
          <w:rFonts w:cs="宋体"/>
          <w:spacing w:val="4"/>
        </w:rPr>
        <w:t>已向人民法院起诉的。</w:t>
      </w:r>
    </w:p>
    <w:p w:rsidR="00800760" w:rsidRDefault="00235733">
      <w:pPr>
        <w:ind w:firstLine="436"/>
        <w:jc w:val="both"/>
        <w:rPr>
          <w:rFonts w:cs="宋体"/>
          <w:spacing w:val="4"/>
        </w:rPr>
      </w:pPr>
      <w:r>
        <w:rPr>
          <w:rFonts w:cs="宋体"/>
          <w:spacing w:val="4"/>
        </w:rPr>
        <w:t xml:space="preserve">3. </w:t>
      </w:r>
      <w:r>
        <w:rPr>
          <w:rFonts w:cs="宋体"/>
          <w:spacing w:val="4"/>
        </w:rPr>
        <w:t>不属于该管理专利工作的部门的受案和管辖范围</w:t>
      </w:r>
      <w:r>
        <w:rPr>
          <w:rFonts w:cs="宋体" w:hint="eastAsia"/>
          <w:spacing w:val="4"/>
        </w:rPr>
        <w:t>的</w:t>
      </w:r>
      <w:r>
        <w:rPr>
          <w:rFonts w:cs="宋体"/>
          <w:spacing w:val="4"/>
        </w:rPr>
        <w:t>。</w:t>
      </w:r>
    </w:p>
    <w:p w:rsidR="00800760" w:rsidRDefault="00235733">
      <w:pPr>
        <w:ind w:firstLine="436"/>
        <w:jc w:val="both"/>
        <w:rPr>
          <w:rFonts w:cs="宋体"/>
          <w:spacing w:val="4"/>
        </w:rPr>
      </w:pPr>
      <w:r>
        <w:rPr>
          <w:rFonts w:cs="宋体"/>
          <w:spacing w:val="4"/>
        </w:rPr>
        <w:t xml:space="preserve">4. </w:t>
      </w:r>
      <w:r>
        <w:rPr>
          <w:rFonts w:cs="宋体"/>
          <w:spacing w:val="4"/>
        </w:rPr>
        <w:t>管理专利工作的部门认为不应受理的其他情形。</w:t>
      </w:r>
    </w:p>
    <w:p w:rsidR="00800760" w:rsidRDefault="00235733">
      <w:pPr>
        <w:pStyle w:val="3"/>
        <w:spacing w:before="240"/>
        <w:ind w:firstLineChars="0" w:firstLine="444"/>
        <w:rPr>
          <w:rFonts w:ascii="Times New Roman" w:hAnsi="Times New Roman"/>
        </w:rPr>
      </w:pPr>
      <w:bookmarkStart w:id="5898" w:name="_Toc24272"/>
      <w:bookmarkStart w:id="5899" w:name="_Toc4841"/>
      <w:bookmarkStart w:id="5900" w:name="_Toc28685"/>
      <w:bookmarkStart w:id="5901" w:name="_Toc681"/>
      <w:bookmarkStart w:id="5902" w:name="_Toc9279"/>
      <w:bookmarkStart w:id="5903" w:name="_Toc28552"/>
      <w:bookmarkStart w:id="5904" w:name="_Toc21040"/>
      <w:bookmarkStart w:id="5905" w:name="_Toc32280"/>
      <w:bookmarkStart w:id="5906" w:name="_Toc21297"/>
      <w:bookmarkStart w:id="5907" w:name="_Toc6799"/>
      <w:bookmarkStart w:id="5908" w:name="_Toc3987"/>
      <w:bookmarkStart w:id="5909" w:name="_Toc19923"/>
      <w:bookmarkStart w:id="5910" w:name="_Toc18501"/>
      <w:bookmarkStart w:id="5911" w:name="_Toc14567"/>
      <w:bookmarkStart w:id="5912" w:name="_Toc28905"/>
      <w:bookmarkStart w:id="5913" w:name="_Toc20000"/>
      <w:bookmarkStart w:id="5914" w:name="_Toc10698"/>
      <w:bookmarkStart w:id="5915" w:name="_Toc10536"/>
      <w:bookmarkStart w:id="5916" w:name="_Toc19672"/>
      <w:bookmarkStart w:id="5917" w:name="_Toc15807"/>
      <w:bookmarkStart w:id="5918" w:name="_Toc6057"/>
      <w:bookmarkStart w:id="5919" w:name="_Toc7715"/>
      <w:bookmarkStart w:id="5920" w:name="_Toc15465"/>
      <w:bookmarkStart w:id="5921" w:name="_Toc23512"/>
      <w:bookmarkStart w:id="5922" w:name="_Toc5968"/>
      <w:bookmarkStart w:id="5923" w:name="_Toc12113"/>
      <w:bookmarkStart w:id="5924" w:name="_Toc1454"/>
      <w:bookmarkStart w:id="5925" w:name="_Toc10867"/>
      <w:bookmarkStart w:id="5926" w:name="_Toc15177"/>
      <w:bookmarkStart w:id="5927" w:name="_Toc14089"/>
      <w:bookmarkStart w:id="5928" w:name="_Toc25999"/>
      <w:bookmarkStart w:id="5929" w:name="_Toc9693"/>
      <w:bookmarkStart w:id="5930" w:name="_Toc27364"/>
      <w:bookmarkStart w:id="5931" w:name="_Toc16884"/>
      <w:bookmarkStart w:id="5932" w:name="_Toc24270"/>
      <w:bookmarkStart w:id="5933" w:name="_Toc5935"/>
      <w:bookmarkStart w:id="5934" w:name="_Toc10090"/>
      <w:bookmarkStart w:id="5935" w:name="_Toc14914"/>
      <w:bookmarkStart w:id="5936" w:name="_Toc32322"/>
      <w:bookmarkStart w:id="5937" w:name="_Toc26084"/>
      <w:bookmarkStart w:id="5938" w:name="_Toc217908728"/>
      <w:bookmarkStart w:id="5939" w:name="_Toc11518"/>
      <w:bookmarkStart w:id="5940" w:name="_Toc229114461"/>
      <w:bookmarkStart w:id="5941" w:name="_Toc12098"/>
      <w:bookmarkStart w:id="5942" w:name="_Toc229225557"/>
      <w:r>
        <w:rPr>
          <w:rFonts w:ascii="Times New Roman" w:hAnsi="Times New Roman"/>
        </w:rPr>
        <w:t>二、请求调解时应当提交的材料</w:t>
      </w:r>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p>
    <w:p w:rsidR="00800760" w:rsidRDefault="00235733">
      <w:pPr>
        <w:ind w:firstLine="436"/>
        <w:jc w:val="both"/>
        <w:rPr>
          <w:rFonts w:cs="宋体"/>
          <w:spacing w:val="4"/>
        </w:rPr>
      </w:pPr>
      <w:r>
        <w:rPr>
          <w:rFonts w:cs="宋体"/>
          <w:spacing w:val="4"/>
        </w:rPr>
        <w:t>当事人请求管理专利工作的部门调解专利纠纷，应提交以下材料：</w:t>
      </w:r>
    </w:p>
    <w:p w:rsidR="00800760" w:rsidRDefault="00235733">
      <w:pPr>
        <w:ind w:firstLine="436"/>
        <w:jc w:val="both"/>
        <w:rPr>
          <w:rFonts w:cs="宋体"/>
          <w:spacing w:val="4"/>
        </w:rPr>
      </w:pPr>
      <w:r>
        <w:rPr>
          <w:rFonts w:cs="宋体"/>
          <w:spacing w:val="4"/>
        </w:rPr>
        <w:t xml:space="preserve">1. </w:t>
      </w:r>
      <w:r>
        <w:rPr>
          <w:rFonts w:cs="宋体" w:hint="eastAsia"/>
          <w:spacing w:val="4"/>
        </w:rPr>
        <w:t>《</w:t>
      </w:r>
      <w:r>
        <w:rPr>
          <w:rFonts w:cs="宋体"/>
          <w:spacing w:val="4"/>
        </w:rPr>
        <w:t>专利纠纷行政调解请求书</w:t>
      </w:r>
      <w:r>
        <w:rPr>
          <w:rFonts w:cs="宋体" w:hint="eastAsia"/>
          <w:spacing w:val="4"/>
        </w:rPr>
        <w:t>》</w:t>
      </w:r>
      <w:r>
        <w:rPr>
          <w:rFonts w:cs="宋体"/>
          <w:spacing w:val="4"/>
        </w:rPr>
        <w:t>。书面请求书格式应当按照国家知识产权局印发的《</w:t>
      </w:r>
      <w:r>
        <w:rPr>
          <w:rFonts w:cs="宋体" w:hint="eastAsia"/>
          <w:spacing w:val="4"/>
        </w:rPr>
        <w:t>专利纠纷行政裁决和调解案件办案文书表格</w:t>
      </w:r>
      <w:r>
        <w:rPr>
          <w:rFonts w:cs="宋体"/>
          <w:spacing w:val="4"/>
        </w:rPr>
        <w:t>》中的</w:t>
      </w:r>
      <w:r>
        <w:rPr>
          <w:rFonts w:cs="宋体" w:hint="eastAsia"/>
          <w:spacing w:val="4"/>
        </w:rPr>
        <w:t>格式</w:t>
      </w:r>
      <w:r>
        <w:rPr>
          <w:rFonts w:cs="宋体"/>
          <w:spacing w:val="4"/>
        </w:rPr>
        <w:t>填写。请求书正本一份，并按被请求人人数提供副本。</w:t>
      </w:r>
    </w:p>
    <w:p w:rsidR="00800760" w:rsidRDefault="00235733">
      <w:pPr>
        <w:ind w:firstLine="436"/>
        <w:jc w:val="both"/>
        <w:rPr>
          <w:rFonts w:cs="宋体"/>
          <w:spacing w:val="4"/>
        </w:rPr>
      </w:pPr>
      <w:r>
        <w:rPr>
          <w:rFonts w:cs="宋体"/>
          <w:spacing w:val="4"/>
        </w:rPr>
        <w:t>在请求书</w:t>
      </w:r>
      <w:r>
        <w:rPr>
          <w:rFonts w:cs="宋体" w:hint="eastAsia"/>
          <w:spacing w:val="4"/>
        </w:rPr>
        <w:t>中</w:t>
      </w:r>
      <w:r>
        <w:rPr>
          <w:rFonts w:cs="宋体"/>
          <w:spacing w:val="4"/>
        </w:rPr>
        <w:t>应当记载以下内容：</w:t>
      </w:r>
    </w:p>
    <w:p w:rsidR="00800760" w:rsidRDefault="00235733">
      <w:pPr>
        <w:ind w:firstLine="436"/>
        <w:jc w:val="both"/>
        <w:rPr>
          <w:rFonts w:cs="宋体"/>
          <w:spacing w:val="4"/>
        </w:rPr>
      </w:pPr>
      <w:r>
        <w:rPr>
          <w:rFonts w:cs="宋体"/>
          <w:spacing w:val="4"/>
        </w:rPr>
        <w:t>(1)</w:t>
      </w:r>
      <w:r>
        <w:rPr>
          <w:rFonts w:cs="宋体"/>
          <w:spacing w:val="4"/>
        </w:rPr>
        <w:t>请求人的姓名或者名称、地址</w:t>
      </w:r>
      <w:r>
        <w:rPr>
          <w:rFonts w:cs="宋体" w:hint="eastAsia"/>
          <w:spacing w:val="4"/>
        </w:rPr>
        <w:t>、联系方式</w:t>
      </w:r>
      <w:r>
        <w:rPr>
          <w:rFonts w:cs="宋体"/>
          <w:spacing w:val="4"/>
        </w:rPr>
        <w:t>，法定代表人或者主要负责人的姓名和职务；委托代理人的，代理人的姓名和代理机构的名称、地址</w:t>
      </w:r>
      <w:r>
        <w:rPr>
          <w:rFonts w:cs="宋体" w:hint="eastAsia"/>
          <w:spacing w:val="4"/>
        </w:rPr>
        <w:t>、联系方式</w:t>
      </w:r>
      <w:r>
        <w:rPr>
          <w:rFonts w:cs="宋体"/>
          <w:spacing w:val="4"/>
        </w:rPr>
        <w:t>。</w:t>
      </w:r>
    </w:p>
    <w:p w:rsidR="00800760" w:rsidRDefault="00235733">
      <w:pPr>
        <w:ind w:firstLine="436"/>
        <w:jc w:val="both"/>
        <w:rPr>
          <w:rFonts w:cs="宋体"/>
          <w:spacing w:val="4"/>
        </w:rPr>
      </w:pPr>
      <w:r>
        <w:rPr>
          <w:rFonts w:cs="宋体"/>
          <w:spacing w:val="4"/>
        </w:rPr>
        <w:t>(2)</w:t>
      </w:r>
      <w:r>
        <w:rPr>
          <w:rFonts w:cs="宋体"/>
          <w:spacing w:val="4"/>
        </w:rPr>
        <w:t>被请求人姓名或者名称、地址</w:t>
      </w:r>
      <w:r>
        <w:rPr>
          <w:rFonts w:cs="宋体" w:hint="eastAsia"/>
          <w:spacing w:val="4"/>
        </w:rPr>
        <w:t>、联系方式</w:t>
      </w:r>
      <w:r>
        <w:rPr>
          <w:rFonts w:cs="宋体"/>
          <w:spacing w:val="4"/>
        </w:rPr>
        <w:t>，法定代表人或者主要负责人的姓名和职务。</w:t>
      </w:r>
    </w:p>
    <w:p w:rsidR="00800760" w:rsidRDefault="00235733">
      <w:pPr>
        <w:ind w:firstLine="436"/>
        <w:jc w:val="both"/>
        <w:rPr>
          <w:rFonts w:cs="宋体"/>
          <w:spacing w:val="4"/>
        </w:rPr>
      </w:pPr>
      <w:r>
        <w:rPr>
          <w:rFonts w:cs="宋体"/>
          <w:spacing w:val="4"/>
        </w:rPr>
        <w:t>(3)</w:t>
      </w:r>
      <w:r>
        <w:rPr>
          <w:rFonts w:cs="宋体"/>
          <w:spacing w:val="4"/>
        </w:rPr>
        <w:t>请求调解的事项、事实、理由和依据。</w:t>
      </w:r>
    </w:p>
    <w:p w:rsidR="00800760" w:rsidRDefault="00235733">
      <w:pPr>
        <w:ind w:firstLine="436"/>
        <w:jc w:val="both"/>
        <w:rPr>
          <w:rFonts w:cs="宋体"/>
          <w:spacing w:val="4"/>
        </w:rPr>
      </w:pPr>
      <w:r>
        <w:rPr>
          <w:rFonts w:cs="宋体"/>
          <w:spacing w:val="4"/>
        </w:rPr>
        <w:t>请求书应当由请求人签名或者盖章。</w:t>
      </w:r>
    </w:p>
    <w:p w:rsidR="00800760" w:rsidRDefault="00235733">
      <w:pPr>
        <w:ind w:firstLine="436"/>
        <w:jc w:val="both"/>
        <w:rPr>
          <w:rFonts w:cs="宋体"/>
          <w:spacing w:val="4"/>
        </w:rPr>
      </w:pPr>
      <w:r>
        <w:rPr>
          <w:rFonts w:cs="宋体"/>
          <w:spacing w:val="4"/>
        </w:rPr>
        <w:t xml:space="preserve">2. </w:t>
      </w:r>
      <w:r>
        <w:rPr>
          <w:rFonts w:cs="宋体"/>
          <w:spacing w:val="4"/>
        </w:rPr>
        <w:t>请求人身份证明文件。主要包括：</w:t>
      </w:r>
    </w:p>
    <w:p w:rsidR="00800760" w:rsidRDefault="00235733">
      <w:pPr>
        <w:ind w:firstLine="436"/>
        <w:jc w:val="both"/>
        <w:rPr>
          <w:rFonts w:cs="宋体"/>
          <w:spacing w:val="4"/>
        </w:rPr>
      </w:pPr>
      <w:r>
        <w:rPr>
          <w:rFonts w:cs="宋体"/>
          <w:spacing w:val="4"/>
        </w:rPr>
        <w:t>(1)</w:t>
      </w:r>
      <w:r>
        <w:rPr>
          <w:rFonts w:cs="宋体"/>
          <w:spacing w:val="4"/>
        </w:rPr>
        <w:t>主体资格证明文件</w:t>
      </w:r>
      <w:r>
        <w:rPr>
          <w:rFonts w:cs="宋体"/>
          <w:spacing w:val="4"/>
        </w:rPr>
        <w:t>(</w:t>
      </w:r>
      <w:r>
        <w:rPr>
          <w:rFonts w:cs="宋体"/>
          <w:spacing w:val="4"/>
        </w:rPr>
        <w:t>自然人身份证件、法人或其他组织营业执照副本或其他主体资格证明文件</w:t>
      </w:r>
      <w:r>
        <w:rPr>
          <w:rFonts w:cs="宋体"/>
          <w:spacing w:val="4"/>
        </w:rPr>
        <w:t>),</w:t>
      </w:r>
      <w:r>
        <w:rPr>
          <w:rFonts w:cs="宋体"/>
          <w:spacing w:val="4"/>
        </w:rPr>
        <w:t>法人当事人提交复印件并加盖公章，自然人当事人提交复印件并签字确认。</w:t>
      </w:r>
    </w:p>
    <w:p w:rsidR="00800760" w:rsidRDefault="00235733">
      <w:pPr>
        <w:ind w:firstLine="436"/>
        <w:jc w:val="both"/>
        <w:rPr>
          <w:rFonts w:cs="宋体"/>
          <w:spacing w:val="4"/>
        </w:rPr>
      </w:pPr>
      <w:r>
        <w:rPr>
          <w:rFonts w:cs="宋体"/>
          <w:spacing w:val="4"/>
        </w:rPr>
        <w:t>(2)</w:t>
      </w:r>
      <w:r>
        <w:rPr>
          <w:rFonts w:cs="宋体"/>
          <w:spacing w:val="4"/>
        </w:rPr>
        <w:t>法定代表人或者主要负责人身份证明</w:t>
      </w:r>
      <w:r>
        <w:rPr>
          <w:rFonts w:cs="宋体" w:hint="eastAsia"/>
          <w:spacing w:val="4"/>
        </w:rPr>
        <w:t>并</w:t>
      </w:r>
      <w:r>
        <w:rPr>
          <w:rFonts w:cs="宋体"/>
          <w:spacing w:val="4"/>
        </w:rPr>
        <w:t>加盖公章。</w:t>
      </w:r>
    </w:p>
    <w:p w:rsidR="00800760" w:rsidRDefault="00235733">
      <w:pPr>
        <w:ind w:firstLine="436"/>
        <w:jc w:val="both"/>
        <w:rPr>
          <w:rFonts w:cs="宋体"/>
          <w:spacing w:val="4"/>
        </w:rPr>
      </w:pPr>
      <w:r>
        <w:rPr>
          <w:rFonts w:cs="宋体"/>
          <w:spacing w:val="4"/>
        </w:rPr>
        <w:t>(3)</w:t>
      </w:r>
      <w:r>
        <w:rPr>
          <w:rFonts w:cs="宋体"/>
          <w:spacing w:val="4"/>
        </w:rPr>
        <w:t>代理人身份证件复印件并签字确认。</w:t>
      </w:r>
    </w:p>
    <w:p w:rsidR="00800760" w:rsidRDefault="00235733">
      <w:pPr>
        <w:ind w:firstLine="436"/>
        <w:jc w:val="both"/>
        <w:rPr>
          <w:rFonts w:cs="宋体"/>
          <w:spacing w:val="4"/>
        </w:rPr>
      </w:pPr>
      <w:r>
        <w:rPr>
          <w:rFonts w:cs="宋体"/>
          <w:spacing w:val="4"/>
        </w:rPr>
        <w:t>在要求提交证明材料的复印件</w:t>
      </w:r>
      <w:r>
        <w:rPr>
          <w:rFonts w:cs="宋体"/>
          <w:spacing w:val="4"/>
        </w:rPr>
        <w:t>(</w:t>
      </w:r>
      <w:r>
        <w:rPr>
          <w:rFonts w:cs="宋体"/>
          <w:spacing w:val="4"/>
        </w:rPr>
        <w:t>各一份</w:t>
      </w:r>
      <w:r>
        <w:rPr>
          <w:rFonts w:cs="宋体"/>
          <w:spacing w:val="4"/>
        </w:rPr>
        <w:t>)</w:t>
      </w:r>
      <w:r>
        <w:rPr>
          <w:rFonts w:cs="宋体"/>
          <w:spacing w:val="4"/>
        </w:rPr>
        <w:t>时，应当同时提供原件予以核对，原件核对后退还，</w:t>
      </w:r>
      <w:r>
        <w:rPr>
          <w:rFonts w:cs="宋体" w:hint="eastAsia"/>
          <w:spacing w:val="4"/>
        </w:rPr>
        <w:t>并</w:t>
      </w:r>
      <w:r>
        <w:rPr>
          <w:rFonts w:cs="宋体"/>
          <w:spacing w:val="4"/>
        </w:rPr>
        <w:t>在复印件上注明</w:t>
      </w:r>
      <w:r>
        <w:rPr>
          <w:rFonts w:cs="宋体"/>
          <w:spacing w:val="4"/>
        </w:rPr>
        <w:t>“</w:t>
      </w:r>
      <w:r>
        <w:rPr>
          <w:rFonts w:cs="宋体"/>
          <w:spacing w:val="4"/>
        </w:rPr>
        <w:t>经核对与原件一致</w:t>
      </w:r>
      <w:r>
        <w:rPr>
          <w:rFonts w:cs="宋体"/>
          <w:spacing w:val="4"/>
        </w:rPr>
        <w:t>”</w:t>
      </w:r>
      <w:r>
        <w:rPr>
          <w:rFonts w:cs="宋体"/>
          <w:spacing w:val="4"/>
        </w:rPr>
        <w:t>。</w:t>
      </w:r>
    </w:p>
    <w:p w:rsidR="00800760" w:rsidRDefault="00235733">
      <w:pPr>
        <w:ind w:firstLine="436"/>
        <w:jc w:val="both"/>
        <w:rPr>
          <w:rFonts w:cs="宋体"/>
          <w:spacing w:val="4"/>
        </w:rPr>
      </w:pPr>
      <w:r>
        <w:rPr>
          <w:rFonts w:cs="宋体"/>
          <w:spacing w:val="4"/>
        </w:rPr>
        <w:t xml:space="preserve">3. </w:t>
      </w:r>
      <w:r>
        <w:rPr>
          <w:rFonts w:cs="宋体"/>
          <w:spacing w:val="4"/>
        </w:rPr>
        <w:t>与纠纷相关的证据、材料。无论是请求人还是被请求人提供证据，都应当提交证据材料的原件及复印件。提交的复印件份数按照管理专利工作的部门一份、所有被请求人各一份的数量提供。</w:t>
      </w:r>
    </w:p>
    <w:p w:rsidR="00800760" w:rsidRDefault="00235733">
      <w:pPr>
        <w:ind w:firstLine="436"/>
        <w:jc w:val="both"/>
        <w:rPr>
          <w:rFonts w:cs="宋体"/>
          <w:spacing w:val="4"/>
        </w:rPr>
      </w:pPr>
      <w:bookmarkStart w:id="5943" w:name="bookmark175"/>
      <w:bookmarkEnd w:id="5943"/>
      <w:r>
        <w:rPr>
          <w:rFonts w:cs="宋体"/>
          <w:spacing w:val="4"/>
        </w:rPr>
        <w:t>上述证据包括发明创造完成过程中的原始档案材料，双方签订的委托合同、合作合同，在职证明，专利权实施后产生的利润证明等。</w:t>
      </w:r>
    </w:p>
    <w:p w:rsidR="00800760" w:rsidRDefault="00235733">
      <w:pPr>
        <w:ind w:firstLine="436"/>
        <w:jc w:val="both"/>
        <w:rPr>
          <w:rFonts w:cs="宋体"/>
          <w:spacing w:val="4"/>
        </w:rPr>
      </w:pPr>
      <w:r>
        <w:rPr>
          <w:rFonts w:cs="宋体"/>
          <w:spacing w:val="4"/>
        </w:rPr>
        <w:t>单独请求调解侵犯专利权赔偿数额的，应当提交有关管理专利工作的部门作出的认定侵权行为成立的专利侵权纠纷案件行政裁决书副本。</w:t>
      </w:r>
    </w:p>
    <w:p w:rsidR="00800760" w:rsidRDefault="00235733">
      <w:pPr>
        <w:ind w:firstLine="436"/>
        <w:jc w:val="both"/>
        <w:rPr>
          <w:rFonts w:cs="宋体"/>
          <w:spacing w:val="4"/>
        </w:rPr>
      </w:pPr>
      <w:r>
        <w:rPr>
          <w:rFonts w:cs="宋体"/>
          <w:spacing w:val="4"/>
        </w:rPr>
        <w:t xml:space="preserve">4. </w:t>
      </w:r>
      <w:r>
        <w:rPr>
          <w:rFonts w:cs="宋体"/>
          <w:spacing w:val="4"/>
        </w:rPr>
        <w:t>授权委托书。请求人可以委托</w:t>
      </w:r>
      <w:r>
        <w:rPr>
          <w:rFonts w:cs="宋体"/>
          <w:spacing w:val="4"/>
        </w:rPr>
        <w:t>1~2</w:t>
      </w:r>
      <w:r>
        <w:rPr>
          <w:rFonts w:cs="宋体"/>
          <w:spacing w:val="4"/>
        </w:rPr>
        <w:t>人作为代理人。管理专利工作的部门应当要求代理人提交由委托人签名或者盖章的授权委托书，授权委托书必须记载委托事项和权限。代理人代为承认、放弃、变更请求，进行和解，代为签署有关法律文件等，必须有委托人的特别授权。授权委托书记载的委托权限为全权委托的，应当要求请求人明确委托权限。</w:t>
      </w:r>
    </w:p>
    <w:p w:rsidR="00800760" w:rsidRDefault="00235733">
      <w:pPr>
        <w:pStyle w:val="3"/>
        <w:spacing w:before="240"/>
        <w:ind w:firstLineChars="0" w:firstLine="444"/>
        <w:rPr>
          <w:rFonts w:ascii="Times New Roman" w:hAnsi="Times New Roman"/>
        </w:rPr>
      </w:pPr>
      <w:bookmarkStart w:id="5944" w:name="_Toc23346"/>
      <w:bookmarkStart w:id="5945" w:name="_Toc5674"/>
      <w:bookmarkStart w:id="5946" w:name="_Toc3978"/>
      <w:bookmarkStart w:id="5947" w:name="_Toc27670"/>
      <w:bookmarkStart w:id="5948" w:name="_Toc12198"/>
      <w:bookmarkStart w:id="5949" w:name="_Toc32736"/>
      <w:bookmarkStart w:id="5950" w:name="_Toc24486"/>
      <w:bookmarkStart w:id="5951" w:name="_Toc14877"/>
      <w:bookmarkStart w:id="5952" w:name="_Toc18290"/>
      <w:bookmarkStart w:id="5953" w:name="_Toc30248"/>
      <w:bookmarkStart w:id="5954" w:name="_Toc15599"/>
      <w:bookmarkStart w:id="5955" w:name="_Toc19052"/>
      <w:bookmarkStart w:id="5956" w:name="_Toc18672"/>
      <w:bookmarkStart w:id="5957" w:name="_Toc26812"/>
      <w:bookmarkStart w:id="5958" w:name="_Toc22346"/>
      <w:bookmarkStart w:id="5959" w:name="_Toc12872"/>
      <w:bookmarkStart w:id="5960" w:name="_Toc20441"/>
      <w:bookmarkStart w:id="5961" w:name="_Toc15714"/>
      <w:bookmarkStart w:id="5962" w:name="_Toc19093"/>
      <w:bookmarkStart w:id="5963" w:name="_Toc18591"/>
      <w:bookmarkStart w:id="5964" w:name="_Toc6411"/>
      <w:bookmarkStart w:id="5965" w:name="_Toc28152"/>
      <w:bookmarkStart w:id="5966" w:name="_Toc5238"/>
      <w:bookmarkStart w:id="5967" w:name="_Toc19881"/>
      <w:bookmarkStart w:id="5968" w:name="_Toc11150"/>
      <w:bookmarkStart w:id="5969" w:name="_Toc32702"/>
      <w:bookmarkStart w:id="5970" w:name="_Toc229114462"/>
      <w:bookmarkStart w:id="5971" w:name="_Toc27283"/>
      <w:bookmarkStart w:id="5972" w:name="_Toc14689"/>
      <w:bookmarkStart w:id="5973" w:name="_Toc25770"/>
      <w:bookmarkStart w:id="5974" w:name="_Toc27250"/>
      <w:bookmarkStart w:id="5975" w:name="_Toc29926"/>
      <w:bookmarkStart w:id="5976" w:name="_Toc18213"/>
      <w:bookmarkStart w:id="5977" w:name="_Toc4881"/>
      <w:bookmarkStart w:id="5978" w:name="_Toc18963"/>
      <w:bookmarkStart w:id="5979" w:name="_Toc6114"/>
      <w:bookmarkStart w:id="5980" w:name="_Toc8022"/>
      <w:bookmarkStart w:id="5981" w:name="_Toc16028"/>
      <w:bookmarkStart w:id="5982" w:name="_Toc19383"/>
      <w:bookmarkStart w:id="5983" w:name="_Toc3066"/>
      <w:bookmarkStart w:id="5984" w:name="_Toc29110"/>
      <w:bookmarkStart w:id="5985" w:name="_Toc217908729"/>
      <w:bookmarkStart w:id="5986" w:name="_Toc26521"/>
      <w:bookmarkStart w:id="5987" w:name="_Toc2995"/>
      <w:bookmarkStart w:id="5988" w:name="_Toc229225558"/>
      <w:r>
        <w:rPr>
          <w:rFonts w:ascii="Times New Roman" w:hAnsi="Times New Roman"/>
        </w:rPr>
        <w:t>三、材料的送达</w:t>
      </w:r>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p>
    <w:p w:rsidR="00800760" w:rsidRDefault="00235733">
      <w:pPr>
        <w:ind w:firstLine="436"/>
        <w:jc w:val="both"/>
        <w:rPr>
          <w:rFonts w:cs="宋体"/>
          <w:spacing w:val="4"/>
        </w:rPr>
      </w:pPr>
      <w:r>
        <w:rPr>
          <w:rFonts w:cs="宋体"/>
          <w:spacing w:val="4"/>
        </w:rPr>
        <w:t>管理专利工作的部门收到专利纠纷调解请求书及其附件后，应当审查请求书格式是否符合要求、主体是否适格、主体资格证明文件</w:t>
      </w:r>
      <w:r>
        <w:rPr>
          <w:rFonts w:cs="宋体" w:hint="eastAsia"/>
          <w:spacing w:val="4"/>
        </w:rPr>
        <w:t>及</w:t>
      </w:r>
      <w:r>
        <w:rPr>
          <w:rFonts w:cs="宋体"/>
          <w:spacing w:val="4"/>
        </w:rPr>
        <w:t>证据材料是否合法有效等。</w:t>
      </w:r>
    </w:p>
    <w:p w:rsidR="00800760" w:rsidRDefault="00235733">
      <w:pPr>
        <w:ind w:firstLine="436"/>
        <w:jc w:val="both"/>
        <w:rPr>
          <w:rFonts w:cs="宋体"/>
          <w:spacing w:val="4"/>
        </w:rPr>
      </w:pPr>
      <w:r>
        <w:rPr>
          <w:rFonts w:cs="宋体"/>
          <w:spacing w:val="4"/>
        </w:rPr>
        <w:t>符合要求的，管理专利工作的部门应</w:t>
      </w:r>
      <w:r>
        <w:rPr>
          <w:rFonts w:cs="宋体" w:hint="eastAsia"/>
          <w:spacing w:val="4"/>
        </w:rPr>
        <w:t>当制作《</w:t>
      </w:r>
      <w:r>
        <w:rPr>
          <w:rFonts w:cs="宋体"/>
          <w:spacing w:val="4"/>
        </w:rPr>
        <w:t>专利纠纷行政调解意见陈述通知书</w:t>
      </w:r>
      <w:r>
        <w:rPr>
          <w:rFonts w:cs="宋体" w:hint="eastAsia"/>
          <w:spacing w:val="4"/>
        </w:rPr>
        <w:t>》，并</w:t>
      </w:r>
      <w:r>
        <w:rPr>
          <w:rFonts w:cs="宋体"/>
          <w:spacing w:val="4"/>
        </w:rPr>
        <w:t>及时将</w:t>
      </w:r>
      <w:r>
        <w:rPr>
          <w:rFonts w:cs="宋体" w:hint="eastAsia"/>
          <w:spacing w:val="4"/>
        </w:rPr>
        <w:t>《</w:t>
      </w:r>
      <w:r>
        <w:rPr>
          <w:rFonts w:cs="宋体"/>
          <w:spacing w:val="4"/>
        </w:rPr>
        <w:t>专利纠纷行政调解请求书</w:t>
      </w:r>
      <w:r>
        <w:rPr>
          <w:rFonts w:cs="宋体" w:hint="eastAsia"/>
          <w:spacing w:val="4"/>
        </w:rPr>
        <w:t>》</w:t>
      </w:r>
      <w:r>
        <w:rPr>
          <w:rFonts w:cs="宋体"/>
          <w:spacing w:val="4"/>
        </w:rPr>
        <w:t>副本及其附件、</w:t>
      </w:r>
      <w:r>
        <w:rPr>
          <w:rFonts w:cs="宋体" w:hint="eastAsia"/>
          <w:spacing w:val="4"/>
        </w:rPr>
        <w:t>《</w:t>
      </w:r>
      <w:r>
        <w:rPr>
          <w:rFonts w:cs="宋体"/>
          <w:spacing w:val="4"/>
        </w:rPr>
        <w:t>专利纠纷行政调解意见陈述通知书</w:t>
      </w:r>
      <w:r>
        <w:rPr>
          <w:rFonts w:cs="宋体" w:hint="eastAsia"/>
          <w:spacing w:val="4"/>
        </w:rPr>
        <w:t>》</w:t>
      </w:r>
      <w:r>
        <w:rPr>
          <w:rFonts w:cs="宋体"/>
          <w:spacing w:val="4"/>
        </w:rPr>
        <w:t>、</w:t>
      </w:r>
      <w:r>
        <w:rPr>
          <w:rFonts w:cs="宋体" w:hint="eastAsia"/>
          <w:spacing w:val="4"/>
        </w:rPr>
        <w:t>《</w:t>
      </w:r>
      <w:r>
        <w:rPr>
          <w:rFonts w:cs="宋体"/>
          <w:spacing w:val="4"/>
        </w:rPr>
        <w:t>送达回证</w:t>
      </w:r>
      <w:r>
        <w:rPr>
          <w:rFonts w:cs="宋体" w:hint="eastAsia"/>
          <w:spacing w:val="4"/>
        </w:rPr>
        <w:t>》</w:t>
      </w:r>
      <w:r>
        <w:rPr>
          <w:rFonts w:cs="宋体"/>
          <w:spacing w:val="4"/>
        </w:rPr>
        <w:t>等文书</w:t>
      </w:r>
      <w:r>
        <w:rPr>
          <w:rFonts w:cs="宋体" w:hint="eastAsia"/>
          <w:spacing w:val="4"/>
        </w:rPr>
        <w:t>于</w:t>
      </w:r>
      <w:r>
        <w:rPr>
          <w:rFonts w:cs="宋体"/>
          <w:spacing w:val="4"/>
        </w:rPr>
        <w:t>5</w:t>
      </w:r>
      <w:r>
        <w:rPr>
          <w:rFonts w:cs="宋体"/>
          <w:spacing w:val="4"/>
        </w:rPr>
        <w:t>个工作日内送达被请求人，要求其</w:t>
      </w:r>
      <w:r>
        <w:rPr>
          <w:rFonts w:cs="宋体" w:hint="eastAsia"/>
          <w:spacing w:val="4"/>
        </w:rPr>
        <w:t>自</w:t>
      </w:r>
      <w:r>
        <w:rPr>
          <w:rFonts w:cs="宋体"/>
          <w:spacing w:val="4"/>
        </w:rPr>
        <w:t>收到之日起</w:t>
      </w:r>
      <w:r>
        <w:rPr>
          <w:rFonts w:cs="宋体"/>
          <w:spacing w:val="4"/>
        </w:rPr>
        <w:t>15</w:t>
      </w:r>
      <w:r>
        <w:rPr>
          <w:rFonts w:cs="宋体"/>
          <w:spacing w:val="4"/>
        </w:rPr>
        <w:t>日内提交意见陈述书，表明是否同意调解，如同意调解，</w:t>
      </w:r>
      <w:r>
        <w:rPr>
          <w:rFonts w:cs="宋体" w:hint="eastAsia"/>
          <w:spacing w:val="4"/>
        </w:rPr>
        <w:t>应</w:t>
      </w:r>
      <w:r>
        <w:rPr>
          <w:rFonts w:cs="宋体"/>
          <w:spacing w:val="4"/>
        </w:rPr>
        <w:t>就请求人提出的调解事项陈述意见并说明理由，</w:t>
      </w:r>
      <w:r>
        <w:rPr>
          <w:rFonts w:cs="宋体" w:hint="eastAsia"/>
          <w:spacing w:val="4"/>
        </w:rPr>
        <w:t>必要时</w:t>
      </w:r>
      <w:r>
        <w:rPr>
          <w:rFonts w:cs="宋体"/>
          <w:spacing w:val="4"/>
        </w:rPr>
        <w:t>提交相应证据。如果为邮寄送达，理解为在</w:t>
      </w:r>
      <w:r>
        <w:rPr>
          <w:rFonts w:cs="宋体"/>
          <w:spacing w:val="4"/>
        </w:rPr>
        <w:t>5</w:t>
      </w:r>
      <w:r>
        <w:rPr>
          <w:rFonts w:cs="宋体"/>
          <w:spacing w:val="4"/>
        </w:rPr>
        <w:t>个工作日内将专利纠纷调解请求书及其附件等文书寄出，而非被请求人收到。地方相关法规或者规章对此有特别规定的，从其特别规定。</w:t>
      </w:r>
    </w:p>
    <w:p w:rsidR="00800760" w:rsidRDefault="00235733">
      <w:pPr>
        <w:pStyle w:val="3"/>
        <w:spacing w:before="240"/>
        <w:ind w:firstLineChars="0" w:firstLine="444"/>
        <w:rPr>
          <w:rFonts w:ascii="Times New Roman" w:hAnsi="Times New Roman"/>
        </w:rPr>
      </w:pPr>
      <w:bookmarkStart w:id="5989" w:name="_Toc19128"/>
      <w:bookmarkStart w:id="5990" w:name="_Toc13965"/>
      <w:bookmarkStart w:id="5991" w:name="_Toc27801"/>
      <w:bookmarkStart w:id="5992" w:name="_Toc30083"/>
      <w:bookmarkStart w:id="5993" w:name="_Toc180"/>
      <w:bookmarkStart w:id="5994" w:name="_Toc26780"/>
      <w:bookmarkStart w:id="5995" w:name="_Toc23850"/>
      <w:bookmarkStart w:id="5996" w:name="_Toc29776"/>
      <w:bookmarkStart w:id="5997" w:name="_Toc17334"/>
      <w:bookmarkStart w:id="5998" w:name="_Toc16536"/>
      <w:bookmarkStart w:id="5999" w:name="_Toc20091"/>
      <w:bookmarkStart w:id="6000" w:name="_Toc27848"/>
      <w:bookmarkStart w:id="6001" w:name="_Toc31623"/>
      <w:bookmarkStart w:id="6002" w:name="_Toc25885"/>
      <w:bookmarkStart w:id="6003" w:name="_Toc25264"/>
      <w:bookmarkStart w:id="6004" w:name="_Toc17156"/>
      <w:bookmarkStart w:id="6005" w:name="_Toc6502"/>
      <w:bookmarkStart w:id="6006" w:name="_Toc31710"/>
      <w:bookmarkStart w:id="6007" w:name="_Toc15148"/>
      <w:bookmarkStart w:id="6008" w:name="_Toc20743"/>
      <w:bookmarkStart w:id="6009" w:name="_Toc29806"/>
      <w:bookmarkStart w:id="6010" w:name="_Toc10243"/>
      <w:bookmarkStart w:id="6011" w:name="_Toc16068"/>
      <w:bookmarkStart w:id="6012" w:name="_Toc7183"/>
      <w:bookmarkStart w:id="6013" w:name="_Toc1913"/>
      <w:bookmarkStart w:id="6014" w:name="_Toc3051"/>
      <w:bookmarkStart w:id="6015" w:name="_Toc15531"/>
      <w:bookmarkStart w:id="6016" w:name="_Toc17854"/>
      <w:bookmarkStart w:id="6017" w:name="_Toc4571"/>
      <w:bookmarkStart w:id="6018" w:name="_Toc7346"/>
      <w:bookmarkStart w:id="6019" w:name="_Toc17700"/>
      <w:bookmarkStart w:id="6020" w:name="_Toc19539"/>
      <w:bookmarkStart w:id="6021" w:name="_Toc10424"/>
      <w:bookmarkStart w:id="6022" w:name="_Toc12856"/>
      <w:bookmarkStart w:id="6023" w:name="_Toc20231"/>
      <w:bookmarkStart w:id="6024" w:name="_Toc27171"/>
      <w:bookmarkStart w:id="6025" w:name="_Toc217908730"/>
      <w:bookmarkStart w:id="6026" w:name="_Toc26429"/>
      <w:bookmarkStart w:id="6027" w:name="_Toc229114463"/>
      <w:bookmarkStart w:id="6028" w:name="_Toc288"/>
      <w:bookmarkStart w:id="6029" w:name="_Toc6607"/>
      <w:bookmarkStart w:id="6030" w:name="_Toc29621"/>
      <w:bookmarkStart w:id="6031" w:name="_Toc23280"/>
      <w:bookmarkStart w:id="6032" w:name="_Toc17209"/>
      <w:bookmarkStart w:id="6033" w:name="_Toc229225559"/>
      <w:r>
        <w:rPr>
          <w:rFonts w:ascii="Times New Roman" w:hAnsi="Times New Roman"/>
        </w:rPr>
        <w:t>四、正式立案</w:t>
      </w:r>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p>
    <w:p w:rsidR="00800760" w:rsidRDefault="00235733">
      <w:pPr>
        <w:ind w:firstLine="436"/>
        <w:jc w:val="both"/>
        <w:rPr>
          <w:rFonts w:cs="宋体"/>
          <w:spacing w:val="4"/>
        </w:rPr>
      </w:pPr>
      <w:r>
        <w:rPr>
          <w:rFonts w:cs="宋体"/>
          <w:spacing w:val="4"/>
        </w:rPr>
        <w:t>被请求人同意进行调解并提交意见陈述书的，管理专利工作的部门应当自收到意见陈述书之日起</w:t>
      </w:r>
      <w:r>
        <w:rPr>
          <w:rFonts w:cs="宋体"/>
          <w:spacing w:val="4"/>
        </w:rPr>
        <w:t>5</w:t>
      </w:r>
      <w:r>
        <w:rPr>
          <w:rFonts w:cs="宋体"/>
          <w:spacing w:val="4"/>
        </w:rPr>
        <w:t>个工作日内立案，并向双方当事人发出</w:t>
      </w:r>
      <w:r>
        <w:rPr>
          <w:rFonts w:cs="宋体" w:hint="eastAsia"/>
          <w:spacing w:val="4"/>
        </w:rPr>
        <w:t>《</w:t>
      </w:r>
      <w:r>
        <w:rPr>
          <w:rFonts w:cs="宋体"/>
          <w:spacing w:val="4"/>
        </w:rPr>
        <w:t>专利纠纷行政调解立案通知书</w:t>
      </w:r>
      <w:r>
        <w:rPr>
          <w:rFonts w:cs="宋体" w:hint="eastAsia"/>
          <w:spacing w:val="4"/>
        </w:rPr>
        <w:t>》</w:t>
      </w:r>
      <w:r>
        <w:rPr>
          <w:rFonts w:cs="宋体"/>
          <w:spacing w:val="4"/>
        </w:rPr>
        <w:t>，通知请求人和被请求人调解的时间和地点。</w:t>
      </w:r>
    </w:p>
    <w:p w:rsidR="00800760" w:rsidRDefault="00235733">
      <w:pPr>
        <w:ind w:firstLine="436"/>
        <w:jc w:val="both"/>
        <w:rPr>
          <w:rFonts w:cs="宋体"/>
          <w:spacing w:val="4"/>
        </w:rPr>
      </w:pPr>
      <w:r>
        <w:rPr>
          <w:rFonts w:cs="宋体"/>
          <w:spacing w:val="4"/>
        </w:rPr>
        <w:t>专利纠纷涉及第三人的，应当通知第三人参加，一并进行调解。</w:t>
      </w:r>
    </w:p>
    <w:p w:rsidR="00800760" w:rsidRDefault="00235733">
      <w:pPr>
        <w:ind w:firstLine="436"/>
        <w:jc w:val="both"/>
        <w:rPr>
          <w:rFonts w:cs="宋体"/>
          <w:spacing w:val="4"/>
        </w:rPr>
      </w:pPr>
      <w:r>
        <w:rPr>
          <w:rFonts w:cs="宋体"/>
          <w:spacing w:val="4"/>
        </w:rPr>
        <w:t>被请求人逾期未提交意见陈述书，或者在意见陈述书中表示不接受调解的，管理专利工作的部门应当在期限届满或者收到意见陈述书之日起</w:t>
      </w:r>
      <w:r>
        <w:rPr>
          <w:rFonts w:cs="宋体"/>
          <w:spacing w:val="4"/>
        </w:rPr>
        <w:t>5</w:t>
      </w:r>
      <w:r>
        <w:rPr>
          <w:rFonts w:cs="宋体"/>
          <w:spacing w:val="4"/>
        </w:rPr>
        <w:t>个工作日内制作</w:t>
      </w:r>
      <w:r>
        <w:rPr>
          <w:rFonts w:cs="宋体" w:hint="eastAsia"/>
          <w:spacing w:val="4"/>
        </w:rPr>
        <w:t>《</w:t>
      </w:r>
      <w:r>
        <w:rPr>
          <w:rFonts w:cs="宋体"/>
          <w:spacing w:val="4"/>
        </w:rPr>
        <w:t>专利纠纷行政调解请求不予立案通知书</w:t>
      </w:r>
      <w:r>
        <w:rPr>
          <w:rFonts w:cs="宋体" w:hint="eastAsia"/>
          <w:spacing w:val="4"/>
        </w:rPr>
        <w:t>》</w:t>
      </w:r>
      <w:r>
        <w:rPr>
          <w:rFonts w:cs="宋体"/>
          <w:spacing w:val="4"/>
        </w:rPr>
        <w:t>，并送达请求人。</w:t>
      </w:r>
    </w:p>
    <w:p w:rsidR="00800760" w:rsidRDefault="00235733">
      <w:pPr>
        <w:pStyle w:val="3"/>
        <w:spacing w:before="240"/>
        <w:ind w:firstLineChars="0" w:firstLine="444"/>
        <w:rPr>
          <w:rFonts w:ascii="Times New Roman" w:hAnsi="Times New Roman"/>
        </w:rPr>
      </w:pPr>
      <w:bookmarkStart w:id="6034" w:name="bookmark176"/>
      <w:bookmarkStart w:id="6035" w:name="_Toc8941"/>
      <w:bookmarkStart w:id="6036" w:name="_Toc15692"/>
      <w:bookmarkStart w:id="6037" w:name="_Toc17516"/>
      <w:bookmarkStart w:id="6038" w:name="_Toc30477"/>
      <w:bookmarkStart w:id="6039" w:name="_Toc1060"/>
      <w:bookmarkStart w:id="6040" w:name="_Toc9347"/>
      <w:bookmarkStart w:id="6041" w:name="_Toc3513"/>
      <w:bookmarkStart w:id="6042" w:name="_Toc14659"/>
      <w:bookmarkStart w:id="6043" w:name="_Toc4979"/>
      <w:bookmarkStart w:id="6044" w:name="_Toc32527"/>
      <w:bookmarkStart w:id="6045" w:name="_Toc23159"/>
      <w:bookmarkStart w:id="6046" w:name="_Toc21808"/>
      <w:bookmarkStart w:id="6047" w:name="_Toc16613"/>
      <w:bookmarkStart w:id="6048" w:name="_Toc26060"/>
      <w:bookmarkStart w:id="6049" w:name="_Toc20841"/>
      <w:bookmarkStart w:id="6050" w:name="_Toc10209"/>
      <w:bookmarkStart w:id="6051" w:name="_Toc12994"/>
      <w:bookmarkStart w:id="6052" w:name="_Toc19700"/>
      <w:bookmarkStart w:id="6053" w:name="_Toc27309"/>
      <w:bookmarkStart w:id="6054" w:name="_Toc6595"/>
      <w:bookmarkStart w:id="6055" w:name="_Toc21402"/>
      <w:bookmarkStart w:id="6056" w:name="_Toc6601"/>
      <w:bookmarkStart w:id="6057" w:name="_Toc27629"/>
      <w:bookmarkStart w:id="6058" w:name="_Toc6120"/>
      <w:bookmarkStart w:id="6059" w:name="_Toc9862"/>
      <w:bookmarkStart w:id="6060" w:name="_Toc21641"/>
      <w:bookmarkStart w:id="6061" w:name="_Toc31786"/>
      <w:bookmarkStart w:id="6062" w:name="_Toc15886"/>
      <w:bookmarkStart w:id="6063" w:name="_Toc2159"/>
      <w:bookmarkStart w:id="6064" w:name="_Toc20623"/>
      <w:bookmarkStart w:id="6065" w:name="_Toc229114464"/>
      <w:bookmarkStart w:id="6066" w:name="_Toc25779"/>
      <w:bookmarkStart w:id="6067" w:name="_Toc217908731"/>
      <w:bookmarkStart w:id="6068" w:name="_Toc4360"/>
      <w:bookmarkStart w:id="6069" w:name="_Toc4509"/>
      <w:bookmarkStart w:id="6070" w:name="_Toc2555"/>
      <w:bookmarkStart w:id="6071" w:name="_Toc15397"/>
      <w:bookmarkStart w:id="6072" w:name="_Toc28240"/>
      <w:bookmarkStart w:id="6073" w:name="_Toc12281"/>
      <w:bookmarkStart w:id="6074" w:name="_Toc7621"/>
      <w:bookmarkStart w:id="6075" w:name="_Toc19475"/>
      <w:bookmarkStart w:id="6076" w:name="_Toc27951"/>
      <w:bookmarkStart w:id="6077" w:name="_Toc3010"/>
      <w:bookmarkStart w:id="6078" w:name="_Toc16102"/>
      <w:bookmarkStart w:id="6079" w:name="_Toc229225560"/>
      <w:bookmarkEnd w:id="6034"/>
      <w:r>
        <w:rPr>
          <w:rFonts w:ascii="Times New Roman" w:hAnsi="Times New Roman"/>
        </w:rPr>
        <w:t>五、证据审查</w:t>
      </w:r>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p>
    <w:p w:rsidR="00800760" w:rsidRDefault="00235733">
      <w:pPr>
        <w:ind w:firstLine="436"/>
        <w:jc w:val="both"/>
        <w:rPr>
          <w:rFonts w:cs="宋体"/>
          <w:spacing w:val="4"/>
        </w:rPr>
      </w:pPr>
      <w:r>
        <w:rPr>
          <w:rFonts w:cs="宋体"/>
          <w:spacing w:val="4"/>
        </w:rPr>
        <w:t>管理专利工作的部门应当安排执法人员对请求人提交的材料、被请求人提交的意见陈述书及材料进行审查。</w:t>
      </w:r>
    </w:p>
    <w:p w:rsidR="00800760" w:rsidRDefault="00235733">
      <w:pPr>
        <w:ind w:firstLine="436"/>
        <w:jc w:val="both"/>
        <w:rPr>
          <w:rFonts w:cs="宋体"/>
          <w:spacing w:val="4"/>
        </w:rPr>
      </w:pPr>
      <w:r>
        <w:rPr>
          <w:rFonts w:cs="宋体"/>
          <w:spacing w:val="4"/>
        </w:rPr>
        <w:t xml:space="preserve">1. </w:t>
      </w:r>
      <w:r>
        <w:rPr>
          <w:rFonts w:cs="宋体"/>
          <w:spacing w:val="4"/>
        </w:rPr>
        <w:t>当事人提交证据材料的，执法人员应当要求其对证据材料进行逐一分类编号，对证据材料的来源、证明对象和内容作简要说明，签名或者盖章，注明提交日期。</w:t>
      </w:r>
    </w:p>
    <w:p w:rsidR="00800760" w:rsidRDefault="00235733">
      <w:pPr>
        <w:ind w:firstLine="436"/>
        <w:jc w:val="both"/>
        <w:rPr>
          <w:rFonts w:cs="宋体"/>
          <w:spacing w:val="4"/>
        </w:rPr>
      </w:pPr>
      <w:r>
        <w:rPr>
          <w:rFonts w:cs="宋体"/>
          <w:spacing w:val="4"/>
        </w:rPr>
        <w:t xml:space="preserve">2. </w:t>
      </w:r>
      <w:r>
        <w:rPr>
          <w:rFonts w:cs="宋体"/>
          <w:spacing w:val="4"/>
        </w:rPr>
        <w:t>当事人提交证据材料时，执法人员应当填写接收当事人提交证据材料清单，并交当事人签名确认。接收当事人提交证据材料清单一式二联，一联附卷，一联交当事人。</w:t>
      </w:r>
    </w:p>
    <w:p w:rsidR="00800760" w:rsidRDefault="00235733">
      <w:pPr>
        <w:ind w:firstLine="436"/>
        <w:jc w:val="both"/>
        <w:rPr>
          <w:rFonts w:cs="宋体"/>
          <w:spacing w:val="4"/>
        </w:rPr>
      </w:pPr>
      <w:r>
        <w:rPr>
          <w:rFonts w:cs="宋体"/>
          <w:spacing w:val="4"/>
        </w:rPr>
        <w:t xml:space="preserve">3. </w:t>
      </w:r>
      <w:r>
        <w:rPr>
          <w:rFonts w:cs="宋体"/>
          <w:spacing w:val="4"/>
        </w:rPr>
        <w:t>当事人提供证据材料的，应当提供原件或者原物。如保存证据原件、原物或者提供原件、原物确有困难的，可以提供经核对无异的复制件或者复制品。执法人员在接收当事人提交的证据材料后，应当审查其是否为原件；不是原件的，应当将复印件与原件校对后，在复印件上注明</w:t>
      </w:r>
      <w:r>
        <w:rPr>
          <w:rFonts w:cs="宋体"/>
          <w:spacing w:val="4"/>
        </w:rPr>
        <w:t>“</w:t>
      </w:r>
      <w:r>
        <w:rPr>
          <w:rFonts w:cs="宋体"/>
          <w:spacing w:val="4"/>
        </w:rPr>
        <w:t>经核对与原件一致</w:t>
      </w:r>
      <w:r>
        <w:rPr>
          <w:rFonts w:cs="宋体"/>
          <w:spacing w:val="4"/>
        </w:rPr>
        <w:t>”</w:t>
      </w:r>
      <w:r>
        <w:rPr>
          <w:rFonts w:cs="宋体"/>
          <w:spacing w:val="4"/>
        </w:rPr>
        <w:t>字样，并由校对人签章。</w:t>
      </w:r>
    </w:p>
    <w:p w:rsidR="00800760" w:rsidRDefault="00235733">
      <w:pPr>
        <w:ind w:firstLine="436"/>
        <w:jc w:val="both"/>
        <w:rPr>
          <w:rFonts w:cs="宋体"/>
          <w:spacing w:val="4"/>
        </w:rPr>
      </w:pPr>
      <w:r>
        <w:rPr>
          <w:rFonts w:cs="宋体"/>
          <w:spacing w:val="4"/>
        </w:rPr>
        <w:t xml:space="preserve">4. </w:t>
      </w:r>
      <w:r>
        <w:rPr>
          <w:rFonts w:cs="宋体"/>
          <w:spacing w:val="4"/>
        </w:rPr>
        <w:t>域外证据。当事人是在中华人民共和国领域内没有住所或者营业场所的外国主体的，其提交的身份证明文件、授权委托书等证据材料是在中华人民共和国</w:t>
      </w:r>
      <w:r>
        <w:rPr>
          <w:rFonts w:cs="宋体" w:hint="eastAsia"/>
          <w:spacing w:val="4"/>
        </w:rPr>
        <w:t>领域</w:t>
      </w:r>
      <w:r>
        <w:rPr>
          <w:rFonts w:cs="宋体"/>
          <w:spacing w:val="4"/>
        </w:rPr>
        <w:t>外形成的，</w:t>
      </w:r>
      <w:r>
        <w:rPr>
          <w:rFonts w:cs="宋体" w:hint="eastAsia"/>
          <w:spacing w:val="4"/>
        </w:rPr>
        <w:t>应当说明来源，并</w:t>
      </w:r>
      <w:r>
        <w:rPr>
          <w:rFonts w:cs="宋体"/>
          <w:spacing w:val="4"/>
        </w:rPr>
        <w:t>经所在国公证机关予以公证，</w:t>
      </w:r>
      <w:r>
        <w:rPr>
          <w:rFonts w:cs="宋体" w:hint="eastAsia"/>
          <w:spacing w:val="4"/>
        </w:rPr>
        <w:t>且</w:t>
      </w:r>
      <w:r>
        <w:rPr>
          <w:rFonts w:cs="宋体"/>
          <w:spacing w:val="4"/>
        </w:rPr>
        <w:t>经中华人民共和国驻该国使领馆予以认证。中华人民共和国缔结的有关条约中对证明手续另有规定的，从其规定。</w:t>
      </w:r>
    </w:p>
    <w:p w:rsidR="00800760" w:rsidRDefault="00235733">
      <w:pPr>
        <w:ind w:firstLine="436"/>
        <w:jc w:val="both"/>
        <w:rPr>
          <w:rFonts w:cs="宋体"/>
          <w:spacing w:val="4"/>
        </w:rPr>
      </w:pPr>
      <w:r>
        <w:rPr>
          <w:rFonts w:cs="宋体"/>
          <w:spacing w:val="4"/>
        </w:rPr>
        <w:t xml:space="preserve">5. </w:t>
      </w:r>
      <w:r>
        <w:rPr>
          <w:rFonts w:cs="宋体"/>
          <w:spacing w:val="4"/>
        </w:rPr>
        <w:t>港澳台证据。当事人提供的证据是在</w:t>
      </w:r>
      <w:r>
        <w:rPr>
          <w:rFonts w:cs="宋体" w:hint="eastAsia"/>
          <w:spacing w:val="4"/>
        </w:rPr>
        <w:t>中国</w:t>
      </w:r>
      <w:r>
        <w:rPr>
          <w:rFonts w:cs="宋体"/>
          <w:spacing w:val="4"/>
        </w:rPr>
        <w:t>香港特别行政区、澳门特别行政区、台湾地区形成的，应当要求其履行相关的证明手续。</w:t>
      </w:r>
    </w:p>
    <w:p w:rsidR="00800760" w:rsidRDefault="00235733">
      <w:pPr>
        <w:ind w:firstLine="436"/>
        <w:jc w:val="both"/>
        <w:rPr>
          <w:rFonts w:cs="宋体"/>
          <w:spacing w:val="4"/>
        </w:rPr>
      </w:pPr>
      <w:r>
        <w:rPr>
          <w:rFonts w:cs="宋体"/>
          <w:spacing w:val="4"/>
        </w:rPr>
        <w:t xml:space="preserve">6. </w:t>
      </w:r>
      <w:r>
        <w:rPr>
          <w:rFonts w:cs="宋体"/>
          <w:spacing w:val="4"/>
        </w:rPr>
        <w:t>执法人员在接收当事人提交的外文证据时，应当审查其是否提供中文译本；未能提供中文译本的，退回其外文证据并通知其在指定期限内将中文译本和外文证据原件一并提交。</w:t>
      </w:r>
      <w:r>
        <w:rPr>
          <w:rFonts w:cs="宋体" w:hint="eastAsia"/>
          <w:spacing w:val="4"/>
        </w:rPr>
        <w:t>中文译本应当经翻译机构翻译，由翻译人员签名并加盖翻译机构公章。未提交中文译本的，该外文证据视为未提交。当事人可以仅提交外文证据的部分中文译本；该外文证据中没有提交中文译本的部分，不作为证据使用。</w:t>
      </w:r>
      <w:r>
        <w:rPr>
          <w:rFonts w:cs="宋体"/>
          <w:spacing w:val="4"/>
        </w:rPr>
        <w:t>当事人对中文译本有异议的，应当共同委托翻译机构提供翻译文本；当事人对翻译机构的选择不能达成一致的，由管理专利工作的部门指定</w:t>
      </w:r>
      <w:r>
        <w:rPr>
          <w:rFonts w:cs="宋体" w:hint="eastAsia"/>
          <w:spacing w:val="4"/>
        </w:rPr>
        <w:t>。</w:t>
      </w:r>
    </w:p>
    <w:p w:rsidR="00800760" w:rsidRDefault="00235733">
      <w:pPr>
        <w:ind w:firstLine="436"/>
        <w:jc w:val="both"/>
        <w:rPr>
          <w:rFonts w:cs="宋体"/>
          <w:spacing w:val="4"/>
        </w:rPr>
      </w:pPr>
      <w:r>
        <w:rPr>
          <w:rFonts w:cs="宋体"/>
          <w:spacing w:val="4"/>
        </w:rPr>
        <w:t>7.</w:t>
      </w:r>
      <w:r>
        <w:rPr>
          <w:rFonts w:cs="宋体"/>
          <w:spacing w:val="4"/>
        </w:rPr>
        <w:t>执法人员应当要求当事人在指定的期限内提交所有的证据材料。当事人因特殊原因无法按期提交且要求延期提交的，由其提出书面申请并说明原因，经办案处</w:t>
      </w:r>
      <w:r>
        <w:rPr>
          <w:rFonts w:cs="宋体"/>
          <w:spacing w:val="4"/>
        </w:rPr>
        <w:t>(</w:t>
      </w:r>
      <w:r>
        <w:rPr>
          <w:rFonts w:cs="宋体"/>
          <w:spacing w:val="4"/>
        </w:rPr>
        <w:t>科</w:t>
      </w:r>
      <w:r>
        <w:rPr>
          <w:rFonts w:cs="宋体"/>
          <w:spacing w:val="4"/>
        </w:rPr>
        <w:t>)</w:t>
      </w:r>
      <w:r>
        <w:rPr>
          <w:rFonts w:cs="宋体"/>
          <w:spacing w:val="4"/>
        </w:rPr>
        <w:t>室负责人审定后，报管理专利工作的部门负责人审批。当事人无故逾期提交的，可以不予接收。</w:t>
      </w:r>
    </w:p>
    <w:p w:rsidR="00800760" w:rsidRDefault="00235733">
      <w:pPr>
        <w:ind w:firstLine="436"/>
        <w:jc w:val="both"/>
        <w:rPr>
          <w:rFonts w:cs="宋体"/>
          <w:spacing w:val="4"/>
        </w:rPr>
      </w:pPr>
      <w:r>
        <w:rPr>
          <w:rFonts w:cs="宋体"/>
          <w:spacing w:val="4"/>
        </w:rPr>
        <w:t>8.</w:t>
      </w:r>
      <w:r>
        <w:rPr>
          <w:rFonts w:cs="宋体"/>
          <w:spacing w:val="4"/>
        </w:rPr>
        <w:t>对于应当保密的证据，承办案件的执法人员负有保密义务。</w:t>
      </w:r>
    </w:p>
    <w:p w:rsidR="00800760" w:rsidRDefault="00235733">
      <w:pPr>
        <w:pStyle w:val="3"/>
        <w:spacing w:before="240"/>
        <w:ind w:firstLineChars="0" w:firstLine="444"/>
        <w:rPr>
          <w:rFonts w:ascii="Times New Roman" w:hAnsi="Times New Roman"/>
        </w:rPr>
      </w:pPr>
      <w:bookmarkStart w:id="6080" w:name="_Toc28942"/>
      <w:bookmarkStart w:id="6081" w:name="_Toc27754"/>
      <w:bookmarkStart w:id="6082" w:name="_Toc3388"/>
      <w:bookmarkStart w:id="6083" w:name="_Toc21602"/>
      <w:bookmarkStart w:id="6084" w:name="_Toc7923"/>
      <w:bookmarkStart w:id="6085" w:name="_Toc24339"/>
      <w:bookmarkStart w:id="6086" w:name="_Toc26961"/>
      <w:bookmarkStart w:id="6087" w:name="_Toc14103"/>
      <w:bookmarkStart w:id="6088" w:name="_Toc6587"/>
      <w:bookmarkStart w:id="6089" w:name="_Toc10174"/>
      <w:bookmarkStart w:id="6090" w:name="_Toc16598"/>
      <w:bookmarkStart w:id="6091" w:name="_Toc1348"/>
      <w:bookmarkStart w:id="6092" w:name="_Toc9998"/>
      <w:bookmarkStart w:id="6093" w:name="_Toc20338"/>
      <w:bookmarkStart w:id="6094" w:name="_Toc12991"/>
      <w:bookmarkStart w:id="6095" w:name="_Toc19078"/>
      <w:bookmarkStart w:id="6096" w:name="_Toc23911"/>
      <w:bookmarkStart w:id="6097" w:name="_Toc21681"/>
      <w:bookmarkStart w:id="6098" w:name="_Toc20997"/>
      <w:bookmarkStart w:id="6099" w:name="_Toc15705"/>
      <w:bookmarkStart w:id="6100" w:name="_Toc23740"/>
      <w:bookmarkStart w:id="6101" w:name="_Toc17684"/>
      <w:bookmarkStart w:id="6102" w:name="_Toc20203"/>
      <w:bookmarkStart w:id="6103" w:name="_Toc25049"/>
      <w:bookmarkStart w:id="6104" w:name="_Toc6265"/>
      <w:bookmarkStart w:id="6105" w:name="_Toc769"/>
      <w:bookmarkStart w:id="6106" w:name="_Toc20520"/>
      <w:bookmarkStart w:id="6107" w:name="_Toc27447"/>
      <w:bookmarkStart w:id="6108" w:name="_Toc229114465"/>
      <w:bookmarkStart w:id="6109" w:name="_Toc21529"/>
      <w:bookmarkStart w:id="6110" w:name="_Toc21442"/>
      <w:bookmarkStart w:id="6111" w:name="_Toc14830"/>
      <w:bookmarkStart w:id="6112" w:name="_Toc783"/>
      <w:bookmarkStart w:id="6113" w:name="_Toc27626"/>
      <w:bookmarkStart w:id="6114" w:name="_Toc13327"/>
      <w:bookmarkStart w:id="6115" w:name="_Toc2782"/>
      <w:bookmarkStart w:id="6116" w:name="_Toc31338"/>
      <w:bookmarkStart w:id="6117" w:name="_Toc6053"/>
      <w:bookmarkStart w:id="6118" w:name="_Toc22079"/>
      <w:bookmarkStart w:id="6119" w:name="_Toc19704"/>
      <w:bookmarkStart w:id="6120" w:name="_Toc16774"/>
      <w:bookmarkStart w:id="6121" w:name="_Toc25571"/>
      <w:bookmarkStart w:id="6122" w:name="_Toc425"/>
      <w:bookmarkStart w:id="6123" w:name="_Toc217908732"/>
      <w:bookmarkStart w:id="6124" w:name="_Toc229225561"/>
      <w:r>
        <w:rPr>
          <w:rFonts w:ascii="Times New Roman" w:hAnsi="Times New Roman"/>
        </w:rPr>
        <w:t>六、举证责任</w:t>
      </w:r>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p>
    <w:p w:rsidR="00800760" w:rsidRDefault="00235733">
      <w:pPr>
        <w:ind w:firstLine="436"/>
        <w:jc w:val="both"/>
        <w:rPr>
          <w:rFonts w:cs="宋体"/>
          <w:spacing w:val="4"/>
        </w:rPr>
      </w:pPr>
      <w:r>
        <w:rPr>
          <w:rFonts w:cs="宋体"/>
          <w:spacing w:val="4"/>
        </w:rPr>
        <w:t>调解专利纠纷，由当事人对其主张负全部举证责任。下列事实，当事人无须举证证明：</w:t>
      </w:r>
    </w:p>
    <w:p w:rsidR="00800760" w:rsidRDefault="00235733">
      <w:pPr>
        <w:ind w:firstLine="436"/>
        <w:jc w:val="both"/>
        <w:rPr>
          <w:rFonts w:cs="宋体"/>
          <w:spacing w:val="4"/>
        </w:rPr>
      </w:pPr>
      <w:r>
        <w:rPr>
          <w:rFonts w:cs="宋体"/>
          <w:spacing w:val="4"/>
        </w:rPr>
        <w:t xml:space="preserve">1. </w:t>
      </w:r>
      <w:r>
        <w:rPr>
          <w:rFonts w:cs="宋体"/>
          <w:spacing w:val="4"/>
        </w:rPr>
        <w:t>自然规律及定理。</w:t>
      </w:r>
    </w:p>
    <w:p w:rsidR="00800760" w:rsidRDefault="00235733">
      <w:pPr>
        <w:ind w:firstLine="436"/>
        <w:jc w:val="both"/>
        <w:rPr>
          <w:rFonts w:cs="宋体"/>
          <w:spacing w:val="4"/>
        </w:rPr>
      </w:pPr>
      <w:r>
        <w:rPr>
          <w:rFonts w:cs="宋体"/>
          <w:spacing w:val="4"/>
        </w:rPr>
        <w:t xml:space="preserve">2. </w:t>
      </w:r>
      <w:r>
        <w:rPr>
          <w:rFonts w:cs="宋体"/>
          <w:spacing w:val="4"/>
        </w:rPr>
        <w:t>众所周知的事实。</w:t>
      </w:r>
    </w:p>
    <w:p w:rsidR="00800760" w:rsidRDefault="00235733">
      <w:pPr>
        <w:ind w:firstLine="436"/>
        <w:jc w:val="both"/>
        <w:rPr>
          <w:rFonts w:cs="宋体"/>
          <w:spacing w:val="4"/>
        </w:rPr>
      </w:pPr>
      <w:r>
        <w:rPr>
          <w:rFonts w:cs="宋体"/>
          <w:spacing w:val="4"/>
        </w:rPr>
        <w:t xml:space="preserve">3. </w:t>
      </w:r>
      <w:r>
        <w:rPr>
          <w:rFonts w:cs="宋体"/>
          <w:spacing w:val="4"/>
        </w:rPr>
        <w:t>根据法律规定或者已知事实和日常生活经验法则，能推定出的另一事实。</w:t>
      </w:r>
    </w:p>
    <w:p w:rsidR="00800760" w:rsidRDefault="00235733">
      <w:pPr>
        <w:ind w:firstLine="436"/>
        <w:jc w:val="both"/>
        <w:rPr>
          <w:rFonts w:cs="宋体"/>
          <w:spacing w:val="4"/>
        </w:rPr>
      </w:pPr>
      <w:r>
        <w:rPr>
          <w:rFonts w:cs="宋体"/>
          <w:spacing w:val="4"/>
        </w:rPr>
        <w:t xml:space="preserve">4. </w:t>
      </w:r>
      <w:r>
        <w:rPr>
          <w:rFonts w:cs="宋体"/>
          <w:spacing w:val="4"/>
        </w:rPr>
        <w:t>已为人民法院发生效力的裁判所确认的事实。</w:t>
      </w:r>
    </w:p>
    <w:p w:rsidR="00800760" w:rsidRDefault="00235733">
      <w:pPr>
        <w:ind w:firstLine="436"/>
        <w:jc w:val="both"/>
        <w:rPr>
          <w:rFonts w:cs="宋体"/>
          <w:spacing w:val="4"/>
        </w:rPr>
      </w:pPr>
      <w:r>
        <w:rPr>
          <w:rFonts w:cs="宋体"/>
          <w:spacing w:val="4"/>
        </w:rPr>
        <w:t xml:space="preserve">5. </w:t>
      </w:r>
      <w:r>
        <w:rPr>
          <w:rFonts w:cs="宋体"/>
          <w:spacing w:val="4"/>
        </w:rPr>
        <w:t>已为仲裁机构的生效裁决所确认的事实。</w:t>
      </w:r>
    </w:p>
    <w:p w:rsidR="00800760" w:rsidRDefault="00235733">
      <w:pPr>
        <w:ind w:firstLine="436"/>
        <w:jc w:val="both"/>
        <w:rPr>
          <w:rFonts w:cs="宋体"/>
          <w:spacing w:val="4"/>
        </w:rPr>
      </w:pPr>
      <w:r>
        <w:rPr>
          <w:rFonts w:cs="宋体"/>
          <w:spacing w:val="4"/>
        </w:rPr>
        <w:t xml:space="preserve">6. </w:t>
      </w:r>
      <w:r>
        <w:rPr>
          <w:rFonts w:cs="宋体"/>
          <w:spacing w:val="4"/>
        </w:rPr>
        <w:t>已为有效公证文书所证明的事实。</w:t>
      </w:r>
    </w:p>
    <w:p w:rsidR="00800760" w:rsidRDefault="00235733" w:rsidP="00730AFA">
      <w:pPr>
        <w:ind w:firstLine="436"/>
        <w:jc w:val="both"/>
      </w:pPr>
      <w:r>
        <w:rPr>
          <w:rFonts w:cs="宋体"/>
          <w:spacing w:val="4"/>
        </w:rPr>
        <w:t>上述第</w:t>
      </w:r>
      <w:r>
        <w:rPr>
          <w:rFonts w:cs="宋体"/>
          <w:spacing w:val="4"/>
        </w:rPr>
        <w:t>2~6</w:t>
      </w:r>
      <w:r>
        <w:rPr>
          <w:rFonts w:cs="宋体"/>
          <w:spacing w:val="4"/>
        </w:rPr>
        <w:t>项，当事人有相反证据足以推翻的除外。一方当事人对另一方当事人陈述的案件事实明确表示承认的，另一方当事人无须举证。</w:t>
      </w:r>
      <w:bookmarkStart w:id="6125" w:name="_Toc29704"/>
      <w:bookmarkStart w:id="6126" w:name="_Toc12422"/>
      <w:bookmarkStart w:id="6127" w:name="_Toc3929"/>
      <w:bookmarkStart w:id="6128" w:name="_Toc22874"/>
      <w:bookmarkStart w:id="6129" w:name="_Toc13219"/>
      <w:bookmarkStart w:id="6130" w:name="_Toc3615"/>
      <w:bookmarkStart w:id="6131" w:name="_Toc7853"/>
      <w:bookmarkStart w:id="6132" w:name="_Toc29705"/>
      <w:bookmarkStart w:id="6133" w:name="_Toc13067"/>
      <w:bookmarkStart w:id="6134" w:name="_Toc29325"/>
      <w:bookmarkStart w:id="6135" w:name="_Toc23817"/>
      <w:bookmarkStart w:id="6136" w:name="_Toc24417"/>
      <w:bookmarkStart w:id="6137" w:name="_Toc17127"/>
      <w:bookmarkStart w:id="6138" w:name="_Toc20058"/>
      <w:bookmarkStart w:id="6139" w:name="_Toc31521"/>
      <w:bookmarkStart w:id="6140" w:name="_Toc28482"/>
      <w:bookmarkStart w:id="6141" w:name="_Toc26266"/>
      <w:bookmarkStart w:id="6142" w:name="_Toc30396"/>
      <w:bookmarkStart w:id="6143" w:name="_Toc32"/>
      <w:bookmarkStart w:id="6144" w:name="_Toc5507"/>
      <w:bookmarkStart w:id="6145" w:name="_Toc32405"/>
      <w:bookmarkStart w:id="6146" w:name="_Toc27701"/>
      <w:bookmarkStart w:id="6147" w:name="_Toc13926"/>
      <w:bookmarkStart w:id="6148" w:name="_Toc27443"/>
      <w:bookmarkStart w:id="6149" w:name="_Toc19490"/>
      <w:bookmarkStart w:id="6150" w:name="_Toc3402"/>
      <w:bookmarkStart w:id="6151" w:name="_Toc25670"/>
      <w:bookmarkStart w:id="6152" w:name="_Toc24872"/>
      <w:bookmarkStart w:id="6153" w:name="_Toc8514"/>
      <w:bookmarkStart w:id="6154" w:name="_Toc25429"/>
      <w:bookmarkStart w:id="6155" w:name="_Toc5967"/>
      <w:bookmarkStart w:id="6156" w:name="_Toc49"/>
      <w:bookmarkStart w:id="6157" w:name="_Toc31070"/>
      <w:bookmarkStart w:id="6158" w:name="_Toc2754"/>
      <w:bookmarkStart w:id="6159" w:name="_Toc14579"/>
      <w:bookmarkStart w:id="6160" w:name="_Toc2312"/>
      <w:bookmarkStart w:id="6161" w:name="_Toc18245"/>
      <w:bookmarkStart w:id="6162" w:name="_Toc8523"/>
      <w:bookmarkStart w:id="6163" w:name="_Toc12478"/>
      <w:bookmarkStart w:id="6164" w:name="_Toc32408"/>
      <w:bookmarkStart w:id="6165" w:name="_Toc6608"/>
      <w:bookmarkStart w:id="6166" w:name="_Toc5009"/>
    </w:p>
    <w:p w:rsidR="00800760" w:rsidRDefault="00235733">
      <w:pPr>
        <w:pStyle w:val="2"/>
        <w:spacing w:before="91"/>
        <w:ind w:firstLineChars="0" w:firstLine="0"/>
        <w:rPr>
          <w:rFonts w:ascii="Times New Roman" w:hAnsi="Times New Roman"/>
        </w:rPr>
      </w:pPr>
      <w:bookmarkStart w:id="6167" w:name="_Toc229114466"/>
      <w:bookmarkStart w:id="6168" w:name="_Toc217908733"/>
      <w:bookmarkStart w:id="6169" w:name="_Toc229225562"/>
      <w:r>
        <w:rPr>
          <w:rFonts w:ascii="Times New Roman" w:hAnsi="Times New Roman"/>
        </w:rPr>
        <w:t>第二节</w:t>
      </w:r>
      <w:r>
        <w:rPr>
          <w:rFonts w:ascii="Times New Roman" w:hAnsi="Times New Roman" w:hint="eastAsia"/>
        </w:rPr>
        <w:t xml:space="preserve">　</w:t>
      </w:r>
      <w:r>
        <w:rPr>
          <w:rFonts w:ascii="Times New Roman" w:hAnsi="Times New Roman"/>
        </w:rPr>
        <w:t>调解工作</w:t>
      </w:r>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p>
    <w:p w:rsidR="00800760" w:rsidRDefault="00235733">
      <w:pPr>
        <w:ind w:firstLine="436"/>
        <w:jc w:val="both"/>
        <w:rPr>
          <w:rFonts w:cs="宋体"/>
          <w:spacing w:val="4"/>
        </w:rPr>
      </w:pPr>
      <w:r>
        <w:rPr>
          <w:rFonts w:cs="宋体"/>
          <w:spacing w:val="4"/>
        </w:rPr>
        <w:t>管理专利工作的部门调解专利纠纷时要以双方当事人自愿为原则，依照实体法、程序法的规定，维护双方当事人的合法利益。各方当事人在调解过程中作出的让步或者对某些正当权利的放弃应确实出自其自愿，管理专利工作的部门不</w:t>
      </w:r>
      <w:r>
        <w:rPr>
          <w:rFonts w:cs="宋体" w:hint="eastAsia"/>
          <w:spacing w:val="4"/>
        </w:rPr>
        <w:t>得</w:t>
      </w:r>
      <w:r>
        <w:rPr>
          <w:rFonts w:cs="宋体"/>
          <w:spacing w:val="4"/>
        </w:rPr>
        <w:t>强迫当事人作出让步。</w:t>
      </w:r>
    </w:p>
    <w:p w:rsidR="00800760" w:rsidRDefault="00235733">
      <w:pPr>
        <w:pStyle w:val="3"/>
        <w:spacing w:before="240"/>
        <w:ind w:firstLine="444"/>
        <w:rPr>
          <w:rFonts w:ascii="Times New Roman" w:hAnsi="Times New Roman"/>
        </w:rPr>
      </w:pPr>
      <w:bookmarkStart w:id="6170" w:name="_Toc31835"/>
      <w:bookmarkStart w:id="6171" w:name="_Toc28290"/>
      <w:bookmarkStart w:id="6172" w:name="_Toc27577"/>
      <w:bookmarkStart w:id="6173" w:name="_Toc20259"/>
      <w:bookmarkStart w:id="6174" w:name="_Toc15642"/>
      <w:bookmarkStart w:id="6175" w:name="_Toc14137"/>
      <w:bookmarkStart w:id="6176" w:name="_Toc17294"/>
      <w:bookmarkStart w:id="6177" w:name="_Toc13369"/>
      <w:bookmarkStart w:id="6178" w:name="_Toc12717"/>
      <w:bookmarkStart w:id="6179" w:name="_Toc8423"/>
      <w:bookmarkStart w:id="6180" w:name="_Toc5648"/>
      <w:bookmarkStart w:id="6181" w:name="_Toc16508"/>
      <w:bookmarkStart w:id="6182" w:name="_Toc13379"/>
      <w:bookmarkStart w:id="6183" w:name="_Toc8332"/>
      <w:bookmarkStart w:id="6184" w:name="_Toc18519"/>
      <w:bookmarkStart w:id="6185" w:name="_Toc17074"/>
      <w:bookmarkStart w:id="6186" w:name="_Toc5542"/>
      <w:bookmarkStart w:id="6187" w:name="_Toc29852"/>
      <w:bookmarkStart w:id="6188" w:name="_Toc20487"/>
      <w:bookmarkStart w:id="6189" w:name="_Toc23593"/>
      <w:bookmarkStart w:id="6190" w:name="_Toc3054"/>
      <w:bookmarkStart w:id="6191" w:name="_Toc21245"/>
      <w:bookmarkStart w:id="6192" w:name="_Toc2550"/>
      <w:bookmarkStart w:id="6193" w:name="_Toc31809"/>
      <w:bookmarkStart w:id="6194" w:name="_Toc16043"/>
      <w:bookmarkStart w:id="6195" w:name="_Toc217908734"/>
      <w:bookmarkStart w:id="6196" w:name="_Toc21085"/>
      <w:bookmarkStart w:id="6197" w:name="_Toc24725"/>
      <w:bookmarkStart w:id="6198" w:name="_Toc14764"/>
      <w:bookmarkStart w:id="6199" w:name="_Toc32094"/>
      <w:bookmarkStart w:id="6200" w:name="_Toc21532"/>
      <w:bookmarkStart w:id="6201" w:name="_Toc28017"/>
      <w:bookmarkStart w:id="6202" w:name="_Toc28059"/>
      <w:bookmarkStart w:id="6203" w:name="_Toc20007"/>
      <w:bookmarkStart w:id="6204" w:name="_Toc15258"/>
      <w:bookmarkStart w:id="6205" w:name="_Toc31365"/>
      <w:bookmarkStart w:id="6206" w:name="_Toc21727"/>
      <w:bookmarkStart w:id="6207" w:name="_Toc1720"/>
      <w:bookmarkStart w:id="6208" w:name="_Toc23673"/>
      <w:bookmarkStart w:id="6209" w:name="_Toc28108"/>
      <w:bookmarkStart w:id="6210" w:name="_Toc9090"/>
      <w:bookmarkStart w:id="6211" w:name="_Toc10134"/>
      <w:bookmarkStart w:id="6212" w:name="_Toc21208"/>
      <w:bookmarkStart w:id="6213" w:name="_Toc229114467"/>
      <w:bookmarkStart w:id="6214" w:name="_Toc229225563"/>
      <w:r>
        <w:rPr>
          <w:rFonts w:ascii="Times New Roman" w:hAnsi="Times New Roman"/>
        </w:rPr>
        <w:t>一、调解员</w:t>
      </w:r>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p>
    <w:p w:rsidR="00800760" w:rsidRDefault="00235733">
      <w:pPr>
        <w:ind w:firstLine="436"/>
        <w:jc w:val="both"/>
        <w:rPr>
          <w:rFonts w:cs="宋体"/>
          <w:spacing w:val="4"/>
        </w:rPr>
      </w:pPr>
      <w:r>
        <w:rPr>
          <w:rFonts w:cs="宋体"/>
          <w:spacing w:val="4"/>
        </w:rPr>
        <w:t>管理专利工作的部门受理专利纠纷行政调解请求后，应当在收到被请求人同意调解的意见陈述书之日起</w:t>
      </w:r>
      <w:r>
        <w:rPr>
          <w:rFonts w:cs="宋体"/>
          <w:spacing w:val="4"/>
        </w:rPr>
        <w:t>5</w:t>
      </w:r>
      <w:r>
        <w:rPr>
          <w:rFonts w:cs="宋体"/>
          <w:spacing w:val="4"/>
        </w:rPr>
        <w:t>个工作日内指定执法人员担任纠纷调解员。事实清楚、情形简单的纠纷，可以由</w:t>
      </w:r>
      <w:r>
        <w:rPr>
          <w:rFonts w:cs="宋体"/>
          <w:spacing w:val="4"/>
        </w:rPr>
        <w:t>1</w:t>
      </w:r>
      <w:r>
        <w:rPr>
          <w:rFonts w:cs="宋体"/>
          <w:spacing w:val="4"/>
        </w:rPr>
        <w:t>名调解员现场组织调解；其他情形的纠纷，可以由</w:t>
      </w:r>
      <w:r>
        <w:rPr>
          <w:rFonts w:cs="宋体"/>
          <w:spacing w:val="4"/>
        </w:rPr>
        <w:t>3</w:t>
      </w:r>
      <w:r>
        <w:rPr>
          <w:rFonts w:cs="宋体"/>
          <w:spacing w:val="4"/>
        </w:rPr>
        <w:t>名以上调解员组成合议组进行调解。</w:t>
      </w:r>
    </w:p>
    <w:p w:rsidR="00800760" w:rsidRDefault="00235733">
      <w:pPr>
        <w:ind w:firstLine="436"/>
        <w:jc w:val="both"/>
        <w:rPr>
          <w:rFonts w:cs="宋体"/>
          <w:spacing w:val="4"/>
        </w:rPr>
      </w:pPr>
      <w:r>
        <w:rPr>
          <w:rFonts w:cs="宋体"/>
          <w:spacing w:val="4"/>
        </w:rPr>
        <w:t>执法人员担任纠纷调解员，有下列情形之一的，应当回避：</w:t>
      </w:r>
    </w:p>
    <w:p w:rsidR="00800760" w:rsidRDefault="00235733">
      <w:pPr>
        <w:ind w:firstLine="436"/>
        <w:jc w:val="both"/>
        <w:rPr>
          <w:rFonts w:cs="宋体"/>
          <w:spacing w:val="4"/>
        </w:rPr>
      </w:pPr>
      <w:r>
        <w:rPr>
          <w:rFonts w:cs="宋体"/>
          <w:spacing w:val="4"/>
        </w:rPr>
        <w:t xml:space="preserve">1. </w:t>
      </w:r>
      <w:r>
        <w:rPr>
          <w:rFonts w:cs="宋体"/>
          <w:spacing w:val="4"/>
        </w:rPr>
        <w:t>是本案当事人、代理人或者与当事人、代理人有直系血亲、三代以内旁系血亲或近姻亲关系的。</w:t>
      </w:r>
    </w:p>
    <w:p w:rsidR="00800760" w:rsidRDefault="00235733">
      <w:pPr>
        <w:ind w:firstLine="436"/>
        <w:jc w:val="both"/>
        <w:rPr>
          <w:rFonts w:cs="宋体"/>
          <w:spacing w:val="4"/>
        </w:rPr>
      </w:pPr>
      <w:r>
        <w:rPr>
          <w:rFonts w:cs="宋体"/>
          <w:spacing w:val="4"/>
        </w:rPr>
        <w:t xml:space="preserve">2. </w:t>
      </w:r>
      <w:r>
        <w:rPr>
          <w:rFonts w:cs="宋体"/>
          <w:spacing w:val="4"/>
        </w:rPr>
        <w:t>本人或者其近亲属与本案有利害关系的。</w:t>
      </w:r>
    </w:p>
    <w:p w:rsidR="00800760" w:rsidRDefault="00235733">
      <w:pPr>
        <w:ind w:firstLine="436"/>
        <w:jc w:val="both"/>
        <w:rPr>
          <w:rFonts w:cs="宋体"/>
          <w:spacing w:val="4"/>
        </w:rPr>
      </w:pPr>
      <w:r>
        <w:rPr>
          <w:rFonts w:cs="宋体"/>
          <w:spacing w:val="4"/>
        </w:rPr>
        <w:t xml:space="preserve">3. </w:t>
      </w:r>
      <w:r>
        <w:rPr>
          <w:rFonts w:cs="宋体"/>
          <w:spacing w:val="4"/>
        </w:rPr>
        <w:t>与本案当事人、代理人有其他关系，可能影响案件公正调解的。</w:t>
      </w:r>
    </w:p>
    <w:p w:rsidR="00800760" w:rsidRDefault="00235733">
      <w:pPr>
        <w:ind w:firstLine="436"/>
        <w:jc w:val="both"/>
        <w:rPr>
          <w:rFonts w:cs="宋体"/>
          <w:spacing w:val="4"/>
        </w:rPr>
      </w:pPr>
      <w:r>
        <w:rPr>
          <w:rFonts w:cs="宋体"/>
          <w:spacing w:val="4"/>
        </w:rPr>
        <w:t>当事人认为调解员有上述应当回避情形之一的，可以向管理专利工作的部门口头或者书面申请其回避；调解员有上述情形之一的，应当主动回避。</w:t>
      </w:r>
    </w:p>
    <w:p w:rsidR="00800760" w:rsidRDefault="00235733">
      <w:pPr>
        <w:ind w:firstLine="436"/>
        <w:jc w:val="both"/>
        <w:rPr>
          <w:rFonts w:cs="宋体"/>
          <w:spacing w:val="4"/>
        </w:rPr>
      </w:pPr>
      <w:r>
        <w:rPr>
          <w:rFonts w:cs="宋体"/>
          <w:spacing w:val="4"/>
        </w:rPr>
        <w:t>调解员的回避，由管理专利工作的部门负责人决定；负责人的回避，由主要负责人决定；主要负责人的回避，由管理专利工作的部门负责人集体讨论决定，主要负责人不参加会议。</w:t>
      </w:r>
    </w:p>
    <w:p w:rsidR="00800760" w:rsidRDefault="00235733">
      <w:pPr>
        <w:pStyle w:val="3"/>
        <w:spacing w:before="240"/>
        <w:ind w:firstLine="444"/>
        <w:rPr>
          <w:rFonts w:ascii="Times New Roman" w:hAnsi="Times New Roman"/>
        </w:rPr>
      </w:pPr>
      <w:bookmarkStart w:id="6215" w:name="bookmark177"/>
      <w:bookmarkStart w:id="6216" w:name="_Toc15358"/>
      <w:bookmarkStart w:id="6217" w:name="_Toc10632"/>
      <w:bookmarkStart w:id="6218" w:name="_Toc7699"/>
      <w:bookmarkStart w:id="6219" w:name="_Toc14788"/>
      <w:bookmarkStart w:id="6220" w:name="_Toc2542"/>
      <w:bookmarkStart w:id="6221" w:name="_Toc6728"/>
      <w:bookmarkStart w:id="6222" w:name="_Toc6230"/>
      <w:bookmarkStart w:id="6223" w:name="_Toc12288"/>
      <w:bookmarkStart w:id="6224" w:name="_Toc29900"/>
      <w:bookmarkStart w:id="6225" w:name="_Toc32763"/>
      <w:bookmarkStart w:id="6226" w:name="_Toc9875"/>
      <w:bookmarkStart w:id="6227" w:name="_Toc4523"/>
      <w:bookmarkStart w:id="6228" w:name="_Toc29088"/>
      <w:bookmarkStart w:id="6229" w:name="_Toc12248"/>
      <w:bookmarkStart w:id="6230" w:name="_Toc6765"/>
      <w:bookmarkStart w:id="6231" w:name="_Toc23189"/>
      <w:bookmarkStart w:id="6232" w:name="_Toc31789"/>
      <w:bookmarkStart w:id="6233" w:name="_Toc7289"/>
      <w:bookmarkStart w:id="6234" w:name="_Toc29980"/>
      <w:bookmarkStart w:id="6235" w:name="_Toc17008"/>
      <w:bookmarkStart w:id="6236" w:name="_Toc9453"/>
      <w:bookmarkStart w:id="6237" w:name="_Toc19864"/>
      <w:bookmarkStart w:id="6238" w:name="_Toc26672"/>
      <w:bookmarkStart w:id="6239" w:name="_Toc13836"/>
      <w:bookmarkStart w:id="6240" w:name="_Toc8183"/>
      <w:bookmarkStart w:id="6241" w:name="_Toc31293"/>
      <w:bookmarkStart w:id="6242" w:name="_Toc12449"/>
      <w:bookmarkStart w:id="6243" w:name="_Toc7946"/>
      <w:bookmarkStart w:id="6244" w:name="_Toc217908735"/>
      <w:bookmarkStart w:id="6245" w:name="_Toc15061"/>
      <w:bookmarkStart w:id="6246" w:name="_Toc24840"/>
      <w:bookmarkStart w:id="6247" w:name="_Toc6663"/>
      <w:bookmarkStart w:id="6248" w:name="_Toc27645"/>
      <w:bookmarkStart w:id="6249" w:name="_Toc2327"/>
      <w:bookmarkStart w:id="6250" w:name="_Toc7599"/>
      <w:bookmarkStart w:id="6251" w:name="_Toc229114468"/>
      <w:bookmarkStart w:id="6252" w:name="_Toc3878"/>
      <w:bookmarkStart w:id="6253" w:name="_Toc14234"/>
      <w:bookmarkStart w:id="6254" w:name="_Toc11966"/>
      <w:bookmarkStart w:id="6255" w:name="_Toc8230"/>
      <w:bookmarkStart w:id="6256" w:name="_Toc1299"/>
      <w:bookmarkStart w:id="6257" w:name="_Toc6160"/>
      <w:bookmarkStart w:id="6258" w:name="_Toc8917"/>
      <w:bookmarkStart w:id="6259" w:name="_Toc20400"/>
      <w:bookmarkStart w:id="6260" w:name="_Toc229225564"/>
      <w:bookmarkEnd w:id="6215"/>
      <w:r>
        <w:rPr>
          <w:rFonts w:ascii="Times New Roman" w:hAnsi="Times New Roman"/>
        </w:rPr>
        <w:t>二、调解方式</w:t>
      </w:r>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p>
    <w:p w:rsidR="00800760" w:rsidRDefault="00235733">
      <w:pPr>
        <w:ind w:firstLine="436"/>
        <w:jc w:val="both"/>
        <w:rPr>
          <w:rFonts w:cs="宋体"/>
          <w:spacing w:val="4"/>
        </w:rPr>
      </w:pPr>
      <w:r>
        <w:rPr>
          <w:rFonts w:cs="宋体"/>
          <w:spacing w:val="4"/>
        </w:rPr>
        <w:t>专利纠纷案件正式立案后，管理专利工作的部门应当及时开展调解工作。调解方式主要包括以下几种：</w:t>
      </w:r>
    </w:p>
    <w:p w:rsidR="00800760" w:rsidRDefault="00235733">
      <w:pPr>
        <w:ind w:firstLine="436"/>
        <w:jc w:val="both"/>
        <w:rPr>
          <w:rFonts w:cs="宋体"/>
          <w:spacing w:val="4"/>
        </w:rPr>
      </w:pPr>
      <w:r>
        <w:rPr>
          <w:rFonts w:cs="宋体"/>
          <w:spacing w:val="4"/>
        </w:rPr>
        <w:t xml:space="preserve">1. </w:t>
      </w:r>
      <w:r>
        <w:rPr>
          <w:rFonts w:cs="宋体"/>
          <w:spacing w:val="4"/>
        </w:rPr>
        <w:t>现场调解：是指执法人员与纠纷各方当事人都到场的调解方式。这种方式由于当事人能够面对面沟通，最有利于纠纷的解决，因此是最主要的调解方式。</w:t>
      </w:r>
    </w:p>
    <w:p w:rsidR="00800760" w:rsidRDefault="00235733">
      <w:pPr>
        <w:ind w:firstLine="436"/>
        <w:jc w:val="both"/>
        <w:rPr>
          <w:rFonts w:cs="宋体"/>
          <w:spacing w:val="4"/>
        </w:rPr>
      </w:pPr>
      <w:r>
        <w:rPr>
          <w:rFonts w:cs="宋体"/>
          <w:spacing w:val="4"/>
        </w:rPr>
        <w:t xml:space="preserve">2. </w:t>
      </w:r>
      <w:r>
        <w:rPr>
          <w:rFonts w:cs="宋体"/>
          <w:spacing w:val="4"/>
        </w:rPr>
        <w:t>电话调解：是指执法人员与纠纷各方当事人电话沟通进行调解。通过电话调解很多时候难以解决问题，因此大多数时候只作为现场调解的一种辅助方式。</w:t>
      </w:r>
    </w:p>
    <w:p w:rsidR="00800760" w:rsidRDefault="00235733">
      <w:pPr>
        <w:ind w:firstLine="436"/>
        <w:jc w:val="both"/>
        <w:rPr>
          <w:rFonts w:cs="宋体"/>
          <w:spacing w:val="4"/>
        </w:rPr>
      </w:pPr>
      <w:r>
        <w:rPr>
          <w:rFonts w:cs="宋体"/>
          <w:spacing w:val="4"/>
        </w:rPr>
        <w:t xml:space="preserve">3. </w:t>
      </w:r>
      <w:r>
        <w:rPr>
          <w:rFonts w:cs="宋体"/>
          <w:spacing w:val="4"/>
        </w:rPr>
        <w:t>书面调解：是指执法人员与纠纷各方当事人针对纠纷焦点或者调解协议的内容以书面的形式进行沟通交流的一种调解方式。</w:t>
      </w:r>
    </w:p>
    <w:p w:rsidR="00800760" w:rsidRDefault="00235733">
      <w:pPr>
        <w:ind w:firstLine="436"/>
        <w:jc w:val="both"/>
        <w:rPr>
          <w:rFonts w:cs="宋体"/>
          <w:spacing w:val="4"/>
        </w:rPr>
      </w:pPr>
      <w:r>
        <w:rPr>
          <w:rFonts w:cs="宋体"/>
          <w:spacing w:val="4"/>
        </w:rPr>
        <w:t xml:space="preserve">4. </w:t>
      </w:r>
      <w:r>
        <w:rPr>
          <w:rFonts w:cs="宋体"/>
          <w:spacing w:val="4"/>
        </w:rPr>
        <w:t>执法人员调解后当事人之间自行沟通：在执法人员进行调解后，当事人之间可以自行沟通，达成调解协议。</w:t>
      </w:r>
    </w:p>
    <w:p w:rsidR="00800760" w:rsidRDefault="00235733">
      <w:pPr>
        <w:ind w:firstLine="436"/>
        <w:jc w:val="both"/>
        <w:rPr>
          <w:rFonts w:cs="宋体"/>
          <w:spacing w:val="4"/>
        </w:rPr>
      </w:pPr>
      <w:r>
        <w:rPr>
          <w:rFonts w:cs="宋体"/>
          <w:spacing w:val="4"/>
        </w:rPr>
        <w:t>执法人员应当根据具体案情选择调解方式。同一件案件中可以综合使用多种调解方式。</w:t>
      </w:r>
    </w:p>
    <w:p w:rsidR="00800760" w:rsidRDefault="00235733">
      <w:pPr>
        <w:pStyle w:val="3"/>
        <w:spacing w:before="240"/>
        <w:ind w:firstLine="444"/>
        <w:rPr>
          <w:rFonts w:ascii="Times New Roman" w:hAnsi="Times New Roman"/>
        </w:rPr>
      </w:pPr>
      <w:bookmarkStart w:id="6261" w:name="_Toc17786"/>
      <w:bookmarkStart w:id="6262" w:name="_Toc7337"/>
      <w:bookmarkStart w:id="6263" w:name="_Toc19880"/>
      <w:bookmarkStart w:id="6264" w:name="_Toc20287"/>
      <w:bookmarkStart w:id="6265" w:name="_Toc19821"/>
      <w:bookmarkStart w:id="6266" w:name="_Toc5398"/>
      <w:bookmarkStart w:id="6267" w:name="_Toc8415"/>
      <w:bookmarkStart w:id="6268" w:name="_Toc4465"/>
      <w:bookmarkStart w:id="6269" w:name="_Toc30159"/>
      <w:bookmarkStart w:id="6270" w:name="_Toc8599"/>
      <w:bookmarkStart w:id="6271" w:name="_Toc27730"/>
      <w:bookmarkStart w:id="6272" w:name="_Toc11535"/>
      <w:bookmarkStart w:id="6273" w:name="_Toc27791"/>
      <w:bookmarkStart w:id="6274" w:name="_Toc30243"/>
      <w:bookmarkStart w:id="6275" w:name="_Toc11484"/>
      <w:bookmarkStart w:id="6276" w:name="_Toc11836"/>
      <w:bookmarkStart w:id="6277" w:name="_Toc24732"/>
      <w:bookmarkStart w:id="6278" w:name="_Toc7592"/>
      <w:bookmarkStart w:id="6279" w:name="_Toc4769"/>
      <w:bookmarkStart w:id="6280" w:name="_Toc19742"/>
      <w:bookmarkStart w:id="6281" w:name="_Toc13864"/>
      <w:bookmarkStart w:id="6282" w:name="_Toc26219"/>
      <w:bookmarkStart w:id="6283" w:name="_Toc20065"/>
      <w:bookmarkStart w:id="6284" w:name="_Toc27098"/>
      <w:bookmarkStart w:id="6285" w:name="_Toc20744"/>
      <w:bookmarkStart w:id="6286" w:name="_Toc27612"/>
      <w:bookmarkStart w:id="6287" w:name="_Toc13914"/>
      <w:bookmarkStart w:id="6288" w:name="_Toc7579"/>
      <w:bookmarkStart w:id="6289" w:name="_Toc27803"/>
      <w:bookmarkStart w:id="6290" w:name="_Toc6141"/>
      <w:bookmarkStart w:id="6291" w:name="_Toc31700"/>
      <w:bookmarkStart w:id="6292" w:name="_Toc6010"/>
      <w:bookmarkStart w:id="6293" w:name="_Toc4952"/>
      <w:bookmarkStart w:id="6294" w:name="_Toc217908736"/>
      <w:bookmarkStart w:id="6295" w:name="_Toc24730"/>
      <w:bookmarkStart w:id="6296" w:name="_Toc17616"/>
      <w:bookmarkStart w:id="6297" w:name="_Toc229114469"/>
      <w:bookmarkStart w:id="6298" w:name="_Toc22551"/>
      <w:bookmarkStart w:id="6299" w:name="_Toc24056"/>
      <w:bookmarkStart w:id="6300" w:name="_Toc32646"/>
      <w:bookmarkStart w:id="6301" w:name="_Toc31433"/>
      <w:bookmarkStart w:id="6302" w:name="_Toc20636"/>
      <w:bookmarkStart w:id="6303" w:name="_Toc5296"/>
      <w:bookmarkStart w:id="6304" w:name="_Toc10744"/>
      <w:bookmarkStart w:id="6305" w:name="_Toc229225565"/>
      <w:r>
        <w:rPr>
          <w:rFonts w:ascii="Times New Roman" w:hAnsi="Times New Roman"/>
        </w:rPr>
        <w:t>三、中止调解</w:t>
      </w:r>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p>
    <w:p w:rsidR="00800760" w:rsidRDefault="00235733">
      <w:pPr>
        <w:ind w:firstLine="436"/>
        <w:jc w:val="both"/>
        <w:rPr>
          <w:rFonts w:cs="宋体"/>
          <w:spacing w:val="4"/>
        </w:rPr>
      </w:pPr>
      <w:r>
        <w:rPr>
          <w:rFonts w:cs="宋体"/>
          <w:spacing w:val="4"/>
        </w:rPr>
        <w:t>有下列情形影响案件处理的，当事人可以提出中止处理请求；是否中止，由管理专利工作的部门决定：</w:t>
      </w:r>
    </w:p>
    <w:p w:rsidR="00800760" w:rsidRDefault="00235733">
      <w:pPr>
        <w:ind w:firstLineChars="0" w:firstLine="436"/>
        <w:jc w:val="both"/>
        <w:rPr>
          <w:rFonts w:cs="宋体"/>
          <w:spacing w:val="4"/>
        </w:rPr>
      </w:pPr>
      <w:r>
        <w:rPr>
          <w:rFonts w:cs="宋体" w:hint="eastAsia"/>
          <w:spacing w:val="4"/>
        </w:rPr>
        <w:t xml:space="preserve">1. </w:t>
      </w:r>
      <w:r>
        <w:rPr>
          <w:rFonts w:cs="宋体"/>
          <w:spacing w:val="4"/>
        </w:rPr>
        <w:t>涉案实用新型、外观设计专利权被申请宣告无效并被国务院专利行政部门受理的</w:t>
      </w:r>
      <w:r>
        <w:rPr>
          <w:rFonts w:cs="宋体" w:hint="eastAsia"/>
          <w:spacing w:val="4"/>
        </w:rPr>
        <w:t>。</w:t>
      </w:r>
    </w:p>
    <w:p w:rsidR="00800760" w:rsidRDefault="00235733">
      <w:pPr>
        <w:ind w:firstLineChars="0" w:firstLine="436"/>
        <w:jc w:val="both"/>
        <w:rPr>
          <w:rFonts w:cs="宋体"/>
          <w:spacing w:val="4"/>
        </w:rPr>
      </w:pPr>
      <w:r>
        <w:rPr>
          <w:rFonts w:cs="宋体" w:hint="eastAsia"/>
          <w:spacing w:val="4"/>
        </w:rPr>
        <w:t xml:space="preserve">2. </w:t>
      </w:r>
      <w:r>
        <w:rPr>
          <w:rFonts w:cs="宋体"/>
          <w:spacing w:val="4"/>
        </w:rPr>
        <w:t>一方当事人死亡，需要等待继承人表明是否参加案件处理的。</w:t>
      </w:r>
    </w:p>
    <w:p w:rsidR="00800760" w:rsidRDefault="00235733">
      <w:pPr>
        <w:ind w:firstLineChars="0" w:firstLine="436"/>
        <w:jc w:val="both"/>
        <w:rPr>
          <w:rFonts w:cs="宋体"/>
          <w:spacing w:val="4"/>
        </w:rPr>
      </w:pPr>
      <w:r>
        <w:rPr>
          <w:rFonts w:cs="宋体" w:hint="eastAsia"/>
          <w:spacing w:val="4"/>
        </w:rPr>
        <w:t xml:space="preserve">3. </w:t>
      </w:r>
      <w:r>
        <w:rPr>
          <w:rFonts w:cs="宋体"/>
          <w:spacing w:val="4"/>
        </w:rPr>
        <w:t>一方当事人丧失民事行为能力，尚未确定法定代理人的。</w:t>
      </w:r>
    </w:p>
    <w:p w:rsidR="00800760" w:rsidRDefault="00235733">
      <w:pPr>
        <w:ind w:firstLineChars="0" w:firstLine="436"/>
        <w:jc w:val="both"/>
        <w:rPr>
          <w:rFonts w:cs="宋体"/>
          <w:spacing w:val="4"/>
        </w:rPr>
      </w:pPr>
      <w:r>
        <w:rPr>
          <w:rFonts w:cs="宋体" w:hint="eastAsia"/>
          <w:spacing w:val="4"/>
        </w:rPr>
        <w:t xml:space="preserve">4. </w:t>
      </w:r>
      <w:r>
        <w:rPr>
          <w:rFonts w:cs="宋体"/>
          <w:spacing w:val="4"/>
        </w:rPr>
        <w:t>作为一方当事人的法人或者其他组织终止，尚未确定权利义务承受人的。</w:t>
      </w:r>
    </w:p>
    <w:p w:rsidR="00800760" w:rsidRDefault="00235733">
      <w:pPr>
        <w:ind w:firstLineChars="0" w:firstLine="436"/>
        <w:jc w:val="both"/>
        <w:rPr>
          <w:rFonts w:cs="宋体"/>
          <w:spacing w:val="4"/>
        </w:rPr>
      </w:pPr>
      <w:r>
        <w:rPr>
          <w:rFonts w:cs="宋体" w:hint="eastAsia"/>
          <w:spacing w:val="4"/>
        </w:rPr>
        <w:t xml:space="preserve">5. </w:t>
      </w:r>
      <w:r>
        <w:rPr>
          <w:rFonts w:cs="宋体"/>
          <w:spacing w:val="4"/>
        </w:rPr>
        <w:t>一方当事人因不可抗拒的事由，不能参加案件处理的。</w:t>
      </w:r>
    </w:p>
    <w:p w:rsidR="00800760" w:rsidRDefault="00235733">
      <w:pPr>
        <w:ind w:firstLineChars="0" w:firstLine="436"/>
        <w:jc w:val="both"/>
        <w:rPr>
          <w:rFonts w:cs="宋体"/>
          <w:spacing w:val="4"/>
        </w:rPr>
      </w:pPr>
      <w:r>
        <w:rPr>
          <w:rFonts w:cs="宋体" w:hint="eastAsia"/>
          <w:spacing w:val="4"/>
        </w:rPr>
        <w:t xml:space="preserve">6. </w:t>
      </w:r>
      <w:r>
        <w:rPr>
          <w:rFonts w:cs="宋体"/>
          <w:spacing w:val="4"/>
        </w:rPr>
        <w:t>本案必须以另一案的处理结果为依据，而另一案尚未处结的。</w:t>
      </w:r>
    </w:p>
    <w:p w:rsidR="00800760" w:rsidRDefault="00235733">
      <w:pPr>
        <w:ind w:firstLineChars="0" w:firstLine="436"/>
        <w:jc w:val="both"/>
        <w:rPr>
          <w:rFonts w:cs="宋体"/>
          <w:spacing w:val="4"/>
        </w:rPr>
      </w:pPr>
      <w:r>
        <w:rPr>
          <w:rFonts w:cs="宋体" w:hint="eastAsia"/>
          <w:spacing w:val="4"/>
        </w:rPr>
        <w:t>7.</w:t>
      </w:r>
      <w:r>
        <w:rPr>
          <w:rFonts w:cs="宋体"/>
          <w:spacing w:val="4"/>
        </w:rPr>
        <w:t>其他应当中止处理的情形。</w:t>
      </w:r>
    </w:p>
    <w:p w:rsidR="00800760" w:rsidRDefault="00235733">
      <w:pPr>
        <w:ind w:firstLine="436"/>
        <w:jc w:val="both"/>
        <w:rPr>
          <w:rFonts w:cs="宋体"/>
        </w:rPr>
      </w:pPr>
      <w:r>
        <w:rPr>
          <w:rFonts w:cs="宋体"/>
          <w:spacing w:val="4"/>
        </w:rPr>
        <w:t>中止的原因消除后，依当事人的申请可恢复行政调解。中止时间不计入调解期限。</w:t>
      </w:r>
    </w:p>
    <w:p w:rsidR="00800760" w:rsidRDefault="00235733">
      <w:pPr>
        <w:pStyle w:val="3"/>
        <w:spacing w:before="240"/>
        <w:ind w:firstLine="444"/>
        <w:rPr>
          <w:rFonts w:ascii="Times New Roman" w:hAnsi="Times New Roman"/>
        </w:rPr>
      </w:pPr>
      <w:bookmarkStart w:id="6306" w:name="_Toc5256"/>
      <w:bookmarkStart w:id="6307" w:name="_Toc32506"/>
      <w:bookmarkStart w:id="6308" w:name="_Toc3416"/>
      <w:bookmarkStart w:id="6309" w:name="_Toc9495"/>
      <w:bookmarkStart w:id="6310" w:name="_Toc31548"/>
      <w:bookmarkStart w:id="6311" w:name="_Toc9117"/>
      <w:bookmarkStart w:id="6312" w:name="_Toc25038"/>
      <w:bookmarkStart w:id="6313" w:name="_Toc15887"/>
      <w:bookmarkStart w:id="6314" w:name="_Toc24298"/>
      <w:bookmarkStart w:id="6315" w:name="_Toc29522"/>
      <w:bookmarkStart w:id="6316" w:name="_Toc19150"/>
      <w:bookmarkStart w:id="6317" w:name="_Toc27173"/>
      <w:bookmarkStart w:id="6318" w:name="_Toc25563"/>
      <w:bookmarkStart w:id="6319" w:name="_Toc11613"/>
      <w:bookmarkStart w:id="6320" w:name="_Toc7414"/>
      <w:bookmarkStart w:id="6321" w:name="_Toc27763"/>
      <w:bookmarkStart w:id="6322" w:name="_Toc17060"/>
      <w:bookmarkStart w:id="6323" w:name="_Toc3743"/>
      <w:bookmarkStart w:id="6324" w:name="_Toc31017"/>
      <w:bookmarkStart w:id="6325" w:name="_Toc16297"/>
      <w:bookmarkStart w:id="6326" w:name="_Toc29262"/>
      <w:bookmarkStart w:id="6327" w:name="_Toc14130"/>
      <w:bookmarkStart w:id="6328" w:name="_Toc30471"/>
      <w:bookmarkStart w:id="6329" w:name="_Toc15343"/>
      <w:bookmarkStart w:id="6330" w:name="_Toc3518"/>
      <w:bookmarkStart w:id="6331" w:name="_Toc31332"/>
      <w:bookmarkStart w:id="6332" w:name="_Toc19569"/>
      <w:bookmarkStart w:id="6333" w:name="_Toc10502"/>
      <w:bookmarkStart w:id="6334" w:name="_Toc217908737"/>
      <w:bookmarkStart w:id="6335" w:name="_Toc5923"/>
      <w:bookmarkStart w:id="6336" w:name="_Toc32430"/>
      <w:bookmarkStart w:id="6337" w:name="_Toc28705"/>
      <w:bookmarkStart w:id="6338" w:name="_Toc29939"/>
      <w:bookmarkStart w:id="6339" w:name="_Toc20270"/>
      <w:bookmarkStart w:id="6340" w:name="_Toc229114470"/>
      <w:bookmarkStart w:id="6341" w:name="_Toc400"/>
      <w:bookmarkStart w:id="6342" w:name="_Toc23666"/>
      <w:bookmarkStart w:id="6343" w:name="_Toc4847"/>
      <w:bookmarkStart w:id="6344" w:name="_Toc30018"/>
      <w:bookmarkStart w:id="6345" w:name="_Toc11396"/>
      <w:bookmarkStart w:id="6346" w:name="_Toc19570"/>
      <w:bookmarkStart w:id="6347" w:name="_Toc14127"/>
      <w:bookmarkStart w:id="6348" w:name="_Toc9426"/>
      <w:bookmarkStart w:id="6349" w:name="_Toc27793"/>
      <w:bookmarkStart w:id="6350" w:name="_Toc229225566"/>
      <w:r>
        <w:rPr>
          <w:rFonts w:ascii="Times New Roman" w:hAnsi="Times New Roman"/>
        </w:rPr>
        <w:t>四、现场调解程序</w:t>
      </w:r>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一</w:t>
      </w:r>
      <w:r>
        <w:rPr>
          <w:rFonts w:ascii="Times New Roman" w:hAnsi="Times New Roman"/>
        </w:rPr>
        <w:t>)</w:t>
      </w:r>
      <w:r>
        <w:rPr>
          <w:rFonts w:ascii="Times New Roman" w:hAnsi="Times New Roman"/>
        </w:rPr>
        <w:t>通知</w:t>
      </w:r>
    </w:p>
    <w:p w:rsidR="00800760" w:rsidRDefault="00235733">
      <w:pPr>
        <w:ind w:firstLine="436"/>
        <w:jc w:val="both"/>
        <w:rPr>
          <w:rFonts w:cs="宋体"/>
          <w:spacing w:val="4"/>
        </w:rPr>
      </w:pPr>
      <w:r>
        <w:rPr>
          <w:rFonts w:cs="宋体"/>
          <w:spacing w:val="4"/>
        </w:rPr>
        <w:t>执法人员通知各方当事人参加现场调解应当制作专利纠纷调解通知书，以通知请求人和被请求人进行调解的时间和地点。当事人不能参加的，应当提前</w:t>
      </w:r>
      <w:r>
        <w:rPr>
          <w:rFonts w:cs="宋体"/>
          <w:spacing w:val="4"/>
        </w:rPr>
        <w:t>3</w:t>
      </w:r>
      <w:r>
        <w:rPr>
          <w:rFonts w:cs="宋体"/>
          <w:spacing w:val="4"/>
        </w:rPr>
        <w:t>日申请改期进行调解。</w:t>
      </w:r>
    </w:p>
    <w:p w:rsidR="00800760" w:rsidRDefault="00235733">
      <w:pPr>
        <w:ind w:firstLineChars="0" w:firstLine="436"/>
        <w:jc w:val="both"/>
        <w:rPr>
          <w:rFonts w:cs="宋体"/>
          <w:spacing w:val="4"/>
        </w:rPr>
      </w:pPr>
      <w:r>
        <w:rPr>
          <w:rFonts w:cs="宋体"/>
          <w:spacing w:val="4"/>
        </w:rPr>
        <w:t>当事人各方应当在收到专利纠纷调解通知书后，于调解日</w:t>
      </w:r>
      <w:r>
        <w:rPr>
          <w:rFonts w:cs="宋体"/>
          <w:spacing w:val="4"/>
        </w:rPr>
        <w:t>3</w:t>
      </w:r>
      <w:r>
        <w:rPr>
          <w:rFonts w:cs="宋体"/>
          <w:spacing w:val="4"/>
        </w:rPr>
        <w:t>个工作日前填写专利</w:t>
      </w:r>
      <w:bookmarkStart w:id="6351" w:name="bookmark178"/>
      <w:bookmarkEnd w:id="6351"/>
      <w:r>
        <w:rPr>
          <w:rFonts w:cs="宋体"/>
          <w:spacing w:val="4"/>
        </w:rPr>
        <w:t>纠纷调解回执，将出席调解人员的姓名、职务，以及是否申请调解员回避等事项的书面材料提交管理专利工作的部门。</w:t>
      </w:r>
    </w:p>
    <w:p w:rsidR="00800760" w:rsidRDefault="00235733">
      <w:pPr>
        <w:ind w:firstLine="436"/>
        <w:jc w:val="both"/>
        <w:rPr>
          <w:rFonts w:cs="宋体"/>
          <w:spacing w:val="4"/>
        </w:rPr>
      </w:pPr>
      <w:r>
        <w:rPr>
          <w:rFonts w:cs="宋体"/>
          <w:spacing w:val="4"/>
        </w:rPr>
        <w:t>管理专利工作的部门调解专利纠纷可以邀请与当事人有特定关系或者与案件有一定联系的单位，以及具有专门知识、特定社会经验、与当事人有特定关系并有利于促成调解的个人，参与和协助调解。</w:t>
      </w:r>
      <w:r>
        <w:rPr>
          <w:rFonts w:cs="宋体" w:hint="eastAsia"/>
          <w:spacing w:val="4"/>
        </w:rPr>
        <w:t>被邀请的单位或者个人在客观条件允许的情况下应当协助进行调解。</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二</w:t>
      </w:r>
      <w:r>
        <w:rPr>
          <w:rFonts w:ascii="Times New Roman" w:hAnsi="Times New Roman"/>
        </w:rPr>
        <w:t>)</w:t>
      </w:r>
      <w:r>
        <w:rPr>
          <w:rFonts w:ascii="Times New Roman" w:hAnsi="Times New Roman"/>
        </w:rPr>
        <w:t>陈述与质证</w:t>
      </w:r>
    </w:p>
    <w:p w:rsidR="00800760" w:rsidRDefault="00235733">
      <w:pPr>
        <w:ind w:firstLine="436"/>
        <w:jc w:val="both"/>
        <w:rPr>
          <w:rFonts w:cs="宋体"/>
          <w:spacing w:val="4"/>
        </w:rPr>
      </w:pPr>
      <w:r>
        <w:rPr>
          <w:rFonts w:cs="宋体"/>
          <w:spacing w:val="4"/>
        </w:rPr>
        <w:t>参加现场调解时，各方当事人应当持有效的身份证件。调解可按照以下顺序进行：</w:t>
      </w:r>
      <w:r>
        <w:rPr>
          <w:rFonts w:cs="宋体"/>
          <w:spacing w:val="4"/>
        </w:rPr>
        <w:t>(1)</w:t>
      </w:r>
      <w:r>
        <w:rPr>
          <w:rFonts w:cs="宋体"/>
          <w:spacing w:val="4"/>
        </w:rPr>
        <w:t>由请求人陈述有关事实和证据。</w:t>
      </w:r>
      <w:r>
        <w:rPr>
          <w:rFonts w:cs="宋体"/>
          <w:spacing w:val="4"/>
        </w:rPr>
        <w:t>(2)</w:t>
      </w:r>
      <w:r>
        <w:rPr>
          <w:rFonts w:cs="宋体"/>
          <w:spacing w:val="4"/>
        </w:rPr>
        <w:t>由被请求人陈述有关事实和证据。</w:t>
      </w:r>
      <w:r>
        <w:rPr>
          <w:rFonts w:cs="宋体"/>
          <w:spacing w:val="4"/>
        </w:rPr>
        <w:t>(3)</w:t>
      </w:r>
      <w:r>
        <w:rPr>
          <w:rFonts w:cs="宋体"/>
          <w:spacing w:val="4"/>
        </w:rPr>
        <w:t>出示当事人所有证据，由当事人质证；未经质证的证据，不能作为认定案件事实的依据。</w:t>
      </w:r>
      <w:r>
        <w:rPr>
          <w:rFonts w:cs="宋体"/>
          <w:spacing w:val="4"/>
        </w:rPr>
        <w:t>(4)</w:t>
      </w:r>
      <w:r>
        <w:rPr>
          <w:rFonts w:cs="宋体"/>
          <w:spacing w:val="4"/>
        </w:rPr>
        <w:t>执法人员总结争议焦点。</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三</w:t>
      </w:r>
      <w:r>
        <w:rPr>
          <w:rFonts w:ascii="Times New Roman" w:hAnsi="Times New Roman"/>
        </w:rPr>
        <w:t>)</w:t>
      </w:r>
      <w:r>
        <w:rPr>
          <w:rFonts w:ascii="Times New Roman" w:hAnsi="Times New Roman"/>
        </w:rPr>
        <w:t>辩论</w:t>
      </w:r>
    </w:p>
    <w:p w:rsidR="00800760" w:rsidRDefault="00235733">
      <w:pPr>
        <w:ind w:firstLine="436"/>
        <w:jc w:val="both"/>
        <w:rPr>
          <w:rFonts w:cs="宋体"/>
          <w:spacing w:val="4"/>
        </w:rPr>
      </w:pPr>
      <w:r>
        <w:rPr>
          <w:rFonts w:cs="宋体"/>
          <w:spacing w:val="4"/>
        </w:rPr>
        <w:t xml:space="preserve">1. </w:t>
      </w:r>
      <w:r>
        <w:rPr>
          <w:rFonts w:cs="宋体"/>
          <w:spacing w:val="4"/>
        </w:rPr>
        <w:t>如果组成合议组，经合议组组长许可，当事人可以互相发问，合议组成员可以询问当事人。</w:t>
      </w:r>
    </w:p>
    <w:p w:rsidR="00800760" w:rsidRDefault="00235733">
      <w:pPr>
        <w:ind w:firstLine="436"/>
        <w:jc w:val="both"/>
        <w:rPr>
          <w:rFonts w:cs="宋体"/>
          <w:spacing w:val="4"/>
        </w:rPr>
      </w:pPr>
      <w:r>
        <w:rPr>
          <w:rFonts w:cs="宋体"/>
          <w:spacing w:val="4"/>
        </w:rPr>
        <w:t xml:space="preserve">2. </w:t>
      </w:r>
      <w:r>
        <w:rPr>
          <w:rFonts w:cs="宋体"/>
          <w:spacing w:val="4"/>
        </w:rPr>
        <w:t>在专利纠纷调解调查后，当事人双方进行口头辩论。</w:t>
      </w:r>
    </w:p>
    <w:p w:rsidR="00800760" w:rsidRDefault="00235733">
      <w:pPr>
        <w:ind w:firstLine="436"/>
        <w:jc w:val="both"/>
        <w:rPr>
          <w:rFonts w:cs="宋体"/>
          <w:spacing w:val="4"/>
        </w:rPr>
      </w:pPr>
      <w:r>
        <w:rPr>
          <w:rFonts w:cs="宋体"/>
          <w:spacing w:val="4"/>
        </w:rPr>
        <w:t>案件的同一事实，除举证责任倒置外，由提出主张的一方当事人首先举证，然后由另一方当事人举证。另一方当事人不能提出足以推翻前一事实的证据的，对这一事实可以认定；提出足以推翻前一事实的证据的，再转由提出主张的当事人继续举证。</w:t>
      </w:r>
    </w:p>
    <w:p w:rsidR="00800760" w:rsidRDefault="00235733">
      <w:pPr>
        <w:ind w:firstLine="436"/>
        <w:jc w:val="both"/>
        <w:rPr>
          <w:rFonts w:cs="宋体"/>
          <w:spacing w:val="4"/>
        </w:rPr>
      </w:pPr>
      <w:r>
        <w:rPr>
          <w:rFonts w:cs="宋体"/>
          <w:spacing w:val="4"/>
        </w:rPr>
        <w:t>在双方当事人对案件证据和事实无争议的情况下，可以在双方当事人对证据和事实予以确认的基础上，直接进行口头辩论。由当事人就证据所表明的事实，争议的问题和适用的法律、法规各自陈述其意见，并进行辩论。辩论一般先由请求人发言。</w:t>
      </w:r>
    </w:p>
    <w:p w:rsidR="00800760" w:rsidRDefault="00235733">
      <w:pPr>
        <w:ind w:firstLine="436"/>
        <w:jc w:val="both"/>
        <w:rPr>
          <w:rFonts w:cs="宋体"/>
          <w:spacing w:val="4"/>
        </w:rPr>
      </w:pPr>
      <w:r>
        <w:rPr>
          <w:rFonts w:cs="宋体"/>
          <w:spacing w:val="4"/>
        </w:rPr>
        <w:t xml:space="preserve">3. </w:t>
      </w:r>
      <w:r>
        <w:rPr>
          <w:rFonts w:cs="宋体"/>
          <w:spacing w:val="4"/>
        </w:rPr>
        <w:t>在双方当事人的辩论意见表达完毕后，执法人员宣布辩论终结，由双方当事人作最后意见陈述。</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四</w:t>
      </w:r>
      <w:r>
        <w:rPr>
          <w:rFonts w:ascii="Times New Roman" w:hAnsi="Times New Roman"/>
        </w:rPr>
        <w:t>)</w:t>
      </w:r>
      <w:r>
        <w:rPr>
          <w:rFonts w:ascii="Times New Roman" w:hAnsi="Times New Roman"/>
        </w:rPr>
        <w:t>调解</w:t>
      </w:r>
    </w:p>
    <w:p w:rsidR="00800760" w:rsidRDefault="00235733">
      <w:pPr>
        <w:ind w:firstLine="436"/>
        <w:jc w:val="both"/>
        <w:rPr>
          <w:rFonts w:cs="宋体"/>
          <w:spacing w:val="4"/>
        </w:rPr>
      </w:pPr>
      <w:r>
        <w:rPr>
          <w:rFonts w:cs="宋体"/>
          <w:spacing w:val="4"/>
        </w:rPr>
        <w:t>当事人可以自行提出调解方案，执法人员也可以依据双方当事人意见结合自身专业意见提出调解方案供当事人协商参考。执法人员应当对调解过程中获悉的商业秘密、个人隐私及其他依法不应公开的信息保守秘密。</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五</w:t>
      </w:r>
      <w:r>
        <w:rPr>
          <w:rFonts w:ascii="Times New Roman" w:hAnsi="Times New Roman"/>
        </w:rPr>
        <w:t>)</w:t>
      </w:r>
      <w:r>
        <w:rPr>
          <w:rFonts w:ascii="Times New Roman" w:hAnsi="Times New Roman"/>
        </w:rPr>
        <w:t>调解笔录</w:t>
      </w:r>
    </w:p>
    <w:p w:rsidR="00800760" w:rsidRDefault="00235733">
      <w:pPr>
        <w:ind w:firstLine="436"/>
        <w:jc w:val="both"/>
        <w:rPr>
          <w:rFonts w:cs="宋体"/>
          <w:spacing w:val="4"/>
        </w:rPr>
      </w:pPr>
      <w:r>
        <w:rPr>
          <w:rFonts w:cs="宋体"/>
          <w:spacing w:val="4"/>
        </w:rPr>
        <w:t>管理专利工作的部门调解专利纠纷，应当制作调解笔录，简要记载调解时间、地点、参加人员、协商事项、当事人意见和调解结果，由当事人和主持调解的执法人员核对无误后签名或者盖章。</w:t>
      </w:r>
    </w:p>
    <w:p w:rsidR="00800760" w:rsidRDefault="00235733">
      <w:pPr>
        <w:pStyle w:val="2"/>
        <w:spacing w:before="98"/>
        <w:ind w:firstLineChars="0" w:firstLine="0"/>
        <w:rPr>
          <w:rFonts w:ascii="Times New Roman" w:hAnsi="Times New Roman" w:cs="黑体"/>
          <w:sz w:val="30"/>
          <w:szCs w:val="30"/>
        </w:rPr>
      </w:pPr>
      <w:bookmarkStart w:id="6352" w:name="_Toc4001"/>
      <w:bookmarkStart w:id="6353" w:name="_Toc10336"/>
      <w:bookmarkStart w:id="6354" w:name="_Toc22479"/>
      <w:bookmarkStart w:id="6355" w:name="_Toc26105"/>
      <w:bookmarkStart w:id="6356" w:name="_Toc2635"/>
      <w:bookmarkStart w:id="6357" w:name="_Toc24735"/>
      <w:bookmarkStart w:id="6358" w:name="_Toc9562"/>
      <w:bookmarkStart w:id="6359" w:name="_Toc454"/>
      <w:bookmarkStart w:id="6360" w:name="_Toc12663"/>
      <w:bookmarkStart w:id="6361" w:name="_Toc13600"/>
      <w:bookmarkStart w:id="6362" w:name="_Toc2538"/>
      <w:bookmarkStart w:id="6363" w:name="_Toc7620"/>
      <w:bookmarkStart w:id="6364" w:name="_Toc26551"/>
      <w:bookmarkStart w:id="6365" w:name="_Toc12918"/>
      <w:bookmarkStart w:id="6366" w:name="_Toc8528"/>
      <w:bookmarkStart w:id="6367" w:name="_Toc28785"/>
      <w:bookmarkStart w:id="6368" w:name="_Toc1301"/>
      <w:bookmarkStart w:id="6369" w:name="_Toc22297"/>
      <w:bookmarkStart w:id="6370" w:name="_Toc2239"/>
      <w:bookmarkStart w:id="6371" w:name="_Toc1287"/>
      <w:bookmarkStart w:id="6372" w:name="_Toc15384"/>
      <w:bookmarkStart w:id="6373" w:name="_Toc22082"/>
      <w:bookmarkStart w:id="6374" w:name="_Toc1242"/>
      <w:bookmarkStart w:id="6375" w:name="_Toc159"/>
      <w:bookmarkStart w:id="6376" w:name="_Toc28140"/>
      <w:bookmarkStart w:id="6377" w:name="_Toc30914"/>
      <w:bookmarkStart w:id="6378" w:name="_Toc21312"/>
      <w:bookmarkStart w:id="6379" w:name="_Toc20733"/>
      <w:bookmarkStart w:id="6380" w:name="_Toc29708"/>
      <w:bookmarkStart w:id="6381" w:name="_Toc9462"/>
      <w:bookmarkStart w:id="6382" w:name="_Toc16620"/>
      <w:bookmarkStart w:id="6383" w:name="_Toc26130"/>
      <w:bookmarkStart w:id="6384" w:name="_Toc19550"/>
      <w:bookmarkStart w:id="6385" w:name="_Toc15352"/>
      <w:bookmarkStart w:id="6386" w:name="_Toc21516"/>
      <w:bookmarkStart w:id="6387" w:name="_Toc8632"/>
      <w:bookmarkStart w:id="6388" w:name="_Toc18728"/>
      <w:bookmarkStart w:id="6389" w:name="_Toc17939"/>
      <w:bookmarkStart w:id="6390" w:name="_Toc28230"/>
      <w:bookmarkStart w:id="6391" w:name="_Toc13576"/>
      <w:bookmarkStart w:id="6392" w:name="_Toc26747"/>
      <w:bookmarkStart w:id="6393" w:name="_Toc18448"/>
      <w:bookmarkStart w:id="6394" w:name="_Toc217908738"/>
      <w:bookmarkStart w:id="6395" w:name="_Toc229114471"/>
      <w:bookmarkStart w:id="6396" w:name="_Toc229225567"/>
      <w:r>
        <w:rPr>
          <w:rFonts w:ascii="Times New Roman" w:hAnsi="Times New Roman" w:cs="黑体"/>
          <w:bCs/>
          <w:spacing w:val="25"/>
          <w:sz w:val="30"/>
          <w:szCs w:val="30"/>
        </w:rPr>
        <w:t>第三节</w:t>
      </w:r>
      <w:r>
        <w:rPr>
          <w:rFonts w:ascii="Times New Roman" w:hAnsi="Times New Roman" w:hint="eastAsia"/>
        </w:rPr>
        <w:t xml:space="preserve">　</w:t>
      </w:r>
      <w:r>
        <w:rPr>
          <w:rFonts w:ascii="Times New Roman" w:hAnsi="Times New Roman" w:cs="黑体"/>
          <w:bCs/>
          <w:spacing w:val="25"/>
          <w:sz w:val="30"/>
          <w:szCs w:val="30"/>
        </w:rPr>
        <w:t>结案</w:t>
      </w:r>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p>
    <w:p w:rsidR="00800760" w:rsidRDefault="00235733">
      <w:pPr>
        <w:ind w:firstLine="436"/>
        <w:jc w:val="both"/>
        <w:rPr>
          <w:rFonts w:cs="宋体"/>
          <w:spacing w:val="4"/>
        </w:rPr>
      </w:pPr>
      <w:r>
        <w:rPr>
          <w:rFonts w:cs="宋体"/>
          <w:spacing w:val="4"/>
        </w:rPr>
        <w:t>经调解，专利纠纷案件可以以达成调解协议、撤销案件等方式结案。</w:t>
      </w:r>
    </w:p>
    <w:p w:rsidR="00800760" w:rsidRDefault="00235733">
      <w:pPr>
        <w:pStyle w:val="3"/>
        <w:spacing w:before="240"/>
        <w:ind w:firstLine="444"/>
        <w:rPr>
          <w:rFonts w:ascii="Times New Roman" w:hAnsi="Times New Roman"/>
        </w:rPr>
      </w:pPr>
      <w:bookmarkStart w:id="6397" w:name="_Toc4652"/>
      <w:bookmarkStart w:id="6398" w:name="_Toc26023"/>
      <w:bookmarkStart w:id="6399" w:name="_Toc17461"/>
      <w:bookmarkStart w:id="6400" w:name="_Toc6891"/>
      <w:bookmarkStart w:id="6401" w:name="_Toc23373"/>
      <w:bookmarkStart w:id="6402" w:name="_Toc26612"/>
      <w:bookmarkStart w:id="6403" w:name="_Toc17286"/>
      <w:bookmarkStart w:id="6404" w:name="_Toc5341"/>
      <w:bookmarkStart w:id="6405" w:name="_Toc32574"/>
      <w:bookmarkStart w:id="6406" w:name="_Toc6016"/>
      <w:bookmarkStart w:id="6407" w:name="_Toc12891"/>
      <w:bookmarkStart w:id="6408" w:name="_Toc9232"/>
      <w:bookmarkStart w:id="6409" w:name="_Toc25598"/>
      <w:bookmarkStart w:id="6410" w:name="_Toc25734"/>
      <w:bookmarkStart w:id="6411" w:name="_Toc29518"/>
      <w:bookmarkStart w:id="6412" w:name="_Toc4299"/>
      <w:bookmarkStart w:id="6413" w:name="_Toc15284"/>
      <w:bookmarkStart w:id="6414" w:name="_Toc26423"/>
      <w:bookmarkStart w:id="6415" w:name="_Toc16552"/>
      <w:bookmarkStart w:id="6416" w:name="_Toc20108"/>
      <w:bookmarkStart w:id="6417" w:name="_Toc20429"/>
      <w:bookmarkStart w:id="6418" w:name="_Toc3826"/>
      <w:bookmarkStart w:id="6419" w:name="_Toc229114472"/>
      <w:bookmarkStart w:id="6420" w:name="_Toc22011"/>
      <w:bookmarkStart w:id="6421" w:name="_Toc1682"/>
      <w:bookmarkStart w:id="6422" w:name="_Toc21545"/>
      <w:bookmarkStart w:id="6423" w:name="_Toc25477"/>
      <w:bookmarkStart w:id="6424" w:name="_Toc30621"/>
      <w:bookmarkStart w:id="6425" w:name="_Toc845"/>
      <w:bookmarkStart w:id="6426" w:name="_Toc13375"/>
      <w:bookmarkStart w:id="6427" w:name="_Toc16789"/>
      <w:bookmarkStart w:id="6428" w:name="_Toc2889"/>
      <w:bookmarkStart w:id="6429" w:name="_Toc16127"/>
      <w:bookmarkStart w:id="6430" w:name="_Toc1898"/>
      <w:bookmarkStart w:id="6431" w:name="_Toc1737"/>
      <w:bookmarkStart w:id="6432" w:name="_Toc12330"/>
      <w:bookmarkStart w:id="6433" w:name="_Toc15742"/>
      <w:bookmarkStart w:id="6434" w:name="_Toc9134"/>
      <w:bookmarkStart w:id="6435" w:name="_Toc16632"/>
      <w:bookmarkStart w:id="6436" w:name="_Toc5190"/>
      <w:bookmarkStart w:id="6437" w:name="_Toc15832"/>
      <w:bookmarkStart w:id="6438" w:name="_Toc11109"/>
      <w:bookmarkStart w:id="6439" w:name="_Toc20329"/>
      <w:bookmarkStart w:id="6440" w:name="_Toc217908739"/>
      <w:bookmarkStart w:id="6441" w:name="_Toc229225568"/>
      <w:r>
        <w:rPr>
          <w:rFonts w:ascii="Times New Roman" w:hAnsi="Times New Roman"/>
        </w:rPr>
        <w:t>一、调解结案</w:t>
      </w:r>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p>
    <w:p w:rsidR="00800760" w:rsidRDefault="00235733">
      <w:pPr>
        <w:ind w:firstLine="436"/>
        <w:jc w:val="both"/>
        <w:rPr>
          <w:rFonts w:cs="宋体"/>
          <w:spacing w:val="4"/>
        </w:rPr>
      </w:pPr>
      <w:r>
        <w:rPr>
          <w:rFonts w:cs="宋体"/>
          <w:spacing w:val="4"/>
        </w:rPr>
        <w:t>当事人通过调解达成协议的，可以签订</w:t>
      </w:r>
      <w:r>
        <w:rPr>
          <w:rFonts w:cs="宋体" w:hint="eastAsia"/>
          <w:spacing w:val="4"/>
        </w:rPr>
        <w:t>由管理专利工作的部门制作的《</w:t>
      </w:r>
      <w:r>
        <w:rPr>
          <w:rFonts w:cs="宋体"/>
          <w:spacing w:val="4"/>
        </w:rPr>
        <w:t>专利侵权纠纷</w:t>
      </w:r>
      <w:r>
        <w:rPr>
          <w:rFonts w:cs="宋体" w:hint="eastAsia"/>
          <w:spacing w:val="4"/>
        </w:rPr>
        <w:t>行政</w:t>
      </w:r>
      <w:r>
        <w:rPr>
          <w:rFonts w:cs="宋体"/>
          <w:spacing w:val="4"/>
        </w:rPr>
        <w:t>调解协议书</w:t>
      </w:r>
      <w:r>
        <w:rPr>
          <w:rFonts w:cs="宋体" w:hint="eastAsia"/>
          <w:spacing w:val="4"/>
        </w:rPr>
        <w:t>》</w:t>
      </w:r>
      <w:r>
        <w:rPr>
          <w:rFonts w:cs="宋体"/>
          <w:spacing w:val="4"/>
        </w:rPr>
        <w:t>。当事人认为不需要签订调解协议书的，由调解员将协议内容记入笔录，并交双方当事人签字或盖章。</w:t>
      </w:r>
    </w:p>
    <w:p w:rsidR="00800760" w:rsidRDefault="00235733">
      <w:pPr>
        <w:ind w:firstLine="436"/>
        <w:jc w:val="both"/>
        <w:rPr>
          <w:rFonts w:cs="宋体"/>
          <w:spacing w:val="4"/>
        </w:rPr>
      </w:pPr>
      <w:r>
        <w:rPr>
          <w:rFonts w:cs="宋体"/>
          <w:spacing w:val="4"/>
        </w:rPr>
        <w:t>调解协议书应当载明下列事项：</w:t>
      </w:r>
      <w:r>
        <w:rPr>
          <w:rFonts w:cs="宋体"/>
          <w:spacing w:val="4"/>
        </w:rPr>
        <w:t>(1)</w:t>
      </w:r>
      <w:r>
        <w:rPr>
          <w:rFonts w:cs="宋体"/>
          <w:spacing w:val="4"/>
        </w:rPr>
        <w:t>当事人及其委托代理人的相关情况，包括姓名或者名称、性别、年龄、职业、工作单位、住所、法定代表人或者主要负责人姓名和职务。</w:t>
      </w:r>
      <w:r>
        <w:rPr>
          <w:rFonts w:cs="宋体"/>
          <w:spacing w:val="4"/>
        </w:rPr>
        <w:t>(2)</w:t>
      </w:r>
      <w:r>
        <w:rPr>
          <w:rFonts w:cs="宋体"/>
          <w:spacing w:val="4"/>
        </w:rPr>
        <w:t>争议的主要事实。</w:t>
      </w:r>
      <w:r>
        <w:rPr>
          <w:rFonts w:cs="宋体"/>
          <w:spacing w:val="4"/>
        </w:rPr>
        <w:t>(3)</w:t>
      </w:r>
      <w:r>
        <w:rPr>
          <w:rFonts w:cs="宋体"/>
          <w:spacing w:val="4"/>
        </w:rPr>
        <w:t>当事人达成调解协议的内容、履行的方式和期限。</w:t>
      </w:r>
      <w:r>
        <w:rPr>
          <w:rFonts w:cs="宋体"/>
          <w:spacing w:val="4"/>
        </w:rPr>
        <w:t>(4)</w:t>
      </w:r>
      <w:r>
        <w:rPr>
          <w:rFonts w:cs="宋体"/>
          <w:spacing w:val="4"/>
        </w:rPr>
        <w:t>当事人违反调解协议的责任。</w:t>
      </w:r>
      <w:r>
        <w:rPr>
          <w:rFonts w:cs="宋体"/>
          <w:spacing w:val="4"/>
        </w:rPr>
        <w:t>(5)</w:t>
      </w:r>
      <w:r>
        <w:rPr>
          <w:rFonts w:cs="宋体"/>
          <w:spacing w:val="4"/>
        </w:rPr>
        <w:t>调解协议书的生效条件和生效时间。</w:t>
      </w:r>
      <w:r>
        <w:rPr>
          <w:rFonts w:cs="宋体"/>
          <w:spacing w:val="4"/>
        </w:rPr>
        <w:t>(6)</w:t>
      </w:r>
      <w:r>
        <w:rPr>
          <w:rFonts w:cs="宋体"/>
          <w:spacing w:val="4"/>
        </w:rPr>
        <w:t>其他相关事项。</w:t>
      </w:r>
    </w:p>
    <w:p w:rsidR="00800760" w:rsidRDefault="00235733">
      <w:pPr>
        <w:ind w:firstLine="436"/>
        <w:jc w:val="both"/>
        <w:rPr>
          <w:rFonts w:cs="宋体"/>
          <w:spacing w:val="4"/>
        </w:rPr>
      </w:pPr>
      <w:r>
        <w:rPr>
          <w:rFonts w:cs="宋体"/>
          <w:spacing w:val="4"/>
        </w:rPr>
        <w:t>调解协议书应当由</w:t>
      </w:r>
      <w:r>
        <w:rPr>
          <w:rFonts w:cs="宋体" w:hint="eastAsia"/>
          <w:spacing w:val="4"/>
        </w:rPr>
        <w:t>双方</w:t>
      </w:r>
      <w:r>
        <w:rPr>
          <w:rFonts w:cs="宋体"/>
          <w:spacing w:val="4"/>
        </w:rPr>
        <w:t>当事人及调解员签字或盖章，并加盖管理专利工作的部门的</w:t>
      </w:r>
      <w:r>
        <w:rPr>
          <w:rFonts w:cs="宋体" w:hint="eastAsia"/>
          <w:spacing w:val="4"/>
        </w:rPr>
        <w:t>公章</w:t>
      </w:r>
      <w:r>
        <w:rPr>
          <w:rFonts w:cs="宋体"/>
          <w:spacing w:val="4"/>
        </w:rPr>
        <w:t>。调解协议书未明确具体生效时间的，自双方当事人签字或盖章之日起生效。</w:t>
      </w:r>
    </w:p>
    <w:p w:rsidR="00800760" w:rsidRDefault="00235733">
      <w:pPr>
        <w:ind w:firstLine="436"/>
        <w:jc w:val="both"/>
        <w:rPr>
          <w:rFonts w:cs="宋体"/>
          <w:spacing w:val="4"/>
        </w:rPr>
      </w:pPr>
      <w:r>
        <w:rPr>
          <w:rFonts w:cs="宋体"/>
          <w:spacing w:val="4"/>
        </w:rPr>
        <w:t>当事人应当自觉履行调解协议，不得擅自变更或者解除调解协议。</w:t>
      </w:r>
    </w:p>
    <w:p w:rsidR="00800760" w:rsidRDefault="00235733">
      <w:pPr>
        <w:ind w:firstLine="436"/>
        <w:jc w:val="both"/>
        <w:rPr>
          <w:rFonts w:cs="宋体"/>
          <w:spacing w:val="4"/>
        </w:rPr>
      </w:pPr>
      <w:r>
        <w:rPr>
          <w:rFonts w:cs="宋体"/>
          <w:spacing w:val="4"/>
        </w:rPr>
        <w:t>有下列情形之一的，调解协议无效：</w:t>
      </w:r>
      <w:r>
        <w:rPr>
          <w:rFonts w:cs="宋体"/>
          <w:spacing w:val="4"/>
        </w:rPr>
        <w:t>(1)</w:t>
      </w:r>
      <w:r>
        <w:rPr>
          <w:rFonts w:cs="宋体"/>
          <w:spacing w:val="4"/>
        </w:rPr>
        <w:t>违反法律、法规强制性规定的。</w:t>
      </w:r>
      <w:r>
        <w:rPr>
          <w:rFonts w:cs="宋体"/>
          <w:spacing w:val="4"/>
        </w:rPr>
        <w:t>(2)</w:t>
      </w:r>
      <w:r>
        <w:rPr>
          <w:rFonts w:cs="宋体"/>
          <w:spacing w:val="4"/>
        </w:rPr>
        <w:t>侵害国家利益、社会公共利益的。</w:t>
      </w:r>
      <w:r>
        <w:rPr>
          <w:rFonts w:cs="宋体"/>
          <w:spacing w:val="4"/>
        </w:rPr>
        <w:t>(3)</w:t>
      </w:r>
      <w:r>
        <w:rPr>
          <w:rFonts w:cs="宋体"/>
          <w:spacing w:val="4"/>
        </w:rPr>
        <w:t>侵害他人合法权益的。</w:t>
      </w:r>
    </w:p>
    <w:p w:rsidR="00800760" w:rsidRDefault="00235733">
      <w:pPr>
        <w:pStyle w:val="3"/>
        <w:spacing w:before="240"/>
        <w:ind w:firstLine="444"/>
        <w:rPr>
          <w:rFonts w:ascii="Times New Roman" w:hAnsi="Times New Roman"/>
        </w:rPr>
      </w:pPr>
      <w:bookmarkStart w:id="6442" w:name="_Toc25039"/>
      <w:bookmarkStart w:id="6443" w:name="_Toc6974"/>
      <w:bookmarkStart w:id="6444" w:name="_Toc29197"/>
      <w:bookmarkStart w:id="6445" w:name="_Toc7724"/>
      <w:bookmarkStart w:id="6446" w:name="_Toc20646"/>
      <w:bookmarkStart w:id="6447" w:name="_Toc4058"/>
      <w:bookmarkStart w:id="6448" w:name="_Toc1815"/>
      <w:bookmarkStart w:id="6449" w:name="_Toc19239"/>
      <w:bookmarkStart w:id="6450" w:name="_Toc6944"/>
      <w:bookmarkStart w:id="6451" w:name="_Toc19666"/>
      <w:bookmarkStart w:id="6452" w:name="_Toc13858"/>
      <w:bookmarkStart w:id="6453" w:name="_Toc12438"/>
      <w:bookmarkStart w:id="6454" w:name="_Toc19622"/>
      <w:bookmarkStart w:id="6455" w:name="_Toc24481"/>
      <w:bookmarkStart w:id="6456" w:name="_Toc29594"/>
      <w:bookmarkStart w:id="6457" w:name="_Toc30284"/>
      <w:bookmarkStart w:id="6458" w:name="_Toc27043"/>
      <w:bookmarkStart w:id="6459" w:name="_Toc25780"/>
      <w:bookmarkStart w:id="6460" w:name="_Toc17581"/>
      <w:bookmarkStart w:id="6461" w:name="_Toc12016"/>
      <w:bookmarkStart w:id="6462" w:name="_Toc24791"/>
      <w:bookmarkStart w:id="6463" w:name="_Toc15323"/>
      <w:bookmarkStart w:id="6464" w:name="_Toc18628"/>
      <w:bookmarkStart w:id="6465" w:name="_Toc8387"/>
      <w:bookmarkStart w:id="6466" w:name="_Toc12646"/>
      <w:bookmarkStart w:id="6467" w:name="_Toc5551"/>
      <w:bookmarkStart w:id="6468" w:name="_Toc4576"/>
      <w:bookmarkStart w:id="6469" w:name="_Toc21400"/>
      <w:bookmarkStart w:id="6470" w:name="_Toc7433"/>
      <w:bookmarkStart w:id="6471" w:name="_Toc12296"/>
      <w:bookmarkStart w:id="6472" w:name="_Toc31219"/>
      <w:bookmarkStart w:id="6473" w:name="_Toc229114473"/>
      <w:bookmarkStart w:id="6474" w:name="_Toc23174"/>
      <w:bookmarkStart w:id="6475" w:name="_Toc1005"/>
      <w:bookmarkStart w:id="6476" w:name="_Toc3586"/>
      <w:bookmarkStart w:id="6477" w:name="_Toc217908740"/>
      <w:bookmarkStart w:id="6478" w:name="_Toc22978"/>
      <w:bookmarkStart w:id="6479" w:name="_Toc1819"/>
      <w:bookmarkStart w:id="6480" w:name="_Toc16274"/>
      <w:bookmarkStart w:id="6481" w:name="_Toc27473"/>
      <w:bookmarkStart w:id="6482" w:name="_Toc28645"/>
      <w:bookmarkStart w:id="6483" w:name="_Toc3216"/>
      <w:bookmarkStart w:id="6484" w:name="_Toc12486"/>
      <w:bookmarkStart w:id="6485" w:name="_Toc20815"/>
      <w:bookmarkStart w:id="6486" w:name="_Toc229225569"/>
      <w:r>
        <w:rPr>
          <w:rFonts w:ascii="Times New Roman" w:hAnsi="Times New Roman"/>
        </w:rPr>
        <w:t>二、撤销案件</w:t>
      </w:r>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p>
    <w:p w:rsidR="00800760" w:rsidRDefault="00235733">
      <w:pPr>
        <w:ind w:firstLine="436"/>
        <w:jc w:val="both"/>
        <w:rPr>
          <w:rFonts w:cs="宋体"/>
          <w:spacing w:val="4"/>
        </w:rPr>
      </w:pPr>
      <w:r>
        <w:rPr>
          <w:rFonts w:cs="宋体"/>
          <w:spacing w:val="4"/>
        </w:rPr>
        <w:t>有下列情形之一的，行政调解终止：</w:t>
      </w:r>
    </w:p>
    <w:p w:rsidR="00800760" w:rsidRDefault="00235733">
      <w:pPr>
        <w:ind w:firstLine="436"/>
        <w:jc w:val="both"/>
        <w:rPr>
          <w:rFonts w:cs="宋体"/>
          <w:spacing w:val="4"/>
        </w:rPr>
      </w:pPr>
      <w:r>
        <w:rPr>
          <w:rFonts w:cs="宋体"/>
          <w:spacing w:val="4"/>
        </w:rPr>
        <w:t xml:space="preserve">1. </w:t>
      </w:r>
      <w:r>
        <w:rPr>
          <w:rFonts w:cs="宋体"/>
          <w:spacing w:val="4"/>
        </w:rPr>
        <w:t>调解过程中至少一方不同意继续进行调解的。</w:t>
      </w:r>
    </w:p>
    <w:p w:rsidR="00800760" w:rsidRDefault="00235733">
      <w:pPr>
        <w:ind w:firstLine="436"/>
        <w:jc w:val="both"/>
        <w:rPr>
          <w:rFonts w:cs="宋体"/>
          <w:spacing w:val="4"/>
        </w:rPr>
      </w:pPr>
      <w:r>
        <w:rPr>
          <w:rFonts w:cs="宋体"/>
          <w:spacing w:val="4"/>
        </w:rPr>
        <w:t xml:space="preserve">2. </w:t>
      </w:r>
      <w:r>
        <w:rPr>
          <w:rFonts w:cs="宋体"/>
          <w:spacing w:val="4"/>
        </w:rPr>
        <w:t>调解过程中至少一方无正当理由在规定的时间不参加调解活动的</w:t>
      </w:r>
      <w:r>
        <w:rPr>
          <w:rFonts w:cs="宋体" w:hint="eastAsia"/>
          <w:spacing w:val="4"/>
        </w:rPr>
        <w:t>。其中，请求人无正当理由不按照通知的时间和地点参加调解的，管理专利工作的部门按照主动撤回请求处理；被请求人无正当理由不按照通知的时间和地点参加调解的，管理专利工作的部门按照未能达成协议处理，以撤销案件的方式结案，并通知双方当事人。</w:t>
      </w:r>
    </w:p>
    <w:p w:rsidR="00800760" w:rsidRDefault="00235733">
      <w:pPr>
        <w:ind w:firstLine="436"/>
        <w:jc w:val="both"/>
        <w:rPr>
          <w:rFonts w:cs="宋体"/>
          <w:spacing w:val="4"/>
        </w:rPr>
      </w:pPr>
      <w:r>
        <w:rPr>
          <w:rFonts w:cs="宋体"/>
          <w:spacing w:val="4"/>
        </w:rPr>
        <w:t xml:space="preserve">3. </w:t>
      </w:r>
      <w:r>
        <w:rPr>
          <w:rFonts w:cs="宋体"/>
          <w:spacing w:val="4"/>
        </w:rPr>
        <w:t>经调解未能在合理期限内达成调解协议的。</w:t>
      </w:r>
    </w:p>
    <w:p w:rsidR="00800760" w:rsidRDefault="00235733">
      <w:pPr>
        <w:ind w:firstLine="436"/>
        <w:jc w:val="both"/>
        <w:rPr>
          <w:rFonts w:cs="宋体"/>
          <w:spacing w:val="4"/>
        </w:rPr>
      </w:pPr>
      <w:r>
        <w:rPr>
          <w:rFonts w:cs="宋体"/>
          <w:spacing w:val="4"/>
        </w:rPr>
        <w:t>管理专利工作的部门遇有上述情形之一的，应终止调解，以撤销案件的方式结案，向</w:t>
      </w:r>
      <w:r>
        <w:rPr>
          <w:rFonts w:cs="宋体" w:hint="eastAsia"/>
          <w:spacing w:val="4"/>
        </w:rPr>
        <w:t>双方</w:t>
      </w:r>
      <w:r>
        <w:rPr>
          <w:rFonts w:cs="宋体"/>
          <w:spacing w:val="4"/>
        </w:rPr>
        <w:t>当事人发出</w:t>
      </w:r>
      <w:r>
        <w:rPr>
          <w:rFonts w:cs="宋体" w:hint="eastAsia"/>
          <w:spacing w:val="4"/>
        </w:rPr>
        <w:t>《</w:t>
      </w:r>
      <w:r>
        <w:rPr>
          <w:rFonts w:cs="宋体"/>
          <w:spacing w:val="4"/>
        </w:rPr>
        <w:t>专利纠纷行政调解案件终止调解通知书</w:t>
      </w:r>
      <w:r>
        <w:rPr>
          <w:rFonts w:cs="宋体" w:hint="eastAsia"/>
          <w:spacing w:val="4"/>
        </w:rPr>
        <w:t>》</w:t>
      </w:r>
      <w:r>
        <w:rPr>
          <w:rFonts w:cs="宋体"/>
          <w:spacing w:val="4"/>
        </w:rPr>
        <w:t>，并告知当事人其他纠纷解决途径。</w:t>
      </w:r>
    </w:p>
    <w:p w:rsidR="00800760" w:rsidRDefault="00235733">
      <w:pPr>
        <w:pStyle w:val="3"/>
        <w:spacing w:before="240"/>
        <w:ind w:firstLine="444"/>
        <w:rPr>
          <w:rFonts w:ascii="Times New Roman" w:hAnsi="Times New Roman"/>
        </w:rPr>
      </w:pPr>
      <w:bookmarkStart w:id="6487" w:name="_Toc21371"/>
      <w:bookmarkStart w:id="6488" w:name="_Toc27156"/>
      <w:bookmarkStart w:id="6489" w:name="_Toc29496"/>
      <w:bookmarkStart w:id="6490" w:name="_Toc29141"/>
      <w:bookmarkStart w:id="6491" w:name="_Toc18458"/>
      <w:bookmarkStart w:id="6492" w:name="_Toc7880"/>
      <w:bookmarkStart w:id="6493" w:name="_Toc8339"/>
      <w:bookmarkStart w:id="6494" w:name="_Toc16259"/>
      <w:bookmarkStart w:id="6495" w:name="_Toc25631"/>
      <w:bookmarkStart w:id="6496" w:name="_Toc5770"/>
      <w:bookmarkStart w:id="6497" w:name="_Toc15973"/>
      <w:bookmarkStart w:id="6498" w:name="_Toc5141"/>
      <w:bookmarkStart w:id="6499" w:name="_Toc17970"/>
      <w:bookmarkStart w:id="6500" w:name="_Toc21803"/>
      <w:bookmarkStart w:id="6501" w:name="_Toc19777"/>
      <w:bookmarkStart w:id="6502" w:name="_Toc3030"/>
      <w:bookmarkStart w:id="6503" w:name="_Toc30677"/>
      <w:bookmarkStart w:id="6504" w:name="_Toc13702"/>
      <w:bookmarkStart w:id="6505" w:name="_Toc15885"/>
      <w:bookmarkStart w:id="6506" w:name="_Toc382"/>
      <w:bookmarkStart w:id="6507" w:name="_Toc22290"/>
      <w:bookmarkStart w:id="6508" w:name="_Toc1349"/>
      <w:bookmarkStart w:id="6509" w:name="_Toc8482"/>
      <w:bookmarkStart w:id="6510" w:name="_Toc25791"/>
      <w:bookmarkStart w:id="6511" w:name="_Toc1656"/>
      <w:bookmarkStart w:id="6512" w:name="_Toc17627"/>
      <w:bookmarkStart w:id="6513" w:name="_Toc8434"/>
      <w:bookmarkStart w:id="6514" w:name="_Toc27887"/>
      <w:bookmarkStart w:id="6515" w:name="_Toc16551"/>
      <w:bookmarkStart w:id="6516" w:name="_Toc27369"/>
      <w:bookmarkStart w:id="6517" w:name="_Toc19600"/>
      <w:bookmarkStart w:id="6518" w:name="_Toc13817"/>
      <w:bookmarkStart w:id="6519" w:name="_Toc229114474"/>
      <w:bookmarkStart w:id="6520" w:name="_Toc31402"/>
      <w:bookmarkStart w:id="6521" w:name="_Toc15166"/>
      <w:bookmarkStart w:id="6522" w:name="_Toc27247"/>
      <w:bookmarkStart w:id="6523" w:name="_Toc217908741"/>
      <w:bookmarkStart w:id="6524" w:name="_Toc30700"/>
      <w:bookmarkStart w:id="6525" w:name="_Toc5946"/>
      <w:bookmarkStart w:id="6526" w:name="_Toc31351"/>
      <w:bookmarkStart w:id="6527" w:name="_Toc22231"/>
      <w:bookmarkStart w:id="6528" w:name="_Toc207"/>
      <w:bookmarkStart w:id="6529" w:name="_Toc24766"/>
      <w:bookmarkStart w:id="6530" w:name="_Toc31271"/>
      <w:bookmarkStart w:id="6531" w:name="_Toc229225570"/>
      <w:r>
        <w:rPr>
          <w:rFonts w:ascii="Times New Roman" w:hAnsi="Times New Roman"/>
        </w:rPr>
        <w:t>三、调解时限</w:t>
      </w:r>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p>
    <w:p w:rsidR="00800760" w:rsidRDefault="00235733">
      <w:pPr>
        <w:ind w:firstLine="436"/>
        <w:jc w:val="both"/>
        <w:rPr>
          <w:rFonts w:cs="宋体"/>
          <w:spacing w:val="4"/>
        </w:rPr>
      </w:pPr>
      <w:r>
        <w:rPr>
          <w:rFonts w:cs="宋体"/>
          <w:spacing w:val="4"/>
        </w:rPr>
        <w:t>管理专利工作的部门调解专利权属纠纷，应当在立案之日起</w:t>
      </w:r>
      <w:r>
        <w:rPr>
          <w:rFonts w:cs="宋体"/>
          <w:spacing w:val="4"/>
        </w:rPr>
        <w:t>2</w:t>
      </w:r>
      <w:r>
        <w:rPr>
          <w:rFonts w:cs="宋体"/>
          <w:spacing w:val="4"/>
        </w:rPr>
        <w:t>个月内结案。案件特别复杂需要延长期限的，应当由管理专利工作的部门负责人批准。经批准延长的期限，最多不超过</w:t>
      </w:r>
      <w:r>
        <w:rPr>
          <w:rFonts w:cs="宋体"/>
          <w:spacing w:val="4"/>
        </w:rPr>
        <w:t>1</w:t>
      </w:r>
      <w:r>
        <w:rPr>
          <w:rFonts w:cs="宋体"/>
          <w:spacing w:val="4"/>
        </w:rPr>
        <w:t>个月。</w:t>
      </w:r>
    </w:p>
    <w:p w:rsidR="00800760" w:rsidRDefault="00235733">
      <w:pPr>
        <w:ind w:firstLine="436"/>
        <w:jc w:val="both"/>
        <w:rPr>
          <w:rFonts w:cs="宋体"/>
          <w:spacing w:val="4"/>
        </w:rPr>
      </w:pPr>
      <w:r>
        <w:rPr>
          <w:rFonts w:cs="宋体"/>
          <w:spacing w:val="4"/>
        </w:rPr>
        <w:t>其他类型专利纠纷调解时限，地方性法规、规章有规定的，从其规定。</w:t>
      </w:r>
    </w:p>
    <w:p w:rsidR="00800760" w:rsidRDefault="00235733">
      <w:pPr>
        <w:pStyle w:val="3"/>
        <w:spacing w:before="240"/>
        <w:ind w:firstLine="444"/>
        <w:rPr>
          <w:rFonts w:ascii="Times New Roman" w:hAnsi="Times New Roman"/>
        </w:rPr>
      </w:pPr>
      <w:bookmarkStart w:id="6532" w:name="_Toc5591"/>
      <w:bookmarkStart w:id="6533" w:name="_Toc5174"/>
      <w:bookmarkStart w:id="6534" w:name="_Toc1440"/>
      <w:bookmarkStart w:id="6535" w:name="_Toc3867"/>
      <w:bookmarkStart w:id="6536" w:name="_Toc14518"/>
      <w:bookmarkStart w:id="6537" w:name="_Toc5593"/>
      <w:bookmarkStart w:id="6538" w:name="_Toc542"/>
      <w:bookmarkStart w:id="6539" w:name="_Toc2452"/>
      <w:bookmarkStart w:id="6540" w:name="_Toc3900"/>
      <w:bookmarkStart w:id="6541" w:name="_Toc2523"/>
      <w:bookmarkStart w:id="6542" w:name="_Toc14563"/>
      <w:bookmarkStart w:id="6543" w:name="_Toc25290"/>
      <w:bookmarkStart w:id="6544" w:name="_Toc4331"/>
      <w:bookmarkStart w:id="6545" w:name="_Toc11690"/>
      <w:bookmarkStart w:id="6546" w:name="_Toc21722"/>
      <w:bookmarkStart w:id="6547" w:name="_Toc13972"/>
      <w:bookmarkStart w:id="6548" w:name="_Toc29642"/>
      <w:bookmarkStart w:id="6549" w:name="_Toc16399"/>
      <w:bookmarkStart w:id="6550" w:name="_Toc13423"/>
      <w:bookmarkStart w:id="6551" w:name="_Toc18467"/>
      <w:bookmarkStart w:id="6552" w:name="_Toc4122"/>
      <w:bookmarkStart w:id="6553" w:name="_Toc21337"/>
      <w:bookmarkStart w:id="6554" w:name="_Toc9271"/>
      <w:bookmarkStart w:id="6555" w:name="_Toc4563"/>
      <w:bookmarkStart w:id="6556" w:name="_Toc22370"/>
      <w:bookmarkStart w:id="6557" w:name="_Toc23007"/>
      <w:bookmarkStart w:id="6558" w:name="_Toc20970"/>
      <w:bookmarkStart w:id="6559" w:name="_Toc3531"/>
      <w:bookmarkStart w:id="6560" w:name="_Toc24943"/>
      <w:bookmarkStart w:id="6561" w:name="_Toc31821"/>
      <w:bookmarkStart w:id="6562" w:name="_Toc23526"/>
      <w:bookmarkStart w:id="6563" w:name="_Toc1954"/>
      <w:bookmarkStart w:id="6564" w:name="_Toc11371"/>
      <w:bookmarkStart w:id="6565" w:name="_Toc25255"/>
      <w:bookmarkStart w:id="6566" w:name="_Toc17756"/>
      <w:bookmarkStart w:id="6567" w:name="_Toc217908742"/>
      <w:bookmarkStart w:id="6568" w:name="_Toc27802"/>
      <w:bookmarkStart w:id="6569" w:name="_Toc30302"/>
      <w:bookmarkStart w:id="6570" w:name="_Toc3211"/>
      <w:bookmarkStart w:id="6571" w:name="_Toc19159"/>
      <w:bookmarkStart w:id="6572" w:name="_Toc16622"/>
      <w:bookmarkStart w:id="6573" w:name="_Toc229114475"/>
      <w:bookmarkStart w:id="6574" w:name="_Toc7669"/>
      <w:bookmarkStart w:id="6575" w:name="_Toc27638"/>
      <w:bookmarkStart w:id="6576" w:name="_Toc229225571"/>
      <w:r>
        <w:rPr>
          <w:rFonts w:ascii="Times New Roman" w:hAnsi="Times New Roman" w:hint="eastAsia"/>
        </w:rPr>
        <w:t>四、调解效力</w:t>
      </w:r>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p>
    <w:p w:rsidR="00800760" w:rsidRDefault="00235733">
      <w:pPr>
        <w:ind w:firstLine="436"/>
        <w:jc w:val="both"/>
        <w:rPr>
          <w:rFonts w:cs="宋体"/>
          <w:spacing w:val="4"/>
        </w:rPr>
      </w:pPr>
      <w:r>
        <w:rPr>
          <w:rFonts w:cs="宋体" w:hint="eastAsia"/>
          <w:spacing w:val="4"/>
        </w:rPr>
        <w:t>行政调解协议一般没有强制执行力，当事人不履行或者不适当履行协议时，对方当事人通常只能通过诉讼解决，但以下方式可以赋予调解协议以强制执行力：</w:t>
      </w:r>
    </w:p>
    <w:p w:rsidR="00800760" w:rsidRDefault="00235733">
      <w:pPr>
        <w:ind w:firstLine="436"/>
        <w:jc w:val="both"/>
        <w:rPr>
          <w:rFonts w:cs="宋体"/>
          <w:spacing w:val="4"/>
        </w:rPr>
      </w:pPr>
      <w:r>
        <w:rPr>
          <w:rFonts w:cs="宋体"/>
          <w:spacing w:val="4"/>
        </w:rPr>
        <w:t xml:space="preserve">1. </w:t>
      </w:r>
      <w:r>
        <w:rPr>
          <w:rFonts w:cs="宋体"/>
          <w:spacing w:val="4"/>
        </w:rPr>
        <w:t>公证确认</w:t>
      </w:r>
    </w:p>
    <w:p w:rsidR="00800760" w:rsidRDefault="00235733">
      <w:pPr>
        <w:ind w:firstLine="436"/>
        <w:jc w:val="both"/>
        <w:rPr>
          <w:rFonts w:cs="宋体"/>
          <w:spacing w:val="4"/>
        </w:rPr>
      </w:pPr>
      <w:r>
        <w:rPr>
          <w:rFonts w:cs="宋体" w:hint="eastAsia"/>
          <w:spacing w:val="4"/>
        </w:rPr>
        <w:t>调解协议中具有给付内容并载明愿意接受强制执行承诺的，对方当事人可以依照《中华人民共和国公证法》第三十七</w:t>
      </w:r>
      <w:r>
        <w:rPr>
          <w:rFonts w:cs="宋体"/>
          <w:spacing w:val="4"/>
        </w:rPr>
        <w:t>条的规定申请公证机关赋予强制执行效力。当事人不履行或者不适当履行经过公证的调解协议的，对方当事人可以依法向有管辖权的人民法院申请强制执行。</w:t>
      </w:r>
    </w:p>
    <w:p w:rsidR="00800760" w:rsidRDefault="00235733">
      <w:pPr>
        <w:ind w:firstLine="436"/>
        <w:jc w:val="both"/>
        <w:rPr>
          <w:rFonts w:cs="宋体"/>
          <w:spacing w:val="4"/>
        </w:rPr>
      </w:pPr>
      <w:r>
        <w:rPr>
          <w:rFonts w:cs="宋体" w:hint="eastAsia"/>
          <w:spacing w:val="4"/>
        </w:rPr>
        <w:t>《中华人民共和国公证法》第三十七</w:t>
      </w:r>
      <w:r>
        <w:rPr>
          <w:rFonts w:cs="宋体"/>
          <w:spacing w:val="4"/>
        </w:rPr>
        <w:t>条规定，对经公证的以给付为内容并载明债务人愿意接受强制执行承诺的债权文书，债务人不履行或者履行不适当的，债权人可以依法向有管辖权的人民法院申请执行。</w:t>
      </w:r>
    </w:p>
    <w:p w:rsidR="00800760" w:rsidRDefault="00235733">
      <w:pPr>
        <w:ind w:firstLine="436"/>
        <w:jc w:val="both"/>
        <w:rPr>
          <w:rFonts w:cs="宋体"/>
          <w:spacing w:val="4"/>
        </w:rPr>
      </w:pPr>
      <w:r>
        <w:rPr>
          <w:rFonts w:cs="宋体"/>
          <w:spacing w:val="4"/>
        </w:rPr>
        <w:t xml:space="preserve">2. </w:t>
      </w:r>
      <w:r>
        <w:rPr>
          <w:rFonts w:cs="宋体"/>
          <w:spacing w:val="4"/>
        </w:rPr>
        <w:t>司法确认</w:t>
      </w:r>
    </w:p>
    <w:p w:rsidR="00800760" w:rsidRDefault="00235733">
      <w:pPr>
        <w:ind w:firstLine="436"/>
        <w:jc w:val="both"/>
        <w:rPr>
          <w:rFonts w:cs="宋体"/>
          <w:spacing w:val="4"/>
        </w:rPr>
      </w:pPr>
      <w:r>
        <w:rPr>
          <w:rFonts w:cs="宋体"/>
          <w:spacing w:val="4"/>
        </w:rPr>
        <w:t>在开展专利纠纷行政调解协议司法确认的地区，调解协议达成后，双方当事人可以向有管辖权的人民法院申请司法确认</w:t>
      </w:r>
      <w:r>
        <w:rPr>
          <w:rFonts w:cs="宋体" w:hint="eastAsia"/>
          <w:spacing w:val="4"/>
        </w:rPr>
        <w:t>，司法确认裁定具有强制执行效力</w:t>
      </w:r>
      <w:r>
        <w:rPr>
          <w:rFonts w:cs="宋体"/>
          <w:spacing w:val="4"/>
        </w:rPr>
        <w:t>。经司法确认的有效的调解协议，当事人一方不履行协议的，另一方可以申请人民法院强制执行。</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2-</w:t>
      </w:r>
      <w:r>
        <w:rPr>
          <w:rFonts w:ascii="Times New Roman" w:hAnsi="Times New Roman"/>
          <w:lang w:val="en-US"/>
        </w:rPr>
        <w:t>3-</w:t>
      </w:r>
      <w:r>
        <w:rPr>
          <w:rFonts w:ascii="Times New Roman" w:hAnsi="Times New Roman"/>
        </w:rPr>
        <w:t>1</w:t>
      </w:r>
      <w:r>
        <w:rPr>
          <w:rFonts w:ascii="Times New Roman" w:hAnsi="Times New Roman" w:hint="eastAsia"/>
        </w:rPr>
        <w:t>】</w:t>
      </w:r>
    </w:p>
    <w:p w:rsidR="00800760" w:rsidRDefault="00235733">
      <w:pPr>
        <w:pStyle w:val="a5"/>
        <w:spacing w:line="291" w:lineRule="auto"/>
        <w:rPr>
          <w:rFonts w:eastAsia="楷体_GB2312" w:cs="MingLiU_HKSCS"/>
          <w:lang w:val="zh-CN"/>
        </w:rPr>
      </w:pPr>
      <w:r>
        <w:rPr>
          <w:rFonts w:eastAsia="楷体_GB2312" w:cs="MingLiU_HKSCS"/>
          <w:lang w:val="zh-CN"/>
        </w:rPr>
        <w:t>A</w:t>
      </w:r>
      <w:r>
        <w:rPr>
          <w:rFonts w:eastAsia="楷体_GB2312" w:cs="MingLiU_HKSCS"/>
          <w:lang w:val="zh-CN"/>
        </w:rPr>
        <w:t>公司发现</w:t>
      </w:r>
      <w:r>
        <w:rPr>
          <w:rFonts w:eastAsia="楷体_GB2312" w:cs="MingLiU_HKSCS"/>
          <w:lang w:val="zh-CN"/>
        </w:rPr>
        <w:t>B</w:t>
      </w:r>
      <w:r>
        <w:rPr>
          <w:rFonts w:eastAsia="楷体_GB2312" w:cs="MingLiU_HKSCS"/>
          <w:lang w:val="zh-CN"/>
        </w:rPr>
        <w:t>公司许诺销售的多款产品涉嫌侵犯其拥有的多个外观设计专利权，遂向管理专利工作的部门提出专利侵权纠纷行政裁决处理请求。管理专利工作的部门受理上述系列案件并根据双方当事人的调解意愿主持调解，双方当事人签署专利侵权纠纷行政调解协议书。随后双方当事人向有管辖权的法院申请司法确认，法院对当事人提交的申请材料、调解协议的形式与内容依法进行审查，出具民事裁定书，确认双方达成的调解协议有效，一方当事人拒绝履行或未全部履行的，对方当事人可以直接向人民法院申请强制执行。</w:t>
      </w:r>
    </w:p>
    <w:p w:rsidR="00800760" w:rsidRDefault="00235733">
      <w:pPr>
        <w:pStyle w:val="a5"/>
        <w:spacing w:line="291" w:lineRule="auto"/>
        <w:rPr>
          <w:rFonts w:ascii="宋体" w:hAnsi="宋体"/>
        </w:rPr>
      </w:pPr>
      <w:r>
        <w:rPr>
          <w:rFonts w:ascii="宋体" w:hAnsi="宋体" w:hint="eastAsia"/>
        </w:rPr>
        <w:t>3. 仲裁确认</w:t>
      </w:r>
    </w:p>
    <w:p w:rsidR="00800760" w:rsidRDefault="00235733">
      <w:pPr>
        <w:pStyle w:val="a5"/>
        <w:spacing w:line="291" w:lineRule="auto"/>
      </w:pPr>
      <w:r>
        <w:rPr>
          <w:rFonts w:hint="eastAsia"/>
        </w:rPr>
        <w:t>调解协议达成后，双方当事人可以向约定的仲裁委员会申请仲裁确认。该仲裁确认具有强制执行效力，当事人一方不履行的，另一方可以依法向人民法院申请强制执行。</w:t>
      </w:r>
    </w:p>
    <w:p w:rsidR="00800760" w:rsidRDefault="00235733">
      <w:pPr>
        <w:pStyle w:val="3"/>
        <w:spacing w:before="240"/>
        <w:ind w:firstLine="444"/>
        <w:rPr>
          <w:rFonts w:ascii="Times New Roman" w:hAnsi="Times New Roman"/>
        </w:rPr>
      </w:pPr>
      <w:bookmarkStart w:id="6577" w:name="_Toc9849"/>
      <w:bookmarkStart w:id="6578" w:name="_Toc4538"/>
      <w:bookmarkStart w:id="6579" w:name="_Toc3376"/>
      <w:bookmarkStart w:id="6580" w:name="_Toc17924"/>
      <w:bookmarkStart w:id="6581" w:name="_Toc24660"/>
      <w:bookmarkStart w:id="6582" w:name="_Toc15556"/>
      <w:bookmarkStart w:id="6583" w:name="_Toc27988"/>
      <w:bookmarkStart w:id="6584" w:name="_Toc6125"/>
      <w:bookmarkStart w:id="6585" w:name="_Toc17563"/>
      <w:bookmarkStart w:id="6586" w:name="_Toc10440"/>
      <w:bookmarkStart w:id="6587" w:name="_Toc31850"/>
      <w:bookmarkStart w:id="6588" w:name="_Toc12840"/>
      <w:bookmarkStart w:id="6589" w:name="_Toc19243"/>
      <w:bookmarkStart w:id="6590" w:name="_Toc10553"/>
      <w:bookmarkStart w:id="6591" w:name="_Toc20301"/>
      <w:bookmarkStart w:id="6592" w:name="_Toc6580"/>
      <w:bookmarkStart w:id="6593" w:name="_Toc32680"/>
      <w:bookmarkStart w:id="6594" w:name="_Toc3846"/>
      <w:bookmarkStart w:id="6595" w:name="_Toc1528"/>
      <w:bookmarkStart w:id="6596" w:name="_Toc26436"/>
      <w:bookmarkStart w:id="6597" w:name="_Toc10888"/>
      <w:bookmarkStart w:id="6598" w:name="_Toc13482"/>
      <w:bookmarkStart w:id="6599" w:name="_Toc12967"/>
      <w:bookmarkStart w:id="6600" w:name="_Toc32706"/>
      <w:bookmarkStart w:id="6601" w:name="_Toc10579"/>
      <w:bookmarkStart w:id="6602" w:name="_Toc9309"/>
      <w:bookmarkStart w:id="6603" w:name="_Toc1135"/>
      <w:bookmarkStart w:id="6604" w:name="_Toc12754"/>
      <w:bookmarkStart w:id="6605" w:name="_Toc11996"/>
      <w:bookmarkStart w:id="6606" w:name="_Toc29605"/>
      <w:bookmarkStart w:id="6607" w:name="_Toc8167"/>
      <w:bookmarkStart w:id="6608" w:name="_Toc13456"/>
      <w:bookmarkStart w:id="6609" w:name="_Toc20211"/>
      <w:bookmarkStart w:id="6610" w:name="_Toc11466"/>
      <w:bookmarkStart w:id="6611" w:name="_Toc10075"/>
      <w:bookmarkStart w:id="6612" w:name="_Toc14591"/>
      <w:bookmarkStart w:id="6613" w:name="_Toc20192"/>
      <w:bookmarkStart w:id="6614" w:name="_Toc14810"/>
      <w:bookmarkStart w:id="6615" w:name="_Toc229114476"/>
      <w:bookmarkStart w:id="6616" w:name="_Toc18823"/>
      <w:bookmarkStart w:id="6617" w:name="_Toc15017"/>
      <w:bookmarkStart w:id="6618" w:name="_Toc217908743"/>
      <w:bookmarkStart w:id="6619" w:name="_Toc17505"/>
      <w:bookmarkStart w:id="6620" w:name="_Toc31163"/>
      <w:bookmarkStart w:id="6621" w:name="_Toc229225572"/>
      <w:r>
        <w:rPr>
          <w:rFonts w:ascii="Times New Roman" w:hAnsi="Times New Roman" w:hint="eastAsia"/>
        </w:rPr>
        <w:t>五</w:t>
      </w:r>
      <w:r>
        <w:rPr>
          <w:rFonts w:ascii="Times New Roman" w:hAnsi="Times New Roman"/>
        </w:rPr>
        <w:t>、案卷管理</w:t>
      </w:r>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p>
    <w:p w:rsidR="00800760" w:rsidRDefault="00235733">
      <w:pPr>
        <w:ind w:firstLine="436"/>
        <w:jc w:val="both"/>
        <w:rPr>
          <w:rFonts w:cs="宋体"/>
          <w:spacing w:val="4"/>
        </w:rPr>
      </w:pPr>
      <w:r>
        <w:rPr>
          <w:rFonts w:cs="宋体"/>
          <w:spacing w:val="4"/>
        </w:rPr>
        <w:t>管理专利工作的部门受理专利纠纷案件的，应当按照一案一号、一案一卷的原则建立案卷。执法人员应将调解专利纠纷案件过程中形成的文书、档案及时归档，统一管理。</w:t>
      </w:r>
    </w:p>
    <w:p w:rsidR="00800760" w:rsidRDefault="00235733">
      <w:pPr>
        <w:ind w:firstLine="436"/>
        <w:jc w:val="both"/>
        <w:rPr>
          <w:rFonts w:cs="宋体"/>
          <w:spacing w:val="4"/>
        </w:rPr>
      </w:pPr>
      <w:r>
        <w:rPr>
          <w:rFonts w:cs="宋体"/>
          <w:spacing w:val="4"/>
        </w:rPr>
        <w:t>结案后，执法人员应当及时将案卷移交本部门档案管理机构归档。</w:t>
      </w:r>
    </w:p>
    <w:p w:rsidR="00800760" w:rsidRDefault="00800760">
      <w:pPr>
        <w:pStyle w:val="a5"/>
        <w:spacing w:line="357" w:lineRule="auto"/>
      </w:pPr>
    </w:p>
    <w:p w:rsidR="00800760" w:rsidRDefault="00235733">
      <w:pPr>
        <w:spacing w:before="107" w:line="219" w:lineRule="auto"/>
        <w:ind w:left="1634"/>
        <w:outlineLvl w:val="0"/>
      </w:pPr>
      <w:bookmarkStart w:id="6622" w:name="_Toc26140"/>
      <w:bookmarkStart w:id="6623" w:name="_Toc9458"/>
      <w:bookmarkStart w:id="6624" w:name="_Toc13561"/>
      <w:bookmarkStart w:id="6625" w:name="_Toc20430"/>
      <w:bookmarkStart w:id="6626" w:name="_Toc108"/>
      <w:bookmarkStart w:id="6627" w:name="_Toc22831"/>
      <w:bookmarkStart w:id="6628" w:name="_Toc811"/>
      <w:bookmarkStart w:id="6629" w:name="_Toc22471"/>
      <w:bookmarkStart w:id="6630" w:name="_Toc20531"/>
      <w:bookmarkStart w:id="6631" w:name="_Toc1205"/>
      <w:bookmarkStart w:id="6632" w:name="_Toc16055"/>
      <w:bookmarkStart w:id="6633" w:name="_Toc27964"/>
      <w:bookmarkStart w:id="6634" w:name="_Toc28511"/>
      <w:bookmarkStart w:id="6635" w:name="_Toc23663"/>
      <w:bookmarkStart w:id="6636" w:name="_Toc18175"/>
      <w:bookmarkStart w:id="6637" w:name="_Toc21698"/>
      <w:bookmarkStart w:id="6638" w:name="_Toc25920"/>
      <w:bookmarkStart w:id="6639" w:name="_Toc26809"/>
      <w:bookmarkStart w:id="6640" w:name="_Toc10604"/>
      <w:bookmarkStart w:id="6641" w:name="_Toc23705"/>
      <w:bookmarkStart w:id="6642" w:name="_Toc22909"/>
      <w:bookmarkStart w:id="6643" w:name="_Toc356"/>
      <w:bookmarkStart w:id="6644" w:name="_Toc15250"/>
      <w:bookmarkStart w:id="6645" w:name="_Toc23354"/>
      <w:bookmarkStart w:id="6646" w:name="_Toc32221"/>
      <w:bookmarkStart w:id="6647" w:name="_Toc1472"/>
      <w:bookmarkStart w:id="6648" w:name="_Toc23708"/>
      <w:bookmarkStart w:id="6649" w:name="_Toc23903"/>
      <w:bookmarkStart w:id="6650" w:name="_Toc12492"/>
      <w:bookmarkStart w:id="6651" w:name="_Toc9292"/>
      <w:bookmarkStart w:id="6652" w:name="_Toc25211"/>
      <w:bookmarkStart w:id="6653" w:name="_Toc32042"/>
      <w:bookmarkStart w:id="6654" w:name="_Toc1346"/>
      <w:bookmarkStart w:id="6655" w:name="_Toc28857"/>
      <w:bookmarkStart w:id="6656" w:name="_Toc13824"/>
      <w:bookmarkStart w:id="6657" w:name="_Toc20605"/>
      <w:bookmarkStart w:id="6658" w:name="_Toc13139"/>
      <w:bookmarkStart w:id="6659" w:name="_Toc24700"/>
      <w:bookmarkStart w:id="6660" w:name="_Toc10460"/>
      <w:bookmarkStart w:id="6661" w:name="_Toc21746"/>
      <w:bookmarkStart w:id="6662" w:name="_Toc17671"/>
      <w:bookmarkStart w:id="6663" w:name="_Toc24517"/>
      <w:bookmarkStart w:id="6664" w:name="_Toc32594"/>
      <w:r>
        <w:br w:type="page"/>
      </w:r>
    </w:p>
    <w:p w:rsidR="00800760" w:rsidRDefault="00235733">
      <w:pPr>
        <w:pStyle w:val="1"/>
      </w:pPr>
      <w:bookmarkStart w:id="6665" w:name="_Toc835"/>
      <w:bookmarkStart w:id="6666" w:name="_Toc229114477"/>
      <w:bookmarkStart w:id="6667" w:name="_Toc229225573"/>
      <w:r>
        <w:t>第三章</w:t>
      </w:r>
      <w:r>
        <w:rPr>
          <w:rFonts w:hint="eastAsia"/>
        </w:rPr>
        <w:t xml:space="preserve">　</w:t>
      </w:r>
      <w:r>
        <w:t>专利权属纠纷的行政调解</w:t>
      </w:r>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p>
    <w:p w:rsidR="00800760" w:rsidRDefault="00235733" w:rsidP="00730AFA">
      <w:pPr>
        <w:ind w:firstLine="436"/>
        <w:jc w:val="both"/>
      </w:pPr>
      <w:r>
        <w:rPr>
          <w:rFonts w:cs="宋体"/>
          <w:spacing w:val="4"/>
        </w:rPr>
        <w:t>根据《专利法实施细则》第</w:t>
      </w:r>
      <w:r>
        <w:rPr>
          <w:rFonts w:cs="宋体" w:hint="eastAsia"/>
          <w:spacing w:val="4"/>
        </w:rPr>
        <w:t>一百零二</w:t>
      </w:r>
      <w:r>
        <w:rPr>
          <w:rFonts w:cs="宋体"/>
          <w:spacing w:val="4"/>
        </w:rPr>
        <w:t>条第一款第</w:t>
      </w:r>
      <w:r>
        <w:rPr>
          <w:rFonts w:cs="宋体"/>
          <w:spacing w:val="4"/>
        </w:rPr>
        <w:t>(</w:t>
      </w:r>
      <w:r>
        <w:rPr>
          <w:rFonts w:cs="宋体"/>
          <w:spacing w:val="4"/>
        </w:rPr>
        <w:t>一</w:t>
      </w:r>
      <w:r>
        <w:rPr>
          <w:rFonts w:cs="宋体"/>
          <w:spacing w:val="4"/>
        </w:rPr>
        <w:t>)</w:t>
      </w:r>
      <w:r>
        <w:rPr>
          <w:rFonts w:cs="宋体"/>
          <w:spacing w:val="4"/>
        </w:rPr>
        <w:t>项的规定，管理专利工作的部门应当事人请求，可以对专利申请权和专利权归属纠纷进行调解。</w:t>
      </w:r>
    </w:p>
    <w:p w:rsidR="00800760" w:rsidRDefault="00235733">
      <w:pPr>
        <w:pStyle w:val="2"/>
        <w:spacing w:before="92"/>
        <w:ind w:firstLineChars="0" w:firstLine="0"/>
        <w:rPr>
          <w:rFonts w:ascii="Times New Roman" w:hAnsi="Times New Roman"/>
        </w:rPr>
      </w:pPr>
      <w:bookmarkStart w:id="6668" w:name="_Toc16139"/>
      <w:bookmarkStart w:id="6669" w:name="_Toc29696"/>
      <w:bookmarkStart w:id="6670" w:name="_Toc6432"/>
      <w:bookmarkStart w:id="6671" w:name="_Toc8087"/>
      <w:bookmarkStart w:id="6672" w:name="_Toc5023"/>
      <w:bookmarkStart w:id="6673" w:name="_Toc18774"/>
      <w:bookmarkStart w:id="6674" w:name="_Toc13985"/>
      <w:bookmarkStart w:id="6675" w:name="_Toc28096"/>
      <w:bookmarkStart w:id="6676" w:name="_Toc14037"/>
      <w:bookmarkStart w:id="6677" w:name="_Toc6378"/>
      <w:bookmarkStart w:id="6678" w:name="_Toc17573"/>
      <w:bookmarkStart w:id="6679" w:name="_Toc8840"/>
      <w:bookmarkStart w:id="6680" w:name="_Toc23611"/>
      <w:bookmarkStart w:id="6681" w:name="_Toc6822"/>
      <w:bookmarkStart w:id="6682" w:name="_Toc17946"/>
      <w:bookmarkStart w:id="6683" w:name="_Toc7938"/>
      <w:bookmarkStart w:id="6684" w:name="_Toc9553"/>
      <w:bookmarkStart w:id="6685" w:name="_Toc8026"/>
      <w:bookmarkStart w:id="6686" w:name="_Toc28940"/>
      <w:bookmarkStart w:id="6687" w:name="_Toc20216"/>
      <w:bookmarkStart w:id="6688" w:name="_Toc24539"/>
      <w:bookmarkStart w:id="6689" w:name="_Toc28102"/>
      <w:bookmarkStart w:id="6690" w:name="_Toc1341"/>
      <w:bookmarkStart w:id="6691" w:name="_Toc25703"/>
      <w:bookmarkStart w:id="6692" w:name="_Toc24610"/>
      <w:bookmarkStart w:id="6693" w:name="_Toc30198"/>
      <w:bookmarkStart w:id="6694" w:name="_Toc6976"/>
      <w:bookmarkStart w:id="6695" w:name="_Toc22002"/>
      <w:bookmarkStart w:id="6696" w:name="_Toc229114478"/>
      <w:bookmarkStart w:id="6697" w:name="_Toc21833"/>
      <w:bookmarkStart w:id="6698" w:name="_Toc7971"/>
      <w:bookmarkStart w:id="6699" w:name="_Toc22863"/>
      <w:bookmarkStart w:id="6700" w:name="_Toc26011"/>
      <w:bookmarkStart w:id="6701" w:name="_Toc29617"/>
      <w:bookmarkStart w:id="6702" w:name="_Toc26185"/>
      <w:bookmarkStart w:id="6703" w:name="_Toc27315"/>
      <w:bookmarkStart w:id="6704" w:name="_Toc8797"/>
      <w:bookmarkStart w:id="6705" w:name="_Toc24538"/>
      <w:bookmarkStart w:id="6706" w:name="_Toc24059"/>
      <w:bookmarkStart w:id="6707" w:name="_Toc16652"/>
      <w:bookmarkStart w:id="6708" w:name="_Toc929"/>
      <w:bookmarkStart w:id="6709" w:name="_Toc13439"/>
      <w:bookmarkStart w:id="6710" w:name="_Toc5832"/>
      <w:bookmarkStart w:id="6711" w:name="_Toc229225574"/>
      <w:r>
        <w:rPr>
          <w:rFonts w:ascii="Times New Roman" w:hAnsi="Times New Roman"/>
        </w:rPr>
        <w:t>第一节</w:t>
      </w:r>
      <w:r>
        <w:rPr>
          <w:rFonts w:ascii="Times New Roman" w:hAnsi="Times New Roman" w:hint="eastAsia"/>
        </w:rPr>
        <w:t xml:space="preserve">　</w:t>
      </w:r>
      <w:r>
        <w:rPr>
          <w:rFonts w:ascii="Times New Roman" w:hAnsi="Times New Roman"/>
        </w:rPr>
        <w:t>职务发明创造引起的专利权属纠纷的行政调解</w:t>
      </w:r>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p>
    <w:p w:rsidR="00800760" w:rsidRDefault="00235733">
      <w:pPr>
        <w:ind w:firstLine="436"/>
        <w:jc w:val="both"/>
        <w:rPr>
          <w:rFonts w:cs="宋体"/>
          <w:spacing w:val="4"/>
        </w:rPr>
      </w:pPr>
      <w:r>
        <w:rPr>
          <w:rFonts w:cs="宋体"/>
          <w:spacing w:val="4"/>
        </w:rPr>
        <w:t>执行本单位的任务或者主要是利用本单位的物质技术条件所完成的发明创造为职务发明创造。职务发明创造申请专利的权利属于该单位；申请被批准后，该单位为专利权人。</w:t>
      </w:r>
    </w:p>
    <w:p w:rsidR="00800760" w:rsidRDefault="00235733">
      <w:pPr>
        <w:ind w:firstLine="436"/>
        <w:jc w:val="both"/>
        <w:rPr>
          <w:rFonts w:cs="宋体"/>
          <w:spacing w:val="4"/>
        </w:rPr>
      </w:pPr>
      <w:r>
        <w:rPr>
          <w:rFonts w:cs="宋体"/>
          <w:spacing w:val="4"/>
        </w:rPr>
        <w:t>利用本单位的物质技术条件所完成的发明创造，单位与发明人或者设计人订有合同，对申请专利的权利和专利权的归属作出约定的，从其约定。</w:t>
      </w:r>
    </w:p>
    <w:p w:rsidR="00800760" w:rsidRDefault="00235733">
      <w:pPr>
        <w:ind w:firstLine="436"/>
        <w:jc w:val="both"/>
        <w:rPr>
          <w:rFonts w:cs="宋体"/>
          <w:spacing w:val="4"/>
        </w:rPr>
      </w:pPr>
      <w:r>
        <w:rPr>
          <w:rFonts w:cs="宋体"/>
          <w:spacing w:val="4"/>
        </w:rPr>
        <w:t>本单位，是指发明人或设计人所在的，能够以自己的名义从事民事活动，独立享有民事权利，独立承担民事责任和义务的组织，既包括法人单位，也包括能够独立从事民事活动的非法人单位，如个人独资企业、个人合伙企业等。本单位包括临时工作单位，以及在作出发明创造之前</w:t>
      </w:r>
      <w:r>
        <w:rPr>
          <w:rFonts w:cs="宋体"/>
          <w:spacing w:val="4"/>
        </w:rPr>
        <w:t>1</w:t>
      </w:r>
      <w:r>
        <w:rPr>
          <w:rFonts w:cs="宋体"/>
          <w:spacing w:val="4"/>
        </w:rPr>
        <w:t>年内发明人或设计人办理退休、调离手续或者劳动、人事关系终止的单位。</w:t>
      </w:r>
    </w:p>
    <w:p w:rsidR="00800760" w:rsidRDefault="00235733">
      <w:pPr>
        <w:ind w:firstLine="436"/>
        <w:jc w:val="both"/>
        <w:rPr>
          <w:rFonts w:cs="宋体"/>
          <w:spacing w:val="4"/>
        </w:rPr>
      </w:pPr>
      <w:r>
        <w:rPr>
          <w:rFonts w:cs="宋体"/>
          <w:spacing w:val="4"/>
        </w:rPr>
        <w:t>本单位的物质技术条件，是指本单位的资金、设备、零部件、原材料或者不对外公开的技术资料等。</w:t>
      </w:r>
    </w:p>
    <w:p w:rsidR="00800760" w:rsidRDefault="00235733">
      <w:pPr>
        <w:pStyle w:val="3"/>
        <w:spacing w:before="240"/>
        <w:ind w:firstLineChars="0" w:firstLine="444"/>
        <w:rPr>
          <w:rFonts w:ascii="Times New Roman" w:hAnsi="Times New Roman"/>
        </w:rPr>
      </w:pPr>
      <w:bookmarkStart w:id="6712" w:name="_Toc6527"/>
      <w:bookmarkStart w:id="6713" w:name="_Toc11082"/>
      <w:bookmarkStart w:id="6714" w:name="_Toc15698"/>
      <w:bookmarkStart w:id="6715" w:name="_Toc17694"/>
      <w:bookmarkStart w:id="6716" w:name="_Toc20470"/>
      <w:bookmarkStart w:id="6717" w:name="_Toc22555"/>
      <w:bookmarkStart w:id="6718" w:name="_Toc13502"/>
      <w:bookmarkStart w:id="6719" w:name="_Toc1779"/>
      <w:bookmarkStart w:id="6720" w:name="_Toc25582"/>
      <w:bookmarkStart w:id="6721" w:name="_Toc27538"/>
      <w:bookmarkStart w:id="6722" w:name="_Toc7789"/>
      <w:bookmarkStart w:id="6723" w:name="_Toc17301"/>
      <w:bookmarkStart w:id="6724" w:name="_Toc13842"/>
      <w:bookmarkStart w:id="6725" w:name="_Toc27437"/>
      <w:bookmarkStart w:id="6726" w:name="_Toc30127"/>
      <w:bookmarkStart w:id="6727" w:name="_Toc31343"/>
      <w:bookmarkStart w:id="6728" w:name="_Toc29153"/>
      <w:bookmarkStart w:id="6729" w:name="_Toc11228"/>
      <w:bookmarkStart w:id="6730" w:name="_Toc31619"/>
      <w:bookmarkStart w:id="6731" w:name="_Toc17463"/>
      <w:bookmarkStart w:id="6732" w:name="_Toc7358"/>
      <w:bookmarkStart w:id="6733" w:name="_Toc25294"/>
      <w:bookmarkStart w:id="6734" w:name="_Toc13997"/>
      <w:bookmarkStart w:id="6735" w:name="_Toc21181"/>
      <w:bookmarkStart w:id="6736" w:name="_Toc2758"/>
      <w:bookmarkStart w:id="6737" w:name="_Toc30907"/>
      <w:bookmarkStart w:id="6738" w:name="_Toc23694"/>
      <w:bookmarkStart w:id="6739" w:name="_Toc32587"/>
      <w:bookmarkStart w:id="6740" w:name="_Toc5192"/>
      <w:bookmarkStart w:id="6741" w:name="_Toc18744"/>
      <w:bookmarkStart w:id="6742" w:name="_Toc1342"/>
      <w:bookmarkStart w:id="6743" w:name="_Toc671"/>
      <w:bookmarkStart w:id="6744" w:name="_Toc26787"/>
      <w:bookmarkStart w:id="6745" w:name="_Toc5828"/>
      <w:bookmarkStart w:id="6746" w:name="_Toc18583"/>
      <w:bookmarkStart w:id="6747" w:name="_Toc4479"/>
      <w:bookmarkStart w:id="6748" w:name="_Toc3359"/>
      <w:bookmarkStart w:id="6749" w:name="_Toc8775"/>
      <w:bookmarkStart w:id="6750" w:name="_Toc31181"/>
      <w:bookmarkStart w:id="6751" w:name="_Toc27416"/>
      <w:bookmarkStart w:id="6752" w:name="_Toc15256"/>
      <w:bookmarkStart w:id="6753" w:name="_Toc31230"/>
      <w:bookmarkStart w:id="6754" w:name="_Toc229114479"/>
      <w:bookmarkStart w:id="6755" w:name="_Toc229225575"/>
      <w:r>
        <w:rPr>
          <w:rFonts w:ascii="Times New Roman" w:hAnsi="Times New Roman" w:hint="eastAsia"/>
        </w:rPr>
        <w:t>一、职务发明创造权属纠纷调解案件的类型</w:t>
      </w:r>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p>
    <w:p w:rsidR="00800760" w:rsidRDefault="00235733">
      <w:pPr>
        <w:ind w:firstLine="436"/>
        <w:jc w:val="both"/>
        <w:rPr>
          <w:rFonts w:cs="宋体"/>
          <w:spacing w:val="4"/>
        </w:rPr>
      </w:pPr>
      <w:r>
        <w:rPr>
          <w:rFonts w:cs="宋体"/>
          <w:spacing w:val="4"/>
        </w:rPr>
        <w:t>因职务发明创造引发的权属纠纷调解请求通常由发明人或设计人或者其所在单位提起。其类型包括：</w:t>
      </w:r>
    </w:p>
    <w:p w:rsidR="00800760" w:rsidRDefault="00235733">
      <w:pPr>
        <w:ind w:firstLine="436"/>
        <w:jc w:val="both"/>
        <w:rPr>
          <w:rFonts w:cs="宋体"/>
          <w:spacing w:val="4"/>
        </w:rPr>
      </w:pPr>
      <w:bookmarkStart w:id="6756" w:name="bookmark179"/>
      <w:bookmarkEnd w:id="6756"/>
      <w:r>
        <w:rPr>
          <w:rFonts w:cs="宋体"/>
          <w:spacing w:val="4"/>
        </w:rPr>
        <w:t xml:space="preserve">1. </w:t>
      </w:r>
      <w:r>
        <w:rPr>
          <w:rFonts w:cs="宋体"/>
          <w:spacing w:val="4"/>
        </w:rPr>
        <w:t>发明人或设计人认为归属于其所在单位的发明创造属于非职务发明创造。</w:t>
      </w:r>
    </w:p>
    <w:p w:rsidR="00800760" w:rsidRDefault="00235733">
      <w:pPr>
        <w:ind w:firstLine="436"/>
        <w:jc w:val="both"/>
        <w:rPr>
          <w:rFonts w:cs="宋体"/>
          <w:spacing w:val="4"/>
        </w:rPr>
      </w:pPr>
      <w:r>
        <w:rPr>
          <w:rFonts w:cs="宋体"/>
          <w:spacing w:val="4"/>
        </w:rPr>
        <w:t xml:space="preserve">2. </w:t>
      </w:r>
      <w:r>
        <w:rPr>
          <w:rFonts w:cs="宋体"/>
          <w:spacing w:val="4"/>
        </w:rPr>
        <w:t>发明人或设计人将研发成果以个人名义申请专利，其所在单位认为该发明创造属于职务发明创造。</w:t>
      </w:r>
    </w:p>
    <w:p w:rsidR="00800760" w:rsidRDefault="00235733">
      <w:pPr>
        <w:ind w:firstLine="436"/>
        <w:jc w:val="both"/>
        <w:rPr>
          <w:rFonts w:cs="宋体"/>
          <w:spacing w:val="4"/>
        </w:rPr>
      </w:pPr>
      <w:r>
        <w:rPr>
          <w:rFonts w:cs="宋体"/>
          <w:spacing w:val="4"/>
        </w:rPr>
        <w:t xml:space="preserve">3. </w:t>
      </w:r>
      <w:r>
        <w:rPr>
          <w:rFonts w:cs="宋体"/>
          <w:spacing w:val="4"/>
        </w:rPr>
        <w:t>发明人或设计人从原单位退休、调离原单位后或者与原单位终止劳动、人事关系后</w:t>
      </w:r>
      <w:r>
        <w:rPr>
          <w:rFonts w:cs="宋体"/>
          <w:spacing w:val="4"/>
        </w:rPr>
        <w:t>1</w:t>
      </w:r>
      <w:r>
        <w:rPr>
          <w:rFonts w:cs="宋体"/>
          <w:spacing w:val="4"/>
        </w:rPr>
        <w:t>年内，其作为发明人或设计人的发明创造由其本人、其他单位或个人提交专利申请，原单位认为该发明创造与发明人或设计人在原单位承担的本职工作或者原单位分配的任务有关联，属于发明人或设计人在原单位的职务发明创造。</w:t>
      </w:r>
    </w:p>
    <w:p w:rsidR="00800760" w:rsidRDefault="00235733">
      <w:pPr>
        <w:ind w:firstLine="436"/>
        <w:jc w:val="both"/>
        <w:rPr>
          <w:rFonts w:cs="宋体"/>
          <w:spacing w:val="4"/>
        </w:rPr>
      </w:pPr>
      <w:r>
        <w:rPr>
          <w:rFonts w:cs="宋体"/>
          <w:spacing w:val="4"/>
        </w:rPr>
        <w:t xml:space="preserve">4. </w:t>
      </w:r>
      <w:r>
        <w:rPr>
          <w:rFonts w:cs="宋体"/>
          <w:spacing w:val="4"/>
        </w:rPr>
        <w:t>主张自己为发明人或设计人的自然人在提起发明人或设计人资格纠纷调解请求的同时，主张所述发明创造为非职务发明创造而提起专利权属纠纷调解请求。</w:t>
      </w:r>
    </w:p>
    <w:p w:rsidR="00800760" w:rsidRDefault="00235733">
      <w:pPr>
        <w:pStyle w:val="3"/>
        <w:spacing w:before="240"/>
        <w:ind w:firstLineChars="0" w:firstLine="444"/>
        <w:rPr>
          <w:rFonts w:ascii="Times New Roman" w:hAnsi="Times New Roman"/>
        </w:rPr>
      </w:pPr>
      <w:bookmarkStart w:id="6757" w:name="_Toc128"/>
      <w:bookmarkStart w:id="6758" w:name="_Toc7576"/>
      <w:bookmarkStart w:id="6759" w:name="_Toc9900"/>
      <w:bookmarkStart w:id="6760" w:name="_Toc21642"/>
      <w:bookmarkStart w:id="6761" w:name="_Toc25796"/>
      <w:bookmarkStart w:id="6762" w:name="_Toc17537"/>
      <w:bookmarkStart w:id="6763" w:name="_Toc18442"/>
      <w:bookmarkStart w:id="6764" w:name="_Toc28820"/>
      <w:bookmarkStart w:id="6765" w:name="_Toc14111"/>
      <w:bookmarkStart w:id="6766" w:name="_Toc29793"/>
      <w:bookmarkStart w:id="6767" w:name="_Toc14845"/>
      <w:bookmarkStart w:id="6768" w:name="_Toc22334"/>
      <w:bookmarkStart w:id="6769" w:name="_Toc23830"/>
      <w:bookmarkStart w:id="6770" w:name="_Toc10517"/>
      <w:bookmarkStart w:id="6771" w:name="_Toc10190"/>
      <w:bookmarkStart w:id="6772" w:name="_Toc29778"/>
      <w:bookmarkStart w:id="6773" w:name="_Toc22210"/>
      <w:bookmarkStart w:id="6774" w:name="_Toc4264"/>
      <w:bookmarkStart w:id="6775" w:name="_Toc21440"/>
      <w:bookmarkStart w:id="6776" w:name="_Toc1099"/>
      <w:bookmarkStart w:id="6777" w:name="_Toc29111"/>
      <w:bookmarkStart w:id="6778" w:name="_Toc18266"/>
      <w:bookmarkStart w:id="6779" w:name="_Toc13050"/>
      <w:bookmarkStart w:id="6780" w:name="_Toc6500"/>
      <w:bookmarkStart w:id="6781" w:name="_Toc18324"/>
      <w:bookmarkStart w:id="6782" w:name="_Toc2121"/>
      <w:bookmarkStart w:id="6783" w:name="_Toc1508"/>
      <w:bookmarkStart w:id="6784" w:name="_Toc32135"/>
      <w:bookmarkStart w:id="6785" w:name="_Toc20064"/>
      <w:bookmarkStart w:id="6786" w:name="_Toc10335"/>
      <w:bookmarkStart w:id="6787" w:name="_Toc15716"/>
      <w:bookmarkStart w:id="6788" w:name="_Toc15858"/>
      <w:bookmarkStart w:id="6789" w:name="_Toc14026"/>
      <w:bookmarkStart w:id="6790" w:name="_Toc22021"/>
      <w:bookmarkStart w:id="6791" w:name="_Toc19402"/>
      <w:bookmarkStart w:id="6792" w:name="_Toc229114480"/>
      <w:bookmarkStart w:id="6793" w:name="_Toc28442"/>
      <w:bookmarkStart w:id="6794" w:name="_Toc25062"/>
      <w:bookmarkStart w:id="6795" w:name="_Toc8515"/>
      <w:bookmarkStart w:id="6796" w:name="_Toc19989"/>
      <w:bookmarkStart w:id="6797" w:name="_Toc27995"/>
      <w:bookmarkStart w:id="6798" w:name="_Toc15703"/>
      <w:bookmarkStart w:id="6799" w:name="_Toc14243"/>
      <w:bookmarkStart w:id="6800" w:name="_Toc229225576"/>
      <w:r>
        <w:rPr>
          <w:rFonts w:ascii="Times New Roman" w:hAnsi="Times New Roman" w:hint="eastAsia"/>
        </w:rPr>
        <w:t>二、职务发明创造的判断</w:t>
      </w:r>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p>
    <w:p w:rsidR="00800760" w:rsidRDefault="00235733">
      <w:pPr>
        <w:ind w:firstLine="436"/>
        <w:jc w:val="both"/>
        <w:rPr>
          <w:rFonts w:cs="宋体"/>
          <w:spacing w:val="4"/>
        </w:rPr>
      </w:pPr>
      <w:r>
        <w:rPr>
          <w:rFonts w:cs="宋体"/>
          <w:spacing w:val="4"/>
        </w:rPr>
        <w:t>下列发明创造属于职务发明创造：</w:t>
      </w:r>
    </w:p>
    <w:p w:rsidR="00800760" w:rsidRDefault="00235733">
      <w:pPr>
        <w:ind w:firstLine="436"/>
        <w:jc w:val="both"/>
        <w:rPr>
          <w:rFonts w:cs="宋体"/>
          <w:spacing w:val="4"/>
        </w:rPr>
      </w:pPr>
      <w:r>
        <w:rPr>
          <w:rFonts w:cs="宋体"/>
          <w:spacing w:val="4"/>
        </w:rPr>
        <w:t xml:space="preserve">1. </w:t>
      </w:r>
      <w:r>
        <w:rPr>
          <w:rFonts w:cs="宋体"/>
          <w:spacing w:val="4"/>
        </w:rPr>
        <w:t>在本职工作中作出的发明创造。</w:t>
      </w:r>
    </w:p>
    <w:p w:rsidR="00800760" w:rsidRDefault="00235733">
      <w:pPr>
        <w:ind w:firstLine="436"/>
        <w:jc w:val="both"/>
        <w:rPr>
          <w:rFonts w:cs="宋体"/>
          <w:spacing w:val="4"/>
        </w:rPr>
      </w:pPr>
      <w:r>
        <w:rPr>
          <w:rFonts w:cs="宋体"/>
          <w:spacing w:val="4"/>
        </w:rPr>
        <w:t xml:space="preserve">2. </w:t>
      </w:r>
      <w:r>
        <w:rPr>
          <w:rFonts w:cs="宋体"/>
          <w:spacing w:val="4"/>
        </w:rPr>
        <w:t>履行本单位</w:t>
      </w:r>
      <w:r>
        <w:rPr>
          <w:rFonts w:cs="宋体" w:hint="eastAsia"/>
          <w:spacing w:val="4"/>
        </w:rPr>
        <w:t>交付的</w:t>
      </w:r>
      <w:r>
        <w:rPr>
          <w:rFonts w:cs="宋体"/>
          <w:spacing w:val="4"/>
        </w:rPr>
        <w:t>本职工作之外的任务所作出的发明创造。</w:t>
      </w:r>
    </w:p>
    <w:p w:rsidR="00800760" w:rsidRDefault="00235733">
      <w:pPr>
        <w:ind w:firstLine="436"/>
        <w:jc w:val="both"/>
        <w:rPr>
          <w:rFonts w:cs="宋体"/>
          <w:spacing w:val="4"/>
        </w:rPr>
      </w:pPr>
      <w:r>
        <w:rPr>
          <w:rFonts w:cs="宋体"/>
          <w:spacing w:val="4"/>
        </w:rPr>
        <w:t xml:space="preserve">3. </w:t>
      </w:r>
      <w:r>
        <w:rPr>
          <w:rFonts w:cs="宋体"/>
          <w:spacing w:val="4"/>
        </w:rPr>
        <w:t>退休、调离原单位后或者劳动、人事关系终止后</w:t>
      </w:r>
      <w:r>
        <w:rPr>
          <w:rFonts w:cs="宋体"/>
          <w:spacing w:val="4"/>
        </w:rPr>
        <w:t>1</w:t>
      </w:r>
      <w:r>
        <w:rPr>
          <w:rFonts w:cs="宋体"/>
          <w:spacing w:val="4"/>
        </w:rPr>
        <w:t>年内作出的，与其在原单位承担的本职工作或者原单位分配的任务有关的发明创造。</w:t>
      </w:r>
    </w:p>
    <w:p w:rsidR="00800760" w:rsidRDefault="00235733">
      <w:pPr>
        <w:ind w:firstLine="436"/>
        <w:jc w:val="both"/>
        <w:rPr>
          <w:rFonts w:cs="宋体"/>
          <w:spacing w:val="4"/>
        </w:rPr>
      </w:pPr>
      <w:r>
        <w:rPr>
          <w:rFonts w:cs="宋体"/>
          <w:spacing w:val="4"/>
        </w:rPr>
        <w:t xml:space="preserve">4. </w:t>
      </w:r>
      <w:r>
        <w:rPr>
          <w:rFonts w:cs="宋体"/>
          <w:spacing w:val="4"/>
        </w:rPr>
        <w:t>主要</w:t>
      </w:r>
      <w:r>
        <w:rPr>
          <w:rFonts w:cs="宋体" w:hint="eastAsia"/>
          <w:spacing w:val="4"/>
        </w:rPr>
        <w:t>是</w:t>
      </w:r>
      <w:r>
        <w:rPr>
          <w:rFonts w:cs="宋体"/>
          <w:spacing w:val="4"/>
        </w:rPr>
        <w:t>利用本单位的资金、设备、零部件、原材料或者不对外公开的技术资料等物质技术条件</w:t>
      </w:r>
      <w:r>
        <w:rPr>
          <w:rFonts w:cs="宋体" w:hint="eastAsia"/>
          <w:spacing w:val="4"/>
        </w:rPr>
        <w:t>所</w:t>
      </w:r>
      <w:r>
        <w:rPr>
          <w:rFonts w:cs="宋体"/>
          <w:spacing w:val="4"/>
        </w:rPr>
        <w:t>完成的发明创造。</w:t>
      </w:r>
    </w:p>
    <w:p w:rsidR="00800760" w:rsidRDefault="00235733">
      <w:pPr>
        <w:ind w:firstLine="436"/>
        <w:jc w:val="both"/>
        <w:rPr>
          <w:rFonts w:cs="宋体"/>
          <w:spacing w:val="4"/>
        </w:rPr>
      </w:pPr>
      <w:r>
        <w:rPr>
          <w:rFonts w:cs="宋体"/>
          <w:spacing w:val="4"/>
        </w:rPr>
        <w:t>判断是否属于职务发明创造，不取决于发明创造是在单位内还是在单位外作出，也不取决于是在工作时间之内还是在工作时间之外的业余时间作出，只要属于执行本单位的任务或者主要是利用了本单位的物质技术条件，均属于职务发明创造。</w:t>
      </w:r>
    </w:p>
    <w:p w:rsidR="00800760" w:rsidRDefault="00235733">
      <w:pPr>
        <w:pStyle w:val="4"/>
        <w:spacing w:before="240"/>
        <w:ind w:firstLineChars="0" w:firstLine="532"/>
        <w:rPr>
          <w:rFonts w:ascii="Times New Roman" w:hAnsi="Times New Roman" w:cs="黑体"/>
          <w:spacing w:val="0"/>
        </w:rPr>
      </w:pPr>
      <w:r>
        <w:rPr>
          <w:rFonts w:ascii="Times New Roman" w:hAnsi="Times New Roman" w:cs="黑体"/>
          <w:spacing w:val="0"/>
        </w:rPr>
        <w:t>(</w:t>
      </w:r>
      <w:r>
        <w:rPr>
          <w:rFonts w:ascii="Times New Roman" w:hAnsi="Times New Roman" w:cs="黑体"/>
          <w:spacing w:val="0"/>
        </w:rPr>
        <w:t>一</w:t>
      </w:r>
      <w:r>
        <w:rPr>
          <w:rFonts w:ascii="Times New Roman" w:hAnsi="Times New Roman" w:cs="黑体"/>
          <w:spacing w:val="0"/>
        </w:rPr>
        <w:t>)</w:t>
      </w:r>
      <w:r>
        <w:rPr>
          <w:rFonts w:ascii="Times New Roman" w:hAnsi="Times New Roman" w:cs="黑体"/>
          <w:spacing w:val="0"/>
        </w:rPr>
        <w:t>在本职工作中作出的发明创造</w:t>
      </w:r>
    </w:p>
    <w:p w:rsidR="00800760" w:rsidRDefault="00235733">
      <w:pPr>
        <w:ind w:firstLine="436"/>
        <w:jc w:val="both"/>
        <w:rPr>
          <w:rFonts w:cs="宋体"/>
          <w:spacing w:val="4"/>
        </w:rPr>
      </w:pPr>
      <w:r>
        <w:rPr>
          <w:rFonts w:cs="宋体"/>
          <w:spacing w:val="4"/>
        </w:rPr>
        <w:t>“</w:t>
      </w:r>
      <w:r>
        <w:rPr>
          <w:rFonts w:cs="宋体"/>
          <w:spacing w:val="4"/>
        </w:rPr>
        <w:t>本职工作</w:t>
      </w:r>
      <w:r>
        <w:rPr>
          <w:rFonts w:cs="宋体"/>
          <w:spacing w:val="4"/>
        </w:rPr>
        <w:t>”</w:t>
      </w:r>
      <w:r>
        <w:rPr>
          <w:rFonts w:cs="宋体"/>
          <w:spacing w:val="4"/>
        </w:rPr>
        <w:t>是指根据劳动合同、聘用合同等确定的工作人员的工作职责。本职工作即发明人或设计人的职务范围，属日常工作职责，既不是指单位的业务范围，也不是指个人所学专业的范围。</w:t>
      </w:r>
    </w:p>
    <w:p w:rsidR="00800760" w:rsidRDefault="00235733">
      <w:pPr>
        <w:ind w:firstLine="436"/>
        <w:jc w:val="both"/>
        <w:rPr>
          <w:rFonts w:cs="宋体"/>
          <w:spacing w:val="4"/>
        </w:rPr>
      </w:pPr>
      <w:r>
        <w:rPr>
          <w:rFonts w:cs="宋体"/>
          <w:spacing w:val="4"/>
        </w:rPr>
        <w:t>本职工作的性质是判断发明创造的作出是否为执行本单位的任务的首要因素。原则上，一个单位研发部门工作人员的本职工作即为从事研究、开发、设计等，他们在执行相应的研究、开发、设计任务中完成的发明创造属于在本职工作中作出的发明创造。如果发明人或设计人的本职工作并非研发，而是其他不涉及发明创造的工作，例如行政管理、秘书、人力资源管理等，其没有从事发明创造的义务，如果其在完成相应职责工作之余作出了与本单位相关的发明创造，则不属于在本职工作中完成的发明创造。</w:t>
      </w:r>
    </w:p>
    <w:p w:rsidR="00800760" w:rsidRDefault="00235733">
      <w:pPr>
        <w:pStyle w:val="af6"/>
        <w:spacing w:before="120"/>
        <w:ind w:firstLine="420"/>
      </w:pPr>
      <w:r>
        <w:rPr>
          <w:rFonts w:hint="eastAsia"/>
        </w:rPr>
        <w:t>【案例</w:t>
      </w:r>
      <w:r>
        <w:t>3-1-1</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是某汽车公司专门从事发动机开发的工程师，其在工作中发明了一种节能发动机，该发明应当属于职务发明创造；</w:t>
      </w:r>
      <w:r>
        <w:rPr>
          <w:rFonts w:eastAsia="楷体_GB2312" w:cs="MingLiU_HKSCS" w:hint="eastAsia"/>
          <w:lang w:val="zh-CN"/>
        </w:rPr>
        <w:t>乙</w:t>
      </w:r>
      <w:r>
        <w:rPr>
          <w:rFonts w:eastAsia="楷体_GB2312" w:cs="MingLiU_HKSCS"/>
          <w:lang w:val="zh-CN"/>
        </w:rPr>
        <w:t>是该汽车公司的修理工，其针对某款汽车油耗较高的缺陷发明了一种节油装置，因为其本职工作是修理汽车而非改进汽车性能，因此该发明不应当属于职务发明创造。</w:t>
      </w:r>
    </w:p>
    <w:p w:rsidR="00800760" w:rsidRDefault="00235733">
      <w:pPr>
        <w:pStyle w:val="af6"/>
        <w:spacing w:before="120"/>
        <w:ind w:firstLine="420"/>
      </w:pPr>
      <w:r>
        <w:rPr>
          <w:rFonts w:hint="eastAsia"/>
        </w:rPr>
        <w:t>【案例</w:t>
      </w:r>
      <w:r>
        <w:t>3-1-2</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为某公司的技术研发人员，其接受该公司的指派研制出一种高速水雾喷头技术。后该公司将该喷头申请专利并获得授权，</w:t>
      </w:r>
      <w:r>
        <w:rPr>
          <w:rFonts w:eastAsia="楷体_GB2312" w:cs="MingLiU_HKSCS" w:hint="eastAsia"/>
          <w:lang w:val="zh-CN"/>
        </w:rPr>
        <w:t>甲</w:t>
      </w:r>
      <w:r>
        <w:rPr>
          <w:rFonts w:eastAsia="楷体_GB2312" w:cs="MingLiU_HKSCS"/>
          <w:lang w:val="zh-CN"/>
        </w:rPr>
        <w:t>是发明人之一。</w:t>
      </w:r>
      <w:r>
        <w:rPr>
          <w:rFonts w:eastAsia="楷体_GB2312" w:cs="MingLiU_HKSCS" w:hint="eastAsia"/>
          <w:lang w:val="zh-CN"/>
        </w:rPr>
        <w:t>甲</w:t>
      </w:r>
      <w:r>
        <w:rPr>
          <w:rFonts w:eastAsia="楷体_GB2312" w:cs="MingLiU_HKSCS"/>
          <w:lang w:val="zh-CN"/>
        </w:rPr>
        <w:t>认为该技术发明不是在工作时间完成，而是其本人利用休息时间在晚上构思完成的，属于非职务发明，专利权应归其个人所有。</w:t>
      </w:r>
    </w:p>
    <w:p w:rsidR="00800760" w:rsidRDefault="00235733">
      <w:pPr>
        <w:keepNext/>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一般而言，单位研发部门的工作人员的本职工作就是从事研究、开发、设计等工作，他们执行相应的研究、开发、设计任务完成的发明创造属于在本职工作中作出的发明创造。这是职务发明创造最典型、最常见的情形。该案中，</w:t>
      </w:r>
      <w:r>
        <w:rPr>
          <w:rFonts w:eastAsia="楷体_GB2312" w:cs="MingLiU_HKSCS" w:hint="eastAsia"/>
          <w:lang w:val="zh-CN"/>
        </w:rPr>
        <w:t>甲</w:t>
      </w:r>
      <w:r>
        <w:rPr>
          <w:rFonts w:eastAsia="楷体_GB2312" w:cs="MingLiU_HKSCS"/>
          <w:lang w:val="zh-CN"/>
        </w:rPr>
        <w:t>的本职工作就是技术研发，涉案专利高速水雾喷头是</w:t>
      </w:r>
      <w:r>
        <w:rPr>
          <w:rFonts w:eastAsia="楷体_GB2312" w:cs="MingLiU_HKSCS" w:hint="eastAsia"/>
          <w:lang w:val="zh-CN"/>
        </w:rPr>
        <w:t>甲</w:t>
      </w:r>
      <w:r>
        <w:rPr>
          <w:rFonts w:eastAsia="楷体_GB2312" w:cs="MingLiU_HKSCS"/>
          <w:lang w:val="zh-CN"/>
        </w:rPr>
        <w:t>接受公司委派的研制任务而开发完成的技术，应当属于</w:t>
      </w:r>
      <w:r>
        <w:rPr>
          <w:rFonts w:eastAsia="楷体_GB2312" w:cs="MingLiU_HKSCS" w:hint="eastAsia"/>
          <w:lang w:val="zh-CN"/>
        </w:rPr>
        <w:t>甲</w:t>
      </w:r>
      <w:r>
        <w:rPr>
          <w:rFonts w:eastAsia="楷体_GB2312" w:cs="MingLiU_HKSCS"/>
          <w:lang w:val="zh-CN"/>
        </w:rPr>
        <w:t>在本职工作中作出的发明创造，属于职务发明创造。</w:t>
      </w:r>
    </w:p>
    <w:p w:rsidR="00800760" w:rsidRDefault="00235733">
      <w:pPr>
        <w:spacing w:line="360" w:lineRule="auto"/>
        <w:rPr>
          <w:rFonts w:eastAsia="楷体" w:cs="楷体"/>
        </w:rPr>
      </w:pPr>
      <w:r>
        <w:rPr>
          <w:rFonts w:eastAsia="楷体_GB2312" w:cs="MingLiU_HKSCS" w:hint="eastAsia"/>
          <w:lang w:val="zh-CN"/>
        </w:rPr>
        <w:t>甲</w:t>
      </w:r>
      <w:r>
        <w:rPr>
          <w:rFonts w:eastAsia="楷体_GB2312" w:cs="MingLiU_HKSCS"/>
          <w:lang w:val="zh-CN"/>
        </w:rPr>
        <w:t>所主张的该设计由其一人在业余时间构思，属于非职务发明的观点，不能成立。不能仅以技术构思是在业余时间完成而当然认定有关发明创造即为非职务发明创造。发明创造是人的智力活动成果，而智力活动与体力劳动最大的不同之处就在于智力活动具有一定的连续性。一个人在上班时间进行的技术构思不会因为下班而完全停止。因此，只要是执行本单位任务或者主要是利用本单位的物质技术条件完成的发明创造，不论其技术构思是在上班时间还是业余时间完成，均应属于职务发明创造。</w:t>
      </w:r>
    </w:p>
    <w:p w:rsidR="00800760" w:rsidRDefault="00235733">
      <w:pPr>
        <w:pStyle w:val="af6"/>
        <w:spacing w:before="120"/>
        <w:ind w:firstLine="420"/>
      </w:pPr>
      <w:r>
        <w:rPr>
          <w:rFonts w:hint="eastAsia"/>
        </w:rPr>
        <w:t>【案例</w:t>
      </w:r>
      <w:r>
        <w:t>3-1-3</w:t>
      </w:r>
      <w:r>
        <w:rPr>
          <w:rFonts w:hint="eastAsia"/>
        </w:rPr>
        <w:t>】</w:t>
      </w:r>
    </w:p>
    <w:p w:rsidR="00800760" w:rsidRDefault="00235733">
      <w:pPr>
        <w:pStyle w:val="a5"/>
        <w:spacing w:line="319" w:lineRule="auto"/>
      </w:pPr>
      <w:r>
        <w:rPr>
          <w:rFonts w:eastAsia="楷体_GB2312" w:cs="MingLiU_HKSCS"/>
          <w:lang w:val="zh-CN"/>
        </w:rPr>
        <w:t>某工具厂的生产经营范围为汽车修理专用可调铰刀、板牙架等。</w:t>
      </w:r>
      <w:r>
        <w:rPr>
          <w:rFonts w:eastAsia="楷体_GB2312" w:cs="MingLiU_HKSCS" w:hint="eastAsia"/>
          <w:lang w:val="zh-CN"/>
        </w:rPr>
        <w:t>甲</w:t>
      </w:r>
      <w:r>
        <w:rPr>
          <w:rFonts w:eastAsia="楷体_GB2312" w:cs="MingLiU_HKSCS"/>
          <w:lang w:val="zh-CN"/>
        </w:rPr>
        <w:t>在任该厂厂长期间，以个人名义申请了名为</w:t>
      </w:r>
      <w:r>
        <w:rPr>
          <w:rFonts w:eastAsia="楷体_GB2312" w:cs="MingLiU_HKSCS"/>
          <w:lang w:val="zh-CN"/>
        </w:rPr>
        <w:t>“</w:t>
      </w:r>
      <w:r>
        <w:rPr>
          <w:rFonts w:eastAsia="楷体_GB2312" w:cs="MingLiU_HKSCS"/>
          <w:lang w:val="zh-CN"/>
        </w:rPr>
        <w:t>气门座圈拉器</w:t>
      </w:r>
      <w:r>
        <w:rPr>
          <w:rFonts w:eastAsia="楷体_GB2312" w:cs="MingLiU_HKSCS"/>
          <w:lang w:val="zh-CN"/>
        </w:rPr>
        <w:t>”</w:t>
      </w:r>
      <w:r>
        <w:rPr>
          <w:rFonts w:eastAsia="楷体_GB2312" w:cs="MingLiU_HKSCS"/>
          <w:lang w:val="zh-CN"/>
        </w:rPr>
        <w:t>的实用新型专利并被授予专利权。</w:t>
      </w:r>
      <w:r>
        <w:rPr>
          <w:rFonts w:eastAsia="楷体_GB2312" w:cs="MingLiU_HKSCS" w:hint="eastAsia"/>
          <w:lang w:val="zh-CN"/>
        </w:rPr>
        <w:t>甲</w:t>
      </w:r>
      <w:r>
        <w:rPr>
          <w:rFonts w:eastAsia="楷体_GB2312" w:cs="MingLiU_HKSCS"/>
          <w:lang w:val="zh-CN"/>
        </w:rPr>
        <w:t>在获得该专利权后，将该专利技术无偿投</w:t>
      </w:r>
      <w:r>
        <w:rPr>
          <w:rFonts w:eastAsia="楷体_GB2312" w:cs="MingLiU_HKSCS" w:hint="eastAsia"/>
          <w:lang w:val="zh-CN"/>
        </w:rPr>
        <w:t>入</w:t>
      </w:r>
      <w:r>
        <w:rPr>
          <w:rFonts w:eastAsia="楷体_GB2312" w:cs="MingLiU_HKSCS"/>
          <w:lang w:val="zh-CN"/>
        </w:rPr>
        <w:t>到该工具厂的生产中。</w:t>
      </w:r>
      <w:r>
        <w:rPr>
          <w:rFonts w:eastAsia="楷体_GB2312" w:cs="MingLiU_HKSCS" w:hint="eastAsia"/>
          <w:lang w:val="zh-CN"/>
        </w:rPr>
        <w:t>甲</w:t>
      </w:r>
      <w:r>
        <w:rPr>
          <w:rFonts w:eastAsia="楷体_GB2312" w:cs="MingLiU_HKSCS"/>
          <w:lang w:val="zh-CN"/>
        </w:rPr>
        <w:t>退休后，双方对该专利权的归属产生纠纷。</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bookmarkStart w:id="6801" w:name="bookmark180"/>
      <w:bookmarkEnd w:id="6801"/>
      <w:r>
        <w:rPr>
          <w:rFonts w:eastAsia="楷体_GB2312" w:cs="MingLiU_HKSCS"/>
          <w:lang w:val="zh-CN"/>
        </w:rPr>
        <w:t>厂长具有作出与本厂业务有关的非职务发明创造的权利。但是，厂长是企业的法定代表人，全权负责企业各方面的工作，厂长的本职工作一般不能理解为仅仅是行政领导，而与业务和技术问题无关。在认定厂长的发明创造是否为执行本单位的任务时，应着重从两个方面予以审查：一是发明创造技术方案的完成时间是否在其任职期内，二是该发明创造是否在该企业的生产经营范围之内。</w:t>
      </w:r>
    </w:p>
    <w:p w:rsidR="00800760" w:rsidRDefault="00235733">
      <w:pPr>
        <w:spacing w:line="360" w:lineRule="auto"/>
        <w:rPr>
          <w:rFonts w:eastAsia="楷体_GB2312" w:cs="MingLiU_HKSCS"/>
          <w:lang w:val="zh-CN"/>
        </w:rPr>
      </w:pPr>
      <w:r>
        <w:rPr>
          <w:rFonts w:eastAsia="楷体_GB2312" w:cs="MingLiU_HKSCS"/>
          <w:lang w:val="zh-CN"/>
        </w:rPr>
        <w:t>该案中，涉案专利的技术方案为</w:t>
      </w:r>
      <w:r>
        <w:rPr>
          <w:rFonts w:eastAsia="楷体_GB2312" w:cs="MingLiU_HKSCS" w:hint="eastAsia"/>
          <w:lang w:val="zh-CN"/>
        </w:rPr>
        <w:t>甲</w:t>
      </w:r>
      <w:r>
        <w:rPr>
          <w:rFonts w:eastAsia="楷体_GB2312" w:cs="MingLiU_HKSCS"/>
          <w:lang w:val="zh-CN"/>
        </w:rPr>
        <w:t>在其任厂长期间完成的，且涉案专利产品是在该工具厂原有产品基础上的完善和改进。因不断研制开发这类新产品与工具厂的生存息息相关，因此涉案专利技术属于该工具厂的生产经营范围。该工具厂为小规模企业，其内部对新产品研制开发工作并无明确具体的分工，也无专职的新产品研制开发部门或人员，而</w:t>
      </w:r>
      <w:r>
        <w:rPr>
          <w:rFonts w:eastAsia="楷体_GB2312" w:cs="MingLiU_HKSCS" w:hint="eastAsia"/>
          <w:lang w:val="zh-CN"/>
        </w:rPr>
        <w:t>甲</w:t>
      </w:r>
      <w:r>
        <w:rPr>
          <w:rFonts w:eastAsia="楷体_GB2312" w:cs="MingLiU_HKSCS"/>
          <w:lang w:val="zh-CN"/>
        </w:rPr>
        <w:t>任该工具厂厂长时对该厂的管理和技术开发工作均承担着主要职责。因此，</w:t>
      </w:r>
      <w:r>
        <w:rPr>
          <w:rFonts w:eastAsia="楷体_GB2312" w:cs="MingLiU_HKSCS" w:hint="eastAsia"/>
          <w:lang w:val="zh-CN"/>
        </w:rPr>
        <w:t>甲</w:t>
      </w:r>
      <w:r>
        <w:rPr>
          <w:rFonts w:eastAsia="楷体_GB2312" w:cs="MingLiU_HKSCS"/>
          <w:lang w:val="zh-CN"/>
        </w:rPr>
        <w:t>对涉案专利技术的研制，属于执行本单位的任务，涉案专利应为职务发明创造，专利申请权和专利权均应属于该工具厂。</w:t>
      </w:r>
    </w:p>
    <w:p w:rsidR="00800760" w:rsidRDefault="00235733">
      <w:pPr>
        <w:spacing w:line="360" w:lineRule="auto"/>
        <w:rPr>
          <w:rFonts w:eastAsia="楷体_GB2312" w:cs="MingLiU_HKSCS"/>
          <w:lang w:val="zh-CN"/>
        </w:rPr>
      </w:pPr>
      <w:r>
        <w:rPr>
          <w:rFonts w:eastAsia="楷体_GB2312" w:cs="MingLiU_HKSCS"/>
          <w:lang w:val="zh-CN"/>
        </w:rPr>
        <w:t>假定涉案专利技术方案是</w:t>
      </w:r>
      <w:r>
        <w:rPr>
          <w:rFonts w:eastAsia="楷体_GB2312" w:cs="MingLiU_HKSCS" w:hint="eastAsia"/>
          <w:lang w:val="zh-CN"/>
        </w:rPr>
        <w:t>甲</w:t>
      </w:r>
      <w:r>
        <w:rPr>
          <w:rFonts w:eastAsia="楷体_GB2312" w:cs="MingLiU_HKSCS"/>
          <w:lang w:val="zh-CN"/>
        </w:rPr>
        <w:t>在其任厂长之前完成的，则需要确定完成该专利技术方案时</w:t>
      </w:r>
      <w:r>
        <w:rPr>
          <w:rFonts w:eastAsia="楷体_GB2312" w:cs="MingLiU_HKSCS" w:hint="eastAsia"/>
          <w:lang w:val="zh-CN"/>
        </w:rPr>
        <w:t>甲</w:t>
      </w:r>
      <w:r>
        <w:rPr>
          <w:rFonts w:eastAsia="楷体_GB2312" w:cs="MingLiU_HKSCS"/>
          <w:lang w:val="zh-CN"/>
        </w:rPr>
        <w:t>的本职工作是什么。如果在完成该专利技术方案时</w:t>
      </w:r>
      <w:r>
        <w:rPr>
          <w:rFonts w:eastAsia="楷体_GB2312" w:cs="MingLiU_HKSCS" w:hint="eastAsia"/>
          <w:lang w:val="zh-CN"/>
        </w:rPr>
        <w:t>甲</w:t>
      </w:r>
      <w:r>
        <w:rPr>
          <w:rFonts w:eastAsia="楷体_GB2312" w:cs="MingLiU_HKSCS"/>
          <w:lang w:val="zh-CN"/>
        </w:rPr>
        <w:t>根本不在该工具厂任职，则</w:t>
      </w:r>
      <w:r>
        <w:rPr>
          <w:rFonts w:eastAsia="楷体_GB2312" w:cs="MingLiU_HKSCS" w:hint="eastAsia"/>
          <w:lang w:val="zh-CN"/>
        </w:rPr>
        <w:t>甲</w:t>
      </w:r>
      <w:r>
        <w:rPr>
          <w:rFonts w:eastAsia="楷体_GB2312" w:cs="MingLiU_HKSCS"/>
          <w:lang w:val="zh-CN"/>
        </w:rPr>
        <w:t>对该专利技术方案的研发不可能属于</w:t>
      </w:r>
      <w:r>
        <w:rPr>
          <w:rFonts w:eastAsia="楷体_GB2312" w:cs="MingLiU_HKSCS"/>
          <w:lang w:val="zh-CN"/>
        </w:rPr>
        <w:t>“</w:t>
      </w:r>
      <w:r>
        <w:rPr>
          <w:rFonts w:eastAsia="楷体_GB2312" w:cs="MingLiU_HKSCS"/>
          <w:lang w:val="zh-CN"/>
        </w:rPr>
        <w:t>本职工作中的发明创造</w:t>
      </w:r>
      <w:r>
        <w:rPr>
          <w:rFonts w:eastAsia="楷体_GB2312" w:cs="MingLiU_HKSCS"/>
          <w:lang w:val="zh-CN"/>
        </w:rPr>
        <w:t>”</w:t>
      </w:r>
      <w:r>
        <w:rPr>
          <w:rFonts w:eastAsia="楷体_GB2312" w:cs="MingLiU_HKSCS" w:hint="eastAsia"/>
          <w:lang w:val="zh-CN"/>
        </w:rPr>
        <w:t>；</w:t>
      </w:r>
      <w:r>
        <w:rPr>
          <w:rFonts w:eastAsia="楷体_GB2312" w:cs="MingLiU_HKSCS"/>
          <w:lang w:val="zh-CN"/>
        </w:rPr>
        <w:t>如果其在任厂长之前负责或者参与该厂的技术开发，则</w:t>
      </w:r>
      <w:r>
        <w:rPr>
          <w:rFonts w:eastAsia="楷体_GB2312" w:cs="MingLiU_HKSCS" w:hint="eastAsia"/>
          <w:lang w:val="zh-CN"/>
        </w:rPr>
        <w:t>甲</w:t>
      </w:r>
      <w:r>
        <w:rPr>
          <w:rFonts w:eastAsia="楷体_GB2312" w:cs="MingLiU_HKSCS"/>
          <w:lang w:val="zh-CN"/>
        </w:rPr>
        <w:t>对该专利技术方案的研发仍属于</w:t>
      </w:r>
      <w:r>
        <w:rPr>
          <w:rFonts w:eastAsia="楷体_GB2312" w:cs="MingLiU_HKSCS"/>
          <w:lang w:val="zh-CN"/>
        </w:rPr>
        <w:t>“</w:t>
      </w:r>
      <w:r>
        <w:rPr>
          <w:rFonts w:eastAsia="楷体_GB2312" w:cs="MingLiU_HKSCS"/>
          <w:lang w:val="zh-CN"/>
        </w:rPr>
        <w:t>本职工作中的发明创造</w:t>
      </w:r>
      <w:r>
        <w:rPr>
          <w:rFonts w:eastAsia="楷体_GB2312" w:cs="MingLiU_HKSCS"/>
          <w:lang w:val="zh-CN"/>
        </w:rPr>
        <w:t>”</w:t>
      </w:r>
      <w:r>
        <w:rPr>
          <w:rFonts w:eastAsia="楷体_GB2312" w:cs="MingLiU_HKSCS" w:hint="eastAsia"/>
          <w:lang w:val="zh-CN"/>
        </w:rPr>
        <w:t>；</w:t>
      </w:r>
      <w:r>
        <w:rPr>
          <w:rFonts w:eastAsia="楷体_GB2312" w:cs="MingLiU_HKSCS"/>
          <w:lang w:val="zh-CN"/>
        </w:rPr>
        <w:t>如果在完成该专利技术方案时</w:t>
      </w:r>
      <w:r>
        <w:rPr>
          <w:rFonts w:eastAsia="楷体_GB2312" w:cs="MingLiU_HKSCS" w:hint="eastAsia"/>
          <w:lang w:val="zh-CN"/>
        </w:rPr>
        <w:t>甲</w:t>
      </w:r>
      <w:r>
        <w:rPr>
          <w:rFonts w:eastAsia="楷体_GB2312" w:cs="MingLiU_HKSCS"/>
          <w:lang w:val="zh-CN"/>
        </w:rPr>
        <w:t>并不负责或者参与该厂的技术开发，则</w:t>
      </w:r>
      <w:r>
        <w:rPr>
          <w:rFonts w:eastAsia="楷体_GB2312" w:cs="MingLiU_HKSCS" w:hint="eastAsia"/>
          <w:lang w:val="zh-CN"/>
        </w:rPr>
        <w:t>甲</w:t>
      </w:r>
      <w:r>
        <w:rPr>
          <w:rFonts w:eastAsia="楷体_GB2312" w:cs="MingLiU_HKSCS"/>
          <w:lang w:val="zh-CN"/>
        </w:rPr>
        <w:t>对该专利技术方案的研发不属于</w:t>
      </w:r>
      <w:r>
        <w:rPr>
          <w:rFonts w:eastAsia="楷体_GB2312" w:cs="MingLiU_HKSCS"/>
          <w:lang w:val="zh-CN"/>
        </w:rPr>
        <w:t>“</w:t>
      </w:r>
      <w:r>
        <w:rPr>
          <w:rFonts w:eastAsia="楷体_GB2312" w:cs="MingLiU_HKSCS"/>
          <w:lang w:val="zh-CN"/>
        </w:rPr>
        <w:t>本职工作中的发明创造</w:t>
      </w:r>
      <w:r>
        <w:rPr>
          <w:rFonts w:eastAsia="楷体_GB2312" w:cs="MingLiU_HKSCS"/>
          <w:lang w:val="zh-CN"/>
        </w:rPr>
        <w:t>”</w:t>
      </w:r>
      <w:r>
        <w:rPr>
          <w:rFonts w:eastAsia="楷体_GB2312" w:cs="MingLiU_HKSCS"/>
          <w:lang w:val="zh-CN"/>
        </w:rPr>
        <w:t>。至于该专利是否属于职务发明创造，还要从其是否在履行单位在本职工作之外分配的任务，是否主要利用了本单位的资金、设备、零部件、原材料或者不对外公开的技术资料等物质技术条件等方面进行考量。</w:t>
      </w:r>
    </w:p>
    <w:p w:rsidR="00800760" w:rsidRDefault="00235733">
      <w:pPr>
        <w:pStyle w:val="4"/>
        <w:spacing w:before="240"/>
        <w:ind w:firstLineChars="0" w:firstLine="532"/>
        <w:rPr>
          <w:rFonts w:ascii="Times New Roman" w:hAnsi="Times New Roman" w:cs="黑体"/>
          <w:spacing w:val="0"/>
        </w:rPr>
      </w:pPr>
      <w:r>
        <w:rPr>
          <w:rFonts w:ascii="Times New Roman" w:hAnsi="Times New Roman" w:cs="黑体"/>
          <w:spacing w:val="0"/>
        </w:rPr>
        <w:t>(</w:t>
      </w:r>
      <w:r>
        <w:rPr>
          <w:rFonts w:ascii="Times New Roman" w:hAnsi="Times New Roman" w:cs="黑体"/>
          <w:spacing w:val="0"/>
        </w:rPr>
        <w:t>二</w:t>
      </w:r>
      <w:r>
        <w:rPr>
          <w:rFonts w:ascii="Times New Roman" w:hAnsi="Times New Roman" w:cs="黑体"/>
          <w:spacing w:val="0"/>
        </w:rPr>
        <w:t>)</w:t>
      </w:r>
      <w:r>
        <w:rPr>
          <w:rFonts w:ascii="Times New Roman" w:hAnsi="Times New Roman" w:cs="黑体"/>
          <w:spacing w:val="0"/>
        </w:rPr>
        <w:t>履行本单位交付的其他任务作出的发明创造</w:t>
      </w:r>
    </w:p>
    <w:p w:rsidR="00800760" w:rsidRDefault="00235733">
      <w:pPr>
        <w:ind w:firstLine="436"/>
        <w:jc w:val="both"/>
        <w:rPr>
          <w:rFonts w:cs="宋体"/>
          <w:spacing w:val="4"/>
        </w:rPr>
      </w:pPr>
      <w:r>
        <w:rPr>
          <w:rFonts w:cs="宋体"/>
          <w:spacing w:val="4"/>
        </w:rPr>
        <w:t>履行本单位交付的其他任务过程中完成的发明创造，属于职务发明创造。</w:t>
      </w:r>
    </w:p>
    <w:p w:rsidR="00800760" w:rsidRDefault="00235733">
      <w:pPr>
        <w:ind w:firstLine="436"/>
        <w:jc w:val="both"/>
        <w:rPr>
          <w:rFonts w:cs="宋体"/>
          <w:spacing w:val="4"/>
        </w:rPr>
      </w:pPr>
      <w:r>
        <w:rPr>
          <w:rFonts w:cs="宋体"/>
          <w:spacing w:val="4"/>
        </w:rPr>
        <w:t>认定一项任务是否为单位分配给工作人员的在其本职工作之外的其他任务，应当有明确、具体的依据，包括单位与工作人员之间签订的协议、单位有关部门发出的书面通知、办理的有关手续等。</w:t>
      </w:r>
    </w:p>
    <w:p w:rsidR="00800760" w:rsidRDefault="00235733">
      <w:pPr>
        <w:pStyle w:val="af6"/>
        <w:spacing w:before="120"/>
        <w:ind w:firstLine="420"/>
      </w:pPr>
      <w:r>
        <w:rPr>
          <w:rFonts w:hint="eastAsia"/>
        </w:rPr>
        <w:t>【案例</w:t>
      </w:r>
      <w:r>
        <w:t>3-1-4</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是某果树研究所的研究人员，其本职工作是果树栽培技术研究。</w:t>
      </w:r>
      <w:r>
        <w:rPr>
          <w:rFonts w:eastAsia="楷体_GB2312" w:cs="MingLiU_HKSCS"/>
          <w:lang w:val="zh-CN"/>
        </w:rPr>
        <w:t>1984</w:t>
      </w:r>
      <w:r>
        <w:rPr>
          <w:rFonts w:eastAsia="楷体_GB2312" w:cs="MingLiU_HKSCS"/>
          <w:lang w:val="zh-CN"/>
        </w:rPr>
        <w:t>年，</w:t>
      </w:r>
      <w:r>
        <w:rPr>
          <w:rFonts w:eastAsia="楷体_GB2312" w:cs="MingLiU_HKSCS" w:hint="eastAsia"/>
          <w:lang w:val="zh-CN"/>
        </w:rPr>
        <w:t>甲</w:t>
      </w:r>
      <w:r>
        <w:rPr>
          <w:rFonts w:eastAsia="楷体_GB2312" w:cs="MingLiU_HKSCS"/>
          <w:lang w:val="zh-CN"/>
        </w:rPr>
        <w:t>与其他三人共同受该果树研究所委派，成立课题组进行长效复合肥研制，四人均由果树研究所人事部门通过便函等手续调到课题组。</w:t>
      </w:r>
      <w:r>
        <w:rPr>
          <w:rFonts w:eastAsia="楷体_GB2312" w:cs="MingLiU_HKSCS"/>
          <w:lang w:val="zh-CN"/>
        </w:rPr>
        <w:t>1989</w:t>
      </w:r>
      <w:r>
        <w:rPr>
          <w:rFonts w:eastAsia="楷体_GB2312" w:cs="MingLiU_HKSCS"/>
          <w:lang w:val="zh-CN"/>
        </w:rPr>
        <w:t>年，该果树研究所申请了</w:t>
      </w:r>
      <w:r>
        <w:rPr>
          <w:rFonts w:eastAsia="楷体_GB2312" w:cs="MingLiU_HKSCS"/>
          <w:lang w:val="zh-CN"/>
        </w:rPr>
        <w:t>“</w:t>
      </w:r>
      <w:r>
        <w:rPr>
          <w:rFonts w:eastAsia="楷体_GB2312" w:cs="MingLiU_HKSCS"/>
          <w:lang w:val="zh-CN"/>
        </w:rPr>
        <w:t>长效复合肥</w:t>
      </w:r>
      <w:r>
        <w:rPr>
          <w:rFonts w:eastAsia="楷体_GB2312" w:cs="MingLiU_HKSCS"/>
          <w:lang w:val="zh-CN"/>
        </w:rPr>
        <w:t>”</w:t>
      </w:r>
      <w:r>
        <w:rPr>
          <w:rFonts w:eastAsia="楷体_GB2312" w:cs="MingLiU_HKSCS"/>
          <w:lang w:val="zh-CN"/>
        </w:rPr>
        <w:t>发明专利并获得授权，</w:t>
      </w:r>
      <w:r>
        <w:rPr>
          <w:rFonts w:eastAsia="楷体_GB2312" w:cs="MingLiU_HKSCS" w:hint="eastAsia"/>
          <w:lang w:val="zh-CN"/>
        </w:rPr>
        <w:t>甲</w:t>
      </w:r>
      <w:r>
        <w:rPr>
          <w:rFonts w:eastAsia="楷体_GB2312" w:cs="MingLiU_HKSCS"/>
          <w:lang w:val="zh-CN"/>
        </w:rPr>
        <w:t>等为发明人。</w:t>
      </w:r>
      <w:r>
        <w:rPr>
          <w:rFonts w:eastAsia="楷体_GB2312" w:cs="MingLiU_HKSCS" w:hint="eastAsia"/>
          <w:lang w:val="zh-CN"/>
        </w:rPr>
        <w:t>甲</w:t>
      </w:r>
      <w:r>
        <w:rPr>
          <w:rFonts w:eastAsia="楷体_GB2312" w:cs="MingLiU_HKSCS"/>
          <w:lang w:val="zh-CN"/>
        </w:rPr>
        <w:t>认为该技术方案不是其本职工作，是其与他人合作完成，专利权应归其四人所有。</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如果单位能够提供明确、具体的证据用以证明一项任务是单位分配给工作人员的其本职工作之外的其他任务，例如单位与工作人员之间签订的协议、单位有关部门发出的有关书面通知、办理的有关手续等，则应当认定履行该任务所作出的发明创造是职务发明创造。</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lang w:val="zh-CN"/>
        </w:rPr>
        <w:t>“</w:t>
      </w:r>
      <w:r>
        <w:rPr>
          <w:rFonts w:eastAsia="楷体_GB2312" w:cs="MingLiU_HKSCS"/>
          <w:lang w:val="zh-CN"/>
        </w:rPr>
        <w:t>长效复合肥</w:t>
      </w:r>
      <w:r>
        <w:rPr>
          <w:rFonts w:eastAsia="楷体_GB2312" w:cs="MingLiU_HKSCS"/>
          <w:lang w:val="zh-CN"/>
        </w:rPr>
        <w:t>”</w:t>
      </w:r>
      <w:r>
        <w:rPr>
          <w:rFonts w:eastAsia="楷体_GB2312" w:cs="MingLiU_HKSCS"/>
          <w:lang w:val="zh-CN"/>
        </w:rPr>
        <w:t>发明专利是</w:t>
      </w:r>
      <w:r>
        <w:rPr>
          <w:rFonts w:eastAsia="楷体_GB2312" w:cs="MingLiU_HKSCS" w:hint="eastAsia"/>
          <w:lang w:val="zh-CN"/>
        </w:rPr>
        <w:t>甲</w:t>
      </w:r>
      <w:r>
        <w:rPr>
          <w:rFonts w:eastAsia="楷体_GB2312" w:cs="MingLiU_HKSCS"/>
          <w:lang w:val="zh-CN"/>
        </w:rPr>
        <w:t>在果树研究所任职期间完成的。</w:t>
      </w:r>
      <w:r>
        <w:rPr>
          <w:rFonts w:eastAsia="楷体_GB2312" w:cs="MingLiU_HKSCS" w:hint="eastAsia"/>
          <w:lang w:val="zh-CN"/>
        </w:rPr>
        <w:t>甲</w:t>
      </w:r>
      <w:r>
        <w:rPr>
          <w:rFonts w:eastAsia="楷体_GB2312" w:cs="MingLiU_HKSCS"/>
          <w:lang w:val="zh-CN"/>
        </w:rPr>
        <w:t>的本职工作是果树栽培技术研究，长效复合肥研制通常不被认为是</w:t>
      </w:r>
      <w:r>
        <w:rPr>
          <w:rFonts w:eastAsia="楷体_GB2312" w:cs="MingLiU_HKSCS" w:hint="eastAsia"/>
          <w:lang w:val="zh-CN"/>
        </w:rPr>
        <w:t>甲</w:t>
      </w:r>
      <w:r>
        <w:rPr>
          <w:rFonts w:eastAsia="楷体_GB2312" w:cs="MingLiU_HKSCS"/>
          <w:lang w:val="zh-CN"/>
        </w:rPr>
        <w:t>的本职工作。要证明该项发明创造属于</w:t>
      </w:r>
      <w:r>
        <w:rPr>
          <w:rFonts w:eastAsia="楷体_GB2312" w:cs="MingLiU_HKSCS" w:hint="eastAsia"/>
          <w:lang w:val="zh-CN"/>
        </w:rPr>
        <w:t>甲</w:t>
      </w:r>
      <w:r>
        <w:rPr>
          <w:rFonts w:eastAsia="楷体_GB2312" w:cs="MingLiU_HKSCS"/>
          <w:lang w:val="zh-CN"/>
        </w:rPr>
        <w:t>的职务发明，果树研究所负有更重的举证责任。其要么举证证明长效复合肥的研制属于单位交付给</w:t>
      </w:r>
      <w:r>
        <w:rPr>
          <w:rFonts w:eastAsia="楷体_GB2312" w:cs="MingLiU_HKSCS" w:hint="eastAsia"/>
          <w:lang w:val="zh-CN"/>
        </w:rPr>
        <w:t>甲</w:t>
      </w:r>
      <w:r>
        <w:rPr>
          <w:rFonts w:eastAsia="楷体_GB2312" w:cs="MingLiU_HKSCS"/>
          <w:lang w:val="zh-CN"/>
        </w:rPr>
        <w:t>的除本职工作之外的其他任务，要么证明</w:t>
      </w:r>
      <w:r>
        <w:rPr>
          <w:rFonts w:eastAsia="楷体_GB2312" w:cs="MingLiU_HKSCS" w:hint="eastAsia"/>
          <w:lang w:val="zh-CN"/>
        </w:rPr>
        <w:t>甲</w:t>
      </w:r>
      <w:r>
        <w:rPr>
          <w:rFonts w:eastAsia="楷体_GB2312" w:cs="MingLiU_HKSCS"/>
          <w:lang w:val="zh-CN"/>
        </w:rPr>
        <w:t>在完成该项发明创造时主要利用了单位的物质技术条件。该案中，根据果树研究所提供的人事部门出具的便函，可以证明</w:t>
      </w:r>
      <w:r>
        <w:rPr>
          <w:rFonts w:eastAsia="楷体_GB2312" w:cs="MingLiU_HKSCS" w:hint="eastAsia"/>
          <w:lang w:val="zh-CN"/>
        </w:rPr>
        <w:t>甲</w:t>
      </w:r>
      <w:r>
        <w:rPr>
          <w:rFonts w:eastAsia="楷体_GB2312" w:cs="MingLiU_HKSCS"/>
          <w:lang w:val="zh-CN"/>
        </w:rPr>
        <w:t>从事该项工作完全是单位的安排和要求。虽然</w:t>
      </w:r>
      <w:r>
        <w:rPr>
          <w:rFonts w:eastAsia="楷体_GB2312" w:cs="MingLiU_HKSCS" w:hint="eastAsia"/>
          <w:lang w:val="zh-CN"/>
        </w:rPr>
        <w:t>甲</w:t>
      </w:r>
      <w:r>
        <w:rPr>
          <w:rFonts w:eastAsia="楷体_GB2312" w:cs="MingLiU_HKSCS"/>
          <w:lang w:val="zh-CN"/>
        </w:rPr>
        <w:t>作为发明人，对长效复合肥专利的研制作出了创造性贡献，但长效复合肥研制的申请立项、试验、推广等都</w:t>
      </w:r>
      <w:r>
        <w:rPr>
          <w:rFonts w:eastAsia="楷体_GB2312" w:cs="MingLiU_HKSCS" w:hint="eastAsia"/>
          <w:lang w:val="zh-CN"/>
        </w:rPr>
        <w:t>是以</w:t>
      </w:r>
      <w:r>
        <w:rPr>
          <w:rFonts w:eastAsia="楷体_GB2312" w:cs="MingLiU_HKSCS"/>
          <w:lang w:val="zh-CN"/>
        </w:rPr>
        <w:t>果树研究所的名义进行的。</w:t>
      </w:r>
      <w:r>
        <w:rPr>
          <w:rFonts w:eastAsia="楷体_GB2312" w:cs="MingLiU_HKSCS" w:hint="eastAsia"/>
          <w:lang w:val="zh-CN"/>
        </w:rPr>
        <w:t>甲</w:t>
      </w:r>
      <w:r>
        <w:rPr>
          <w:rFonts w:eastAsia="楷体_GB2312" w:cs="MingLiU_HKSCS"/>
          <w:lang w:val="zh-CN"/>
        </w:rPr>
        <w:t>作为长效复合肥研究项目</w:t>
      </w:r>
      <w:r>
        <w:rPr>
          <w:rFonts w:eastAsia="楷体_GB2312" w:cs="MingLiU_HKSCS" w:hint="eastAsia"/>
          <w:lang w:val="zh-CN"/>
        </w:rPr>
        <w:t>组成员</w:t>
      </w:r>
      <w:r>
        <w:rPr>
          <w:rFonts w:eastAsia="楷体_GB2312" w:cs="MingLiU_HKSCS"/>
          <w:lang w:val="zh-CN"/>
        </w:rPr>
        <w:t>主持研发，完全是为了完成果树研究所交付的工作任务。其据此作出的发明创造属于职务发明创造，专利权应当归属果树研究所。</w:t>
      </w:r>
    </w:p>
    <w:p w:rsidR="00800760" w:rsidRDefault="00235733">
      <w:pPr>
        <w:pStyle w:val="4"/>
        <w:spacing w:before="240"/>
        <w:ind w:firstLineChars="0" w:firstLine="532"/>
        <w:rPr>
          <w:rFonts w:ascii="Times New Roman" w:hAnsi="Times New Roman" w:cs="黑体"/>
          <w:spacing w:val="0"/>
        </w:rPr>
      </w:pPr>
      <w:bookmarkStart w:id="6802" w:name="_Toc32589"/>
      <w:bookmarkStart w:id="6803" w:name="_Toc14576"/>
      <w:bookmarkStart w:id="6804" w:name="_Toc22262"/>
      <w:bookmarkStart w:id="6805" w:name="_Toc29991"/>
      <w:r>
        <w:rPr>
          <w:rFonts w:ascii="Times New Roman" w:hAnsi="Times New Roman" w:cs="黑体"/>
          <w:spacing w:val="0"/>
        </w:rPr>
        <w:t>(</w:t>
      </w:r>
      <w:r>
        <w:rPr>
          <w:rFonts w:ascii="Times New Roman" w:hAnsi="Times New Roman" w:cs="黑体"/>
          <w:spacing w:val="0"/>
        </w:rPr>
        <w:t>三</w:t>
      </w:r>
      <w:r>
        <w:rPr>
          <w:rFonts w:ascii="Times New Roman" w:hAnsi="Times New Roman" w:cs="黑体"/>
          <w:spacing w:val="0"/>
        </w:rPr>
        <w:t>)</w:t>
      </w:r>
      <w:r>
        <w:rPr>
          <w:rFonts w:ascii="Times New Roman" w:hAnsi="Times New Roman" w:cs="黑体"/>
          <w:spacing w:val="0"/>
        </w:rPr>
        <w:t>一定期限内与原单位有关联的发明创造</w:t>
      </w:r>
      <w:bookmarkEnd w:id="6802"/>
      <w:bookmarkEnd w:id="6803"/>
      <w:bookmarkEnd w:id="6804"/>
      <w:bookmarkEnd w:id="6805"/>
    </w:p>
    <w:p w:rsidR="00800760" w:rsidRDefault="00235733">
      <w:pPr>
        <w:ind w:firstLine="436"/>
        <w:jc w:val="both"/>
        <w:rPr>
          <w:rFonts w:cs="宋体"/>
          <w:spacing w:val="4"/>
        </w:rPr>
      </w:pPr>
      <w:r>
        <w:rPr>
          <w:rFonts w:cs="宋体"/>
          <w:spacing w:val="4"/>
        </w:rPr>
        <w:t>发明人或设计人退休、调离原单位后或者劳动、人事关系终止后</w:t>
      </w:r>
      <w:r>
        <w:rPr>
          <w:rFonts w:cs="宋体"/>
          <w:spacing w:val="4"/>
        </w:rPr>
        <w:t>1</w:t>
      </w:r>
      <w:r>
        <w:rPr>
          <w:rFonts w:cs="宋体"/>
          <w:spacing w:val="4"/>
        </w:rPr>
        <w:t>年内作出的，与其在原单位承担的本职工作或者原单位分配的任务有关的发明创造，属于职务发明创造。</w:t>
      </w:r>
    </w:p>
    <w:p w:rsidR="00800760" w:rsidRDefault="00235733">
      <w:pPr>
        <w:ind w:firstLine="436"/>
        <w:jc w:val="both"/>
        <w:rPr>
          <w:rFonts w:cs="宋体"/>
          <w:spacing w:val="4"/>
        </w:rPr>
      </w:pPr>
      <w:r>
        <w:rPr>
          <w:rFonts w:cs="宋体"/>
          <w:spacing w:val="4"/>
        </w:rPr>
        <w:t>“</w:t>
      </w:r>
      <w:r>
        <w:rPr>
          <w:rFonts w:cs="宋体"/>
          <w:spacing w:val="4"/>
        </w:rPr>
        <w:t>退休、调离原单位后或者劳动、人事关系终止后</w:t>
      </w:r>
      <w:r>
        <w:rPr>
          <w:rFonts w:cs="宋体"/>
          <w:spacing w:val="4"/>
        </w:rPr>
        <w:t>1</w:t>
      </w:r>
      <w:r>
        <w:rPr>
          <w:rFonts w:cs="宋体"/>
          <w:spacing w:val="4"/>
        </w:rPr>
        <w:t>年内</w:t>
      </w:r>
      <w:r>
        <w:rPr>
          <w:rFonts w:cs="宋体"/>
          <w:spacing w:val="4"/>
        </w:rPr>
        <w:t>”</w:t>
      </w:r>
      <w:r>
        <w:rPr>
          <w:rFonts w:cs="宋体" w:hint="eastAsia"/>
          <w:spacing w:val="4"/>
        </w:rPr>
        <w:t>，</w:t>
      </w:r>
      <w:r>
        <w:rPr>
          <w:rFonts w:cs="宋体"/>
          <w:spacing w:val="4"/>
        </w:rPr>
        <w:t>应当从发明人或设计人办理退休、离职手续，正式与原单位解除劳动关系之日起算。</w:t>
      </w:r>
    </w:p>
    <w:p w:rsidR="00800760" w:rsidRDefault="00235733">
      <w:pPr>
        <w:ind w:firstLine="436"/>
        <w:jc w:val="both"/>
        <w:rPr>
          <w:rFonts w:cs="宋体"/>
          <w:spacing w:val="4"/>
        </w:rPr>
      </w:pPr>
      <w:r>
        <w:rPr>
          <w:rFonts w:cs="宋体"/>
          <w:spacing w:val="4"/>
        </w:rPr>
        <w:t>“</w:t>
      </w:r>
      <w:r>
        <w:rPr>
          <w:rFonts w:cs="宋体"/>
          <w:spacing w:val="4"/>
        </w:rPr>
        <w:t>作出</w:t>
      </w:r>
      <w:r>
        <w:rPr>
          <w:rFonts w:cs="宋体"/>
          <w:spacing w:val="4"/>
        </w:rPr>
        <w:t>”</w:t>
      </w:r>
      <w:r>
        <w:rPr>
          <w:rFonts w:cs="宋体"/>
          <w:spacing w:val="4"/>
        </w:rPr>
        <w:t>发明创造的日期应当是发明创造的实际完成日，而非发明创造提交专利申请的申请日。如果在</w:t>
      </w:r>
      <w:r>
        <w:rPr>
          <w:rFonts w:cs="宋体"/>
          <w:spacing w:val="4"/>
        </w:rPr>
        <w:t>1</w:t>
      </w:r>
      <w:r>
        <w:rPr>
          <w:rFonts w:cs="宋体"/>
          <w:spacing w:val="4"/>
        </w:rPr>
        <w:t>年内申请专利的，可以推定该专利申请日为作出发明创造的最迟日期；如果在</w:t>
      </w:r>
      <w:r>
        <w:rPr>
          <w:rFonts w:cs="宋体"/>
          <w:spacing w:val="4"/>
        </w:rPr>
        <w:t>1</w:t>
      </w:r>
      <w:r>
        <w:rPr>
          <w:rFonts w:cs="宋体"/>
          <w:spacing w:val="4"/>
        </w:rPr>
        <w:t>年后申请专利的，不能直接推定该发明创造是在</w:t>
      </w:r>
      <w:r>
        <w:rPr>
          <w:rFonts w:cs="宋体"/>
          <w:spacing w:val="4"/>
        </w:rPr>
        <w:t>1</w:t>
      </w:r>
      <w:r>
        <w:rPr>
          <w:rFonts w:cs="宋体"/>
          <w:spacing w:val="4"/>
        </w:rPr>
        <w:t>年后作出的，需要原单位</w:t>
      </w:r>
      <w:r>
        <w:rPr>
          <w:rFonts w:cs="宋体"/>
          <w:spacing w:val="4"/>
        </w:rPr>
        <w:t>(</w:t>
      </w:r>
      <w:r>
        <w:rPr>
          <w:rFonts w:cs="宋体"/>
          <w:spacing w:val="4"/>
        </w:rPr>
        <w:t>主张该发明创造为职务发明创造的当事人</w:t>
      </w:r>
      <w:r>
        <w:rPr>
          <w:rFonts w:cs="宋体"/>
          <w:spacing w:val="4"/>
        </w:rPr>
        <w:t>)</w:t>
      </w:r>
      <w:r>
        <w:rPr>
          <w:rFonts w:cs="宋体"/>
          <w:spacing w:val="4"/>
        </w:rPr>
        <w:t>提供其他证据证明该发明创造的实际作出日期。原单位不能证明该发明创造的实际作出日期的，推定专利申请日为实际作出日期。</w:t>
      </w:r>
    </w:p>
    <w:p w:rsidR="00800760" w:rsidRDefault="00235733">
      <w:pPr>
        <w:ind w:firstLine="436"/>
        <w:jc w:val="both"/>
        <w:rPr>
          <w:rFonts w:cs="宋体"/>
        </w:rPr>
      </w:pPr>
      <w:r>
        <w:rPr>
          <w:rFonts w:cs="宋体"/>
          <w:spacing w:val="4"/>
        </w:rPr>
        <w:t>“</w:t>
      </w:r>
      <w:r>
        <w:rPr>
          <w:rFonts w:cs="宋体"/>
          <w:spacing w:val="4"/>
        </w:rPr>
        <w:t>与其在原单位承担的本职工作或者原单位分配的任务有关</w:t>
      </w:r>
      <w:r>
        <w:rPr>
          <w:rFonts w:cs="宋体"/>
          <w:spacing w:val="4"/>
        </w:rPr>
        <w:t>”</w:t>
      </w:r>
      <w:r>
        <w:rPr>
          <w:rFonts w:cs="宋体" w:hint="eastAsia"/>
          <w:spacing w:val="4"/>
        </w:rPr>
        <w:t>，</w:t>
      </w:r>
      <w:r>
        <w:rPr>
          <w:rFonts w:cs="宋体"/>
          <w:spacing w:val="4"/>
        </w:rPr>
        <w:t>应理解为该发明创造在发明人或设计人在原单位具体承担的本职工作之内，或者在原单位分配的其他任务范围之内。如果发明创造只是在原单位的业务范围内，但与发明人或设计人在原单位的本职工作或被分配的其他任务无关，则不属于</w:t>
      </w:r>
      <w:r>
        <w:rPr>
          <w:rFonts w:cs="宋体"/>
          <w:spacing w:val="4"/>
        </w:rPr>
        <w:t>“</w:t>
      </w:r>
      <w:r>
        <w:rPr>
          <w:rFonts w:cs="宋体"/>
          <w:spacing w:val="4"/>
        </w:rPr>
        <w:t>一定期限内与原单位有关联的职务发明创造</w:t>
      </w:r>
      <w:r>
        <w:rPr>
          <w:rFonts w:cs="宋体"/>
          <w:spacing w:val="4"/>
        </w:rPr>
        <w:t>”</w:t>
      </w:r>
      <w:r>
        <w:rPr>
          <w:rFonts w:cs="宋体"/>
          <w:spacing w:val="4"/>
        </w:rPr>
        <w:t>。</w:t>
      </w:r>
    </w:p>
    <w:p w:rsidR="00800760" w:rsidRDefault="00235733">
      <w:pPr>
        <w:pStyle w:val="af6"/>
        <w:spacing w:before="120"/>
        <w:ind w:firstLine="420"/>
      </w:pPr>
      <w:bookmarkStart w:id="6806" w:name="bookmark181"/>
      <w:bookmarkEnd w:id="6806"/>
      <w:r>
        <w:rPr>
          <w:rFonts w:hint="eastAsia"/>
        </w:rPr>
        <w:t>【案例</w:t>
      </w:r>
      <w:r>
        <w:t>3-1-5</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A</w:t>
      </w:r>
      <w:r>
        <w:rPr>
          <w:rFonts w:eastAsia="楷体_GB2312" w:cs="MingLiU_HKSCS"/>
          <w:lang w:val="zh-CN"/>
        </w:rPr>
        <w:t>公司成立于</w:t>
      </w:r>
      <w:r>
        <w:rPr>
          <w:rFonts w:eastAsia="楷体_GB2312" w:cs="MingLiU_HKSCS"/>
          <w:lang w:val="zh-CN"/>
        </w:rPr>
        <w:t>1994</w:t>
      </w:r>
      <w:r>
        <w:rPr>
          <w:rFonts w:eastAsia="楷体_GB2312" w:cs="MingLiU_HKSCS"/>
          <w:lang w:val="zh-CN"/>
        </w:rPr>
        <w:t>年</w:t>
      </w:r>
      <w:r>
        <w:rPr>
          <w:rFonts w:eastAsia="楷体_GB2312" w:cs="MingLiU_HKSCS"/>
          <w:lang w:val="zh-CN"/>
        </w:rPr>
        <w:t>1</w:t>
      </w:r>
      <w:r>
        <w:rPr>
          <w:rFonts w:eastAsia="楷体_GB2312" w:cs="MingLiU_HKSCS"/>
          <w:lang w:val="zh-CN"/>
        </w:rPr>
        <w:t>月，经营范围主要为设计、开发、生产、销售并安装石油化工、节能环保设备等。该公司先后研发并申报了多项涉及</w:t>
      </w:r>
      <w:r>
        <w:rPr>
          <w:rFonts w:eastAsia="楷体_GB2312" w:cs="MingLiU_HKSCS"/>
          <w:lang w:val="zh-CN"/>
        </w:rPr>
        <w:t>“</w:t>
      </w:r>
      <w:r>
        <w:rPr>
          <w:rFonts w:eastAsia="楷体_GB2312" w:cs="MingLiU_HKSCS"/>
          <w:lang w:val="zh-CN"/>
        </w:rPr>
        <w:t>换热器</w:t>
      </w:r>
      <w:r>
        <w:rPr>
          <w:rFonts w:eastAsia="楷体_GB2312" w:cs="MingLiU_HKSCS"/>
          <w:lang w:val="zh-CN"/>
        </w:rPr>
        <w:t>”</w:t>
      </w:r>
      <w:r>
        <w:rPr>
          <w:rFonts w:eastAsia="楷体_GB2312" w:cs="MingLiU_HKSCS"/>
          <w:lang w:val="zh-CN"/>
        </w:rPr>
        <w:t>领域的实用新型或发明专利，其中包括名为</w:t>
      </w:r>
      <w:r>
        <w:rPr>
          <w:rFonts w:eastAsia="楷体_GB2312" w:cs="MingLiU_HKSCS"/>
          <w:lang w:val="zh-CN"/>
        </w:rPr>
        <w:t>“</w:t>
      </w:r>
      <w:r>
        <w:rPr>
          <w:rFonts w:eastAsia="楷体_GB2312" w:cs="MingLiU_HKSCS"/>
          <w:lang w:val="zh-CN"/>
        </w:rPr>
        <w:t>一种弧形板式换热器</w:t>
      </w:r>
      <w:r>
        <w:rPr>
          <w:rFonts w:eastAsia="楷体_GB2312" w:cs="MingLiU_HKSCS"/>
          <w:lang w:val="zh-CN"/>
        </w:rPr>
        <w:t>”</w:t>
      </w:r>
      <w:r>
        <w:rPr>
          <w:rFonts w:eastAsia="楷体_GB2312" w:cs="MingLiU_HKSCS"/>
          <w:lang w:val="zh-CN"/>
        </w:rPr>
        <w:t>的实用新型专利。该专利技术主要应用于石油化工行业，促进冷、热流体的热量交换。</w:t>
      </w:r>
      <w:r>
        <w:rPr>
          <w:rFonts w:eastAsia="楷体_GB2312" w:cs="MingLiU_HKSCS"/>
          <w:lang w:val="zh-CN"/>
        </w:rPr>
        <w:t>2016</w:t>
      </w:r>
      <w:r>
        <w:rPr>
          <w:rFonts w:eastAsia="楷体_GB2312" w:cs="MingLiU_HKSCS"/>
          <w:lang w:val="zh-CN"/>
        </w:rPr>
        <w:t>年</w:t>
      </w:r>
      <w:r>
        <w:rPr>
          <w:rFonts w:eastAsia="楷体_GB2312" w:cs="MingLiU_HKSCS"/>
          <w:lang w:val="zh-CN"/>
        </w:rPr>
        <w:t>5</w:t>
      </w:r>
      <w:r>
        <w:rPr>
          <w:rFonts w:eastAsia="楷体_GB2312" w:cs="MingLiU_HKSCS"/>
          <w:lang w:val="zh-CN"/>
        </w:rPr>
        <w:t>月</w:t>
      </w:r>
      <w:r>
        <w:rPr>
          <w:rFonts w:eastAsia="楷体_GB2312" w:cs="MingLiU_HKSCS"/>
          <w:lang w:val="zh-CN"/>
        </w:rPr>
        <w:t>11</w:t>
      </w:r>
      <w:r>
        <w:rPr>
          <w:rFonts w:eastAsia="楷体_GB2312" w:cs="MingLiU_HKSCS"/>
          <w:lang w:val="zh-CN"/>
        </w:rPr>
        <w:t>日，某石化公司向国家知识产权局申请了名为</w:t>
      </w:r>
      <w:r>
        <w:rPr>
          <w:rFonts w:eastAsia="楷体_GB2312" w:cs="MingLiU_HKSCS"/>
          <w:lang w:val="zh-CN"/>
        </w:rPr>
        <w:t>“</w:t>
      </w:r>
      <w:r>
        <w:rPr>
          <w:rFonts w:eastAsia="楷体_GB2312" w:cs="MingLiU_HKSCS"/>
          <w:lang w:val="zh-CN"/>
        </w:rPr>
        <w:t>一种</w:t>
      </w:r>
      <w:r>
        <w:rPr>
          <w:rFonts w:eastAsia="楷体_GB2312" w:cs="MingLiU_HKSCS"/>
          <w:lang w:val="zh-CN"/>
        </w:rPr>
        <w:t>U</w:t>
      </w:r>
      <w:r>
        <w:rPr>
          <w:rFonts w:eastAsia="楷体_GB2312" w:cs="MingLiU_HKSCS"/>
          <w:lang w:val="zh-CN"/>
        </w:rPr>
        <w:t>形流道板式换热器</w:t>
      </w:r>
      <w:r>
        <w:rPr>
          <w:rFonts w:eastAsia="楷体_GB2312" w:cs="MingLiU_HKSCS"/>
          <w:lang w:val="zh-CN"/>
        </w:rPr>
        <w:t>”</w:t>
      </w:r>
      <w:r>
        <w:rPr>
          <w:rFonts w:eastAsia="楷体_GB2312" w:cs="MingLiU_HKSCS"/>
          <w:lang w:val="zh-CN"/>
        </w:rPr>
        <w:t>的发明专利，该公司为专利权人，发明人为</w:t>
      </w:r>
      <w:r>
        <w:rPr>
          <w:rFonts w:eastAsia="楷体_GB2312" w:cs="MingLiU_HKSCS" w:hint="eastAsia"/>
          <w:lang w:val="zh-CN"/>
        </w:rPr>
        <w:t>甲</w:t>
      </w:r>
      <w:r>
        <w:rPr>
          <w:rFonts w:eastAsia="楷体_GB2312" w:cs="MingLiU_HKSCS"/>
          <w:lang w:val="zh-CN"/>
        </w:rPr>
        <w:t>。该专利于</w:t>
      </w:r>
      <w:r>
        <w:rPr>
          <w:rFonts w:eastAsia="楷体_GB2312" w:cs="MingLiU_HKSCS"/>
          <w:lang w:val="zh-CN"/>
        </w:rPr>
        <w:t>2017</w:t>
      </w:r>
      <w:r>
        <w:rPr>
          <w:rFonts w:eastAsia="楷体_GB2312" w:cs="MingLiU_HKSCS"/>
          <w:lang w:val="zh-CN"/>
        </w:rPr>
        <w:t>年</w:t>
      </w:r>
      <w:r>
        <w:rPr>
          <w:rFonts w:eastAsia="楷体_GB2312" w:cs="MingLiU_HKSCS"/>
          <w:lang w:val="zh-CN"/>
        </w:rPr>
        <w:t>12</w:t>
      </w:r>
      <w:r>
        <w:rPr>
          <w:rFonts w:eastAsia="楷体_GB2312" w:cs="MingLiU_HKSCS"/>
          <w:lang w:val="zh-CN"/>
        </w:rPr>
        <w:t>月</w:t>
      </w:r>
      <w:r>
        <w:rPr>
          <w:rFonts w:eastAsia="楷体_GB2312" w:cs="MingLiU_HKSCS"/>
          <w:lang w:val="zh-CN"/>
        </w:rPr>
        <w:t>1</w:t>
      </w:r>
      <w:r>
        <w:rPr>
          <w:rFonts w:eastAsia="楷体_GB2312" w:cs="MingLiU_HKSCS"/>
          <w:lang w:val="zh-CN"/>
        </w:rPr>
        <w:t>日获得授权公告。该专利证书记载，该专利解决了</w:t>
      </w:r>
      <w:r>
        <w:rPr>
          <w:rFonts w:eastAsia="楷体_GB2312" w:cs="MingLiU_HKSCS"/>
          <w:lang w:val="zh-CN"/>
        </w:rPr>
        <w:t>“</w:t>
      </w:r>
      <w:r>
        <w:rPr>
          <w:rFonts w:eastAsia="楷体_GB2312" w:cs="MingLiU_HKSCS"/>
          <w:lang w:val="zh-CN"/>
        </w:rPr>
        <w:t>一种弧形板式换热器</w:t>
      </w:r>
      <w:r>
        <w:rPr>
          <w:rFonts w:eastAsia="楷体_GB2312" w:cs="MingLiU_HKSCS"/>
          <w:lang w:val="zh-CN"/>
        </w:rPr>
        <w:t>”</w:t>
      </w:r>
      <w:r>
        <w:rPr>
          <w:rFonts w:eastAsia="楷体_GB2312" w:cs="MingLiU_HKSCS"/>
          <w:lang w:val="zh-CN"/>
        </w:rPr>
        <w:t>实用新型专利存在的问题。</w:t>
      </w:r>
      <w:r>
        <w:rPr>
          <w:rFonts w:eastAsia="楷体_GB2312" w:cs="MingLiU_HKSCS" w:hint="eastAsia"/>
          <w:lang w:val="zh-CN"/>
        </w:rPr>
        <w:t>A</w:t>
      </w:r>
      <w:r>
        <w:rPr>
          <w:rFonts w:eastAsia="楷体_GB2312" w:cs="MingLiU_HKSCS"/>
          <w:lang w:val="zh-CN"/>
        </w:rPr>
        <w:t>公司请求确认该发明专利权归其所有。</w:t>
      </w:r>
    </w:p>
    <w:p w:rsidR="00800760" w:rsidRDefault="00235733">
      <w:pPr>
        <w:spacing w:line="360" w:lineRule="auto"/>
        <w:rPr>
          <w:rFonts w:eastAsia="楷体_GB2312" w:cs="MingLiU_HKSCS"/>
          <w:lang w:val="zh-CN"/>
        </w:rPr>
      </w:pPr>
      <w:r>
        <w:rPr>
          <w:rFonts w:eastAsia="楷体_GB2312" w:cs="MingLiU_HKSCS"/>
          <w:lang w:val="zh-CN"/>
        </w:rPr>
        <w:t>经查，涉案专利证书中所记载的发明人</w:t>
      </w:r>
      <w:r>
        <w:rPr>
          <w:rFonts w:eastAsia="楷体_GB2312" w:cs="MingLiU_HKSCS" w:hint="eastAsia"/>
          <w:lang w:val="zh-CN"/>
        </w:rPr>
        <w:t>甲</w:t>
      </w:r>
      <w:r>
        <w:rPr>
          <w:rFonts w:eastAsia="楷体_GB2312" w:cs="MingLiU_HKSCS"/>
          <w:lang w:val="zh-CN"/>
        </w:rPr>
        <w:t>及第三人</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，均曾就职于</w:t>
      </w:r>
      <w:r>
        <w:rPr>
          <w:rFonts w:eastAsia="楷体_GB2312" w:cs="MingLiU_HKSCS" w:hint="eastAsia"/>
          <w:lang w:val="zh-CN"/>
        </w:rPr>
        <w:t>A</w:t>
      </w:r>
      <w:r>
        <w:rPr>
          <w:rFonts w:eastAsia="楷体_GB2312" w:cs="MingLiU_HKSCS"/>
          <w:lang w:val="zh-CN"/>
        </w:rPr>
        <w:t>公司，后就职于某石化公司。在</w:t>
      </w:r>
      <w:r>
        <w:rPr>
          <w:rFonts w:eastAsia="楷体_GB2312" w:cs="MingLiU_HKSCS" w:hint="eastAsia"/>
          <w:lang w:val="zh-CN"/>
        </w:rPr>
        <w:t>A</w:t>
      </w:r>
      <w:r>
        <w:rPr>
          <w:rFonts w:eastAsia="楷体_GB2312" w:cs="MingLiU_HKSCS"/>
          <w:lang w:val="zh-CN"/>
        </w:rPr>
        <w:t>公司工作期间，</w:t>
      </w:r>
      <w:r>
        <w:rPr>
          <w:rFonts w:eastAsia="楷体_GB2312" w:cs="MingLiU_HKSCS" w:hint="eastAsia"/>
          <w:lang w:val="zh-CN"/>
        </w:rPr>
        <w:t>甲</w:t>
      </w:r>
      <w:r>
        <w:rPr>
          <w:rFonts w:eastAsia="楷体_GB2312" w:cs="MingLiU_HKSCS"/>
          <w:lang w:val="zh-CN"/>
        </w:rPr>
        <w:t>主要从事销售工作；</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等人主要从事研发工作，参与了与涉案专利相关联的研发项目。</w:t>
      </w:r>
      <w:r>
        <w:rPr>
          <w:rFonts w:eastAsia="楷体_GB2312" w:cs="MingLiU_HKSCS" w:hint="eastAsia"/>
          <w:lang w:val="zh-CN"/>
        </w:rPr>
        <w:t>甲</w:t>
      </w:r>
      <w:r>
        <w:rPr>
          <w:rFonts w:eastAsia="楷体_GB2312" w:cs="MingLiU_HKSCS"/>
          <w:lang w:val="zh-CN"/>
        </w:rPr>
        <w:t>没有参与研发过与涉案专利相关的研发工作，不具备涉案专利研发的经验。涉案专利申请日距离</w:t>
      </w:r>
      <w:r>
        <w:rPr>
          <w:rFonts w:eastAsia="楷体_GB2312" w:cs="MingLiU_HKSCS" w:hint="eastAsia"/>
          <w:lang w:val="zh-CN"/>
        </w:rPr>
        <w:t>丙</w:t>
      </w:r>
      <w:r>
        <w:rPr>
          <w:rFonts w:eastAsia="楷体_GB2312" w:cs="MingLiU_HKSCS"/>
          <w:lang w:val="zh-CN"/>
        </w:rPr>
        <w:t>从</w:t>
      </w:r>
      <w:r>
        <w:rPr>
          <w:rFonts w:eastAsia="楷体_GB2312" w:cs="MingLiU_HKSCS" w:hint="eastAsia"/>
          <w:lang w:val="zh-CN"/>
        </w:rPr>
        <w:t>A</w:t>
      </w:r>
      <w:r>
        <w:rPr>
          <w:rFonts w:eastAsia="楷体_GB2312" w:cs="MingLiU_HKSCS"/>
          <w:lang w:val="zh-CN"/>
        </w:rPr>
        <w:t>公司离职未满</w:t>
      </w:r>
      <w:r>
        <w:rPr>
          <w:rFonts w:eastAsia="楷体_GB2312" w:cs="MingLiU_HKSCS"/>
          <w:lang w:val="zh-CN"/>
        </w:rPr>
        <w:t>1</w:t>
      </w:r>
      <w:r>
        <w:rPr>
          <w:rFonts w:eastAsia="楷体_GB2312" w:cs="MingLiU_HKSCS"/>
          <w:lang w:val="zh-CN"/>
        </w:rPr>
        <w:t>年，距离</w:t>
      </w:r>
      <w:r>
        <w:rPr>
          <w:rFonts w:eastAsia="楷体_GB2312" w:cs="MingLiU_HKSCS" w:hint="eastAsia"/>
          <w:lang w:val="zh-CN"/>
        </w:rPr>
        <w:t>乙</w:t>
      </w:r>
      <w:r>
        <w:rPr>
          <w:rFonts w:eastAsia="楷体_GB2312" w:cs="MingLiU_HKSCS"/>
          <w:lang w:val="zh-CN"/>
        </w:rPr>
        <w:t>从</w:t>
      </w:r>
      <w:r>
        <w:rPr>
          <w:rFonts w:eastAsia="楷体_GB2312" w:cs="MingLiU_HKSCS" w:hint="eastAsia"/>
          <w:lang w:val="zh-CN"/>
        </w:rPr>
        <w:t>A</w:t>
      </w:r>
      <w:r>
        <w:rPr>
          <w:rFonts w:eastAsia="楷体_GB2312" w:cs="MingLiU_HKSCS"/>
          <w:lang w:val="zh-CN"/>
        </w:rPr>
        <w:t>公司离职超过</w:t>
      </w:r>
      <w:r>
        <w:rPr>
          <w:rFonts w:eastAsia="楷体_GB2312" w:cs="MingLiU_HKSCS"/>
          <w:lang w:val="zh-CN"/>
        </w:rPr>
        <w:t>1</w:t>
      </w:r>
      <w:r>
        <w:rPr>
          <w:rFonts w:eastAsia="楷体_GB2312" w:cs="MingLiU_HKSCS"/>
          <w:lang w:val="zh-CN"/>
        </w:rPr>
        <w:t>年未满</w:t>
      </w:r>
      <w:r>
        <w:rPr>
          <w:rFonts w:eastAsia="楷体_GB2312" w:cs="MingLiU_HKSCS"/>
          <w:lang w:val="zh-CN"/>
        </w:rPr>
        <w:t>2</w:t>
      </w:r>
      <w:r>
        <w:rPr>
          <w:rFonts w:eastAsia="楷体_GB2312" w:cs="MingLiU_HKSCS"/>
          <w:lang w:val="zh-CN"/>
        </w:rPr>
        <w:t>年，但</w:t>
      </w:r>
      <w:r>
        <w:rPr>
          <w:rFonts w:eastAsia="楷体_GB2312" w:cs="MingLiU_HKSCS" w:hint="eastAsia"/>
          <w:lang w:val="zh-CN"/>
        </w:rPr>
        <w:t>乙</w:t>
      </w:r>
      <w:r>
        <w:rPr>
          <w:rFonts w:eastAsia="楷体_GB2312" w:cs="MingLiU_HKSCS"/>
          <w:lang w:val="zh-CN"/>
        </w:rPr>
        <w:t>曾作出</w:t>
      </w:r>
      <w:r>
        <w:rPr>
          <w:rFonts w:eastAsia="楷体_GB2312" w:cs="MingLiU_HKSCS"/>
          <w:lang w:val="zh-CN"/>
        </w:rPr>
        <w:t>“</w:t>
      </w:r>
      <w:r>
        <w:rPr>
          <w:rFonts w:eastAsia="楷体_GB2312" w:cs="MingLiU_HKSCS"/>
          <w:lang w:val="zh-CN"/>
        </w:rPr>
        <w:t>离职两年内，取得的专利应归属</w:t>
      </w:r>
      <w:r>
        <w:rPr>
          <w:rFonts w:eastAsia="楷体_GB2312" w:cs="MingLiU_HKSCS" w:hint="eastAsia"/>
          <w:lang w:val="zh-CN"/>
        </w:rPr>
        <w:t>A</w:t>
      </w:r>
      <w:r>
        <w:rPr>
          <w:rFonts w:eastAsia="楷体_GB2312" w:cs="MingLiU_HKSCS"/>
          <w:lang w:val="zh-CN"/>
        </w:rPr>
        <w:t>公司所有</w:t>
      </w:r>
      <w:r>
        <w:rPr>
          <w:rFonts w:eastAsia="楷体_GB2312" w:cs="MingLiU_HKSCS"/>
          <w:lang w:val="zh-CN"/>
        </w:rPr>
        <w:t>”</w:t>
      </w:r>
      <w:r>
        <w:rPr>
          <w:rFonts w:eastAsia="楷体_GB2312" w:cs="MingLiU_HKSCS"/>
          <w:lang w:val="zh-CN"/>
        </w:rPr>
        <w:t>的承诺。因此，涉案专利应系</w:t>
      </w:r>
      <w:r>
        <w:rPr>
          <w:rFonts w:eastAsia="楷体_GB2312" w:cs="MingLiU_HKSCS" w:hint="eastAsia"/>
          <w:lang w:val="zh-CN"/>
        </w:rPr>
        <w:t>丙</w:t>
      </w:r>
      <w:r>
        <w:rPr>
          <w:rFonts w:eastAsia="楷体_GB2312" w:cs="MingLiU_HKSCS"/>
          <w:lang w:val="zh-CN"/>
        </w:rPr>
        <w:t>执行</w:t>
      </w:r>
      <w:r>
        <w:rPr>
          <w:rFonts w:eastAsia="楷体_GB2312" w:cs="MingLiU_HKSCS" w:hint="eastAsia"/>
          <w:lang w:val="zh-CN"/>
        </w:rPr>
        <w:t>A</w:t>
      </w:r>
      <w:r>
        <w:rPr>
          <w:rFonts w:eastAsia="楷体_GB2312" w:cs="MingLiU_HKSCS"/>
          <w:lang w:val="zh-CN"/>
        </w:rPr>
        <w:t>公司的任务所完成的职务发明创造，涉案专利权归</w:t>
      </w:r>
      <w:r>
        <w:rPr>
          <w:rFonts w:eastAsia="楷体_GB2312" w:cs="MingLiU_HKSCS" w:hint="eastAsia"/>
          <w:lang w:val="zh-CN"/>
        </w:rPr>
        <w:t>A</w:t>
      </w:r>
      <w:r>
        <w:rPr>
          <w:rFonts w:eastAsia="楷体_GB2312" w:cs="MingLiU_HKSCS"/>
          <w:lang w:val="zh-CN"/>
        </w:rPr>
        <w:t>公司所有。</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pStyle w:val="a5"/>
        <w:spacing w:line="310" w:lineRule="auto"/>
      </w:pPr>
      <w:r>
        <w:rPr>
          <w:rFonts w:eastAsia="楷体_GB2312" w:cs="MingLiU_HKSCS"/>
          <w:lang w:val="zh-CN"/>
        </w:rPr>
        <w:t>发明创造是复杂的智力劳动，不是一朝一夕就能够完成的，要经历从提出构思、进行研究开发到实验验证的整个过程。一个承担单位研发项目的员工在离开原单位后的一段时间内，其作出的发明创造往往与其在原单位承担的工作有密切的联系，这是《专利法》规定员工从原单位离职</w:t>
      </w:r>
      <w:r>
        <w:rPr>
          <w:rFonts w:eastAsia="楷体_GB2312" w:cs="MingLiU_HKSCS"/>
          <w:lang w:val="zh-CN"/>
        </w:rPr>
        <w:t>1</w:t>
      </w:r>
      <w:r>
        <w:rPr>
          <w:rFonts w:eastAsia="楷体_GB2312" w:cs="MingLiU_HKSCS"/>
          <w:lang w:val="zh-CN"/>
        </w:rPr>
        <w:t>年内，与其在原单位所承担工作任务有关的发明创造归原单位所有的原因。该案中，</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作为</w:t>
      </w:r>
      <w:r>
        <w:rPr>
          <w:rFonts w:eastAsia="楷体_GB2312" w:cs="MingLiU_HKSCS" w:hint="eastAsia"/>
          <w:lang w:val="zh-CN"/>
        </w:rPr>
        <w:t>A</w:t>
      </w:r>
      <w:r>
        <w:rPr>
          <w:rFonts w:eastAsia="楷体_GB2312" w:cs="MingLiU_HKSCS"/>
          <w:lang w:val="zh-CN"/>
        </w:rPr>
        <w:t>公司的前工作人员，在原单位从事与涉案专利具有一定关联的技术研发工作，在离开原单位不满</w:t>
      </w:r>
      <w:r>
        <w:rPr>
          <w:rFonts w:eastAsia="楷体_GB2312" w:cs="MingLiU_HKSCS"/>
          <w:lang w:val="zh-CN"/>
        </w:rPr>
        <w:t>1</w:t>
      </w:r>
      <w:r>
        <w:rPr>
          <w:rFonts w:eastAsia="楷体_GB2312" w:cs="MingLiU_HKSCS"/>
          <w:lang w:val="zh-CN"/>
        </w:rPr>
        <w:t>年或在承诺的保密期内，作出的与在原单位所从事的研发工作具有关联性的发明创造应归属原单位。</w:t>
      </w:r>
    </w:p>
    <w:p w:rsidR="00800760" w:rsidRDefault="00235733">
      <w:pPr>
        <w:pStyle w:val="af6"/>
        <w:spacing w:before="120"/>
        <w:ind w:firstLine="420"/>
      </w:pPr>
      <w:bookmarkStart w:id="6807" w:name="bookmark182"/>
      <w:bookmarkEnd w:id="6807"/>
      <w:r>
        <w:rPr>
          <w:rFonts w:hint="eastAsia"/>
        </w:rPr>
        <w:t>【案例</w:t>
      </w:r>
      <w:r>
        <w:t>3-1-6</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乙为</w:t>
      </w:r>
      <w:r>
        <w:rPr>
          <w:rFonts w:eastAsia="楷体_GB2312" w:cs="MingLiU_HKSCS"/>
          <w:lang w:val="zh-CN"/>
        </w:rPr>
        <w:t>A</w:t>
      </w:r>
      <w:r>
        <w:rPr>
          <w:rFonts w:eastAsia="楷体_GB2312" w:cs="MingLiU_HKSCS"/>
          <w:lang w:val="zh-CN"/>
        </w:rPr>
        <w:t>公司的技术研发人员，是</w:t>
      </w:r>
      <w:r>
        <w:rPr>
          <w:rFonts w:eastAsia="楷体_GB2312" w:cs="MingLiU_HKSCS"/>
          <w:lang w:val="zh-CN"/>
        </w:rPr>
        <w:t>A</w:t>
      </w:r>
      <w:r>
        <w:rPr>
          <w:rFonts w:eastAsia="楷体_GB2312" w:cs="MingLiU_HKSCS"/>
          <w:lang w:val="zh-CN"/>
        </w:rPr>
        <w:t>公司</w:t>
      </w:r>
      <w:r>
        <w:rPr>
          <w:rFonts w:eastAsia="楷体_GB2312" w:cs="MingLiU_HKSCS"/>
          <w:lang w:val="zh-CN"/>
        </w:rPr>
        <w:t>1996</w:t>
      </w:r>
      <w:r>
        <w:rPr>
          <w:rFonts w:eastAsia="楷体_GB2312" w:cs="MingLiU_HKSCS"/>
          <w:lang w:val="zh-CN"/>
        </w:rPr>
        <w:t>年获得授权的发明专利</w:t>
      </w:r>
      <w:r>
        <w:rPr>
          <w:rFonts w:eastAsia="楷体_GB2312" w:cs="MingLiU_HKSCS"/>
          <w:lang w:val="zh-CN"/>
        </w:rPr>
        <w:t>“</w:t>
      </w:r>
      <w:r>
        <w:rPr>
          <w:rFonts w:eastAsia="楷体_GB2312" w:cs="MingLiU_HKSCS"/>
          <w:lang w:val="zh-CN"/>
        </w:rPr>
        <w:t>链条炉排生活垃圾炉</w:t>
      </w:r>
      <w:r>
        <w:rPr>
          <w:rFonts w:eastAsia="楷体_GB2312" w:cs="MingLiU_HKSCS"/>
          <w:lang w:val="zh-CN"/>
        </w:rPr>
        <w:t>”</w:t>
      </w:r>
      <w:r>
        <w:rPr>
          <w:rFonts w:eastAsia="楷体_GB2312" w:cs="MingLiU_HKSCS"/>
          <w:lang w:val="zh-CN"/>
        </w:rPr>
        <w:t>的发明人。</w:t>
      </w:r>
      <w:r>
        <w:rPr>
          <w:rFonts w:eastAsia="楷体_GB2312" w:cs="MingLiU_HKSCS"/>
          <w:lang w:val="zh-CN"/>
        </w:rPr>
        <w:t>B</w:t>
      </w:r>
      <w:r>
        <w:rPr>
          <w:rFonts w:eastAsia="楷体_GB2312" w:cs="MingLiU_HKSCS"/>
          <w:lang w:val="zh-CN"/>
        </w:rPr>
        <w:t>公司于</w:t>
      </w:r>
      <w:r>
        <w:rPr>
          <w:rFonts w:eastAsia="楷体_GB2312" w:cs="MingLiU_HKSCS"/>
          <w:lang w:val="zh-CN"/>
        </w:rPr>
        <w:t>1997</w:t>
      </w:r>
      <w:r>
        <w:rPr>
          <w:rFonts w:eastAsia="楷体_GB2312" w:cs="MingLiU_HKSCS"/>
          <w:lang w:val="zh-CN"/>
        </w:rPr>
        <w:t>年申请</w:t>
      </w:r>
      <w:r>
        <w:rPr>
          <w:rFonts w:eastAsia="楷体_GB2312" w:cs="MingLiU_HKSCS"/>
          <w:lang w:val="zh-CN"/>
        </w:rPr>
        <w:t>“</w:t>
      </w:r>
      <w:r>
        <w:rPr>
          <w:rFonts w:eastAsia="楷体_GB2312" w:cs="MingLiU_HKSCS"/>
          <w:lang w:val="zh-CN"/>
        </w:rPr>
        <w:t>竖井式两段链条炉排垃圾焚烧炉</w:t>
      </w:r>
      <w:r>
        <w:rPr>
          <w:rFonts w:eastAsia="楷体_GB2312" w:cs="MingLiU_HKSCS"/>
          <w:lang w:val="zh-CN"/>
        </w:rPr>
        <w:t>”</w:t>
      </w:r>
      <w:r>
        <w:rPr>
          <w:rFonts w:eastAsia="楷体_GB2312" w:cs="MingLiU_HKSCS"/>
          <w:lang w:val="zh-CN"/>
        </w:rPr>
        <w:t>实用新型专利，在请求书中将本公司职工</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列为发明人。</w:t>
      </w:r>
    </w:p>
    <w:p w:rsidR="00800760" w:rsidRDefault="00235733">
      <w:pPr>
        <w:spacing w:line="360" w:lineRule="auto"/>
        <w:rPr>
          <w:rFonts w:eastAsia="楷体_GB2312" w:cs="MingLiU_HKSCS"/>
          <w:lang w:val="zh-CN"/>
        </w:rPr>
      </w:pPr>
      <w:r>
        <w:rPr>
          <w:rFonts w:eastAsia="楷体_GB2312" w:cs="MingLiU_HKSCS"/>
          <w:lang w:val="zh-CN"/>
        </w:rPr>
        <w:t>1998</w:t>
      </w:r>
      <w:r>
        <w:rPr>
          <w:rFonts w:eastAsia="楷体_GB2312" w:cs="MingLiU_HKSCS"/>
          <w:lang w:val="zh-CN"/>
        </w:rPr>
        <w:t>年</w:t>
      </w:r>
      <w:r>
        <w:rPr>
          <w:rFonts w:eastAsia="楷体_GB2312" w:cs="MingLiU_HKSCS"/>
          <w:lang w:val="zh-CN"/>
        </w:rPr>
        <w:t>1</w:t>
      </w:r>
      <w:r>
        <w:rPr>
          <w:rFonts w:eastAsia="楷体_GB2312" w:cs="MingLiU_HKSCS"/>
          <w:lang w:val="zh-CN"/>
        </w:rPr>
        <w:t>月，</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离开</w:t>
      </w:r>
      <w:r>
        <w:rPr>
          <w:rFonts w:eastAsia="楷体_GB2312" w:cs="MingLiU_HKSCS"/>
          <w:lang w:val="zh-CN"/>
        </w:rPr>
        <w:t>A</w:t>
      </w:r>
      <w:r>
        <w:rPr>
          <w:rFonts w:eastAsia="楷体_GB2312" w:cs="MingLiU_HKSCS"/>
          <w:lang w:val="zh-CN"/>
        </w:rPr>
        <w:t>公司，前往</w:t>
      </w:r>
      <w:r>
        <w:rPr>
          <w:rFonts w:eastAsia="楷体_GB2312" w:cs="MingLiU_HKSCS"/>
          <w:lang w:val="zh-CN"/>
        </w:rPr>
        <w:t>B</w:t>
      </w:r>
      <w:r>
        <w:rPr>
          <w:rFonts w:eastAsia="楷体_GB2312" w:cs="MingLiU_HKSCS"/>
          <w:lang w:val="zh-CN"/>
        </w:rPr>
        <w:t>公司工作。</w:t>
      </w:r>
      <w:r>
        <w:rPr>
          <w:rFonts w:eastAsia="楷体_GB2312" w:cs="MingLiU_HKSCS"/>
          <w:lang w:val="zh-CN"/>
        </w:rPr>
        <w:t>1998</w:t>
      </w:r>
      <w:r>
        <w:rPr>
          <w:rFonts w:eastAsia="楷体_GB2312" w:cs="MingLiU_HKSCS"/>
          <w:lang w:val="zh-CN"/>
        </w:rPr>
        <w:t>年</w:t>
      </w:r>
      <w:r>
        <w:rPr>
          <w:rFonts w:eastAsia="楷体_GB2312" w:cs="MingLiU_HKSCS"/>
          <w:lang w:val="zh-CN"/>
        </w:rPr>
        <w:t>4</w:t>
      </w:r>
      <w:r>
        <w:rPr>
          <w:rFonts w:eastAsia="楷体_GB2312" w:cs="MingLiU_HKSCS"/>
          <w:lang w:val="zh-CN"/>
        </w:rPr>
        <w:t>月，</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和</w:t>
      </w:r>
      <w:r>
        <w:rPr>
          <w:rFonts w:eastAsia="楷体_GB2312" w:cs="MingLiU_HKSCS"/>
          <w:lang w:val="zh-CN"/>
        </w:rPr>
        <w:t>B</w:t>
      </w:r>
      <w:r>
        <w:rPr>
          <w:rFonts w:eastAsia="楷体_GB2312" w:cs="MingLiU_HKSCS"/>
          <w:lang w:val="zh-CN"/>
        </w:rPr>
        <w:t>公司签订了《关于转让专利设计人的合同》</w:t>
      </w:r>
      <w:r>
        <w:rPr>
          <w:rFonts w:eastAsia="楷体_GB2312" w:cs="MingLiU_HKSCS"/>
          <w:lang w:val="zh-CN"/>
        </w:rPr>
        <w:t>,</w:t>
      </w:r>
      <w:r>
        <w:rPr>
          <w:rFonts w:eastAsia="楷体_GB2312" w:cs="MingLiU_HKSCS"/>
          <w:lang w:val="zh-CN"/>
        </w:rPr>
        <w:t>合同中约定：对于</w:t>
      </w:r>
      <w:r>
        <w:rPr>
          <w:rFonts w:eastAsia="楷体_GB2312" w:cs="MingLiU_HKSCS"/>
          <w:lang w:val="zh-CN"/>
        </w:rPr>
        <w:t>B</w:t>
      </w:r>
      <w:r>
        <w:rPr>
          <w:rFonts w:eastAsia="楷体_GB2312" w:cs="MingLiU_HKSCS"/>
          <w:lang w:val="zh-CN"/>
        </w:rPr>
        <w:t>公司已申请的上述实用新型专利，确认</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完成了该专利的总体设计，但因他们提出辞职，</w:t>
      </w:r>
      <w:r>
        <w:rPr>
          <w:rFonts w:eastAsia="楷体_GB2312" w:cs="MingLiU_HKSCS"/>
          <w:lang w:val="zh-CN"/>
        </w:rPr>
        <w:t>B</w:t>
      </w:r>
      <w:r>
        <w:rPr>
          <w:rFonts w:eastAsia="楷体_GB2312" w:cs="MingLiU_HKSCS"/>
          <w:lang w:val="zh-CN"/>
        </w:rPr>
        <w:t>公司决定将该专利的发明人由</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变更为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w:t>
      </w:r>
      <w:r>
        <w:rPr>
          <w:rFonts w:eastAsia="楷体_GB2312" w:cs="MingLiU_HKSCS"/>
          <w:lang w:val="zh-CN"/>
        </w:rPr>
        <w:t>B</w:t>
      </w:r>
      <w:r>
        <w:rPr>
          <w:rFonts w:eastAsia="楷体_GB2312" w:cs="MingLiU_HKSCS"/>
          <w:lang w:val="zh-CN"/>
        </w:rPr>
        <w:t>公司一次性向</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每人支付</w:t>
      </w:r>
      <w:r>
        <w:rPr>
          <w:rFonts w:eastAsia="楷体_GB2312" w:cs="MingLiU_HKSCS"/>
          <w:lang w:val="zh-CN"/>
        </w:rPr>
        <w:t>5000</w:t>
      </w:r>
      <w:r>
        <w:rPr>
          <w:rFonts w:eastAsia="楷体_GB2312" w:cs="MingLiU_HKSCS"/>
          <w:lang w:val="zh-CN"/>
        </w:rPr>
        <w:t>元报酬。在合同签订之前，</w:t>
      </w:r>
      <w:r>
        <w:rPr>
          <w:rFonts w:eastAsia="楷体_GB2312" w:cs="MingLiU_HKSCS"/>
          <w:lang w:val="zh-CN"/>
        </w:rPr>
        <w:t>B</w:t>
      </w:r>
      <w:r>
        <w:rPr>
          <w:rFonts w:eastAsia="楷体_GB2312" w:cs="MingLiU_HKSCS"/>
          <w:lang w:val="zh-CN"/>
        </w:rPr>
        <w:t>公司已经向</w:t>
      </w:r>
      <w:r>
        <w:rPr>
          <w:rFonts w:eastAsia="楷体_GB2312" w:cs="MingLiU_HKSCS"/>
        </w:rPr>
        <w:t>国务院专利行政部门</w:t>
      </w:r>
      <w:r>
        <w:rPr>
          <w:rFonts w:eastAsia="楷体_GB2312" w:cs="MingLiU_HKSCS"/>
          <w:lang w:val="zh-CN"/>
        </w:rPr>
        <w:t>提交了著录项目变更申报书，请求将该专利的发明人变更为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w:t>
      </w:r>
      <w:r>
        <w:rPr>
          <w:rFonts w:eastAsia="楷体_GB2312" w:cs="MingLiU_HKSCS"/>
          <w:lang w:val="zh-CN"/>
        </w:rPr>
        <w:t>1998</w:t>
      </w:r>
      <w:r>
        <w:rPr>
          <w:rFonts w:eastAsia="楷体_GB2312" w:cs="MingLiU_HKSCS"/>
          <w:lang w:val="zh-CN"/>
        </w:rPr>
        <w:t>年</w:t>
      </w:r>
      <w:r>
        <w:rPr>
          <w:rFonts w:eastAsia="楷体_GB2312" w:cs="MingLiU_HKSCS"/>
          <w:lang w:val="zh-CN"/>
        </w:rPr>
        <w:t>12</w:t>
      </w:r>
      <w:r>
        <w:rPr>
          <w:rFonts w:eastAsia="楷体_GB2312" w:cs="MingLiU_HKSCS"/>
          <w:lang w:val="zh-CN"/>
        </w:rPr>
        <w:t>月，该实用新型专利获得授权，授权公告文本上公布的设计人是</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w:t>
      </w:r>
      <w:r>
        <w:rPr>
          <w:rFonts w:eastAsia="楷体_GB2312" w:cs="MingLiU_HKSCS"/>
          <w:lang w:val="zh-CN"/>
        </w:rPr>
        <w:t>A</w:t>
      </w:r>
      <w:r>
        <w:rPr>
          <w:rFonts w:eastAsia="楷体_GB2312" w:cs="MingLiU_HKSCS"/>
          <w:lang w:val="zh-CN"/>
        </w:rPr>
        <w:t>公司认为，根据</w:t>
      </w:r>
      <w:r>
        <w:rPr>
          <w:rFonts w:eastAsia="楷体_GB2312" w:cs="MingLiU_HKSCS"/>
        </w:rPr>
        <w:t>国务院专利行政部门</w:t>
      </w:r>
      <w:r>
        <w:rPr>
          <w:rFonts w:eastAsia="楷体_GB2312" w:cs="MingLiU_HKSCS"/>
          <w:lang w:val="zh-CN"/>
        </w:rPr>
        <w:t>公告公布的发明人，</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离开</w:t>
      </w:r>
      <w:r>
        <w:rPr>
          <w:rFonts w:eastAsia="楷体_GB2312" w:cs="MingLiU_HKSCS"/>
          <w:lang w:val="zh-CN"/>
        </w:rPr>
        <w:t>A</w:t>
      </w:r>
      <w:r>
        <w:rPr>
          <w:rFonts w:eastAsia="楷体_GB2312" w:cs="MingLiU_HKSCS"/>
          <w:lang w:val="zh-CN"/>
        </w:rPr>
        <w:t>公司不到</w:t>
      </w:r>
      <w:r>
        <w:rPr>
          <w:rFonts w:eastAsia="楷体_GB2312" w:cs="MingLiU_HKSCS"/>
          <w:lang w:val="zh-CN"/>
        </w:rPr>
        <w:t>1</w:t>
      </w:r>
      <w:r>
        <w:rPr>
          <w:rFonts w:eastAsia="楷体_GB2312" w:cs="MingLiU_HKSCS"/>
          <w:lang w:val="zh-CN"/>
        </w:rPr>
        <w:t>年就成为</w:t>
      </w:r>
      <w:r>
        <w:rPr>
          <w:rFonts w:eastAsia="楷体_GB2312" w:cs="MingLiU_HKSCS"/>
          <w:lang w:val="zh-CN"/>
        </w:rPr>
        <w:t>B</w:t>
      </w:r>
      <w:r>
        <w:rPr>
          <w:rFonts w:eastAsia="楷体_GB2312" w:cs="MingLiU_HKSCS"/>
          <w:lang w:val="zh-CN"/>
        </w:rPr>
        <w:t>公司涉案实用新型专利的发明人，因此该实用新型专利应为</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的职务发明，专利权应归</w:t>
      </w:r>
      <w:r>
        <w:rPr>
          <w:rFonts w:eastAsia="楷体_GB2312" w:cs="MingLiU_HKSCS"/>
          <w:lang w:val="zh-CN"/>
        </w:rPr>
        <w:t>A</w:t>
      </w:r>
      <w:r>
        <w:rPr>
          <w:rFonts w:eastAsia="楷体_GB2312" w:cs="MingLiU_HKSCS"/>
          <w:lang w:val="zh-CN"/>
        </w:rPr>
        <w:t>公司所有。</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法律之所以规定发明人或设计人从原单位离职后一定期限内作出的与其在原单位的本职工作或执行的工作任务有关联的发明创造属于原单位的职务发明创造，原因在于，智力活动从产生到完善具有连续性，一个熟知原单位业务的员工从原单位离职后，其在原单位积累的知识和经验、属于原单位的技术秘密等不会因其离职而消失，其在离职后一定时期内作出的发明创造往往与其在原单位承担的工作任务密切相关。如果不将上述发明创造纳入原单位的职务发明创造，将会损害原单位的合法利益。另外，这段</w:t>
      </w:r>
      <w:r>
        <w:rPr>
          <w:rFonts w:eastAsia="楷体_GB2312" w:cs="MingLiU_HKSCS"/>
          <w:lang w:val="zh-CN"/>
        </w:rPr>
        <w:t>“</w:t>
      </w:r>
      <w:r>
        <w:rPr>
          <w:rFonts w:eastAsia="楷体_GB2312" w:cs="MingLiU_HKSCS"/>
          <w:lang w:val="zh-CN"/>
        </w:rPr>
        <w:t>脱密期</w:t>
      </w:r>
      <w:r>
        <w:rPr>
          <w:rFonts w:eastAsia="楷体_GB2312" w:cs="MingLiU_HKSCS"/>
          <w:lang w:val="zh-CN"/>
        </w:rPr>
        <w:t>”</w:t>
      </w:r>
      <w:r>
        <w:rPr>
          <w:rFonts w:eastAsia="楷体_GB2312" w:cs="MingLiU_HKSCS"/>
          <w:lang w:val="zh-CN"/>
        </w:rPr>
        <w:t>又不能太长而损害发明人或设计人重新选择就业的权利。为了平衡原单位与发明人或设计人的利益，《专利法》将这一</w:t>
      </w:r>
      <w:r>
        <w:rPr>
          <w:rFonts w:eastAsia="楷体_GB2312" w:cs="MingLiU_HKSCS"/>
          <w:lang w:val="zh-CN"/>
        </w:rPr>
        <w:t>“</w:t>
      </w:r>
      <w:r>
        <w:rPr>
          <w:rFonts w:eastAsia="楷体_GB2312" w:cs="MingLiU_HKSCS"/>
          <w:lang w:val="zh-CN"/>
        </w:rPr>
        <w:t>脱密期</w:t>
      </w:r>
      <w:r>
        <w:rPr>
          <w:rFonts w:eastAsia="楷体_GB2312" w:cs="MingLiU_HKSCS"/>
          <w:lang w:val="zh-CN"/>
        </w:rPr>
        <w:t>”</w:t>
      </w:r>
      <w:r>
        <w:rPr>
          <w:rFonts w:eastAsia="楷体_GB2312" w:cs="MingLiU_HKSCS"/>
          <w:lang w:val="zh-CN"/>
        </w:rPr>
        <w:t>规定为</w:t>
      </w:r>
      <w:r>
        <w:rPr>
          <w:rFonts w:eastAsia="楷体_GB2312" w:cs="MingLiU_HKSCS"/>
          <w:lang w:val="zh-CN"/>
        </w:rPr>
        <w:t>1</w:t>
      </w:r>
      <w:r>
        <w:rPr>
          <w:rFonts w:eastAsia="楷体_GB2312" w:cs="MingLiU_HKSCS"/>
          <w:lang w:val="zh-CN"/>
        </w:rPr>
        <w:t>年。</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原本是</w:t>
      </w:r>
      <w:r>
        <w:rPr>
          <w:rFonts w:eastAsia="楷体_GB2312" w:cs="MingLiU_HKSCS"/>
          <w:lang w:val="zh-CN"/>
        </w:rPr>
        <w:t>A</w:t>
      </w:r>
      <w:r>
        <w:rPr>
          <w:rFonts w:eastAsia="楷体_GB2312" w:cs="MingLiU_HKSCS"/>
          <w:lang w:val="zh-CN"/>
        </w:rPr>
        <w:t>公司的技术研发人员，在离开</w:t>
      </w:r>
      <w:r>
        <w:rPr>
          <w:rFonts w:eastAsia="楷体_GB2312" w:cs="MingLiU_HKSCS"/>
          <w:lang w:val="zh-CN"/>
        </w:rPr>
        <w:t>A</w:t>
      </w:r>
      <w:r>
        <w:rPr>
          <w:rFonts w:eastAsia="楷体_GB2312" w:cs="MingLiU_HKSCS"/>
          <w:lang w:val="zh-CN"/>
        </w:rPr>
        <w:t>公司</w:t>
      </w:r>
      <w:r>
        <w:rPr>
          <w:rFonts w:eastAsia="楷体_GB2312" w:cs="MingLiU_HKSCS"/>
          <w:lang w:val="zh-CN"/>
        </w:rPr>
        <w:t>1</w:t>
      </w:r>
      <w:r>
        <w:rPr>
          <w:rFonts w:eastAsia="楷体_GB2312" w:cs="MingLiU_HKSCS"/>
          <w:lang w:val="zh-CN"/>
        </w:rPr>
        <w:t>年内就成为</w:t>
      </w:r>
      <w:r>
        <w:rPr>
          <w:rFonts w:eastAsia="楷体_GB2312" w:cs="MingLiU_HKSCS"/>
          <w:lang w:val="zh-CN"/>
        </w:rPr>
        <w:t>B</w:t>
      </w:r>
      <w:r>
        <w:rPr>
          <w:rFonts w:eastAsia="楷体_GB2312" w:cs="MingLiU_HKSCS" w:hint="eastAsia"/>
          <w:lang w:val="zh-CN"/>
        </w:rPr>
        <w:t>公司涉案实用新型专利的发明人。</w:t>
      </w:r>
      <w:r>
        <w:rPr>
          <w:rFonts w:eastAsia="楷体_GB2312" w:cs="MingLiU_HKSCS"/>
          <w:lang w:val="zh-CN"/>
        </w:rPr>
        <w:t>A</w:t>
      </w:r>
      <w:r>
        <w:rPr>
          <w:rFonts w:eastAsia="楷体_GB2312" w:cs="MingLiU_HKSCS" w:hint="eastAsia"/>
          <w:lang w:val="zh-CN"/>
        </w:rPr>
        <w:t>公司要证明涉案实用新型专利为甲和乙在</w:t>
      </w:r>
      <w:r>
        <w:rPr>
          <w:rFonts w:eastAsia="楷体_GB2312" w:cs="MingLiU_HKSCS"/>
          <w:lang w:val="zh-CN"/>
        </w:rPr>
        <w:t>A</w:t>
      </w:r>
      <w:r>
        <w:rPr>
          <w:rFonts w:eastAsia="楷体_GB2312" w:cs="MingLiU_HKSCS"/>
          <w:lang w:val="zh-CN"/>
        </w:rPr>
        <w:t>公司的职务发明，应当举证证明涉案实用新型专利与</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在</w:t>
      </w:r>
      <w:r>
        <w:rPr>
          <w:rFonts w:eastAsia="楷体_GB2312" w:cs="MingLiU_HKSCS"/>
          <w:lang w:val="zh-CN"/>
        </w:rPr>
        <w:t>A</w:t>
      </w:r>
      <w:r>
        <w:rPr>
          <w:rFonts w:eastAsia="楷体_GB2312" w:cs="MingLiU_HKSCS"/>
          <w:lang w:val="zh-CN"/>
        </w:rPr>
        <w:t>公司工作期间承担的本职工作或者</w:t>
      </w:r>
      <w:r>
        <w:rPr>
          <w:rFonts w:eastAsia="楷体_GB2312" w:cs="MingLiU_HKSCS"/>
          <w:lang w:val="zh-CN"/>
        </w:rPr>
        <w:t>A</w:t>
      </w:r>
      <w:r>
        <w:rPr>
          <w:rFonts w:eastAsia="楷体_GB2312" w:cs="MingLiU_HKSCS"/>
          <w:lang w:val="zh-CN"/>
        </w:rPr>
        <w:t>公司分配的任务有关。如果</w:t>
      </w:r>
      <w:r>
        <w:rPr>
          <w:rFonts w:eastAsia="楷体_GB2312" w:cs="MingLiU_HKSCS"/>
          <w:lang w:val="zh-CN"/>
        </w:rPr>
        <w:t>A</w:t>
      </w:r>
      <w:r>
        <w:rPr>
          <w:rFonts w:eastAsia="楷体_GB2312" w:cs="MingLiU_HKSCS"/>
          <w:lang w:val="zh-CN"/>
        </w:rPr>
        <w:t>公司不能完成该项举证责任，</w:t>
      </w:r>
      <w:r>
        <w:rPr>
          <w:rFonts w:eastAsia="楷体_GB2312" w:cs="MingLiU_HKSCS"/>
          <w:lang w:val="zh-CN"/>
        </w:rPr>
        <w:t>A</w:t>
      </w:r>
      <w:r>
        <w:rPr>
          <w:rFonts w:eastAsia="楷体_GB2312" w:cs="MingLiU_HKSCS"/>
          <w:lang w:val="zh-CN"/>
        </w:rPr>
        <w:t>公司不可能拥有该项专利。该案中，</w:t>
      </w:r>
      <w:r>
        <w:rPr>
          <w:rFonts w:eastAsia="楷体_GB2312" w:cs="MingLiU_HKSCS"/>
          <w:lang w:val="zh-CN"/>
        </w:rPr>
        <w:t>A</w:t>
      </w:r>
      <w:r>
        <w:rPr>
          <w:rFonts w:eastAsia="楷体_GB2312" w:cs="MingLiU_HKSCS"/>
          <w:lang w:val="zh-CN"/>
        </w:rPr>
        <w:t>公司未能证明上述内容，且</w:t>
      </w:r>
      <w:r>
        <w:rPr>
          <w:rFonts w:eastAsia="楷体_GB2312" w:cs="MingLiU_HKSCS"/>
          <w:lang w:val="zh-CN"/>
        </w:rPr>
        <w:t>B</w:t>
      </w:r>
      <w:r>
        <w:rPr>
          <w:rFonts w:eastAsia="楷体_GB2312" w:cs="MingLiU_HKSCS"/>
          <w:lang w:val="zh-CN"/>
        </w:rPr>
        <w:t>公司提供的证据表明，在</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到</w:t>
      </w:r>
      <w:r>
        <w:rPr>
          <w:rFonts w:eastAsia="楷体_GB2312" w:cs="MingLiU_HKSCS"/>
          <w:lang w:val="zh-CN"/>
        </w:rPr>
        <w:t>B</w:t>
      </w:r>
      <w:r>
        <w:rPr>
          <w:rFonts w:eastAsia="楷体_GB2312" w:cs="MingLiU_HKSCS"/>
          <w:lang w:val="zh-CN"/>
        </w:rPr>
        <w:t>公司工作之前，</w:t>
      </w:r>
      <w:r>
        <w:rPr>
          <w:rFonts w:eastAsia="楷体_GB2312" w:cs="MingLiU_HKSCS"/>
          <w:lang w:val="zh-CN"/>
        </w:rPr>
        <w:t>B</w:t>
      </w:r>
      <w:r>
        <w:rPr>
          <w:rFonts w:eastAsia="楷体_GB2312" w:cs="MingLiU_HKSCS"/>
          <w:lang w:val="zh-CN"/>
        </w:rPr>
        <w:t>公司已经申请了涉案专利，且请求书中表明发明人为</w:t>
      </w:r>
      <w:r>
        <w:rPr>
          <w:rFonts w:eastAsia="楷体_GB2312" w:cs="MingLiU_HKSCS" w:hint="eastAsia"/>
          <w:lang w:val="zh-CN"/>
        </w:rPr>
        <w:t>丙</w:t>
      </w:r>
      <w:r>
        <w:rPr>
          <w:rFonts w:eastAsia="楷体_GB2312" w:cs="MingLiU_HKSCS"/>
          <w:lang w:val="zh-CN"/>
        </w:rPr>
        <w:t>和</w:t>
      </w:r>
      <w:r>
        <w:rPr>
          <w:rFonts w:eastAsia="楷体_GB2312" w:cs="MingLiU_HKSCS" w:hint="eastAsia"/>
          <w:lang w:val="zh-CN"/>
        </w:rPr>
        <w:t>丁</w:t>
      </w:r>
      <w:r>
        <w:rPr>
          <w:rFonts w:eastAsia="楷体_GB2312" w:cs="MingLiU_HKSCS"/>
          <w:lang w:val="zh-CN"/>
        </w:rPr>
        <w:t>，也就是说，在</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到</w:t>
      </w:r>
      <w:r>
        <w:rPr>
          <w:rFonts w:eastAsia="楷体_GB2312" w:cs="MingLiU_HKSCS"/>
          <w:lang w:val="zh-CN"/>
        </w:rPr>
        <w:t>B</w:t>
      </w:r>
      <w:r>
        <w:rPr>
          <w:rFonts w:eastAsia="楷体_GB2312" w:cs="MingLiU_HKSCS"/>
          <w:lang w:val="zh-CN"/>
        </w:rPr>
        <w:t>公司工作之前，</w:t>
      </w:r>
      <w:r>
        <w:rPr>
          <w:rFonts w:eastAsia="楷体_GB2312" w:cs="MingLiU_HKSCS"/>
          <w:lang w:val="zh-CN"/>
        </w:rPr>
        <w:t>B</w:t>
      </w:r>
      <w:r>
        <w:rPr>
          <w:rFonts w:eastAsia="楷体_GB2312" w:cs="MingLiU_HKSCS"/>
          <w:lang w:val="zh-CN"/>
        </w:rPr>
        <w:t>公司已经掌握了涉案专利技术。因此，涉案专利不可能属于</w:t>
      </w:r>
      <w:r>
        <w:rPr>
          <w:rFonts w:eastAsia="楷体_GB2312" w:cs="MingLiU_HKSCS"/>
          <w:lang w:val="zh-CN"/>
        </w:rPr>
        <w:t>A</w:t>
      </w:r>
      <w:r>
        <w:rPr>
          <w:rFonts w:eastAsia="楷体_GB2312" w:cs="MingLiU_HKSCS"/>
          <w:lang w:val="zh-CN"/>
        </w:rPr>
        <w:t>公司的职务发明。</w:t>
      </w:r>
    </w:p>
    <w:p w:rsidR="00800760" w:rsidRDefault="00235733">
      <w:pPr>
        <w:spacing w:line="360" w:lineRule="auto"/>
        <w:rPr>
          <w:rFonts w:eastAsia="楷体" w:cs="楷体"/>
        </w:rPr>
      </w:pPr>
      <w:r>
        <w:rPr>
          <w:rFonts w:eastAsia="楷体_GB2312" w:cs="MingLiU_HKSCS"/>
          <w:lang w:val="zh-CN"/>
        </w:rPr>
        <w:t>需要说明的是，该案例旨在说明一定期限内与原单位有关联的发明创造的专利权属纠纷，案中《关于转让专利设计人的合同》所涉及的发明人署名资格转让并不符合相关法律、法规的规定。</w:t>
      </w:r>
    </w:p>
    <w:p w:rsidR="00800760" w:rsidRDefault="00235733">
      <w:pPr>
        <w:pStyle w:val="4"/>
        <w:spacing w:before="240"/>
        <w:ind w:firstLineChars="0" w:firstLine="532"/>
        <w:rPr>
          <w:rFonts w:ascii="Times New Roman" w:hAnsi="Times New Roman" w:cs="黑体"/>
          <w:spacing w:val="0"/>
        </w:rPr>
      </w:pPr>
      <w:r>
        <w:rPr>
          <w:rFonts w:ascii="Times New Roman" w:hAnsi="Times New Roman" w:cs="黑体"/>
          <w:spacing w:val="0"/>
        </w:rPr>
        <w:t>(</w:t>
      </w:r>
      <w:r>
        <w:rPr>
          <w:rFonts w:ascii="Times New Roman" w:hAnsi="Times New Roman" w:cs="黑体"/>
          <w:spacing w:val="0"/>
        </w:rPr>
        <w:t>四</w:t>
      </w:r>
      <w:r>
        <w:rPr>
          <w:rFonts w:ascii="Times New Roman" w:hAnsi="Times New Roman" w:cs="黑体"/>
          <w:spacing w:val="0"/>
        </w:rPr>
        <w:t>)</w:t>
      </w:r>
      <w:r>
        <w:rPr>
          <w:rFonts w:ascii="Times New Roman" w:hAnsi="Times New Roman" w:cs="黑体"/>
          <w:spacing w:val="0"/>
        </w:rPr>
        <w:t>主要</w:t>
      </w:r>
      <w:r>
        <w:rPr>
          <w:rFonts w:ascii="Times New Roman" w:hAnsi="Times New Roman" w:cs="黑体" w:hint="eastAsia"/>
          <w:spacing w:val="0"/>
        </w:rPr>
        <w:t>是</w:t>
      </w:r>
      <w:r>
        <w:rPr>
          <w:rFonts w:ascii="Times New Roman" w:hAnsi="Times New Roman" w:cs="黑体"/>
          <w:spacing w:val="0"/>
        </w:rPr>
        <w:t>利用本单位的物质技术条件完成的发明创造</w:t>
      </w:r>
    </w:p>
    <w:p w:rsidR="00800760" w:rsidRDefault="00235733">
      <w:pPr>
        <w:ind w:firstLine="436"/>
        <w:jc w:val="both"/>
        <w:rPr>
          <w:rFonts w:cs="宋体"/>
          <w:spacing w:val="4"/>
        </w:rPr>
      </w:pPr>
      <w:r>
        <w:rPr>
          <w:rFonts w:cs="宋体"/>
          <w:spacing w:val="4"/>
        </w:rPr>
        <w:t>“</w:t>
      </w:r>
      <w:r>
        <w:rPr>
          <w:rFonts w:cs="宋体"/>
          <w:spacing w:val="4"/>
        </w:rPr>
        <w:t>主要</w:t>
      </w:r>
      <w:r>
        <w:rPr>
          <w:rFonts w:cs="宋体" w:hint="eastAsia"/>
          <w:spacing w:val="4"/>
        </w:rPr>
        <w:t>是</w:t>
      </w:r>
      <w:r>
        <w:rPr>
          <w:rFonts w:cs="宋体"/>
          <w:spacing w:val="4"/>
        </w:rPr>
        <w:t>利用本单位的物质技术条件完成的发明创造</w:t>
      </w:r>
      <w:r>
        <w:rPr>
          <w:rFonts w:cs="宋体"/>
          <w:spacing w:val="4"/>
        </w:rPr>
        <w:t>”,</w:t>
      </w:r>
      <w:r>
        <w:rPr>
          <w:rFonts w:cs="宋体"/>
          <w:spacing w:val="4"/>
        </w:rPr>
        <w:t>是指发明人或设计人在本职工作或本单位交付的其他任务以外，按照自己的意志主动完成的发明创造，在该发明创造的完成过程中，全部或者大部分利用了单位的资金、设备、器材或者原材料等物质条件，或者发明创造的实质性内容基于该单位尚未公开的技术成果、阶段性技术成果或者关键技术。对利用本单位提供的物质技术条件，约定返还资金或者交纳使用费的除外。</w:t>
      </w:r>
    </w:p>
    <w:p w:rsidR="00800760" w:rsidRDefault="00235733">
      <w:pPr>
        <w:ind w:firstLine="436"/>
        <w:jc w:val="both"/>
        <w:rPr>
          <w:rFonts w:cs="宋体"/>
          <w:spacing w:val="4"/>
        </w:rPr>
      </w:pPr>
      <w:r>
        <w:rPr>
          <w:rFonts w:cs="宋体"/>
          <w:spacing w:val="4"/>
        </w:rPr>
        <w:t>判断发明创造的作出是否主要利用了本单位的物质技术条件，要考虑本单位的物质技术条件是否属于完成发明创造不可或缺或不可替代的前提条件，或者所利用的本单位的物质技术条件是否对发明创造的完成具有实质性贡献或起到决定性作用。在研究开发过程中利用本单位已公开或者已为本领域普通技术人员公知的技术信息，或者仅在发明创造完成后利用本单位的物质技术条件对技术方案进行验证、测试的，不属于主要利用本单位的物质技术条件。</w:t>
      </w:r>
    </w:p>
    <w:p w:rsidR="00800760" w:rsidRDefault="00235733">
      <w:pPr>
        <w:ind w:firstLine="436"/>
        <w:jc w:val="both"/>
        <w:rPr>
          <w:rFonts w:cs="宋体"/>
        </w:rPr>
      </w:pPr>
      <w:r>
        <w:rPr>
          <w:rFonts w:cs="宋体"/>
          <w:spacing w:val="4"/>
        </w:rPr>
        <w:t>如果对本单位的物质技术条件的利用只是少量的、可有可无的，或者所述物质技术条件对发明创造的完成没有起到实质性帮助，则不被认为达到</w:t>
      </w:r>
      <w:r>
        <w:rPr>
          <w:rFonts w:cs="宋体"/>
          <w:spacing w:val="4"/>
        </w:rPr>
        <w:t>“</w:t>
      </w:r>
      <w:r>
        <w:rPr>
          <w:rFonts w:cs="宋体"/>
          <w:spacing w:val="4"/>
        </w:rPr>
        <w:t>主要利用本单位的物质技术条件</w:t>
      </w:r>
      <w:r>
        <w:rPr>
          <w:rFonts w:cs="宋体"/>
          <w:spacing w:val="4"/>
        </w:rPr>
        <w:t>”</w:t>
      </w:r>
      <w:r>
        <w:rPr>
          <w:rFonts w:cs="宋体"/>
          <w:spacing w:val="4"/>
        </w:rPr>
        <w:t>的程度。</w:t>
      </w:r>
    </w:p>
    <w:p w:rsidR="00800760" w:rsidRDefault="00235733">
      <w:pPr>
        <w:pStyle w:val="af6"/>
        <w:spacing w:before="120"/>
        <w:ind w:firstLine="420"/>
      </w:pPr>
      <w:r>
        <w:rPr>
          <w:rFonts w:hint="eastAsia"/>
        </w:rPr>
        <w:t>【案例</w:t>
      </w:r>
      <w:r>
        <w:t>3-1-7</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为某医院的退休职工，其在该医院工作期间的本职工作是临床工作。</w:t>
      </w:r>
      <w:r>
        <w:rPr>
          <w:rFonts w:eastAsia="楷体_GB2312" w:cs="MingLiU_HKSCS" w:hint="eastAsia"/>
          <w:lang w:val="zh-CN"/>
        </w:rPr>
        <w:t>甲</w:t>
      </w:r>
      <w:r>
        <w:rPr>
          <w:rFonts w:eastAsia="楷体_GB2312" w:cs="MingLiU_HKSCS"/>
          <w:lang w:val="zh-CN"/>
        </w:rPr>
        <w:t>在该医院工作期间，作为主要完成人员参与了该医院研制的新药</w:t>
      </w:r>
      <w:r>
        <w:rPr>
          <w:rFonts w:eastAsia="楷体_GB2312" w:cs="MingLiU_HKSCS"/>
          <w:lang w:val="zh-CN"/>
        </w:rPr>
        <w:t>“</w:t>
      </w:r>
      <w:r>
        <w:rPr>
          <w:rFonts w:eastAsia="楷体_GB2312" w:cs="MingLiU_HKSCS"/>
          <w:lang w:val="zh-CN"/>
        </w:rPr>
        <w:t>癌灵</w:t>
      </w:r>
      <w:r>
        <w:rPr>
          <w:rFonts w:eastAsia="楷体_GB2312" w:cs="MingLiU_HKSCS"/>
          <w:lang w:val="zh-CN"/>
        </w:rPr>
        <w:t>1</w:t>
      </w:r>
      <w:r>
        <w:rPr>
          <w:rFonts w:eastAsia="楷体_GB2312" w:cs="MingLiU_HKSCS"/>
          <w:lang w:val="zh-CN"/>
        </w:rPr>
        <w:t>号注射液</w:t>
      </w:r>
      <w:r>
        <w:rPr>
          <w:rFonts w:eastAsia="楷体_GB2312" w:cs="MingLiU_HKSCS"/>
          <w:lang w:val="zh-CN"/>
        </w:rPr>
        <w:t>”</w:t>
      </w:r>
      <w:r>
        <w:rPr>
          <w:rFonts w:eastAsia="楷体_GB2312" w:cs="MingLiU_HKSCS"/>
          <w:lang w:val="zh-CN"/>
        </w:rPr>
        <w:t>的临床与试验研究项目组的工作，负责临床研究。在此过程中，</w:t>
      </w:r>
      <w:r>
        <w:rPr>
          <w:rFonts w:eastAsia="楷体_GB2312" w:cs="MingLiU_HKSCS" w:hint="eastAsia"/>
          <w:lang w:val="zh-CN"/>
        </w:rPr>
        <w:t>甲</w:t>
      </w:r>
      <w:r>
        <w:rPr>
          <w:rFonts w:eastAsia="楷体_GB2312" w:cs="MingLiU_HKSCS"/>
          <w:lang w:val="zh-CN"/>
        </w:rPr>
        <w:t>对该药物的剂型及处方组成的改进提出了构思和建议。后该医院将该药物申请了专利并获得授权，</w:t>
      </w:r>
      <w:r>
        <w:rPr>
          <w:rFonts w:eastAsia="楷体_GB2312" w:cs="MingLiU_HKSCS" w:hint="eastAsia"/>
          <w:lang w:val="zh-CN"/>
        </w:rPr>
        <w:t>甲</w:t>
      </w:r>
      <w:r>
        <w:rPr>
          <w:rFonts w:eastAsia="楷体_GB2312" w:cs="MingLiU_HKSCS"/>
          <w:lang w:val="zh-CN"/>
        </w:rPr>
        <w:t>是发明人之一。</w:t>
      </w:r>
      <w:r>
        <w:rPr>
          <w:rFonts w:eastAsia="楷体_GB2312" w:cs="MingLiU_HKSCS" w:hint="eastAsia"/>
          <w:lang w:val="zh-CN"/>
        </w:rPr>
        <w:t>甲</w:t>
      </w:r>
      <w:r>
        <w:rPr>
          <w:rFonts w:eastAsia="楷体_GB2312" w:cs="MingLiU_HKSCS"/>
          <w:lang w:val="zh-CN"/>
        </w:rPr>
        <w:t>认为该专利是其本人独立完成的，且其对处方的改进不属于本职工作，因此该专利应属于非职务发明，专利权应归其个人所有。</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hint="eastAsia"/>
          <w:lang w:val="zh-CN"/>
        </w:rPr>
        <w:t>甲</w:t>
      </w:r>
      <w:r>
        <w:rPr>
          <w:rFonts w:eastAsia="楷体_GB2312" w:cs="MingLiU_HKSCS"/>
          <w:lang w:val="zh-CN"/>
        </w:rPr>
        <w:t>的本职工作是临床工作，该医院交付给</w:t>
      </w:r>
      <w:r>
        <w:rPr>
          <w:rFonts w:eastAsia="楷体_GB2312" w:cs="MingLiU_HKSCS" w:hint="eastAsia"/>
          <w:lang w:val="zh-CN"/>
        </w:rPr>
        <w:t>甲</w:t>
      </w:r>
      <w:r>
        <w:rPr>
          <w:rFonts w:eastAsia="楷体_GB2312" w:cs="MingLiU_HKSCS"/>
          <w:lang w:val="zh-CN"/>
        </w:rPr>
        <w:t>的除本职工作之外的任务是</w:t>
      </w:r>
      <w:r>
        <w:rPr>
          <w:rFonts w:eastAsia="楷体_GB2312" w:cs="MingLiU_HKSCS"/>
          <w:lang w:val="zh-CN"/>
        </w:rPr>
        <w:t>“</w:t>
      </w:r>
      <w:r>
        <w:rPr>
          <w:rFonts w:eastAsia="楷体_GB2312" w:cs="MingLiU_HKSCS"/>
          <w:lang w:val="zh-CN"/>
        </w:rPr>
        <w:t>癌灵</w:t>
      </w:r>
      <w:r>
        <w:rPr>
          <w:rFonts w:eastAsia="楷体_GB2312" w:cs="MingLiU_HKSCS"/>
          <w:lang w:val="zh-CN"/>
        </w:rPr>
        <w:t>1</w:t>
      </w:r>
      <w:r>
        <w:rPr>
          <w:rFonts w:eastAsia="楷体_GB2312" w:cs="MingLiU_HKSCS"/>
          <w:lang w:val="zh-CN"/>
        </w:rPr>
        <w:t>号注射液</w:t>
      </w:r>
      <w:r>
        <w:rPr>
          <w:rFonts w:eastAsia="楷体_GB2312" w:cs="MingLiU_HKSCS"/>
          <w:lang w:val="zh-CN"/>
        </w:rPr>
        <w:t>”</w:t>
      </w:r>
      <w:r>
        <w:rPr>
          <w:rFonts w:eastAsia="楷体_GB2312" w:cs="MingLiU_HKSCS"/>
          <w:lang w:val="zh-CN"/>
        </w:rPr>
        <w:t>的临床与试验研究项目组的临床研究工作。因此，</w:t>
      </w:r>
      <w:r>
        <w:rPr>
          <w:rFonts w:eastAsia="楷体_GB2312" w:cs="MingLiU_HKSCS" w:hint="eastAsia"/>
          <w:lang w:val="zh-CN"/>
        </w:rPr>
        <w:t>甲</w:t>
      </w:r>
      <w:r>
        <w:rPr>
          <w:rFonts w:eastAsia="楷体_GB2312" w:cs="MingLiU_HKSCS"/>
          <w:lang w:val="zh-CN"/>
        </w:rPr>
        <w:t>对药</w:t>
      </w:r>
      <w:bookmarkStart w:id="6808" w:name="bookmark183"/>
      <w:bookmarkEnd w:id="6808"/>
      <w:r>
        <w:rPr>
          <w:rFonts w:eastAsia="楷体_GB2312" w:cs="MingLiU_HKSCS"/>
          <w:lang w:val="zh-CN"/>
        </w:rPr>
        <w:t>物处方的改进并不是执行本单位的任务。</w:t>
      </w:r>
    </w:p>
    <w:p w:rsidR="00800760" w:rsidRDefault="00235733">
      <w:pPr>
        <w:spacing w:line="360" w:lineRule="auto"/>
        <w:rPr>
          <w:rFonts w:eastAsia="楷体_GB2312" w:cs="MingLiU_HKSCS"/>
          <w:lang w:val="zh-CN"/>
        </w:rPr>
      </w:pPr>
      <w:r>
        <w:rPr>
          <w:rFonts w:eastAsia="楷体_GB2312" w:cs="MingLiU_HKSCS"/>
          <w:lang w:val="zh-CN"/>
        </w:rPr>
        <w:t>但是，新药的研制开发是由该医院的项目组完成的，</w:t>
      </w:r>
      <w:r>
        <w:rPr>
          <w:rFonts w:eastAsia="楷体_GB2312" w:cs="MingLiU_HKSCS" w:hint="eastAsia"/>
          <w:lang w:val="zh-CN"/>
        </w:rPr>
        <w:t>甲</w:t>
      </w:r>
      <w:r>
        <w:rPr>
          <w:rFonts w:eastAsia="楷体_GB2312" w:cs="MingLiU_HKSCS"/>
          <w:lang w:val="zh-CN"/>
        </w:rPr>
        <w:t>是项目组成员之一，该项发明创造由医院提出研究方向、项目要求等，并提供临床观察等研究条件，研究过程体现的是该单位的意志。</w:t>
      </w:r>
      <w:r>
        <w:rPr>
          <w:rFonts w:eastAsia="楷体_GB2312" w:cs="MingLiU_HKSCS" w:hint="eastAsia"/>
          <w:lang w:val="zh-CN"/>
        </w:rPr>
        <w:t>甲</w:t>
      </w:r>
      <w:r>
        <w:rPr>
          <w:rFonts w:eastAsia="楷体_GB2312" w:cs="MingLiU_HKSCS"/>
          <w:lang w:val="zh-CN"/>
        </w:rPr>
        <w:t>提出技术方案的构思或想法虽对专利的完成具有重要的意义，但中药药物的研制完成不仅仅包括确定处方的组成，还包括后续的一系列药学、药物制备、药理、药效、毒性、临床试验等研究，药品研发的各个阶段形成复方药品研制的有机整体。没有证据表明</w:t>
      </w:r>
      <w:r>
        <w:rPr>
          <w:rFonts w:eastAsia="楷体_GB2312" w:cs="MingLiU_HKSCS" w:hint="eastAsia"/>
          <w:lang w:val="zh-CN"/>
        </w:rPr>
        <w:t>甲</w:t>
      </w:r>
      <w:r>
        <w:rPr>
          <w:rFonts w:eastAsia="楷体_GB2312" w:cs="MingLiU_HKSCS"/>
          <w:lang w:val="zh-CN"/>
        </w:rPr>
        <w:t>作为临床医师完成了临床工作以外的药品研制的其他工作，其对处方组成的改进主要是利用了医院的资金、设备、原材料或者不对外公开的技术资料等物质技术条件，且也仅为构思和建议，不足以形成一个完整的发明专利，因此其发明创造属于职务发明创造。通常情况下，执行本单位的任务客观上应当主要利用本单位的物质技术条件。在执行本单位任务的情况下，对本单位物质技术条件的利用应当被认为属于执行本单位任务的情形，直接判定相关发明创造属于职务发明创造，无须另行认定其是否属于</w:t>
      </w:r>
      <w:r>
        <w:rPr>
          <w:rFonts w:eastAsia="楷体_GB2312" w:cs="MingLiU_HKSCS"/>
          <w:lang w:val="zh-CN"/>
        </w:rPr>
        <w:t>“</w:t>
      </w:r>
      <w:r>
        <w:rPr>
          <w:rFonts w:eastAsia="楷体_GB2312" w:cs="MingLiU_HKSCS"/>
          <w:lang w:val="zh-CN"/>
        </w:rPr>
        <w:t>主要是利用本单位的物质技术条件</w:t>
      </w:r>
      <w:r>
        <w:rPr>
          <w:rFonts w:eastAsia="楷体_GB2312" w:cs="MingLiU_HKSCS"/>
          <w:lang w:val="zh-CN"/>
        </w:rPr>
        <w:t>”</w:t>
      </w:r>
      <w:r>
        <w:rPr>
          <w:rFonts w:eastAsia="楷体_GB2312" w:cs="MingLiU_HKSCS"/>
          <w:lang w:val="zh-CN"/>
        </w:rPr>
        <w:t>的情形。</w:t>
      </w:r>
    </w:p>
    <w:p w:rsidR="00800760" w:rsidRDefault="00235733">
      <w:pPr>
        <w:pStyle w:val="af6"/>
        <w:spacing w:before="120"/>
        <w:ind w:firstLine="420"/>
      </w:pPr>
      <w:r>
        <w:rPr>
          <w:rFonts w:hint="eastAsia"/>
        </w:rPr>
        <w:t>【案例</w:t>
      </w:r>
      <w:r>
        <w:t>3-1-8</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经过长期研究，开发出一种能源转换技术和设备，并提供图纸委托他人加工制造了一台能源转换设备。</w:t>
      </w:r>
      <w:r>
        <w:rPr>
          <w:rFonts w:eastAsia="楷体_GB2312" w:cs="MingLiU_HKSCS"/>
          <w:lang w:val="zh-CN"/>
        </w:rPr>
        <w:t>1999</w:t>
      </w:r>
      <w:r>
        <w:rPr>
          <w:rFonts w:eastAsia="楷体_GB2312" w:cs="MingLiU_HKSCS"/>
          <w:lang w:val="zh-CN"/>
        </w:rPr>
        <w:t>年</w:t>
      </w:r>
      <w:r>
        <w:rPr>
          <w:rFonts w:eastAsia="楷体_GB2312" w:cs="MingLiU_HKSCS"/>
          <w:lang w:val="zh-CN"/>
        </w:rPr>
        <w:t>1</w:t>
      </w:r>
      <w:r>
        <w:rPr>
          <w:rFonts w:eastAsia="楷体_GB2312" w:cs="MingLiU_HKSCS"/>
          <w:lang w:val="zh-CN"/>
        </w:rPr>
        <w:t>月，</w:t>
      </w:r>
      <w:r>
        <w:rPr>
          <w:rFonts w:eastAsia="楷体_GB2312" w:cs="MingLiU_HKSCS" w:hint="eastAsia"/>
          <w:lang w:val="zh-CN"/>
        </w:rPr>
        <w:t>甲</w:t>
      </w:r>
      <w:r>
        <w:rPr>
          <w:rFonts w:eastAsia="楷体_GB2312" w:cs="MingLiU_HKSCS"/>
          <w:lang w:val="zh-CN"/>
        </w:rPr>
        <w:t>以该设备为固定资产作实物出资，与</w:t>
      </w:r>
      <w:r>
        <w:rPr>
          <w:rFonts w:eastAsia="楷体_GB2312" w:cs="MingLiU_HKSCS" w:hint="eastAsia"/>
          <w:lang w:val="zh-CN"/>
        </w:rPr>
        <w:t>乙</w:t>
      </w:r>
      <w:r>
        <w:rPr>
          <w:rFonts w:eastAsia="楷体_GB2312" w:cs="MingLiU_HKSCS"/>
          <w:lang w:val="zh-CN"/>
        </w:rPr>
        <w:t>一起注册成立</w:t>
      </w:r>
      <w:r>
        <w:rPr>
          <w:rFonts w:eastAsia="楷体_GB2312" w:cs="MingLiU_HKSCS"/>
          <w:lang w:val="zh-CN"/>
        </w:rPr>
        <w:t>A</w:t>
      </w:r>
      <w:r>
        <w:rPr>
          <w:rFonts w:eastAsia="楷体_GB2312" w:cs="MingLiU_HKSCS"/>
          <w:lang w:val="zh-CN"/>
        </w:rPr>
        <w:t>公司。</w:t>
      </w:r>
      <w:r>
        <w:rPr>
          <w:rFonts w:eastAsia="楷体_GB2312" w:cs="MingLiU_HKSCS"/>
          <w:lang w:val="zh-CN"/>
        </w:rPr>
        <w:t>A</w:t>
      </w:r>
      <w:r>
        <w:rPr>
          <w:rFonts w:eastAsia="楷体_GB2312" w:cs="MingLiU_HKSCS"/>
          <w:lang w:val="zh-CN"/>
        </w:rPr>
        <w:t>公司于</w:t>
      </w:r>
      <w:r>
        <w:rPr>
          <w:rFonts w:eastAsia="楷体_GB2312" w:cs="MingLiU_HKSCS"/>
          <w:lang w:val="zh-CN"/>
        </w:rPr>
        <w:t>1999</w:t>
      </w:r>
      <w:r>
        <w:rPr>
          <w:rFonts w:eastAsia="楷体_GB2312" w:cs="MingLiU_HKSCS"/>
          <w:lang w:val="zh-CN"/>
        </w:rPr>
        <w:t>年</w:t>
      </w:r>
      <w:r>
        <w:rPr>
          <w:rFonts w:eastAsia="楷体_GB2312" w:cs="MingLiU_HKSCS"/>
          <w:lang w:val="zh-CN"/>
        </w:rPr>
        <w:t>8</w:t>
      </w:r>
      <w:r>
        <w:rPr>
          <w:rFonts w:eastAsia="楷体_GB2312" w:cs="MingLiU_HKSCS"/>
          <w:lang w:val="zh-CN"/>
        </w:rPr>
        <w:t>月申请了名称为</w:t>
      </w:r>
      <w:r>
        <w:rPr>
          <w:rFonts w:eastAsia="楷体_GB2312" w:cs="MingLiU_HKSCS"/>
          <w:lang w:val="zh-CN"/>
        </w:rPr>
        <w:t>“</w:t>
      </w:r>
      <w:r>
        <w:rPr>
          <w:rFonts w:eastAsia="楷体_GB2312" w:cs="MingLiU_HKSCS"/>
          <w:lang w:val="zh-CN"/>
        </w:rPr>
        <w:t>一种可燃性垃圾的处理方法</w:t>
      </w:r>
      <w:r>
        <w:rPr>
          <w:rFonts w:eastAsia="楷体_GB2312" w:cs="MingLiU_HKSCS"/>
          <w:lang w:val="zh-CN"/>
        </w:rPr>
        <w:t>”</w:t>
      </w:r>
      <w:r>
        <w:rPr>
          <w:rFonts w:eastAsia="楷体_GB2312" w:cs="MingLiU_HKSCS"/>
          <w:lang w:val="zh-CN"/>
        </w:rPr>
        <w:t>的发明专利并获得授权，发明人为</w:t>
      </w:r>
      <w:r>
        <w:rPr>
          <w:rFonts w:eastAsia="楷体_GB2312" w:cs="MingLiU_HKSCS" w:hint="eastAsia"/>
          <w:lang w:val="zh-CN"/>
        </w:rPr>
        <w:t>甲</w:t>
      </w:r>
      <w:r>
        <w:rPr>
          <w:rFonts w:eastAsia="楷体_GB2312" w:cs="MingLiU_HKSCS"/>
          <w:lang w:val="zh-CN"/>
        </w:rPr>
        <w:t>。</w:t>
      </w:r>
      <w:r>
        <w:rPr>
          <w:rFonts w:eastAsia="楷体_GB2312" w:cs="MingLiU_HKSCS"/>
          <w:lang w:val="zh-CN"/>
        </w:rPr>
        <w:t>2001</w:t>
      </w:r>
      <w:r>
        <w:rPr>
          <w:rFonts w:eastAsia="楷体_GB2312" w:cs="MingLiU_HKSCS"/>
          <w:lang w:val="zh-CN"/>
        </w:rPr>
        <w:t>年</w:t>
      </w:r>
      <w:r>
        <w:rPr>
          <w:rFonts w:eastAsia="楷体_GB2312" w:cs="MingLiU_HKSCS"/>
          <w:lang w:val="zh-CN"/>
        </w:rPr>
        <w:t>1</w:t>
      </w:r>
      <w:r>
        <w:rPr>
          <w:rFonts w:eastAsia="楷体_GB2312" w:cs="MingLiU_HKSCS"/>
          <w:lang w:val="zh-CN"/>
        </w:rPr>
        <w:t>月，</w:t>
      </w:r>
      <w:r>
        <w:rPr>
          <w:rFonts w:eastAsia="楷体_GB2312" w:cs="MingLiU_HKSCS" w:hint="eastAsia"/>
          <w:lang w:val="zh-CN"/>
        </w:rPr>
        <w:t>甲</w:t>
      </w:r>
      <w:r>
        <w:rPr>
          <w:rFonts w:eastAsia="楷体_GB2312" w:cs="MingLiU_HKSCS"/>
          <w:lang w:val="zh-CN"/>
        </w:rPr>
        <w:t>与</w:t>
      </w:r>
      <w:r>
        <w:rPr>
          <w:rFonts w:eastAsia="楷体_GB2312" w:cs="MingLiU_HKSCS"/>
          <w:lang w:val="zh-CN"/>
        </w:rPr>
        <w:t>B</w:t>
      </w:r>
      <w:r>
        <w:rPr>
          <w:rFonts w:eastAsia="楷体_GB2312" w:cs="MingLiU_HKSCS"/>
          <w:lang w:val="zh-CN"/>
        </w:rPr>
        <w:t>公司的</w:t>
      </w:r>
      <w:r>
        <w:rPr>
          <w:rFonts w:eastAsia="楷体_GB2312" w:cs="MingLiU_HKSCS" w:hint="eastAsia"/>
          <w:lang w:val="zh-CN"/>
        </w:rPr>
        <w:t>丙</w:t>
      </w:r>
      <w:r>
        <w:rPr>
          <w:rFonts w:eastAsia="楷体_GB2312" w:cs="MingLiU_HKSCS"/>
          <w:lang w:val="zh-CN"/>
        </w:rPr>
        <w:t>共同申请了名称为</w:t>
      </w:r>
      <w:r>
        <w:rPr>
          <w:rFonts w:eastAsia="楷体_GB2312" w:cs="MingLiU_HKSCS"/>
          <w:lang w:val="zh-CN"/>
        </w:rPr>
        <w:t>“</w:t>
      </w:r>
      <w:r>
        <w:rPr>
          <w:rFonts w:eastAsia="楷体_GB2312" w:cs="MingLiU_HKSCS"/>
          <w:lang w:val="zh-CN"/>
        </w:rPr>
        <w:t>无害化处理垃圾的高温裂解炉及回收装置</w:t>
      </w:r>
      <w:r>
        <w:rPr>
          <w:rFonts w:eastAsia="楷体_GB2312" w:cs="MingLiU_HKSCS"/>
          <w:lang w:val="zh-CN"/>
        </w:rPr>
        <w:t>”</w:t>
      </w:r>
      <w:r>
        <w:rPr>
          <w:rFonts w:eastAsia="楷体_GB2312" w:cs="MingLiU_HKSCS"/>
          <w:lang w:val="zh-CN"/>
        </w:rPr>
        <w:t>的实用新型专利并获得授权，专利权人和发明人均为</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丙</w:t>
      </w:r>
      <w:r>
        <w:rPr>
          <w:rFonts w:eastAsia="楷体_GB2312" w:cs="MingLiU_HKSCS"/>
          <w:lang w:val="zh-CN"/>
        </w:rPr>
        <w:t>。</w:t>
      </w:r>
      <w:r>
        <w:rPr>
          <w:rFonts w:eastAsia="楷体_GB2312" w:cs="MingLiU_HKSCS"/>
          <w:lang w:val="zh-CN"/>
        </w:rPr>
        <w:t>A</w:t>
      </w:r>
      <w:r>
        <w:rPr>
          <w:rFonts w:eastAsia="楷体_GB2312" w:cs="MingLiU_HKSCS"/>
          <w:lang w:val="zh-CN"/>
        </w:rPr>
        <w:t>公司认为该实用新型专利的设备即为</w:t>
      </w:r>
      <w:r>
        <w:rPr>
          <w:rFonts w:eastAsia="楷体_GB2312" w:cs="MingLiU_HKSCS"/>
          <w:lang w:val="zh-CN"/>
        </w:rPr>
        <w:t>A</w:t>
      </w:r>
      <w:r>
        <w:rPr>
          <w:rFonts w:eastAsia="楷体_GB2312" w:cs="MingLiU_HKSCS"/>
          <w:lang w:val="zh-CN"/>
        </w:rPr>
        <w:t>公司的能源转换设备，是为实施</w:t>
      </w:r>
      <w:r>
        <w:rPr>
          <w:rFonts w:eastAsia="楷体_GB2312" w:cs="MingLiU_HKSCS"/>
          <w:lang w:val="zh-CN"/>
        </w:rPr>
        <w:t>A</w:t>
      </w:r>
      <w:r>
        <w:rPr>
          <w:rFonts w:eastAsia="楷体_GB2312" w:cs="MingLiU_HKSCS"/>
          <w:lang w:val="zh-CN"/>
        </w:rPr>
        <w:t>公司的发明专利专门设计的，其在</w:t>
      </w:r>
      <w:r>
        <w:rPr>
          <w:rFonts w:eastAsia="楷体_GB2312" w:cs="MingLiU_HKSCS"/>
          <w:lang w:val="zh-CN"/>
        </w:rPr>
        <w:t>A</w:t>
      </w:r>
      <w:r>
        <w:rPr>
          <w:rFonts w:eastAsia="楷体_GB2312" w:cs="MingLiU_HKSCS"/>
          <w:lang w:val="zh-CN"/>
        </w:rPr>
        <w:t>公司成立之前就已研制成功，</w:t>
      </w:r>
      <w:r>
        <w:rPr>
          <w:rFonts w:eastAsia="楷体_GB2312" w:cs="MingLiU_HKSCS" w:hint="eastAsia"/>
          <w:lang w:val="zh-CN"/>
        </w:rPr>
        <w:t>甲</w:t>
      </w:r>
      <w:r>
        <w:rPr>
          <w:rFonts w:eastAsia="楷体_GB2312" w:cs="MingLiU_HKSCS"/>
          <w:lang w:val="zh-CN"/>
        </w:rPr>
        <w:t>以该设备出资后，该设备就成为</w:t>
      </w:r>
      <w:r>
        <w:rPr>
          <w:rFonts w:eastAsia="楷体_GB2312" w:cs="MingLiU_HKSCS"/>
          <w:lang w:val="zh-CN"/>
        </w:rPr>
        <w:t>A</w:t>
      </w:r>
      <w:r>
        <w:rPr>
          <w:rFonts w:eastAsia="楷体_GB2312" w:cs="MingLiU_HKSCS"/>
          <w:lang w:val="zh-CN"/>
        </w:rPr>
        <w:t>公司的固定资产，因此，利用该设备形成的实用新型专利应该是</w:t>
      </w:r>
      <w:r>
        <w:rPr>
          <w:rFonts w:eastAsia="楷体_GB2312" w:cs="MingLiU_HKSCS"/>
          <w:lang w:val="zh-CN"/>
        </w:rPr>
        <w:t>A</w:t>
      </w:r>
      <w:r>
        <w:rPr>
          <w:rFonts w:eastAsia="楷体_GB2312" w:cs="MingLiU_HKSCS"/>
          <w:lang w:val="zh-CN"/>
        </w:rPr>
        <w:t>公司发明专利的从属专利，属于</w:t>
      </w:r>
      <w:r>
        <w:rPr>
          <w:rFonts w:eastAsia="楷体_GB2312" w:cs="MingLiU_HKSCS" w:hint="eastAsia"/>
          <w:lang w:val="zh-CN"/>
        </w:rPr>
        <w:t>甲</w:t>
      </w:r>
      <w:r>
        <w:rPr>
          <w:rFonts w:eastAsia="楷体_GB2312" w:cs="MingLiU_HKSCS"/>
          <w:lang w:val="zh-CN"/>
        </w:rPr>
        <w:t>在</w:t>
      </w:r>
      <w:r>
        <w:rPr>
          <w:rFonts w:eastAsia="楷体_GB2312" w:cs="MingLiU_HKSCS"/>
          <w:lang w:val="zh-CN"/>
        </w:rPr>
        <w:t>A</w:t>
      </w:r>
      <w:r>
        <w:rPr>
          <w:rFonts w:eastAsia="楷体_GB2312" w:cs="MingLiU_HKSCS"/>
          <w:lang w:val="zh-CN"/>
        </w:rPr>
        <w:t>公司的职务发明创造，专利权应当归</w:t>
      </w:r>
      <w:r>
        <w:rPr>
          <w:rFonts w:eastAsia="楷体_GB2312" w:cs="MingLiU_HKSCS"/>
          <w:lang w:val="zh-CN"/>
        </w:rPr>
        <w:t>A</w:t>
      </w:r>
      <w:r>
        <w:rPr>
          <w:rFonts w:eastAsia="楷体_GB2312" w:cs="MingLiU_HKSCS"/>
          <w:lang w:val="zh-CN"/>
        </w:rPr>
        <w:t>公司所有。</w:t>
      </w:r>
    </w:p>
    <w:p w:rsidR="00800760" w:rsidRDefault="00235733">
      <w:pPr>
        <w:rPr>
          <w:rFonts w:eastAsia="隶书" w:cs="隶书"/>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w:t>
      </w:r>
      <w:r>
        <w:rPr>
          <w:rFonts w:eastAsia="楷体_GB2312" w:cs="MingLiU_HKSCS"/>
          <w:lang w:val="zh-CN"/>
        </w:rPr>
        <w:t>主要</w:t>
      </w:r>
      <w:r>
        <w:rPr>
          <w:rFonts w:eastAsia="楷体_GB2312" w:cs="MingLiU_HKSCS" w:hint="eastAsia"/>
          <w:lang w:val="zh-CN"/>
        </w:rPr>
        <w:t>是</w:t>
      </w:r>
      <w:r>
        <w:rPr>
          <w:rFonts w:eastAsia="楷体_GB2312" w:cs="MingLiU_HKSCS"/>
          <w:lang w:val="zh-CN"/>
        </w:rPr>
        <w:t>利用本单位的物质技术条件</w:t>
      </w:r>
      <w:r>
        <w:rPr>
          <w:rFonts w:eastAsia="楷体_GB2312" w:cs="MingLiU_HKSCS"/>
          <w:lang w:val="zh-CN"/>
        </w:rPr>
        <w:t>”</w:t>
      </w:r>
      <w:r>
        <w:rPr>
          <w:rFonts w:eastAsia="楷体_GB2312" w:cs="MingLiU_HKSCS"/>
          <w:lang w:val="zh-CN"/>
        </w:rPr>
        <w:t>强调的是本单位的物质技术条件在发明创造完成过程中的作用和比重。在此类纠纷案件中，若单位主张发明创造的作出主要是利用本单位的物质技术条件，应当提供明确、具体的证据，例如协议、财务文件等，以证明发明创造的作出全部或者大部分利用了单位的资金、设备、器材、原材料和</w:t>
      </w:r>
      <w:r>
        <w:rPr>
          <w:rFonts w:eastAsia="楷体_GB2312" w:cs="MingLiU_HKSCS"/>
          <w:lang w:val="zh-CN"/>
        </w:rPr>
        <w:t>/</w:t>
      </w:r>
      <w:r>
        <w:rPr>
          <w:rFonts w:eastAsia="楷体_GB2312" w:cs="MingLiU_HKSCS"/>
          <w:lang w:val="zh-CN"/>
        </w:rPr>
        <w:t>或阶</w:t>
      </w:r>
      <w:bookmarkStart w:id="6809" w:name="bookmark184"/>
      <w:bookmarkEnd w:id="6809"/>
      <w:r>
        <w:rPr>
          <w:rFonts w:eastAsia="楷体_GB2312" w:cs="MingLiU_HKSCS"/>
          <w:lang w:val="zh-CN"/>
        </w:rPr>
        <w:t>段性技术成果或关键技术。若所涉及的本单位的物质技术条件为本单位尚未公开的技术成果，则职工应当负有证明该技术成果已经公开的举证责任。</w:t>
      </w:r>
    </w:p>
    <w:p w:rsidR="00800760" w:rsidRDefault="00235733">
      <w:pPr>
        <w:spacing w:line="360" w:lineRule="auto"/>
        <w:rPr>
          <w:rFonts w:eastAsia="仿宋_GB2312"/>
          <w:lang w:val="zh-CN"/>
        </w:rPr>
      </w:pPr>
      <w:r>
        <w:rPr>
          <w:rFonts w:eastAsia="仿宋_GB2312"/>
          <w:lang w:val="zh-CN"/>
        </w:rPr>
        <w:t>该案中，</w:t>
      </w:r>
      <w:r>
        <w:rPr>
          <w:rFonts w:eastAsia="仿宋_GB2312"/>
          <w:lang w:val="zh-CN"/>
        </w:rPr>
        <w:t>A</w:t>
      </w:r>
      <w:r>
        <w:rPr>
          <w:rFonts w:eastAsia="仿宋_GB2312"/>
          <w:lang w:val="zh-CN"/>
        </w:rPr>
        <w:t>公司主张所述实用新型专利应该归其所有基于两项理由：一是该实用新型专利保护的就是其拥有的固定资产</w:t>
      </w:r>
      <w:r>
        <w:rPr>
          <w:rFonts w:eastAsia="仿宋_GB2312"/>
          <w:lang w:val="zh-CN"/>
        </w:rPr>
        <w:t>“</w:t>
      </w:r>
      <w:r>
        <w:rPr>
          <w:rFonts w:eastAsia="仿宋_GB2312"/>
          <w:lang w:val="zh-CN"/>
        </w:rPr>
        <w:t>能源转换设备</w:t>
      </w:r>
      <w:r>
        <w:rPr>
          <w:rFonts w:eastAsia="仿宋_GB2312"/>
          <w:lang w:val="zh-CN"/>
        </w:rPr>
        <w:t>”,</w:t>
      </w:r>
      <w:r>
        <w:rPr>
          <w:rFonts w:eastAsia="仿宋_GB2312"/>
          <w:lang w:val="zh-CN"/>
        </w:rPr>
        <w:t>或者说是在其能源转换设备上完成的，因此，该实用新型专利的完成主要利用了</w:t>
      </w:r>
      <w:r>
        <w:rPr>
          <w:rFonts w:eastAsia="仿宋_GB2312"/>
          <w:lang w:val="zh-CN"/>
        </w:rPr>
        <w:t>A</w:t>
      </w:r>
      <w:r>
        <w:rPr>
          <w:rFonts w:eastAsia="仿宋_GB2312"/>
          <w:lang w:val="zh-CN"/>
        </w:rPr>
        <w:t>公司的物质技术条件，应当为职务发明创造；二是该能源转换设备是专门为实施其发明专利设计的专用设备，该实用新型专利作为该发明专利的从属专利，理应归</w:t>
      </w:r>
      <w:r>
        <w:rPr>
          <w:rFonts w:eastAsia="仿宋_GB2312"/>
          <w:lang w:val="zh-CN"/>
        </w:rPr>
        <w:t>A</w:t>
      </w:r>
      <w:r>
        <w:rPr>
          <w:rFonts w:eastAsia="仿宋_GB2312"/>
          <w:lang w:val="zh-CN"/>
        </w:rPr>
        <w:t>公司所有。</w:t>
      </w:r>
    </w:p>
    <w:p w:rsidR="00800760" w:rsidRDefault="00235733">
      <w:pPr>
        <w:rPr>
          <w:rFonts w:eastAsia="仿宋_GB2312"/>
          <w:lang w:val="zh-CN"/>
        </w:rPr>
      </w:pPr>
      <w:r>
        <w:rPr>
          <w:rFonts w:eastAsia="仿宋_GB2312"/>
          <w:lang w:val="zh-CN"/>
        </w:rPr>
        <w:t xml:space="preserve">1. </w:t>
      </w:r>
      <w:r>
        <w:rPr>
          <w:rFonts w:eastAsia="仿宋_GB2312"/>
          <w:lang w:val="zh-CN"/>
        </w:rPr>
        <w:t>关于上述第一项理由</w:t>
      </w:r>
    </w:p>
    <w:p w:rsidR="00800760" w:rsidRDefault="00235733">
      <w:pPr>
        <w:spacing w:line="360" w:lineRule="auto"/>
        <w:rPr>
          <w:rFonts w:eastAsia="仿宋_GB2312"/>
          <w:lang w:val="zh-CN"/>
        </w:rPr>
      </w:pPr>
      <w:r>
        <w:rPr>
          <w:rFonts w:eastAsia="仿宋_GB2312"/>
          <w:lang w:val="zh-CN"/>
        </w:rPr>
        <w:t>A</w:t>
      </w:r>
      <w:r>
        <w:rPr>
          <w:rFonts w:eastAsia="仿宋_GB2312"/>
          <w:lang w:val="zh-CN"/>
        </w:rPr>
        <w:t>公司成立时拥有一台甲在</w:t>
      </w:r>
      <w:r>
        <w:rPr>
          <w:rFonts w:eastAsia="仿宋_GB2312"/>
          <w:lang w:val="zh-CN"/>
        </w:rPr>
        <w:t>A</w:t>
      </w:r>
      <w:r>
        <w:rPr>
          <w:rFonts w:eastAsia="仿宋_GB2312"/>
          <w:lang w:val="zh-CN"/>
        </w:rPr>
        <w:t>公司成立之前提供技术制作的能源转换设备作为公司的固定资产。</w:t>
      </w:r>
      <w:r>
        <w:rPr>
          <w:rFonts w:eastAsia="仿宋_GB2312"/>
          <w:lang w:val="zh-CN"/>
        </w:rPr>
        <w:t>A</w:t>
      </w:r>
      <w:r>
        <w:rPr>
          <w:rFonts w:eastAsia="仿宋_GB2312"/>
          <w:lang w:val="zh-CN"/>
        </w:rPr>
        <w:t>公司要证明所述实用新型专利为甲在</w:t>
      </w:r>
      <w:r>
        <w:rPr>
          <w:rFonts w:eastAsia="仿宋_GB2312"/>
          <w:lang w:val="zh-CN"/>
        </w:rPr>
        <w:t>A</w:t>
      </w:r>
      <w:r>
        <w:rPr>
          <w:rFonts w:eastAsia="仿宋_GB2312"/>
          <w:lang w:val="zh-CN"/>
        </w:rPr>
        <w:t>公司所作的职务发明创造，应当举证证明：</w:t>
      </w:r>
      <w:r>
        <w:rPr>
          <w:rFonts w:eastAsia="仿宋_GB2312"/>
          <w:lang w:val="zh-CN"/>
        </w:rPr>
        <w:t>(1)</w:t>
      </w:r>
      <w:r>
        <w:rPr>
          <w:rFonts w:eastAsia="仿宋_GB2312"/>
          <w:lang w:val="zh-CN"/>
        </w:rPr>
        <w:t>其拥有的能源转换设备与涉案实用新型专利的技术方案相同或等同；甲在以所述能源转换设备出资时，将该能源转换设备相应的知识产权一并转移给</w:t>
      </w:r>
      <w:r>
        <w:rPr>
          <w:rFonts w:eastAsia="仿宋_GB2312"/>
          <w:lang w:val="zh-CN"/>
        </w:rPr>
        <w:t>A</w:t>
      </w:r>
      <w:r>
        <w:rPr>
          <w:rFonts w:eastAsia="仿宋_GB2312"/>
          <w:lang w:val="zh-CN"/>
        </w:rPr>
        <w:t>公司；</w:t>
      </w:r>
      <w:r>
        <w:rPr>
          <w:rFonts w:eastAsia="仿宋_GB2312"/>
          <w:lang w:val="zh-CN"/>
        </w:rPr>
        <w:t>(2)</w:t>
      </w:r>
      <w:r>
        <w:rPr>
          <w:rFonts w:eastAsia="仿宋_GB2312"/>
          <w:lang w:val="zh-CN"/>
        </w:rPr>
        <w:t>在所述能源转换设备与所述实用新型专利技术方案不相同也不等同的情况下，证明所述能源转换设备技术属于</w:t>
      </w:r>
      <w:r>
        <w:rPr>
          <w:rFonts w:eastAsia="仿宋_GB2312"/>
          <w:lang w:val="zh-CN"/>
        </w:rPr>
        <w:t>A</w:t>
      </w:r>
      <w:r>
        <w:rPr>
          <w:rFonts w:eastAsia="仿宋_GB2312"/>
          <w:lang w:val="zh-CN"/>
        </w:rPr>
        <w:t>公司的技术秘密，完成所述实用新型专利必须利用或者借助于所述能源转换设备。该案中，</w:t>
      </w:r>
      <w:r>
        <w:rPr>
          <w:rFonts w:eastAsia="仿宋_GB2312"/>
          <w:lang w:val="zh-CN"/>
        </w:rPr>
        <w:t>A</w:t>
      </w:r>
      <w:r>
        <w:rPr>
          <w:rFonts w:eastAsia="仿宋_GB2312"/>
          <w:lang w:val="zh-CN"/>
        </w:rPr>
        <w:t>公司既未能证明该实用新型专利技术属于</w:t>
      </w:r>
      <w:r>
        <w:rPr>
          <w:rFonts w:eastAsia="仿宋_GB2312"/>
          <w:lang w:val="zh-CN"/>
        </w:rPr>
        <w:t>A</w:t>
      </w:r>
      <w:r>
        <w:rPr>
          <w:rFonts w:eastAsia="仿宋_GB2312"/>
          <w:lang w:val="zh-CN"/>
        </w:rPr>
        <w:t>公司拥有的成果或申报的专利权，也未能证明涉案实用新型专利是甲执行</w:t>
      </w:r>
      <w:r>
        <w:rPr>
          <w:rFonts w:eastAsia="仿宋_GB2312"/>
          <w:lang w:val="zh-CN"/>
        </w:rPr>
        <w:t>A</w:t>
      </w:r>
      <w:r>
        <w:rPr>
          <w:rFonts w:eastAsia="仿宋_GB2312"/>
          <w:lang w:val="zh-CN"/>
        </w:rPr>
        <w:t>公司的任务或者主要是利用了</w:t>
      </w:r>
      <w:r>
        <w:rPr>
          <w:rFonts w:eastAsia="仿宋_GB2312"/>
          <w:lang w:val="zh-CN"/>
        </w:rPr>
        <w:t>A</w:t>
      </w:r>
      <w:r>
        <w:rPr>
          <w:rFonts w:eastAsia="仿宋_GB2312"/>
          <w:lang w:val="zh-CN"/>
        </w:rPr>
        <w:t>公司的物质技术条件所完成的发明创造，因此不能证明该实用新型专利是甲在</w:t>
      </w:r>
      <w:r>
        <w:rPr>
          <w:rFonts w:eastAsia="仿宋_GB2312"/>
          <w:lang w:val="zh-CN"/>
        </w:rPr>
        <w:t>A</w:t>
      </w:r>
      <w:r>
        <w:rPr>
          <w:rFonts w:eastAsia="仿宋_GB2312"/>
          <w:lang w:val="zh-CN"/>
        </w:rPr>
        <w:t>公司的职务发明创造。</w:t>
      </w:r>
    </w:p>
    <w:p w:rsidR="00800760" w:rsidRDefault="00235733">
      <w:pPr>
        <w:rPr>
          <w:rFonts w:eastAsia="仿宋_GB2312"/>
          <w:lang w:val="zh-CN"/>
        </w:rPr>
      </w:pPr>
      <w:r>
        <w:rPr>
          <w:rFonts w:eastAsia="仿宋_GB2312"/>
          <w:lang w:val="zh-CN"/>
        </w:rPr>
        <w:t xml:space="preserve">2. </w:t>
      </w:r>
      <w:r>
        <w:rPr>
          <w:rFonts w:eastAsia="仿宋_GB2312"/>
          <w:lang w:val="zh-CN"/>
        </w:rPr>
        <w:t>关于上述第二项理由</w:t>
      </w:r>
    </w:p>
    <w:p w:rsidR="00800760" w:rsidRDefault="00235733">
      <w:pPr>
        <w:spacing w:line="360" w:lineRule="auto"/>
        <w:rPr>
          <w:rFonts w:eastAsia="楷体" w:cs="楷体"/>
        </w:rPr>
      </w:pPr>
      <w:r>
        <w:rPr>
          <w:rFonts w:eastAsia="仿宋_GB2312"/>
          <w:lang w:val="zh-CN"/>
        </w:rPr>
        <w:t>所述基本专利，指的是不依附于任何其他专利的最原始的专利；从属专利则是在基本专利的基础上进行改进所获得的专利，该专利的技术方案包括了基本专利的必要技术特征，其实施必然会落入基本专利的保护范围或者覆盖基本专利的技术特征，也必然有赖于基本专利技术的实施。从属专利的形式主要有：</w:t>
      </w:r>
      <w:r>
        <w:rPr>
          <w:rFonts w:eastAsia="仿宋_GB2312"/>
          <w:lang w:val="zh-CN"/>
        </w:rPr>
        <w:t>(1)</w:t>
      </w:r>
      <w:r>
        <w:rPr>
          <w:rFonts w:eastAsia="仿宋_GB2312"/>
          <w:lang w:val="zh-CN"/>
        </w:rPr>
        <w:t>在原有产品专利技术特征的基础上，增加了新的技术特征；</w:t>
      </w:r>
      <w:r>
        <w:rPr>
          <w:rFonts w:eastAsia="仿宋_GB2312"/>
          <w:lang w:val="zh-CN"/>
        </w:rPr>
        <w:t>(2)</w:t>
      </w:r>
      <w:r>
        <w:rPr>
          <w:rFonts w:eastAsia="仿宋_GB2312"/>
          <w:lang w:val="zh-CN"/>
        </w:rPr>
        <w:t>在原有产品专利技术特征的基础上，发现了原来未曾发现的新的用途；</w:t>
      </w:r>
      <w:r>
        <w:rPr>
          <w:rFonts w:eastAsia="仿宋_GB2312"/>
          <w:lang w:val="zh-CN"/>
        </w:rPr>
        <w:t>(3)</w:t>
      </w:r>
      <w:r>
        <w:rPr>
          <w:rFonts w:eastAsia="仿宋_GB2312"/>
          <w:lang w:val="zh-CN"/>
        </w:rPr>
        <w:t>在原有方法专利技术方案的基础上，发现了新的未曾发现的新的用途。该案中，首先，</w:t>
      </w:r>
      <w:r>
        <w:rPr>
          <w:rFonts w:eastAsia="仿宋_GB2312"/>
          <w:lang w:val="zh-CN"/>
        </w:rPr>
        <w:t>A</w:t>
      </w:r>
      <w:r>
        <w:rPr>
          <w:rFonts w:eastAsia="仿宋_GB2312"/>
          <w:lang w:val="zh-CN"/>
        </w:rPr>
        <w:t>公司并未充分证明</w:t>
      </w:r>
      <w:r>
        <w:rPr>
          <w:rFonts w:eastAsia="仿宋_GB2312"/>
          <w:lang w:val="zh-CN"/>
        </w:rPr>
        <w:t>B</w:t>
      </w:r>
      <w:r>
        <w:rPr>
          <w:rFonts w:eastAsia="仿宋_GB2312"/>
          <w:lang w:val="zh-CN"/>
        </w:rPr>
        <w:t>公司的实用新型专利的实施依赖于</w:t>
      </w:r>
      <w:r>
        <w:rPr>
          <w:rFonts w:eastAsia="仿宋_GB2312"/>
          <w:lang w:val="zh-CN"/>
        </w:rPr>
        <w:t>A</w:t>
      </w:r>
      <w:r>
        <w:rPr>
          <w:rFonts w:eastAsia="仿宋_GB2312"/>
          <w:lang w:val="zh-CN"/>
        </w:rPr>
        <w:t>公司的发明专利，所述实用新型专利是在发明专利基础上的改进；其次，实现方法发明技术方案的设备通常并不唯一，即使实现该案</w:t>
      </w:r>
      <w:r>
        <w:rPr>
          <w:rFonts w:eastAsia="仿宋_GB2312"/>
          <w:lang w:val="zh-CN"/>
        </w:rPr>
        <w:t>A</w:t>
      </w:r>
      <w:r>
        <w:rPr>
          <w:rFonts w:eastAsia="仿宋_GB2312"/>
          <w:lang w:val="zh-CN"/>
        </w:rPr>
        <w:t>公司方法发明的设备只能是该案实用新型专利所指向的设备，也不能否定发明专利与实用新型专利两个技术方案各自独立、非基本专利和从属专利的关系，因此无法证明涉案实用新型专利的权属问题。</w:t>
      </w:r>
    </w:p>
    <w:p w:rsidR="00800760" w:rsidRDefault="00235733">
      <w:pPr>
        <w:pStyle w:val="4"/>
        <w:spacing w:before="240"/>
        <w:ind w:firstLineChars="0" w:firstLine="532"/>
        <w:rPr>
          <w:rFonts w:ascii="Times New Roman" w:hAnsi="Times New Roman" w:cs="黑体"/>
          <w:spacing w:val="0"/>
        </w:rPr>
      </w:pPr>
      <w:r>
        <w:rPr>
          <w:rFonts w:ascii="Times New Roman" w:hAnsi="Times New Roman" w:cs="黑体"/>
          <w:spacing w:val="0"/>
        </w:rPr>
        <w:t>(</w:t>
      </w:r>
      <w:r>
        <w:rPr>
          <w:rFonts w:ascii="Times New Roman" w:hAnsi="Times New Roman" w:cs="黑体"/>
          <w:spacing w:val="0"/>
        </w:rPr>
        <w:t>五</w:t>
      </w:r>
      <w:r>
        <w:rPr>
          <w:rFonts w:ascii="Times New Roman" w:hAnsi="Times New Roman" w:cs="黑体"/>
          <w:spacing w:val="0"/>
        </w:rPr>
        <w:t>)</w:t>
      </w:r>
      <w:r>
        <w:rPr>
          <w:rFonts w:ascii="Times New Roman" w:hAnsi="Times New Roman" w:cs="黑体"/>
          <w:spacing w:val="0"/>
        </w:rPr>
        <w:t>单位与发明人、设计人就权利归属作出合同约定</w:t>
      </w:r>
    </w:p>
    <w:p w:rsidR="00800760" w:rsidRDefault="00235733">
      <w:r>
        <w:t>单位与发明人或设计人之间可以对发明创造的权利归属作出约定，这种约定应当采用书面合同的形式。在对专利权属纠纷进行行政调解时，应首先考察双方当事人是否就专利申请权或专利权归属存在合同约定。有合同约定的，应首先确定合同的有效性。在合同有效的情况下，遵从合同约定确定权利归属。在合同无效的情况下，视为无合同约定，按照《专利法》第六条第一款的规定确定权利归属。</w:t>
      </w:r>
    </w:p>
    <w:p w:rsidR="00800760" w:rsidRDefault="00235733">
      <w:pPr>
        <w:pStyle w:val="af6"/>
        <w:spacing w:before="120"/>
        <w:ind w:firstLine="420"/>
      </w:pPr>
      <w:r>
        <w:rPr>
          <w:rFonts w:hint="eastAsia"/>
        </w:rPr>
        <w:t>【案例</w:t>
      </w:r>
      <w:r>
        <w:t>3-1-9</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于</w:t>
      </w:r>
      <w:r>
        <w:rPr>
          <w:rFonts w:eastAsia="楷体_GB2312" w:cs="MingLiU_HKSCS"/>
          <w:lang w:val="zh-CN"/>
        </w:rPr>
        <w:t>1998</w:t>
      </w:r>
      <w:r>
        <w:rPr>
          <w:rFonts w:eastAsia="楷体_GB2312" w:cs="MingLiU_HKSCS"/>
          <w:lang w:val="zh-CN"/>
        </w:rPr>
        <w:t>年与他人合资成立</w:t>
      </w:r>
      <w:r>
        <w:rPr>
          <w:rFonts w:eastAsia="楷体_GB2312" w:cs="MingLiU_HKSCS"/>
          <w:lang w:val="zh-CN"/>
        </w:rPr>
        <w:t>A</w:t>
      </w:r>
      <w:r>
        <w:rPr>
          <w:rFonts w:eastAsia="楷体_GB2312" w:cs="MingLiU_HKSCS"/>
          <w:lang w:val="zh-CN"/>
        </w:rPr>
        <w:t>公司，</w:t>
      </w:r>
      <w:r>
        <w:rPr>
          <w:rFonts w:eastAsia="楷体_GB2312" w:cs="MingLiU_HKSCS" w:hint="eastAsia"/>
          <w:lang w:val="zh-CN"/>
        </w:rPr>
        <w:t>甲</w:t>
      </w:r>
      <w:r>
        <w:rPr>
          <w:rFonts w:eastAsia="楷体_GB2312" w:cs="MingLiU_HKSCS"/>
          <w:lang w:val="zh-CN"/>
        </w:rPr>
        <w:t>提供本人专利及技术并负责新产品开发。</w:t>
      </w:r>
      <w:r>
        <w:rPr>
          <w:rFonts w:eastAsia="楷体_GB2312" w:cs="MingLiU_HKSCS"/>
          <w:lang w:val="zh-CN"/>
        </w:rPr>
        <w:t>2001</w:t>
      </w:r>
      <w:r>
        <w:rPr>
          <w:rFonts w:eastAsia="楷体_GB2312" w:cs="MingLiU_HKSCS"/>
          <w:lang w:val="zh-CN"/>
        </w:rPr>
        <w:t>年，</w:t>
      </w:r>
      <w:r>
        <w:rPr>
          <w:rFonts w:eastAsia="楷体_GB2312" w:cs="MingLiU_HKSCS" w:hint="eastAsia"/>
          <w:lang w:val="zh-CN"/>
        </w:rPr>
        <w:t>甲</w:t>
      </w:r>
      <w:r>
        <w:rPr>
          <w:rFonts w:eastAsia="楷体_GB2312" w:cs="MingLiU_HKSCS"/>
          <w:lang w:val="zh-CN"/>
        </w:rPr>
        <w:t>个人申请了名称为</w:t>
      </w:r>
      <w:r>
        <w:rPr>
          <w:rFonts w:eastAsia="楷体_GB2312" w:cs="MingLiU_HKSCS"/>
          <w:lang w:val="zh-CN"/>
        </w:rPr>
        <w:t>“</w:t>
      </w:r>
      <w:r>
        <w:rPr>
          <w:rFonts w:eastAsia="楷体_GB2312" w:cs="MingLiU_HKSCS"/>
          <w:lang w:val="zh-CN"/>
        </w:rPr>
        <w:t>一种带中药蒸汽产生装置的洗浴设备</w:t>
      </w:r>
      <w:r>
        <w:rPr>
          <w:rFonts w:eastAsia="楷体_GB2312" w:cs="MingLiU_HKSCS"/>
          <w:lang w:val="zh-CN"/>
        </w:rPr>
        <w:t>”</w:t>
      </w:r>
      <w:r>
        <w:rPr>
          <w:rFonts w:eastAsia="楷体_GB2312" w:cs="MingLiU_HKSCS"/>
          <w:lang w:val="zh-CN"/>
        </w:rPr>
        <w:t>的实用新型专利，并于</w:t>
      </w:r>
      <w:r>
        <w:rPr>
          <w:rFonts w:eastAsia="楷体_GB2312" w:cs="MingLiU_HKSCS"/>
          <w:lang w:val="zh-CN"/>
        </w:rPr>
        <w:t>2002</w:t>
      </w:r>
      <w:r>
        <w:rPr>
          <w:rFonts w:eastAsia="楷体_GB2312" w:cs="MingLiU_HKSCS"/>
          <w:lang w:val="zh-CN"/>
        </w:rPr>
        <w:t>年获得授权。</w:t>
      </w:r>
      <w:r>
        <w:rPr>
          <w:rFonts w:eastAsia="楷体_GB2312" w:cs="MingLiU_HKSCS"/>
          <w:lang w:val="zh-CN"/>
        </w:rPr>
        <w:t>2004</w:t>
      </w:r>
      <w:r>
        <w:rPr>
          <w:rFonts w:eastAsia="楷体_GB2312" w:cs="MingLiU_HKSCS"/>
          <w:lang w:val="zh-CN"/>
        </w:rPr>
        <w:t>年，</w:t>
      </w:r>
      <w:r>
        <w:rPr>
          <w:rFonts w:eastAsia="楷体_GB2312" w:cs="MingLiU_HKSCS" w:hint="eastAsia"/>
          <w:lang w:val="zh-CN"/>
        </w:rPr>
        <w:t>甲</w:t>
      </w:r>
      <w:r>
        <w:rPr>
          <w:rFonts w:eastAsia="楷体_GB2312" w:cs="MingLiU_HKSCS"/>
          <w:lang w:val="zh-CN"/>
        </w:rPr>
        <w:t>与</w:t>
      </w:r>
      <w:r>
        <w:rPr>
          <w:rFonts w:eastAsia="楷体_GB2312" w:cs="MingLiU_HKSCS"/>
          <w:lang w:val="zh-CN"/>
        </w:rPr>
        <w:t>A</w:t>
      </w:r>
      <w:r>
        <w:rPr>
          <w:rFonts w:eastAsia="楷体_GB2312" w:cs="MingLiU_HKSCS"/>
          <w:lang w:val="zh-CN"/>
        </w:rPr>
        <w:t>公司签订了《专利实施许可协议》</w:t>
      </w:r>
      <w:r>
        <w:rPr>
          <w:rFonts w:eastAsia="楷体_GB2312" w:cs="MingLiU_HKSCS"/>
          <w:lang w:val="zh-CN"/>
        </w:rPr>
        <w:t>,</w:t>
      </w:r>
      <w:r>
        <w:rPr>
          <w:rFonts w:eastAsia="楷体_GB2312" w:cs="MingLiU_HKSCS"/>
          <w:lang w:val="zh-CN"/>
        </w:rPr>
        <w:t>该协议认可</w:t>
      </w:r>
      <w:r>
        <w:rPr>
          <w:rFonts w:eastAsia="楷体_GB2312" w:cs="MingLiU_HKSCS" w:hint="eastAsia"/>
          <w:lang w:val="zh-CN"/>
        </w:rPr>
        <w:t>甲</w:t>
      </w:r>
      <w:r>
        <w:rPr>
          <w:rFonts w:eastAsia="楷体_GB2312" w:cs="MingLiU_HKSCS"/>
          <w:lang w:val="zh-CN"/>
        </w:rPr>
        <w:t>是该实用新型专利的专利权人，</w:t>
      </w:r>
      <w:r>
        <w:rPr>
          <w:rFonts w:eastAsia="楷体_GB2312" w:cs="MingLiU_HKSCS" w:hint="eastAsia"/>
          <w:lang w:val="zh-CN"/>
        </w:rPr>
        <w:t>甲</w:t>
      </w:r>
      <w:r>
        <w:rPr>
          <w:rFonts w:eastAsia="楷体_GB2312" w:cs="MingLiU_HKSCS"/>
          <w:lang w:val="zh-CN"/>
        </w:rPr>
        <w:t>同意</w:t>
      </w:r>
      <w:r>
        <w:rPr>
          <w:rFonts w:eastAsia="楷体_GB2312" w:cs="MingLiU_HKSCS"/>
          <w:lang w:val="zh-CN"/>
        </w:rPr>
        <w:t>A</w:t>
      </w:r>
      <w:r>
        <w:rPr>
          <w:rFonts w:eastAsia="楷体_GB2312" w:cs="MingLiU_HKSCS"/>
          <w:lang w:val="zh-CN"/>
        </w:rPr>
        <w:t>公司使用该专利技术用以开发可以自动煎中药的足浴盆产品，协议还约定</w:t>
      </w:r>
      <w:r>
        <w:rPr>
          <w:rFonts w:eastAsia="楷体_GB2312" w:cs="MingLiU_HKSCS"/>
          <w:lang w:val="zh-CN"/>
        </w:rPr>
        <w:t>“</w:t>
      </w:r>
      <w:r>
        <w:rPr>
          <w:rFonts w:eastAsia="楷体_GB2312" w:cs="MingLiU_HKSCS"/>
          <w:lang w:val="zh-CN"/>
        </w:rPr>
        <w:t>在该专利的基础上一切扩展、涵盖的专利权归</w:t>
      </w:r>
      <w:r>
        <w:rPr>
          <w:rFonts w:eastAsia="楷体_GB2312" w:cs="MingLiU_HKSCS" w:hint="eastAsia"/>
          <w:lang w:val="zh-CN"/>
        </w:rPr>
        <w:t>甲</w:t>
      </w:r>
      <w:r>
        <w:rPr>
          <w:rFonts w:eastAsia="楷体_GB2312" w:cs="MingLiU_HKSCS"/>
          <w:lang w:val="zh-CN"/>
        </w:rPr>
        <w:t>所有</w:t>
      </w:r>
      <w:r>
        <w:rPr>
          <w:rFonts w:eastAsia="楷体_GB2312" w:cs="MingLiU_HKSCS"/>
          <w:lang w:val="zh-CN"/>
        </w:rPr>
        <w:t>”</w:t>
      </w:r>
      <w:r>
        <w:rPr>
          <w:rFonts w:eastAsia="楷体_GB2312" w:cs="MingLiU_HKSCS"/>
          <w:lang w:val="zh-CN"/>
        </w:rPr>
        <w:t>。</w:t>
      </w:r>
      <w:r>
        <w:rPr>
          <w:rFonts w:eastAsia="楷体_GB2312" w:cs="MingLiU_HKSCS"/>
          <w:lang w:val="zh-CN"/>
        </w:rPr>
        <w:t>2005</w:t>
      </w:r>
      <w:r>
        <w:rPr>
          <w:rFonts w:eastAsia="楷体_GB2312" w:cs="MingLiU_HKSCS"/>
          <w:lang w:val="zh-CN"/>
        </w:rPr>
        <w:t>年，</w:t>
      </w:r>
      <w:r>
        <w:rPr>
          <w:rFonts w:eastAsia="楷体_GB2312" w:cs="MingLiU_HKSCS" w:hint="eastAsia"/>
          <w:lang w:val="zh-CN"/>
        </w:rPr>
        <w:t>甲</w:t>
      </w:r>
      <w:r>
        <w:rPr>
          <w:rFonts w:eastAsia="楷体_GB2312" w:cs="MingLiU_HKSCS"/>
          <w:lang w:val="zh-CN"/>
        </w:rPr>
        <w:t>又申请了</w:t>
      </w:r>
      <w:r>
        <w:rPr>
          <w:rFonts w:eastAsia="楷体_GB2312" w:cs="MingLiU_HKSCS"/>
          <w:lang w:val="zh-CN"/>
        </w:rPr>
        <w:t>“</w:t>
      </w:r>
      <w:r>
        <w:rPr>
          <w:rFonts w:eastAsia="楷体_GB2312" w:cs="MingLiU_HKSCS"/>
          <w:lang w:val="zh-CN"/>
        </w:rPr>
        <w:t>一种液体制取方法和装置</w:t>
      </w:r>
      <w:r>
        <w:rPr>
          <w:rFonts w:eastAsia="楷体_GB2312" w:cs="MingLiU_HKSCS"/>
          <w:lang w:val="zh-CN"/>
        </w:rPr>
        <w:t>”</w:t>
      </w:r>
      <w:r>
        <w:rPr>
          <w:rFonts w:eastAsia="楷体_GB2312" w:cs="MingLiU_HKSCS"/>
          <w:lang w:val="zh-CN"/>
        </w:rPr>
        <w:t>的发明专利并获得授权。经查明，该发明专利的技术方案涵盖并扩展了上述实用新型专利的技术方案。</w:t>
      </w:r>
      <w:r>
        <w:rPr>
          <w:rFonts w:eastAsia="楷体_GB2312" w:cs="MingLiU_HKSCS"/>
          <w:lang w:val="zh-CN"/>
        </w:rPr>
        <w:t>A</w:t>
      </w:r>
      <w:r>
        <w:rPr>
          <w:rFonts w:eastAsia="楷体_GB2312" w:cs="MingLiU_HKSCS"/>
          <w:lang w:val="zh-CN"/>
        </w:rPr>
        <w:t>公司认为，</w:t>
      </w:r>
      <w:r>
        <w:rPr>
          <w:rFonts w:eastAsia="楷体_GB2312" w:cs="MingLiU_HKSCS" w:hint="eastAsia"/>
          <w:lang w:val="zh-CN"/>
        </w:rPr>
        <w:t>甲</w:t>
      </w:r>
      <w:r>
        <w:rPr>
          <w:rFonts w:eastAsia="楷体_GB2312" w:cs="MingLiU_HKSCS"/>
          <w:lang w:val="zh-CN"/>
        </w:rPr>
        <w:t>作为公司的总工程师，分管技术研发等工作，该发明专利应属执行本单位的任务所完成的职务发明，其专利权应当归</w:t>
      </w:r>
      <w:r>
        <w:rPr>
          <w:rFonts w:eastAsia="楷体_GB2312" w:cs="MingLiU_HKSCS"/>
          <w:lang w:val="zh-CN"/>
        </w:rPr>
        <w:t>A</w:t>
      </w:r>
      <w:r>
        <w:rPr>
          <w:rFonts w:eastAsia="楷体_GB2312" w:cs="MingLiU_HKSCS"/>
          <w:lang w:val="zh-CN"/>
        </w:rPr>
        <w:t>公司所有；执行本单位的任务所完成的职务发明依法不允许通过订立合同的方式约定归属，《专利实施许可协议》中的约定违反了法律，应当认定无效。</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在专利权属纠纷的调解中应当遵从合同优先的原则，在合同有效的情况下，按照合同约定确定权属。</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hint="eastAsia"/>
          <w:lang w:val="zh-CN"/>
        </w:rPr>
        <w:t>甲</w:t>
      </w:r>
      <w:r>
        <w:rPr>
          <w:rFonts w:eastAsia="楷体_GB2312" w:cs="MingLiU_HKSCS"/>
          <w:lang w:val="zh-CN"/>
        </w:rPr>
        <w:t>作为</w:t>
      </w:r>
      <w:r>
        <w:rPr>
          <w:rFonts w:eastAsia="楷体_GB2312" w:cs="MingLiU_HKSCS"/>
          <w:lang w:val="zh-CN"/>
        </w:rPr>
        <w:t>A</w:t>
      </w:r>
      <w:r>
        <w:rPr>
          <w:rFonts w:eastAsia="楷体_GB2312" w:cs="MingLiU_HKSCS"/>
          <w:lang w:val="zh-CN"/>
        </w:rPr>
        <w:t>公司的技术负责人，其工作职责是研发、设计足浴盆产品，因此涉案发明专利是其在本职工作中作出的发明创造，属于执行本单位的任务所完成的职务发明创造。但是，因双方通过合同，对在涉案实用新型专利基础上的改进专利权的归属进行了约定，在合同真实有效的情况下，应当按照《专利实施许可协议》来认定争议专利的权属，涉案发明专利的专利权应归</w:t>
      </w:r>
      <w:r>
        <w:rPr>
          <w:rFonts w:eastAsia="楷体_GB2312" w:cs="MingLiU_HKSCS" w:hint="eastAsia"/>
          <w:lang w:val="zh-CN"/>
        </w:rPr>
        <w:t>甲</w:t>
      </w:r>
      <w:r>
        <w:rPr>
          <w:rFonts w:eastAsia="楷体_GB2312" w:cs="MingLiU_HKSCS"/>
          <w:lang w:val="zh-CN"/>
        </w:rPr>
        <w:t>所有。</w:t>
      </w:r>
    </w:p>
    <w:p w:rsidR="00800760" w:rsidRDefault="00235733">
      <w:pPr>
        <w:spacing w:line="360" w:lineRule="auto"/>
        <w:rPr>
          <w:rFonts w:eastAsia="楷体_GB2312" w:cs="MingLiU_HKSCS"/>
          <w:lang w:val="zh-CN"/>
        </w:rPr>
      </w:pPr>
      <w:r>
        <w:rPr>
          <w:rFonts w:eastAsia="楷体_GB2312" w:cs="MingLiU_HKSCS"/>
          <w:lang w:val="zh-CN"/>
        </w:rPr>
        <w:t>对于</w:t>
      </w:r>
      <w:r>
        <w:rPr>
          <w:rFonts w:eastAsia="楷体_GB2312" w:cs="MingLiU_HKSCS"/>
          <w:lang w:val="zh-CN"/>
        </w:rPr>
        <w:t>A</w:t>
      </w:r>
      <w:r>
        <w:rPr>
          <w:rFonts w:eastAsia="楷体_GB2312" w:cs="MingLiU_HKSCS"/>
          <w:lang w:val="zh-CN"/>
        </w:rPr>
        <w:t>公司所提出的</w:t>
      </w:r>
      <w:r>
        <w:rPr>
          <w:rFonts w:eastAsia="楷体_GB2312" w:cs="MingLiU_HKSCS"/>
          <w:lang w:val="zh-CN"/>
        </w:rPr>
        <w:t>“</w:t>
      </w:r>
      <w:r>
        <w:rPr>
          <w:rFonts w:eastAsia="楷体_GB2312" w:cs="MingLiU_HKSCS"/>
          <w:lang w:val="zh-CN"/>
        </w:rPr>
        <w:t>执行本单位的任务所完成的职务发明依法不允许通过订立合同的方式约定归属</w:t>
      </w:r>
      <w:r>
        <w:rPr>
          <w:rFonts w:eastAsia="楷体_GB2312" w:cs="MingLiU_HKSCS"/>
          <w:lang w:val="zh-CN"/>
        </w:rPr>
        <w:t>”</w:t>
      </w:r>
      <w:r>
        <w:rPr>
          <w:rFonts w:eastAsia="楷体_GB2312" w:cs="MingLiU_HKSCS"/>
          <w:lang w:val="zh-CN"/>
        </w:rPr>
        <w:t>的问题，一种观点认为，按照《专利法》第六条第三款的字面含义，单位与发明人、设计人之间订立的合同应当限于</w:t>
      </w:r>
      <w:r>
        <w:rPr>
          <w:rFonts w:eastAsia="楷体_GB2312" w:cs="MingLiU_HKSCS"/>
          <w:lang w:val="zh-CN"/>
        </w:rPr>
        <w:t>“</w:t>
      </w:r>
      <w:r>
        <w:rPr>
          <w:rFonts w:eastAsia="楷体_GB2312" w:cs="MingLiU_HKSCS"/>
          <w:lang w:val="zh-CN"/>
        </w:rPr>
        <w:t>利用本单位的物质技术条件所完成的发明创造</w:t>
      </w:r>
      <w:r>
        <w:rPr>
          <w:rFonts w:eastAsia="楷体_GB2312" w:cs="MingLiU_HKSCS"/>
          <w:lang w:val="zh-CN"/>
        </w:rPr>
        <w:t>”</w:t>
      </w:r>
      <w:r>
        <w:rPr>
          <w:rFonts w:eastAsia="楷体_GB2312" w:cs="MingLiU_HKSCS"/>
          <w:lang w:val="zh-CN"/>
        </w:rPr>
        <w:t>的情形，对于</w:t>
      </w:r>
      <w:r>
        <w:rPr>
          <w:rFonts w:eastAsia="楷体_GB2312" w:cs="MingLiU_HKSCS"/>
          <w:lang w:val="zh-CN"/>
        </w:rPr>
        <w:t>“</w:t>
      </w:r>
      <w:r>
        <w:rPr>
          <w:rFonts w:eastAsia="楷体_GB2312" w:cs="MingLiU_HKSCS"/>
          <w:lang w:val="zh-CN"/>
        </w:rPr>
        <w:t>执行本单位的任务所完成的发明创造</w:t>
      </w:r>
      <w:r>
        <w:rPr>
          <w:rFonts w:eastAsia="楷体_GB2312" w:cs="MingLiU_HKSCS"/>
          <w:lang w:val="zh-CN"/>
        </w:rPr>
        <w:t>”,</w:t>
      </w:r>
      <w:r>
        <w:rPr>
          <w:rFonts w:eastAsia="楷体_GB2312" w:cs="MingLiU_HKSCS"/>
          <w:lang w:val="zh-CN"/>
        </w:rPr>
        <w:t>不适用《专利法》第六条第三款的规定，即</w:t>
      </w:r>
      <w:r>
        <w:rPr>
          <w:rFonts w:eastAsia="楷体_GB2312" w:cs="MingLiU_HKSCS"/>
          <w:lang w:val="zh-CN"/>
        </w:rPr>
        <w:t>“</w:t>
      </w:r>
      <w:r>
        <w:rPr>
          <w:rFonts w:eastAsia="楷体_GB2312" w:cs="MingLiU_HKSCS"/>
          <w:lang w:val="zh-CN"/>
        </w:rPr>
        <w:t>执行本单位的任务所完成的发明创造</w:t>
      </w:r>
      <w:r>
        <w:rPr>
          <w:rFonts w:eastAsia="楷体_GB2312" w:cs="MingLiU_HKSCS"/>
          <w:lang w:val="zh-CN"/>
        </w:rPr>
        <w:t>”</w:t>
      </w:r>
      <w:r>
        <w:rPr>
          <w:rFonts w:eastAsia="楷体_GB2312" w:cs="MingLiU_HKSCS"/>
          <w:lang w:val="zh-CN"/>
        </w:rPr>
        <w:t>只能作为职务发明创造归属于单位所有，不能通过合同进行约定；如果对这种类型的发明创</w:t>
      </w:r>
      <w:bookmarkStart w:id="6810" w:name="bookmark185"/>
      <w:bookmarkEnd w:id="6810"/>
      <w:r>
        <w:rPr>
          <w:rFonts w:eastAsia="楷体_GB2312" w:cs="MingLiU_HKSCS"/>
          <w:lang w:val="zh-CN"/>
        </w:rPr>
        <w:t>造的权利归属也允许约定的话，不仅有可能扰乱单位内部的管理秩序，影响单位组织创新的积极性，还有可能导致国有资产的流失。另一种观点则认为，鉴于参与市场竞争的主体复杂多样，企业可以采取多种方式调动职工的创新积极性，单位与发明人或设计人之间基于真实的意思表示，对</w:t>
      </w:r>
      <w:r>
        <w:rPr>
          <w:rFonts w:eastAsia="楷体_GB2312" w:cs="MingLiU_HKSCS"/>
          <w:lang w:val="zh-CN"/>
        </w:rPr>
        <w:t>“</w:t>
      </w:r>
      <w:r>
        <w:rPr>
          <w:rFonts w:eastAsia="楷体_GB2312" w:cs="MingLiU_HKSCS"/>
          <w:lang w:val="zh-CN"/>
        </w:rPr>
        <w:t>执行本单位的任务所完成的发明创造</w:t>
      </w:r>
      <w:r>
        <w:rPr>
          <w:rFonts w:eastAsia="楷体_GB2312" w:cs="MingLiU_HKSCS"/>
          <w:lang w:val="zh-CN"/>
        </w:rPr>
        <w:t>”</w:t>
      </w:r>
      <w:r>
        <w:rPr>
          <w:rFonts w:eastAsia="楷体_GB2312" w:cs="MingLiU_HKSCS"/>
          <w:lang w:val="zh-CN"/>
        </w:rPr>
        <w:t>的权利归属作出约定并不损害社会及他人利益；如果将这种约定均认定无效的话，有悖于当事人的真实意思表示。</w:t>
      </w:r>
    </w:p>
    <w:p w:rsidR="00800760" w:rsidRDefault="00235733">
      <w:pPr>
        <w:spacing w:line="360" w:lineRule="auto"/>
        <w:rPr>
          <w:rFonts w:eastAsia="楷体_GB2312" w:cs="MingLiU_HKSCS"/>
          <w:lang w:val="zh-CN"/>
        </w:rPr>
      </w:pPr>
      <w:r>
        <w:rPr>
          <w:rFonts w:eastAsia="楷体_GB2312" w:cs="MingLiU_HKSCS"/>
          <w:lang w:val="zh-CN"/>
        </w:rPr>
        <w:t>综上，专利申请权和专利权本质上还是一种民事权利，对《专利法》第六条第三款的理解不应仅限于其字面含义。对于当事人在不损害其他合法利益的情况下，基于双方真实的意思表示对自身民事权利进行处置应当予以尊重。在单位与发明人或设计人订立了合同，就其专利申请权和专利权约定归属的情况下，只要合同真实、符合双方当事人的真实意思表示，无论其中约定的是</w:t>
      </w:r>
      <w:r>
        <w:rPr>
          <w:rFonts w:eastAsia="楷体_GB2312" w:cs="MingLiU_HKSCS"/>
          <w:lang w:val="zh-CN"/>
        </w:rPr>
        <w:t>“</w:t>
      </w:r>
      <w:r>
        <w:rPr>
          <w:rFonts w:eastAsia="楷体_GB2312" w:cs="MingLiU_HKSCS"/>
          <w:lang w:val="zh-CN"/>
        </w:rPr>
        <w:t>利用本单位的物质技术条件所完成的发明创造</w:t>
      </w:r>
      <w:r>
        <w:rPr>
          <w:rFonts w:eastAsia="楷体_GB2312" w:cs="MingLiU_HKSCS"/>
          <w:lang w:val="zh-CN"/>
        </w:rPr>
        <w:t>”,</w:t>
      </w:r>
      <w:r>
        <w:rPr>
          <w:rFonts w:eastAsia="楷体_GB2312" w:cs="MingLiU_HKSCS"/>
          <w:lang w:val="zh-CN"/>
        </w:rPr>
        <w:t>还是</w:t>
      </w:r>
      <w:r>
        <w:rPr>
          <w:rFonts w:eastAsia="楷体_GB2312" w:cs="MingLiU_HKSCS"/>
          <w:lang w:val="zh-CN"/>
        </w:rPr>
        <w:t>“</w:t>
      </w:r>
      <w:r>
        <w:rPr>
          <w:rFonts w:eastAsia="楷体_GB2312" w:cs="MingLiU_HKSCS"/>
          <w:lang w:val="zh-CN"/>
        </w:rPr>
        <w:t>执行本单位的任务所完成的发明创造</w:t>
      </w:r>
      <w:r>
        <w:rPr>
          <w:rFonts w:eastAsia="楷体_GB2312" w:cs="MingLiU_HKSCS"/>
          <w:lang w:val="zh-CN"/>
        </w:rPr>
        <w:t>”,</w:t>
      </w:r>
      <w:r>
        <w:rPr>
          <w:rFonts w:eastAsia="楷体_GB2312" w:cs="MingLiU_HKSCS"/>
          <w:lang w:val="zh-CN"/>
        </w:rPr>
        <w:t>约定内容都应当被允许，管理专利工作的部门应遵从合同约定确定权利归属。</w:t>
      </w:r>
    </w:p>
    <w:p w:rsidR="00800760" w:rsidRDefault="00235733">
      <w:pPr>
        <w:pStyle w:val="2"/>
        <w:spacing w:before="91"/>
        <w:ind w:firstLineChars="0" w:firstLine="0"/>
        <w:rPr>
          <w:rFonts w:ascii="Times New Roman" w:hAnsi="Times New Roman"/>
        </w:rPr>
      </w:pPr>
      <w:bookmarkStart w:id="6811" w:name="_Toc8229"/>
      <w:bookmarkStart w:id="6812" w:name="_Toc23447"/>
      <w:bookmarkStart w:id="6813" w:name="_Toc6097"/>
      <w:bookmarkStart w:id="6814" w:name="_Toc8789"/>
      <w:bookmarkStart w:id="6815" w:name="_Toc9070"/>
      <w:bookmarkStart w:id="6816" w:name="_Toc32149"/>
      <w:bookmarkStart w:id="6817" w:name="_Toc30226"/>
      <w:bookmarkStart w:id="6818" w:name="_Toc23469"/>
      <w:bookmarkStart w:id="6819" w:name="_Toc16537"/>
      <w:bookmarkStart w:id="6820" w:name="_Toc16018"/>
      <w:bookmarkStart w:id="6821" w:name="_Toc3104"/>
      <w:bookmarkStart w:id="6822" w:name="_Toc3149"/>
      <w:bookmarkStart w:id="6823" w:name="_Toc29718"/>
      <w:bookmarkStart w:id="6824" w:name="_Toc21197"/>
      <w:bookmarkStart w:id="6825" w:name="_Toc14989"/>
      <w:bookmarkStart w:id="6826" w:name="_Toc23888"/>
      <w:bookmarkStart w:id="6827" w:name="_Toc52"/>
      <w:bookmarkStart w:id="6828" w:name="_Toc8038"/>
      <w:bookmarkStart w:id="6829" w:name="_Toc27422"/>
      <w:bookmarkStart w:id="6830" w:name="_Toc18479"/>
      <w:bookmarkStart w:id="6831" w:name="_Toc28280"/>
      <w:bookmarkStart w:id="6832" w:name="_Toc27409"/>
      <w:bookmarkStart w:id="6833" w:name="_Toc20412"/>
      <w:bookmarkStart w:id="6834" w:name="_Toc15646"/>
      <w:bookmarkStart w:id="6835" w:name="_Toc16867"/>
      <w:bookmarkStart w:id="6836" w:name="_Toc8934"/>
      <w:bookmarkStart w:id="6837" w:name="_Toc15445"/>
      <w:bookmarkStart w:id="6838" w:name="_Toc24405"/>
      <w:bookmarkStart w:id="6839" w:name="_Toc2528"/>
      <w:bookmarkStart w:id="6840" w:name="_Toc3163"/>
      <w:bookmarkStart w:id="6841" w:name="_Toc28439"/>
      <w:bookmarkStart w:id="6842" w:name="_Toc1691"/>
      <w:bookmarkStart w:id="6843" w:name="_Toc18709"/>
      <w:bookmarkStart w:id="6844" w:name="_Toc23036"/>
      <w:bookmarkStart w:id="6845" w:name="_Toc3618"/>
      <w:bookmarkStart w:id="6846" w:name="_Toc1882"/>
      <w:bookmarkStart w:id="6847" w:name="_Toc4536"/>
      <w:bookmarkStart w:id="6848" w:name="_Toc229114481"/>
      <w:bookmarkStart w:id="6849" w:name="_Toc13009"/>
      <w:bookmarkStart w:id="6850" w:name="_Toc5408"/>
      <w:bookmarkStart w:id="6851" w:name="_Toc2543"/>
      <w:bookmarkStart w:id="6852" w:name="_Toc2708"/>
      <w:bookmarkStart w:id="6853" w:name="_Toc32517"/>
      <w:bookmarkStart w:id="6854" w:name="_Toc229225577"/>
      <w:r>
        <w:rPr>
          <w:rFonts w:ascii="Times New Roman" w:hAnsi="Times New Roman"/>
        </w:rPr>
        <w:t>第二节</w:t>
      </w:r>
      <w:r>
        <w:rPr>
          <w:rFonts w:ascii="Times New Roman" w:hAnsi="Times New Roman" w:hint="eastAsia"/>
        </w:rPr>
        <w:t xml:space="preserve">　</w:t>
      </w:r>
      <w:r>
        <w:rPr>
          <w:rFonts w:ascii="Times New Roman" w:hAnsi="Times New Roman"/>
        </w:rPr>
        <w:t>委托开发与合作开发引起的专利权属纠纷的行政调解</w:t>
      </w:r>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p>
    <w:p w:rsidR="00800760" w:rsidRDefault="00235733">
      <w:pPr>
        <w:spacing w:before="65" w:line="316" w:lineRule="auto"/>
        <w:ind w:left="20" w:right="84" w:firstLine="436"/>
        <w:jc w:val="both"/>
        <w:rPr>
          <w:rFonts w:cs="宋体"/>
        </w:rPr>
      </w:pPr>
      <w:r>
        <w:rPr>
          <w:rFonts w:cs="宋体"/>
          <w:spacing w:val="4"/>
        </w:rPr>
        <w:t>技术开发合同是指当事人之间就新技术、新产品、新工艺或者新材料及其系统的研究开发所订立的合同。技术开发合同包括委托开发合同和合作开发合同。根据《专利法》第八条的规定，委托或合作开发过程中完成的发明创造，专利申请权和专利权的归属取决于双方是否就该发明创造的归属另有协议约定。双方约定专利申请权和专利权的归属的，从其约定。</w:t>
      </w:r>
      <w:r>
        <w:rPr>
          <w:rFonts w:cs="宋体" w:hint="eastAsia"/>
          <w:spacing w:val="4"/>
        </w:rPr>
        <w:t>无协议约定的，申请专利的权利属于完成或者共同完成的单位或者个人，申请被批准后，申请的单位或者个人为专利权人。</w:t>
      </w:r>
    </w:p>
    <w:p w:rsidR="00800760" w:rsidRDefault="00235733">
      <w:pPr>
        <w:pStyle w:val="3"/>
        <w:spacing w:before="240"/>
        <w:ind w:firstLineChars="0" w:firstLine="444"/>
        <w:rPr>
          <w:rFonts w:ascii="Times New Roman" w:hAnsi="Times New Roman"/>
        </w:rPr>
      </w:pPr>
      <w:bookmarkStart w:id="6855" w:name="_Toc4723"/>
      <w:bookmarkStart w:id="6856" w:name="_Toc8620"/>
      <w:bookmarkStart w:id="6857" w:name="_Toc1519"/>
      <w:bookmarkStart w:id="6858" w:name="_Toc498"/>
      <w:bookmarkStart w:id="6859" w:name="_Toc8781"/>
      <w:bookmarkStart w:id="6860" w:name="_Toc31428"/>
      <w:bookmarkStart w:id="6861" w:name="_Toc17903"/>
      <w:bookmarkStart w:id="6862" w:name="_Toc4372"/>
      <w:bookmarkStart w:id="6863" w:name="_Toc12758"/>
      <w:bookmarkStart w:id="6864" w:name="_Toc25369"/>
      <w:bookmarkStart w:id="6865" w:name="_Toc23966"/>
      <w:bookmarkStart w:id="6866" w:name="_Toc18149"/>
      <w:bookmarkStart w:id="6867" w:name="_Toc1790"/>
      <w:bookmarkStart w:id="6868" w:name="_Toc4290"/>
      <w:bookmarkStart w:id="6869" w:name="_Toc14085"/>
      <w:bookmarkStart w:id="6870" w:name="_Toc31629"/>
      <w:bookmarkStart w:id="6871" w:name="_Toc28790"/>
      <w:bookmarkStart w:id="6872" w:name="_Toc7890"/>
      <w:bookmarkStart w:id="6873" w:name="_Toc13335"/>
      <w:bookmarkStart w:id="6874" w:name="_Toc17748"/>
      <w:bookmarkStart w:id="6875" w:name="_Toc29959"/>
      <w:bookmarkStart w:id="6876" w:name="_Toc22638"/>
      <w:bookmarkStart w:id="6877" w:name="_Toc21873"/>
      <w:bookmarkStart w:id="6878" w:name="_Toc122"/>
      <w:bookmarkStart w:id="6879" w:name="_Toc229114482"/>
      <w:bookmarkStart w:id="6880" w:name="_Toc8790"/>
      <w:bookmarkStart w:id="6881" w:name="_Toc12902"/>
      <w:bookmarkStart w:id="6882" w:name="_Toc18953"/>
      <w:bookmarkStart w:id="6883" w:name="_Toc27408"/>
      <w:bookmarkStart w:id="6884" w:name="_Toc9357"/>
      <w:bookmarkStart w:id="6885" w:name="_Toc3635"/>
      <w:bookmarkStart w:id="6886" w:name="_Toc2425"/>
      <w:bookmarkStart w:id="6887" w:name="_Toc19591"/>
      <w:bookmarkStart w:id="6888" w:name="_Toc11323"/>
      <w:bookmarkStart w:id="6889" w:name="_Toc25326"/>
      <w:bookmarkStart w:id="6890" w:name="_Toc15906"/>
      <w:bookmarkStart w:id="6891" w:name="_Toc20453"/>
      <w:bookmarkStart w:id="6892" w:name="_Toc22254"/>
      <w:bookmarkStart w:id="6893" w:name="_Toc23500"/>
      <w:bookmarkStart w:id="6894" w:name="_Toc2667"/>
      <w:bookmarkStart w:id="6895" w:name="_Toc16146"/>
      <w:bookmarkStart w:id="6896" w:name="_Toc17744"/>
      <w:bookmarkStart w:id="6897" w:name="_Toc8742"/>
      <w:bookmarkStart w:id="6898" w:name="_Toc229225578"/>
      <w:r>
        <w:rPr>
          <w:rFonts w:ascii="Times New Roman" w:hAnsi="Times New Roman"/>
        </w:rPr>
        <w:t>一、委托开发完成的发明创造</w:t>
      </w:r>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p>
    <w:p w:rsidR="00800760" w:rsidRDefault="00235733">
      <w:pPr>
        <w:ind w:firstLine="436"/>
        <w:jc w:val="both"/>
        <w:rPr>
          <w:rFonts w:cs="宋体"/>
          <w:spacing w:val="4"/>
        </w:rPr>
      </w:pPr>
      <w:r>
        <w:rPr>
          <w:rFonts w:cs="宋体"/>
          <w:spacing w:val="4"/>
        </w:rPr>
        <w:t>委托开发完成的发明创造，是指一个单位或个人提出研究开发任务并提供经费和报酬，由其他单位或者个人进行研究开发所完成的发明创造。委托开发合同的标的是一项新的技术或者设计，通常表现为一项新的技术方案，既可以是技术方案本身，也可以是体现技术方案的产品、工艺、材料或者其组合。</w:t>
      </w:r>
    </w:p>
    <w:p w:rsidR="00800760" w:rsidRDefault="00235733">
      <w:pPr>
        <w:ind w:firstLine="436"/>
        <w:jc w:val="both"/>
        <w:rPr>
          <w:rFonts w:cs="宋体"/>
          <w:spacing w:val="4"/>
        </w:rPr>
      </w:pPr>
      <w:r>
        <w:rPr>
          <w:rFonts w:cs="宋体"/>
          <w:spacing w:val="4"/>
        </w:rPr>
        <w:t>一个单位或者个人接受其他单位或者个人委托所完成的发明创造，双方就该发明创造的归属另有协议约定的，专利申请权属于协议约定的一方；双方没有协议约定归属的，专利申请权属于完成的单位或者个人；申请被批准后，申请的单位或者个人为专利权人。</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3</w:t>
      </w:r>
      <w:r>
        <w:rPr>
          <w:rFonts w:ascii="Times New Roman" w:hAnsi="Times New Roman"/>
        </w:rPr>
        <w:t>-2-1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1983</w:t>
      </w:r>
      <w:r>
        <w:rPr>
          <w:rFonts w:eastAsia="楷体_GB2312" w:cs="MingLiU_HKSCS"/>
          <w:lang w:val="zh-CN"/>
        </w:rPr>
        <w:t>年起，</w:t>
      </w:r>
      <w:r>
        <w:rPr>
          <w:rFonts w:eastAsia="楷体_GB2312" w:cs="MingLiU_HKSCS" w:hint="eastAsia"/>
          <w:lang w:val="zh-CN"/>
        </w:rPr>
        <w:t>甲</w:t>
      </w:r>
      <w:r>
        <w:rPr>
          <w:rFonts w:eastAsia="楷体_GB2312" w:cs="MingLiU_HKSCS"/>
          <w:lang w:val="zh-CN"/>
        </w:rPr>
        <w:t>自己立项开始研究治疗乙型肝炎的配方。</w:t>
      </w:r>
      <w:r>
        <w:rPr>
          <w:rFonts w:eastAsia="楷体_GB2312" w:cs="MingLiU_HKSCS"/>
          <w:lang w:val="zh-CN"/>
        </w:rPr>
        <w:t>1986</w:t>
      </w:r>
      <w:r>
        <w:rPr>
          <w:rFonts w:eastAsia="楷体_GB2312" w:cs="MingLiU_HKSCS"/>
          <w:lang w:val="zh-CN"/>
        </w:rPr>
        <w:t>年，</w:t>
      </w:r>
      <w:r>
        <w:rPr>
          <w:rFonts w:eastAsia="楷体_GB2312" w:cs="MingLiU_HKSCS" w:hint="eastAsia"/>
          <w:lang w:val="zh-CN"/>
        </w:rPr>
        <w:t>甲</w:t>
      </w:r>
      <w:r>
        <w:rPr>
          <w:rFonts w:eastAsia="楷体_GB2312" w:cs="MingLiU_HKSCS"/>
          <w:lang w:val="zh-CN"/>
        </w:rPr>
        <w:t>与某制药厂签订委托加工协议书，其中约定：制药厂根据</w:t>
      </w:r>
      <w:r>
        <w:rPr>
          <w:rFonts w:eastAsia="楷体_GB2312" w:cs="MingLiU_HKSCS" w:hint="eastAsia"/>
          <w:lang w:val="zh-CN"/>
        </w:rPr>
        <w:t>甲</w:t>
      </w:r>
      <w:r>
        <w:rPr>
          <w:rFonts w:eastAsia="楷体_GB2312" w:cs="MingLiU_HKSCS"/>
          <w:lang w:val="zh-CN"/>
        </w:rPr>
        <w:t>提供的配方和要求加工</w:t>
      </w:r>
      <w:r>
        <w:rPr>
          <w:rFonts w:eastAsia="楷体_GB2312" w:cs="MingLiU_HKSCS"/>
          <w:lang w:val="zh-CN"/>
        </w:rPr>
        <w:t>“</w:t>
      </w:r>
      <w:r>
        <w:rPr>
          <w:rFonts w:eastAsia="楷体_GB2312" w:cs="MingLiU_HKSCS"/>
          <w:lang w:val="zh-CN"/>
        </w:rPr>
        <w:t>肝病药物</w:t>
      </w:r>
      <w:r>
        <w:rPr>
          <w:rFonts w:eastAsia="楷体_GB2312" w:cs="MingLiU_HKSCS"/>
          <w:lang w:val="zh-CN"/>
        </w:rPr>
        <w:t>”,</w:t>
      </w:r>
      <w:r>
        <w:rPr>
          <w:rFonts w:eastAsia="楷体_GB2312" w:cs="MingLiU_HKSCS" w:hint="eastAsia"/>
          <w:lang w:val="zh-CN"/>
        </w:rPr>
        <w:t>甲</w:t>
      </w:r>
      <w:r>
        <w:rPr>
          <w:rFonts w:eastAsia="楷体_GB2312" w:cs="MingLiU_HKSCS"/>
          <w:lang w:val="zh-CN"/>
        </w:rPr>
        <w:t>向制药厂支付加工费。协议书签订后，制药厂进行了不同剂型选择实验后建议</w:t>
      </w:r>
      <w:r>
        <w:rPr>
          <w:rFonts w:eastAsia="楷体_GB2312" w:cs="MingLiU_HKSCS"/>
          <w:lang w:val="zh-CN"/>
        </w:rPr>
        <w:t>“</w:t>
      </w:r>
      <w:r>
        <w:rPr>
          <w:rFonts w:eastAsia="楷体_GB2312" w:cs="MingLiU_HKSCS"/>
          <w:lang w:val="zh-CN"/>
        </w:rPr>
        <w:t>肝病药物</w:t>
      </w:r>
      <w:r>
        <w:rPr>
          <w:rFonts w:eastAsia="楷体_GB2312" w:cs="MingLiU_HKSCS"/>
          <w:lang w:val="zh-CN"/>
        </w:rPr>
        <w:t>”</w:t>
      </w:r>
      <w:r>
        <w:rPr>
          <w:rFonts w:eastAsia="楷体_GB2312" w:cs="MingLiU_HKSCS"/>
          <w:lang w:val="zh-CN"/>
        </w:rPr>
        <w:t>采用冲剂型，之后，制药厂加工出</w:t>
      </w:r>
      <w:r>
        <w:rPr>
          <w:rFonts w:eastAsia="楷体_GB2312" w:cs="MingLiU_HKSCS"/>
          <w:lang w:val="zh-CN"/>
        </w:rPr>
        <w:t>“</w:t>
      </w:r>
      <w:r>
        <w:rPr>
          <w:rFonts w:eastAsia="楷体_GB2312" w:cs="MingLiU_HKSCS"/>
          <w:lang w:val="zh-CN"/>
        </w:rPr>
        <w:t>肝病冲剂</w:t>
      </w:r>
      <w:r>
        <w:rPr>
          <w:rFonts w:eastAsia="楷体_GB2312" w:cs="MingLiU_HKSCS"/>
          <w:lang w:val="zh-CN"/>
        </w:rPr>
        <w:t>”</w:t>
      </w:r>
      <w:r>
        <w:rPr>
          <w:rFonts w:eastAsia="楷体_GB2312" w:cs="MingLiU_HKSCS"/>
          <w:lang w:val="zh-CN"/>
        </w:rPr>
        <w:t>初试药品，该药品在某医院临床应用，显示出较好的临床疗效。为将该药物推向市场，</w:t>
      </w:r>
      <w:r>
        <w:rPr>
          <w:rFonts w:eastAsia="楷体_GB2312" w:cs="MingLiU_HKSCS"/>
          <w:lang w:val="zh-CN"/>
        </w:rPr>
        <w:t>1988</w:t>
      </w:r>
      <w:r>
        <w:rPr>
          <w:rFonts w:eastAsia="楷体_GB2312" w:cs="MingLiU_HKSCS"/>
          <w:lang w:val="zh-CN"/>
        </w:rPr>
        <w:t>年，双方签订了补充协议，约定：</w:t>
      </w:r>
      <w:r>
        <w:rPr>
          <w:rFonts w:eastAsia="楷体_GB2312" w:cs="MingLiU_HKSCS" w:hint="eastAsia"/>
          <w:lang w:val="zh-CN"/>
        </w:rPr>
        <w:t>甲</w:t>
      </w:r>
      <w:r>
        <w:rPr>
          <w:rFonts w:eastAsia="楷体_GB2312" w:cs="MingLiU_HKSCS"/>
          <w:lang w:val="zh-CN"/>
        </w:rPr>
        <w:t>负责药物研发，包括配方改进、毒性试验、药效试验、提供临床疗效资料等；制药厂负责提供试验费用、生产、销售等。</w:t>
      </w:r>
      <w:r>
        <w:rPr>
          <w:rFonts w:eastAsia="楷体_GB2312" w:cs="MingLiU_HKSCS"/>
          <w:lang w:val="zh-CN"/>
        </w:rPr>
        <w:t>1993</w:t>
      </w:r>
      <w:r>
        <w:rPr>
          <w:rFonts w:eastAsia="楷体_GB2312" w:cs="MingLiU_HKSCS"/>
          <w:lang w:val="zh-CN"/>
        </w:rPr>
        <w:t>年，</w:t>
      </w:r>
      <w:r>
        <w:rPr>
          <w:rFonts w:eastAsia="楷体_GB2312" w:cs="MingLiU_HKSCS" w:hint="eastAsia"/>
          <w:lang w:val="zh-CN"/>
        </w:rPr>
        <w:t>甲</w:t>
      </w:r>
      <w:r>
        <w:rPr>
          <w:rFonts w:eastAsia="楷体_GB2312" w:cs="MingLiU_HKSCS"/>
          <w:lang w:val="zh-CN"/>
        </w:rPr>
        <w:t>以个人名义申请了</w:t>
      </w:r>
      <w:r>
        <w:rPr>
          <w:rFonts w:eastAsia="楷体_GB2312" w:cs="MingLiU_HKSCS"/>
          <w:lang w:val="zh-CN"/>
        </w:rPr>
        <w:t>“</w:t>
      </w:r>
      <w:r>
        <w:rPr>
          <w:rFonts w:eastAsia="楷体_GB2312" w:cs="MingLiU_HKSCS"/>
          <w:lang w:val="zh-CN"/>
        </w:rPr>
        <w:t>肝病冲剂</w:t>
      </w:r>
      <w:r>
        <w:rPr>
          <w:rFonts w:eastAsia="楷体_GB2312" w:cs="MingLiU_HKSCS"/>
          <w:lang w:val="zh-CN"/>
        </w:rPr>
        <w:t>”</w:t>
      </w:r>
      <w:r>
        <w:rPr>
          <w:rFonts w:eastAsia="楷体_GB2312" w:cs="MingLiU_HKSCS"/>
          <w:lang w:val="zh-CN"/>
        </w:rPr>
        <w:t>发明专利。制药厂认为该专利申请权及随后的专利权应由双方共享。</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由于技术开发合同的性质影响到最终权利的归属，因此，在判断权利归属之前，应当首先确定双方当事人之间的合同究竟属于委托开发合同还是合作开发合同。属于委托开发合同的，管理专利工作的部门应考察合同条款，看其中是否就委托开发的技术成果归属存在约定。如果存在权属约定条款，以约定条款的内容为准判定权利归属；如果不存在权属约定，受托方拥有专利申请权和专利权。</w:t>
      </w:r>
    </w:p>
    <w:p w:rsidR="00800760" w:rsidRDefault="00235733">
      <w:pPr>
        <w:spacing w:line="360" w:lineRule="auto"/>
        <w:rPr>
          <w:rFonts w:eastAsia="楷体_GB2312" w:cs="MingLiU_HKSCS"/>
          <w:lang w:val="zh-CN"/>
        </w:rPr>
      </w:pPr>
      <w:r>
        <w:rPr>
          <w:rFonts w:eastAsia="楷体_GB2312" w:cs="MingLiU_HKSCS"/>
          <w:lang w:val="zh-CN"/>
        </w:rPr>
        <w:t>该案中，根据双方补充协议，制药厂为出资方，</w:t>
      </w:r>
      <w:r>
        <w:rPr>
          <w:rFonts w:eastAsia="楷体_GB2312" w:cs="MingLiU_HKSCS" w:hint="eastAsia"/>
          <w:lang w:val="zh-CN"/>
        </w:rPr>
        <w:t>甲</w:t>
      </w:r>
      <w:r>
        <w:rPr>
          <w:rFonts w:eastAsia="楷体_GB2312" w:cs="MingLiU_HKSCS"/>
          <w:lang w:val="zh-CN"/>
        </w:rPr>
        <w:t>为研发方，二者之间应当属于委托开发关系。由于双方的协议和补充协议中均未对涉案技术的专利申请权和专利权作出约定，因此根据《专利法》第八条的规定，涉案技术申请专利的权利属于完成该项技术发明创造的</w:t>
      </w:r>
      <w:r>
        <w:rPr>
          <w:rFonts w:eastAsia="楷体_GB2312" w:cs="MingLiU_HKSCS" w:hint="eastAsia"/>
          <w:lang w:val="zh-CN"/>
        </w:rPr>
        <w:t>甲</w:t>
      </w:r>
      <w:r>
        <w:rPr>
          <w:rFonts w:eastAsia="楷体_GB2312" w:cs="MingLiU_HKSCS"/>
          <w:lang w:val="zh-CN"/>
        </w:rPr>
        <w:t>所有。</w:t>
      </w:r>
    </w:p>
    <w:p w:rsidR="00800760" w:rsidRDefault="00235733">
      <w:pPr>
        <w:pStyle w:val="3"/>
        <w:spacing w:before="240"/>
        <w:ind w:firstLineChars="0" w:firstLine="444"/>
        <w:rPr>
          <w:rFonts w:ascii="Times New Roman" w:hAnsi="Times New Roman"/>
        </w:rPr>
      </w:pPr>
      <w:bookmarkStart w:id="6899" w:name="_Toc5045"/>
      <w:bookmarkStart w:id="6900" w:name="_Toc25019"/>
      <w:bookmarkStart w:id="6901" w:name="_Toc540"/>
      <w:bookmarkStart w:id="6902" w:name="_Toc14805"/>
      <w:bookmarkStart w:id="6903" w:name="_Toc19696"/>
      <w:bookmarkStart w:id="6904" w:name="_Toc9057"/>
      <w:bookmarkStart w:id="6905" w:name="_Toc21214"/>
      <w:bookmarkStart w:id="6906" w:name="_Toc5712"/>
      <w:bookmarkStart w:id="6907" w:name="_Toc229114483"/>
      <w:bookmarkStart w:id="6908" w:name="_Toc5524"/>
      <w:bookmarkStart w:id="6909" w:name="_Toc229225579"/>
      <w:r>
        <w:rPr>
          <w:rFonts w:ascii="Times New Roman" w:hAnsi="Times New Roman"/>
        </w:rPr>
        <w:t>二、合作开发完成的发明创造</w:t>
      </w:r>
      <w:bookmarkEnd w:id="6899"/>
      <w:bookmarkEnd w:id="6900"/>
      <w:bookmarkEnd w:id="6901"/>
      <w:bookmarkEnd w:id="6902"/>
      <w:bookmarkEnd w:id="6903"/>
      <w:bookmarkEnd w:id="6904"/>
      <w:bookmarkEnd w:id="6905"/>
      <w:bookmarkEnd w:id="6906"/>
      <w:bookmarkEnd w:id="6907"/>
      <w:bookmarkEnd w:id="6908"/>
      <w:bookmarkEnd w:id="6909"/>
    </w:p>
    <w:p w:rsidR="00800760" w:rsidRDefault="00235733">
      <w:pPr>
        <w:ind w:firstLine="436"/>
        <w:jc w:val="both"/>
        <w:rPr>
          <w:rFonts w:cs="宋体"/>
          <w:spacing w:val="4"/>
        </w:rPr>
      </w:pPr>
      <w:r>
        <w:rPr>
          <w:rFonts w:cs="宋体"/>
          <w:spacing w:val="4"/>
        </w:rPr>
        <w:t>合作开发完成的发明创造，是指两个以上单位或者个人共同进行投资、共同参与研究开发工作所完成的发明创造。</w:t>
      </w:r>
    </w:p>
    <w:p w:rsidR="00800760" w:rsidRDefault="00235733">
      <w:pPr>
        <w:ind w:firstLine="436"/>
        <w:jc w:val="both"/>
        <w:rPr>
          <w:rFonts w:cs="宋体"/>
          <w:spacing w:val="4"/>
        </w:rPr>
      </w:pPr>
      <w:r>
        <w:rPr>
          <w:rFonts w:cs="宋体"/>
          <w:spacing w:val="4"/>
        </w:rPr>
        <w:t>两个以上单位或者个人合作完成的发明创造，合作各方就发明创造的归属订有协议的，按照协议确定权利归属；没有订立协议的，专利申请权和专利权属于完成或者共同完成的单位或者个人。</w:t>
      </w:r>
    </w:p>
    <w:p w:rsidR="00800760" w:rsidRDefault="00235733">
      <w:pPr>
        <w:ind w:firstLine="436"/>
        <w:jc w:val="both"/>
        <w:rPr>
          <w:rFonts w:cs="宋体"/>
          <w:spacing w:val="4"/>
        </w:rPr>
      </w:pPr>
      <w:r>
        <w:rPr>
          <w:rFonts w:cs="宋体" w:hint="eastAsia"/>
          <w:spacing w:val="4"/>
        </w:rPr>
        <w:t>所称</w:t>
      </w:r>
      <w:r>
        <w:rPr>
          <w:rFonts w:cs="宋体"/>
          <w:spacing w:val="4"/>
        </w:rPr>
        <w:t>完成或者共同完成的单位，是指完成发明创造的发明人或设计人所在的单位。</w:t>
      </w:r>
      <w:r>
        <w:rPr>
          <w:rFonts w:cs="宋体" w:hint="eastAsia"/>
          <w:spacing w:val="4"/>
        </w:rPr>
        <w:t>所称</w:t>
      </w:r>
      <w:r>
        <w:rPr>
          <w:rFonts w:cs="宋体"/>
          <w:spacing w:val="4"/>
        </w:rPr>
        <w:t>完成或者共同完成的单位或者个人，是指对发明创造的实质性特点作出了创造性贡献的合作方。</w:t>
      </w:r>
    </w:p>
    <w:p w:rsidR="00800760" w:rsidRDefault="00235733">
      <w:pPr>
        <w:ind w:firstLine="436"/>
        <w:jc w:val="both"/>
        <w:rPr>
          <w:rFonts w:cs="宋体"/>
          <w:spacing w:val="4"/>
        </w:rPr>
      </w:pPr>
      <w:bookmarkStart w:id="6910" w:name="bookmark186"/>
      <w:bookmarkEnd w:id="6910"/>
      <w:r>
        <w:rPr>
          <w:rFonts w:cs="宋体"/>
          <w:spacing w:val="4"/>
        </w:rPr>
        <w:t>如果发明创造的完成是基于对某一合作方提供的特有的技术、设施或试验数据等的运用，则该合作方应视为对发明创造的实质性特点作出了创造性贡献。在没有协议的情况下，如果各方派出的人员对发明创造的完成都作出了创造性贡献，各方就是共同完成发明创造的单位或者个人，应当共同享有权利；如果只有一方的发明人或设计人对发明创造的完成作出了创造性贡献，其他合作方虽然参加了研究开发，但是没有作出创造性贡献，就只有该发明人或设计人所代表的一方享有权利。</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3</w:t>
      </w:r>
      <w:r>
        <w:rPr>
          <w:rFonts w:ascii="Times New Roman" w:hAnsi="Times New Roman"/>
        </w:rPr>
        <w:t>-2-2</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A</w:t>
      </w:r>
      <w:r>
        <w:rPr>
          <w:rFonts w:eastAsia="楷体_GB2312" w:cs="MingLiU_HKSCS"/>
          <w:lang w:val="zh-CN"/>
        </w:rPr>
        <w:t>公司拥有保健药品</w:t>
      </w:r>
      <w:r>
        <w:rPr>
          <w:rFonts w:eastAsia="楷体_GB2312" w:cs="MingLiU_HKSCS"/>
          <w:lang w:val="zh-CN"/>
        </w:rPr>
        <w:t>“</w:t>
      </w:r>
      <w:r>
        <w:rPr>
          <w:rFonts w:eastAsia="楷体_GB2312" w:cs="MingLiU_HKSCS"/>
          <w:lang w:val="zh-CN"/>
        </w:rPr>
        <w:t>灵仙化石胶囊</w:t>
      </w:r>
      <w:r>
        <w:rPr>
          <w:rFonts w:eastAsia="楷体_GB2312" w:cs="MingLiU_HKSCS"/>
          <w:lang w:val="zh-CN"/>
        </w:rPr>
        <w:t>”</w:t>
      </w:r>
      <w:r>
        <w:rPr>
          <w:rFonts w:eastAsia="楷体_GB2312" w:cs="MingLiU_HKSCS"/>
          <w:lang w:val="zh-CN"/>
        </w:rPr>
        <w:t>的研究开发成果，其于</w:t>
      </w:r>
      <w:r>
        <w:rPr>
          <w:rFonts w:eastAsia="楷体_GB2312" w:cs="MingLiU_HKSCS"/>
          <w:lang w:val="zh-CN"/>
        </w:rPr>
        <w:t>1996</w:t>
      </w:r>
      <w:r>
        <w:rPr>
          <w:rFonts w:eastAsia="楷体_GB2312" w:cs="MingLiU_HKSCS"/>
          <w:lang w:val="zh-CN"/>
        </w:rPr>
        <w:t>年获得了省卫生厅同意批量生产灵仙化石胶囊的批准文号。</w:t>
      </w:r>
      <w:r>
        <w:rPr>
          <w:rFonts w:eastAsia="楷体_GB2312" w:cs="MingLiU_HKSCS"/>
          <w:lang w:val="zh-CN"/>
        </w:rPr>
        <w:t>1997</w:t>
      </w:r>
      <w:r>
        <w:rPr>
          <w:rFonts w:eastAsia="楷体_GB2312" w:cs="MingLiU_HKSCS"/>
          <w:lang w:val="zh-CN"/>
        </w:rPr>
        <w:t>年，</w:t>
      </w:r>
      <w:r>
        <w:rPr>
          <w:rFonts w:eastAsia="楷体_GB2312" w:cs="MingLiU_HKSCS"/>
          <w:lang w:val="zh-CN"/>
        </w:rPr>
        <w:t>A</w:t>
      </w:r>
      <w:r>
        <w:rPr>
          <w:rFonts w:eastAsia="楷体_GB2312" w:cs="MingLiU_HKSCS"/>
          <w:lang w:val="zh-CN"/>
        </w:rPr>
        <w:t>公司与</w:t>
      </w:r>
      <w:r>
        <w:rPr>
          <w:rFonts w:eastAsia="楷体_GB2312" w:cs="MingLiU_HKSCS"/>
          <w:lang w:val="zh-CN"/>
        </w:rPr>
        <w:t>B</w:t>
      </w:r>
      <w:r>
        <w:rPr>
          <w:rFonts w:eastAsia="楷体_GB2312" w:cs="MingLiU_HKSCS"/>
          <w:lang w:val="zh-CN"/>
        </w:rPr>
        <w:t>公司签订了《合作协议书》</w:t>
      </w:r>
      <w:r>
        <w:rPr>
          <w:rFonts w:eastAsia="楷体_GB2312" w:cs="MingLiU_HKSCS"/>
          <w:lang w:val="zh-CN"/>
        </w:rPr>
        <w:t>,</w:t>
      </w:r>
      <w:r>
        <w:rPr>
          <w:rFonts w:eastAsia="楷体_GB2312" w:cs="MingLiU_HKSCS"/>
          <w:lang w:val="zh-CN"/>
        </w:rPr>
        <w:t>协议约定：在卫生部门许可条件下，</w:t>
      </w:r>
      <w:r>
        <w:rPr>
          <w:rFonts w:eastAsia="楷体_GB2312" w:cs="MingLiU_HKSCS"/>
          <w:lang w:val="zh-CN"/>
        </w:rPr>
        <w:t>A</w:t>
      </w:r>
      <w:r>
        <w:rPr>
          <w:rFonts w:eastAsia="楷体_GB2312" w:cs="MingLiU_HKSCS"/>
          <w:lang w:val="zh-CN"/>
        </w:rPr>
        <w:t>公司将该药品的批准文号从</w:t>
      </w:r>
      <w:r>
        <w:rPr>
          <w:rFonts w:eastAsia="楷体_GB2312" w:cs="MingLiU_HKSCS"/>
          <w:lang w:val="zh-CN"/>
        </w:rPr>
        <w:t>A</w:t>
      </w:r>
      <w:r>
        <w:rPr>
          <w:rFonts w:eastAsia="楷体_GB2312" w:cs="MingLiU_HKSCS"/>
          <w:lang w:val="zh-CN"/>
        </w:rPr>
        <w:t>公司变更至</w:t>
      </w:r>
      <w:r>
        <w:rPr>
          <w:rFonts w:eastAsia="楷体_GB2312" w:cs="MingLiU_HKSCS"/>
          <w:lang w:val="zh-CN"/>
        </w:rPr>
        <w:t>B</w:t>
      </w:r>
      <w:r>
        <w:rPr>
          <w:rFonts w:eastAsia="楷体_GB2312" w:cs="MingLiU_HKSCS"/>
          <w:lang w:val="zh-CN"/>
        </w:rPr>
        <w:t>公司名下；</w:t>
      </w:r>
      <w:r>
        <w:rPr>
          <w:rFonts w:eastAsia="楷体_GB2312" w:cs="MingLiU_HKSCS"/>
          <w:lang w:val="zh-CN"/>
        </w:rPr>
        <w:t>A</w:t>
      </w:r>
      <w:r>
        <w:rPr>
          <w:rFonts w:eastAsia="楷体_GB2312" w:cs="MingLiU_HKSCS"/>
          <w:lang w:val="zh-CN"/>
        </w:rPr>
        <w:t>公司、</w:t>
      </w:r>
      <w:r>
        <w:rPr>
          <w:rFonts w:eastAsia="楷体_GB2312" w:cs="MingLiU_HKSCS"/>
          <w:lang w:val="zh-CN"/>
        </w:rPr>
        <w:t>B</w:t>
      </w:r>
      <w:r>
        <w:rPr>
          <w:rFonts w:eastAsia="楷体_GB2312" w:cs="MingLiU_HKSCS"/>
          <w:lang w:val="zh-CN"/>
        </w:rPr>
        <w:t>公司双方共同研制、开发、生产该药品，</w:t>
      </w:r>
      <w:r>
        <w:rPr>
          <w:rFonts w:eastAsia="楷体_GB2312" w:cs="MingLiU_HKSCS"/>
          <w:lang w:val="zh-CN"/>
        </w:rPr>
        <w:t>A</w:t>
      </w:r>
      <w:r>
        <w:rPr>
          <w:rFonts w:eastAsia="楷体_GB2312" w:cs="MingLiU_HKSCS"/>
          <w:lang w:val="zh-CN"/>
        </w:rPr>
        <w:t>公司提供</w:t>
      </w:r>
      <w:r>
        <w:rPr>
          <w:rFonts w:eastAsia="楷体_GB2312" w:cs="MingLiU_HKSCS"/>
          <w:lang w:val="zh-CN"/>
        </w:rPr>
        <w:tab/>
        <w:t>20%</w:t>
      </w:r>
      <w:r>
        <w:rPr>
          <w:rFonts w:eastAsia="楷体_GB2312" w:cs="MingLiU_HKSCS"/>
          <w:lang w:val="zh-CN"/>
        </w:rPr>
        <w:t>的资金，主要负责提供配方、技术、生产工艺、技术指导等工作，并将上述工作的成果交由</w:t>
      </w:r>
      <w:r>
        <w:rPr>
          <w:rFonts w:eastAsia="楷体_GB2312" w:cs="MingLiU_HKSCS"/>
          <w:lang w:val="zh-CN"/>
        </w:rPr>
        <w:t>B</w:t>
      </w:r>
      <w:r>
        <w:rPr>
          <w:rFonts w:eastAsia="楷体_GB2312" w:cs="MingLiU_HKSCS"/>
          <w:lang w:val="zh-CN"/>
        </w:rPr>
        <w:t>公司保管，</w:t>
      </w:r>
      <w:r>
        <w:rPr>
          <w:rFonts w:eastAsia="楷体_GB2312" w:cs="MingLiU_HKSCS"/>
          <w:lang w:val="zh-CN"/>
        </w:rPr>
        <w:t>B</w:t>
      </w:r>
      <w:r>
        <w:rPr>
          <w:rFonts w:eastAsia="楷体_GB2312" w:cs="MingLiU_HKSCS"/>
          <w:lang w:val="zh-CN"/>
        </w:rPr>
        <w:t>公司派员参与药品研发，并负责提供该药品生产所需的厂房、设备、</w:t>
      </w:r>
      <w:r>
        <w:rPr>
          <w:rFonts w:eastAsia="楷体_GB2312" w:cs="MingLiU_HKSCS"/>
          <w:lang w:val="zh-CN"/>
        </w:rPr>
        <w:t>80%</w:t>
      </w:r>
      <w:r>
        <w:rPr>
          <w:rFonts w:eastAsia="楷体_GB2312" w:cs="MingLiU_HKSCS"/>
          <w:lang w:val="zh-CN"/>
        </w:rPr>
        <w:t>的资金和经营管理；对该药品继续研究的成果由</w:t>
      </w:r>
      <w:r>
        <w:rPr>
          <w:rFonts w:eastAsia="楷体_GB2312" w:cs="MingLiU_HKSCS"/>
          <w:lang w:val="zh-CN"/>
        </w:rPr>
        <w:t>A</w:t>
      </w:r>
      <w:r>
        <w:rPr>
          <w:rFonts w:eastAsia="楷体_GB2312" w:cs="MingLiU_HKSCS"/>
          <w:lang w:val="zh-CN"/>
        </w:rPr>
        <w:t>公司、</w:t>
      </w:r>
      <w:r>
        <w:rPr>
          <w:rFonts w:eastAsia="楷体_GB2312" w:cs="MingLiU_HKSCS"/>
          <w:lang w:val="zh-CN"/>
        </w:rPr>
        <w:t>B</w:t>
      </w:r>
      <w:r>
        <w:rPr>
          <w:rFonts w:eastAsia="楷体_GB2312" w:cs="MingLiU_HKSCS"/>
          <w:lang w:val="zh-CN"/>
        </w:rPr>
        <w:t>公司共享。《合作协议书》签订后，双方依约履行，进行了该药品的研制开发，</w:t>
      </w:r>
      <w:r>
        <w:rPr>
          <w:rFonts w:eastAsia="楷体_GB2312" w:cs="MingLiU_HKSCS"/>
          <w:lang w:val="zh-CN"/>
        </w:rPr>
        <w:t>B</w:t>
      </w:r>
      <w:r>
        <w:rPr>
          <w:rFonts w:eastAsia="楷体_GB2312" w:cs="MingLiU_HKSCS"/>
          <w:lang w:val="zh-CN"/>
        </w:rPr>
        <w:t>公司生产销售了该药品。</w:t>
      </w:r>
      <w:r>
        <w:rPr>
          <w:rFonts w:eastAsia="楷体_GB2312" w:cs="MingLiU_HKSCS"/>
          <w:lang w:val="zh-CN"/>
        </w:rPr>
        <w:t>2001</w:t>
      </w:r>
      <w:r>
        <w:rPr>
          <w:rFonts w:eastAsia="楷体_GB2312" w:cs="MingLiU_HKSCS"/>
          <w:lang w:val="zh-CN"/>
        </w:rPr>
        <w:t>年，</w:t>
      </w:r>
      <w:r>
        <w:rPr>
          <w:rFonts w:eastAsia="楷体_GB2312" w:cs="MingLiU_HKSCS"/>
          <w:lang w:val="zh-CN"/>
        </w:rPr>
        <w:t>B</w:t>
      </w:r>
      <w:r>
        <w:rPr>
          <w:rFonts w:eastAsia="楷体_GB2312" w:cs="MingLiU_HKSCS"/>
          <w:lang w:val="zh-CN"/>
        </w:rPr>
        <w:t>公司申请了名称为</w:t>
      </w:r>
      <w:r>
        <w:rPr>
          <w:rFonts w:eastAsia="楷体_GB2312" w:cs="MingLiU_HKSCS"/>
          <w:lang w:val="zh-CN"/>
        </w:rPr>
        <w:t>“</w:t>
      </w:r>
      <w:r>
        <w:rPr>
          <w:rFonts w:eastAsia="楷体_GB2312" w:cs="MingLiU_HKSCS"/>
          <w:lang w:val="zh-CN"/>
        </w:rPr>
        <w:t>复方威灵仙制剂制备工艺</w:t>
      </w:r>
      <w:r>
        <w:rPr>
          <w:rFonts w:eastAsia="楷体_GB2312" w:cs="MingLiU_HKSCS"/>
          <w:lang w:val="zh-CN"/>
        </w:rPr>
        <w:t>”</w:t>
      </w:r>
      <w:r>
        <w:rPr>
          <w:rFonts w:eastAsia="楷体_GB2312" w:cs="MingLiU_HKSCS"/>
          <w:lang w:val="zh-CN"/>
        </w:rPr>
        <w:t>的发明专利，并承认</w:t>
      </w:r>
      <w:r>
        <w:rPr>
          <w:rFonts w:eastAsia="楷体_GB2312" w:cs="MingLiU_HKSCS"/>
          <w:lang w:val="zh-CN"/>
        </w:rPr>
        <w:t>“</w:t>
      </w:r>
      <w:r>
        <w:rPr>
          <w:rFonts w:eastAsia="楷体_GB2312" w:cs="MingLiU_HKSCS"/>
          <w:lang w:val="zh-CN"/>
        </w:rPr>
        <w:t>复方威灵仙制剂制备工艺</w:t>
      </w:r>
      <w:r>
        <w:rPr>
          <w:rFonts w:eastAsia="楷体_GB2312" w:cs="MingLiU_HKSCS"/>
          <w:lang w:val="zh-CN"/>
        </w:rPr>
        <w:t>”</w:t>
      </w:r>
      <w:r>
        <w:rPr>
          <w:rFonts w:eastAsia="楷体_GB2312" w:cs="MingLiU_HKSCS"/>
          <w:lang w:val="zh-CN"/>
        </w:rPr>
        <w:t>是在</w:t>
      </w:r>
      <w:r>
        <w:rPr>
          <w:rFonts w:eastAsia="楷体_GB2312" w:cs="MingLiU_HKSCS"/>
          <w:lang w:val="zh-CN"/>
        </w:rPr>
        <w:t>A</w:t>
      </w:r>
      <w:r>
        <w:rPr>
          <w:rFonts w:eastAsia="楷体_GB2312" w:cs="MingLiU_HKSCS"/>
          <w:lang w:val="zh-CN"/>
        </w:rPr>
        <w:t>公司的</w:t>
      </w:r>
      <w:r>
        <w:rPr>
          <w:rFonts w:eastAsia="楷体_GB2312" w:cs="MingLiU_HKSCS"/>
          <w:lang w:val="zh-CN"/>
        </w:rPr>
        <w:t>“</w:t>
      </w:r>
      <w:r>
        <w:rPr>
          <w:rFonts w:eastAsia="楷体_GB2312" w:cs="MingLiU_HKSCS"/>
          <w:lang w:val="zh-CN"/>
        </w:rPr>
        <w:t>灵仙化石胶囊</w:t>
      </w:r>
      <w:r>
        <w:rPr>
          <w:rFonts w:eastAsia="楷体_GB2312" w:cs="MingLiU_HKSCS"/>
          <w:lang w:val="zh-CN"/>
        </w:rPr>
        <w:t>”</w:t>
      </w:r>
      <w:r>
        <w:rPr>
          <w:rFonts w:eastAsia="楷体_GB2312" w:cs="MingLiU_HKSCS"/>
          <w:lang w:val="zh-CN"/>
        </w:rPr>
        <w:t>研究成果原配方的基础上研究出来的。</w:t>
      </w:r>
      <w:r>
        <w:rPr>
          <w:rFonts w:eastAsia="楷体_GB2312" w:cs="MingLiU_HKSCS"/>
          <w:lang w:val="zh-CN"/>
        </w:rPr>
        <w:t>A</w:t>
      </w:r>
      <w:r>
        <w:rPr>
          <w:rFonts w:eastAsia="楷体_GB2312" w:cs="MingLiU_HKSCS"/>
          <w:lang w:val="zh-CN"/>
        </w:rPr>
        <w:t>公司认为，复方威灵仙制剂制备工艺与灵仙化石胶囊制备工艺完全相同，</w:t>
      </w:r>
      <w:r>
        <w:rPr>
          <w:rFonts w:eastAsia="楷体_GB2312" w:cs="MingLiU_HKSCS"/>
          <w:lang w:val="zh-CN"/>
        </w:rPr>
        <w:t>B</w:t>
      </w:r>
      <w:r>
        <w:rPr>
          <w:rFonts w:eastAsia="楷体_GB2312" w:cs="MingLiU_HKSCS"/>
          <w:lang w:val="zh-CN"/>
        </w:rPr>
        <w:t>公司违反合作协议的约定，窃取了</w:t>
      </w:r>
      <w:r>
        <w:rPr>
          <w:rFonts w:eastAsia="楷体_GB2312" w:cs="MingLiU_HKSCS"/>
          <w:lang w:val="zh-CN"/>
        </w:rPr>
        <w:t>A</w:t>
      </w:r>
      <w:r>
        <w:rPr>
          <w:rFonts w:eastAsia="楷体_GB2312" w:cs="MingLiU_HKSCS"/>
          <w:lang w:val="zh-CN"/>
        </w:rPr>
        <w:t>公司的研究成果并申请专利，该专利的专利申请权应归</w:t>
      </w:r>
      <w:r>
        <w:rPr>
          <w:rFonts w:eastAsia="楷体_GB2312" w:cs="MingLiU_HKSCS"/>
          <w:lang w:val="zh-CN"/>
        </w:rPr>
        <w:t>A</w:t>
      </w:r>
      <w:r>
        <w:rPr>
          <w:rFonts w:eastAsia="楷体_GB2312" w:cs="MingLiU_HKSCS"/>
          <w:lang w:val="zh-CN"/>
        </w:rPr>
        <w:t>公司所有。</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A</w:t>
      </w:r>
      <w:r>
        <w:rPr>
          <w:rFonts w:eastAsia="楷体_GB2312" w:cs="MingLiU_HKSCS" w:hint="eastAsia"/>
          <w:lang w:val="zh-CN"/>
        </w:rPr>
        <w:t>公司与</w:t>
      </w:r>
      <w:r>
        <w:rPr>
          <w:rFonts w:eastAsia="楷体_GB2312" w:cs="MingLiU_HKSCS"/>
          <w:lang w:val="zh-CN"/>
        </w:rPr>
        <w:t>B</w:t>
      </w:r>
      <w:r>
        <w:rPr>
          <w:rFonts w:eastAsia="楷体_GB2312" w:cs="MingLiU_HKSCS"/>
          <w:lang w:val="zh-CN"/>
        </w:rPr>
        <w:t>公司签订了《合作协议书》</w:t>
      </w:r>
      <w:r>
        <w:rPr>
          <w:rFonts w:eastAsia="楷体_GB2312" w:cs="MingLiU_HKSCS"/>
          <w:lang w:val="zh-CN"/>
        </w:rPr>
        <w:t>,</w:t>
      </w:r>
      <w:r>
        <w:rPr>
          <w:rFonts w:eastAsia="楷体_GB2312" w:cs="MingLiU_HKSCS"/>
          <w:lang w:val="zh-CN"/>
        </w:rPr>
        <w:t>明确约定了双方共同研制、开发、生产</w:t>
      </w:r>
      <w:r>
        <w:rPr>
          <w:rFonts w:eastAsia="楷体_GB2312" w:cs="MingLiU_HKSCS"/>
          <w:lang w:val="zh-CN"/>
        </w:rPr>
        <w:t>“</w:t>
      </w:r>
      <w:r>
        <w:rPr>
          <w:rFonts w:eastAsia="楷体_GB2312" w:cs="MingLiU_HKSCS"/>
          <w:lang w:val="zh-CN"/>
        </w:rPr>
        <w:t>灵仙化石胶囊</w:t>
      </w:r>
      <w:r>
        <w:rPr>
          <w:rFonts w:eastAsia="楷体_GB2312" w:cs="MingLiU_HKSCS"/>
          <w:lang w:val="zh-CN"/>
        </w:rPr>
        <w:t>”</w:t>
      </w:r>
      <w:r>
        <w:rPr>
          <w:rFonts w:eastAsia="楷体_GB2312" w:cs="MingLiU_HKSCS"/>
          <w:lang w:val="zh-CN"/>
        </w:rPr>
        <w:t>药品，并对该药品继续研究和开发，继续研究的成果由双方共享。因此该案属于有合同约定的合作开发的情形。</w:t>
      </w:r>
    </w:p>
    <w:p w:rsidR="00800760" w:rsidRDefault="00235733">
      <w:pPr>
        <w:spacing w:line="360" w:lineRule="auto"/>
        <w:rPr>
          <w:rFonts w:eastAsia="楷体_GB2312" w:cs="MingLiU_HKSCS"/>
          <w:lang w:val="zh-CN"/>
        </w:rPr>
      </w:pPr>
      <w:r>
        <w:rPr>
          <w:rFonts w:eastAsia="楷体_GB2312" w:cs="MingLiU_HKSCS"/>
          <w:lang w:val="zh-CN"/>
        </w:rPr>
        <w:t>复方威灵仙制剂制备工艺是</w:t>
      </w:r>
      <w:r>
        <w:rPr>
          <w:rFonts w:eastAsia="楷体_GB2312" w:cs="MingLiU_HKSCS"/>
          <w:lang w:val="zh-CN"/>
        </w:rPr>
        <w:t>A</w:t>
      </w:r>
      <w:r>
        <w:rPr>
          <w:rFonts w:eastAsia="楷体_GB2312" w:cs="MingLiU_HKSCS"/>
          <w:lang w:val="zh-CN"/>
        </w:rPr>
        <w:t>公司和</w:t>
      </w:r>
      <w:r>
        <w:rPr>
          <w:rFonts w:eastAsia="楷体_GB2312" w:cs="MingLiU_HKSCS"/>
          <w:lang w:val="zh-CN"/>
        </w:rPr>
        <w:t>B</w:t>
      </w:r>
      <w:r>
        <w:rPr>
          <w:rFonts w:eastAsia="楷体_GB2312" w:cs="MingLiU_HKSCS"/>
          <w:lang w:val="zh-CN"/>
        </w:rPr>
        <w:t>公司签订《合作协议书》之后，在灵仙化石胶囊原配方的基础上研究开发出来的，因此可以认定复方威灵仙制剂制备工艺属于《合作协议书》里约定的</w:t>
      </w:r>
      <w:r>
        <w:rPr>
          <w:rFonts w:eastAsia="楷体_GB2312" w:cs="MingLiU_HKSCS"/>
          <w:lang w:val="zh-CN"/>
        </w:rPr>
        <w:t>“</w:t>
      </w:r>
      <w:r>
        <w:rPr>
          <w:rFonts w:eastAsia="楷体_GB2312" w:cs="MingLiU_HKSCS"/>
          <w:lang w:val="zh-CN"/>
        </w:rPr>
        <w:t>继续研究的成果</w:t>
      </w:r>
      <w:r>
        <w:rPr>
          <w:rFonts w:eastAsia="楷体_GB2312" w:cs="MingLiU_HKSCS"/>
          <w:lang w:val="zh-CN"/>
        </w:rPr>
        <w:t>”</w:t>
      </w:r>
      <w:r>
        <w:rPr>
          <w:rFonts w:eastAsia="楷体_GB2312" w:cs="MingLiU_HKSCS"/>
          <w:lang w:val="zh-CN"/>
        </w:rPr>
        <w:t>。根据双方在《合作协议书》中的约定，在没有相反证据表明</w:t>
      </w:r>
      <w:r>
        <w:rPr>
          <w:rFonts w:eastAsia="楷体_GB2312" w:cs="MingLiU_HKSCS"/>
          <w:lang w:val="zh-CN"/>
        </w:rPr>
        <w:t>A</w:t>
      </w:r>
      <w:r>
        <w:rPr>
          <w:rFonts w:eastAsia="楷体_GB2312" w:cs="MingLiU_HKSCS"/>
          <w:lang w:val="zh-CN"/>
        </w:rPr>
        <w:t>公司未依约履行其合同义务的情况下，应当认定</w:t>
      </w:r>
      <w:r>
        <w:rPr>
          <w:rFonts w:eastAsia="楷体_GB2312" w:cs="MingLiU_HKSCS"/>
          <w:lang w:val="zh-CN"/>
        </w:rPr>
        <w:t>A</w:t>
      </w:r>
      <w:r>
        <w:rPr>
          <w:rFonts w:eastAsia="楷体_GB2312" w:cs="MingLiU_HKSCS"/>
          <w:lang w:val="zh-CN"/>
        </w:rPr>
        <w:t>公司和</w:t>
      </w:r>
      <w:r>
        <w:rPr>
          <w:rFonts w:eastAsia="楷体_GB2312" w:cs="MingLiU_HKSCS"/>
          <w:lang w:val="zh-CN"/>
        </w:rPr>
        <w:t>B</w:t>
      </w:r>
      <w:r>
        <w:rPr>
          <w:rFonts w:eastAsia="楷体_GB2312" w:cs="MingLiU_HKSCS"/>
          <w:lang w:val="zh-CN"/>
        </w:rPr>
        <w:t>公司对复方威灵仙制剂制备工艺的取得均作出了贡献，涉案专利的专利申请权应归</w:t>
      </w:r>
      <w:r>
        <w:rPr>
          <w:rFonts w:eastAsia="楷体_GB2312" w:cs="MingLiU_HKSCS"/>
          <w:lang w:val="zh-CN"/>
        </w:rPr>
        <w:t>A</w:t>
      </w:r>
      <w:r>
        <w:rPr>
          <w:rFonts w:eastAsia="楷体_GB2312" w:cs="MingLiU_HKSCS"/>
          <w:lang w:val="zh-CN"/>
        </w:rPr>
        <w:t>公司和</w:t>
      </w:r>
      <w:r>
        <w:rPr>
          <w:rFonts w:eastAsia="楷体_GB2312" w:cs="MingLiU_HKSCS"/>
          <w:lang w:val="zh-CN"/>
        </w:rPr>
        <w:t>B</w:t>
      </w:r>
      <w:r>
        <w:rPr>
          <w:rFonts w:eastAsia="楷体_GB2312" w:cs="MingLiU_HKSCS"/>
          <w:lang w:val="zh-CN"/>
        </w:rPr>
        <w:t>公司共同享有。</w:t>
      </w:r>
      <w:r>
        <w:rPr>
          <w:rFonts w:eastAsia="楷体_GB2312" w:cs="MingLiU_HKSCS"/>
          <w:lang w:val="zh-CN"/>
        </w:rPr>
        <w:t>B</w:t>
      </w:r>
      <w:r>
        <w:rPr>
          <w:rFonts w:eastAsia="楷体_GB2312" w:cs="MingLiU_HKSCS"/>
          <w:lang w:val="zh-CN"/>
        </w:rPr>
        <w:t>公司单独以其名义申请专利的行为不应被支持。</w:t>
      </w:r>
    </w:p>
    <w:p w:rsidR="00800760" w:rsidRDefault="00235733">
      <w:pPr>
        <w:spacing w:line="360" w:lineRule="auto"/>
        <w:rPr>
          <w:rFonts w:eastAsia="楷体_GB2312" w:cs="MingLiU_HKSCS"/>
          <w:lang w:val="zh-CN"/>
        </w:rPr>
      </w:pPr>
      <w:r>
        <w:rPr>
          <w:rFonts w:eastAsia="楷体_GB2312" w:cs="MingLiU_HKSCS"/>
          <w:lang w:val="zh-CN"/>
        </w:rPr>
        <w:t>对于</w:t>
      </w:r>
      <w:r>
        <w:rPr>
          <w:rFonts w:eastAsia="楷体_GB2312" w:cs="MingLiU_HKSCS"/>
          <w:lang w:val="zh-CN"/>
        </w:rPr>
        <w:t>A</w:t>
      </w:r>
      <w:r>
        <w:rPr>
          <w:rFonts w:eastAsia="楷体_GB2312" w:cs="MingLiU_HKSCS"/>
          <w:lang w:val="zh-CN"/>
        </w:rPr>
        <w:t>公司认为</w:t>
      </w:r>
      <w:r>
        <w:rPr>
          <w:rFonts w:eastAsia="楷体_GB2312" w:cs="MingLiU_HKSCS"/>
          <w:lang w:val="zh-CN"/>
        </w:rPr>
        <w:t>B</w:t>
      </w:r>
      <w:r>
        <w:rPr>
          <w:rFonts w:eastAsia="楷体_GB2312" w:cs="MingLiU_HKSCS"/>
          <w:lang w:val="zh-CN"/>
        </w:rPr>
        <w:t>公司违反合作协议的约定，窃取其研究成果并申请专利，该专利的专利申请权应归</w:t>
      </w:r>
      <w:r>
        <w:rPr>
          <w:rFonts w:eastAsia="楷体_GB2312" w:cs="MingLiU_HKSCS"/>
          <w:lang w:val="zh-CN"/>
        </w:rPr>
        <w:t>A</w:t>
      </w:r>
      <w:r>
        <w:rPr>
          <w:rFonts w:eastAsia="楷体_GB2312" w:cs="MingLiU_HKSCS"/>
          <w:lang w:val="zh-CN"/>
        </w:rPr>
        <w:t>公司所有的主张：首先，</w:t>
      </w:r>
      <w:r>
        <w:rPr>
          <w:rFonts w:eastAsia="楷体_GB2312" w:cs="MingLiU_HKSCS"/>
          <w:lang w:val="zh-CN"/>
        </w:rPr>
        <w:t>A</w:t>
      </w:r>
      <w:r>
        <w:rPr>
          <w:rFonts w:eastAsia="楷体_GB2312" w:cs="MingLiU_HKSCS"/>
          <w:lang w:val="zh-CN"/>
        </w:rPr>
        <w:t>公司提出的这一主张实质上是认为</w:t>
      </w:r>
      <w:r>
        <w:rPr>
          <w:rFonts w:eastAsia="楷体_GB2312" w:cs="MingLiU_HKSCS"/>
          <w:lang w:val="zh-CN"/>
        </w:rPr>
        <w:t>B</w:t>
      </w:r>
      <w:r>
        <w:rPr>
          <w:rFonts w:eastAsia="楷体_GB2312" w:cs="MingLiU_HKSCS"/>
          <w:lang w:val="zh-CN"/>
        </w:rPr>
        <w:t>公司申请的</w:t>
      </w:r>
      <w:r>
        <w:rPr>
          <w:rFonts w:eastAsia="楷体_GB2312" w:cs="MingLiU_HKSCS"/>
          <w:lang w:val="zh-CN"/>
        </w:rPr>
        <w:t>“</w:t>
      </w:r>
      <w:r>
        <w:rPr>
          <w:rFonts w:eastAsia="楷体_GB2312" w:cs="MingLiU_HKSCS"/>
          <w:lang w:val="zh-CN"/>
        </w:rPr>
        <w:t>复方威灵仙制剂</w:t>
      </w:r>
      <w:r>
        <w:rPr>
          <w:rFonts w:eastAsia="楷体_GB2312" w:cs="MingLiU_HKSCS"/>
          <w:lang w:val="zh-CN"/>
        </w:rPr>
        <w:t>”</w:t>
      </w:r>
      <w:r>
        <w:rPr>
          <w:rFonts w:eastAsia="楷体_GB2312" w:cs="MingLiU_HKSCS"/>
          <w:lang w:val="zh-CN"/>
        </w:rPr>
        <w:t>与其</w:t>
      </w:r>
      <w:r>
        <w:rPr>
          <w:rFonts w:eastAsia="楷体_GB2312" w:cs="MingLiU_HKSCS"/>
          <w:lang w:val="zh-CN"/>
        </w:rPr>
        <w:t>“</w:t>
      </w:r>
      <w:r>
        <w:rPr>
          <w:rFonts w:eastAsia="楷体_GB2312" w:cs="MingLiU_HKSCS"/>
          <w:lang w:val="zh-CN"/>
        </w:rPr>
        <w:t>灵仙化石胶囊</w:t>
      </w:r>
      <w:r>
        <w:rPr>
          <w:rFonts w:eastAsia="楷体_GB2312" w:cs="MingLiU_HKSCS"/>
          <w:lang w:val="zh-CN"/>
        </w:rPr>
        <w:t>”</w:t>
      </w:r>
      <w:r>
        <w:rPr>
          <w:rFonts w:eastAsia="楷体_GB2312" w:cs="MingLiU_HKSCS"/>
          <w:lang w:val="zh-CN"/>
        </w:rPr>
        <w:t>相同。为此，</w:t>
      </w:r>
      <w:r>
        <w:rPr>
          <w:rFonts w:eastAsia="楷体_GB2312" w:cs="MingLiU_HKSCS"/>
          <w:lang w:val="zh-CN"/>
        </w:rPr>
        <w:t>A</w:t>
      </w:r>
      <w:r>
        <w:rPr>
          <w:rFonts w:eastAsia="楷体_GB2312" w:cs="MingLiU_HKSCS"/>
          <w:lang w:val="zh-CN"/>
        </w:rPr>
        <w:t>公司需要举证证明二者技术方案之间的关系，即</w:t>
      </w:r>
      <w:r>
        <w:rPr>
          <w:rFonts w:eastAsia="楷体_GB2312" w:cs="MingLiU_HKSCS"/>
          <w:lang w:val="zh-CN"/>
        </w:rPr>
        <w:t>“</w:t>
      </w:r>
      <w:r>
        <w:rPr>
          <w:rFonts w:eastAsia="楷体_GB2312" w:cs="MingLiU_HKSCS"/>
          <w:lang w:val="zh-CN"/>
        </w:rPr>
        <w:t>复方威灵仙制剂</w:t>
      </w:r>
      <w:r>
        <w:rPr>
          <w:rFonts w:eastAsia="楷体_GB2312" w:cs="MingLiU_HKSCS"/>
          <w:lang w:val="zh-CN"/>
        </w:rPr>
        <w:t>”</w:t>
      </w:r>
      <w:r>
        <w:rPr>
          <w:rFonts w:eastAsia="楷体_GB2312" w:cs="MingLiU_HKSCS"/>
          <w:lang w:val="zh-CN"/>
        </w:rPr>
        <w:t>与</w:t>
      </w:r>
      <w:r>
        <w:rPr>
          <w:rFonts w:eastAsia="楷体_GB2312" w:cs="MingLiU_HKSCS"/>
          <w:lang w:val="zh-CN"/>
        </w:rPr>
        <w:t>“</w:t>
      </w:r>
      <w:r>
        <w:rPr>
          <w:rFonts w:eastAsia="楷体_GB2312" w:cs="MingLiU_HKSCS"/>
          <w:lang w:val="zh-CN"/>
        </w:rPr>
        <w:t>灵仙化石胶囊</w:t>
      </w:r>
      <w:r>
        <w:rPr>
          <w:rFonts w:eastAsia="楷体_GB2312" w:cs="MingLiU_HKSCS"/>
          <w:lang w:val="zh-CN"/>
        </w:rPr>
        <w:t>”</w:t>
      </w:r>
      <w:r>
        <w:rPr>
          <w:rFonts w:eastAsia="楷体_GB2312" w:cs="MingLiU_HKSCS"/>
          <w:lang w:val="zh-CN"/>
        </w:rPr>
        <w:t>究竟是相同还是对</w:t>
      </w:r>
      <w:r>
        <w:rPr>
          <w:rFonts w:eastAsia="楷体_GB2312" w:cs="MingLiU_HKSCS"/>
          <w:lang w:val="zh-CN"/>
        </w:rPr>
        <w:t>“</w:t>
      </w:r>
      <w:r>
        <w:rPr>
          <w:rFonts w:eastAsia="楷体_GB2312" w:cs="MingLiU_HKSCS"/>
          <w:lang w:val="zh-CN"/>
        </w:rPr>
        <w:t>灵仙化石胶囊</w:t>
      </w:r>
      <w:r>
        <w:rPr>
          <w:rFonts w:eastAsia="楷体_GB2312" w:cs="MingLiU_HKSCS"/>
          <w:lang w:val="zh-CN"/>
        </w:rPr>
        <w:t>”</w:t>
      </w:r>
      <w:r>
        <w:rPr>
          <w:rFonts w:eastAsia="楷体_GB2312" w:cs="MingLiU_HKSCS"/>
          <w:lang w:val="zh-CN"/>
        </w:rPr>
        <w:t>作出了实质性改进。经对比发现，二者存在诸多区别，并非完全相同，因此不能证明</w:t>
      </w:r>
      <w:r>
        <w:rPr>
          <w:rFonts w:eastAsia="楷体_GB2312" w:cs="MingLiU_HKSCS"/>
          <w:lang w:val="zh-CN"/>
        </w:rPr>
        <w:t>B</w:t>
      </w:r>
      <w:r>
        <w:rPr>
          <w:rFonts w:eastAsia="楷体_GB2312" w:cs="MingLiU_HKSCS"/>
          <w:lang w:val="zh-CN"/>
        </w:rPr>
        <w:t>公司窃取了</w:t>
      </w:r>
      <w:r>
        <w:rPr>
          <w:rFonts w:eastAsia="楷体_GB2312" w:cs="MingLiU_HKSCS"/>
          <w:lang w:val="zh-CN"/>
        </w:rPr>
        <w:t>A</w:t>
      </w:r>
      <w:r>
        <w:rPr>
          <w:rFonts w:eastAsia="楷体_GB2312" w:cs="MingLiU_HKSCS"/>
          <w:lang w:val="zh-CN"/>
        </w:rPr>
        <w:t>公司灵仙化石胶囊的研究成果，而是应当认定涉案专利申请的技术方案是利用了原中药复方的研究成果并在合作之后进行继续研究所取得的研究成果，相对于原中药制备工艺具有实质性的改进，属于双方合作期间的共同研究成果。</w:t>
      </w:r>
    </w:p>
    <w:p w:rsidR="00800760" w:rsidRDefault="00235733">
      <w:pPr>
        <w:pStyle w:val="3"/>
        <w:spacing w:before="240"/>
        <w:ind w:firstLineChars="0" w:firstLine="444"/>
        <w:rPr>
          <w:rFonts w:ascii="Times New Roman" w:hAnsi="Times New Roman"/>
        </w:rPr>
      </w:pPr>
      <w:bookmarkStart w:id="6911" w:name="_Toc13401"/>
      <w:bookmarkStart w:id="6912" w:name="_Toc21491"/>
      <w:bookmarkStart w:id="6913" w:name="_Toc29193"/>
      <w:bookmarkStart w:id="6914" w:name="_Toc23594"/>
      <w:bookmarkStart w:id="6915" w:name="_Toc27563"/>
      <w:bookmarkStart w:id="6916" w:name="_Toc2596"/>
      <w:bookmarkStart w:id="6917" w:name="_Toc229114484"/>
      <w:bookmarkStart w:id="6918" w:name="_Toc14332"/>
      <w:bookmarkStart w:id="6919" w:name="_Toc8448"/>
      <w:bookmarkStart w:id="6920" w:name="_Toc18156"/>
      <w:bookmarkStart w:id="6921" w:name="_Toc229225580"/>
      <w:r>
        <w:rPr>
          <w:rFonts w:ascii="Times New Roman" w:hAnsi="Times New Roman" w:hint="eastAsia"/>
        </w:rPr>
        <w:t>三、委托开发与合作开发的判断</w:t>
      </w:r>
      <w:bookmarkEnd w:id="6911"/>
      <w:bookmarkEnd w:id="6912"/>
      <w:bookmarkEnd w:id="6913"/>
      <w:bookmarkEnd w:id="6914"/>
      <w:bookmarkEnd w:id="6915"/>
      <w:bookmarkEnd w:id="6916"/>
      <w:bookmarkEnd w:id="6917"/>
      <w:bookmarkEnd w:id="6918"/>
      <w:bookmarkEnd w:id="6919"/>
      <w:bookmarkEnd w:id="6920"/>
      <w:bookmarkEnd w:id="6921"/>
    </w:p>
    <w:p w:rsidR="00800760" w:rsidRDefault="00235733">
      <w:pPr>
        <w:ind w:firstLine="436"/>
        <w:jc w:val="both"/>
        <w:rPr>
          <w:rFonts w:cs="宋体"/>
          <w:spacing w:val="4"/>
        </w:rPr>
      </w:pPr>
      <w:r>
        <w:rPr>
          <w:rFonts w:cs="宋体"/>
          <w:spacing w:val="4"/>
        </w:rPr>
        <w:t>委托开发合同与合作开发合同都是当事人之间就新技术、新产品、新工艺和新材料及其组合的研究开发所订立的合同。有合同约定权利归属的，无须区分合同的性质究竟是委托开发合同还是合作开发合同，应按照约定确定权利归属；双方没有约定权利归属的，需要判断双方是合作关系还是委托关系，以及发明创造究竟是双方共同完成的还是某一方独自完成的。</w:t>
      </w:r>
    </w:p>
    <w:p w:rsidR="00800760" w:rsidRDefault="00235733">
      <w:pPr>
        <w:ind w:firstLine="436"/>
        <w:jc w:val="both"/>
        <w:rPr>
          <w:rFonts w:cs="宋体"/>
          <w:spacing w:val="4"/>
        </w:rPr>
      </w:pPr>
      <w:r>
        <w:rPr>
          <w:rFonts w:cs="宋体"/>
          <w:spacing w:val="4"/>
        </w:rPr>
        <w:t>判断究竟是合作开发合同还是委托开发合同，除了考察合同的名称之外，还可以根据二者的不同特点来判断，主要包括：</w:t>
      </w:r>
    </w:p>
    <w:p w:rsidR="00800760" w:rsidRDefault="00235733">
      <w:pPr>
        <w:ind w:firstLine="436"/>
        <w:jc w:val="both"/>
        <w:rPr>
          <w:rFonts w:cs="宋体"/>
          <w:spacing w:val="4"/>
        </w:rPr>
      </w:pPr>
      <w:r>
        <w:rPr>
          <w:rFonts w:cs="宋体"/>
          <w:spacing w:val="4"/>
        </w:rPr>
        <w:t xml:space="preserve">1. </w:t>
      </w:r>
      <w:r>
        <w:rPr>
          <w:rFonts w:cs="宋体"/>
          <w:spacing w:val="4"/>
        </w:rPr>
        <w:t>当事人之间的权利义务关系。合作开发合同，双方当事人享有和承担着类似的权利和义务；委托开发合同，除保密义务等双方均承担的义务以外，双方当事人之间的权利义务一般是相对的，委托方的义务是受托方</w:t>
      </w:r>
      <w:r>
        <w:rPr>
          <w:rFonts w:cs="宋体"/>
          <w:spacing w:val="4"/>
        </w:rPr>
        <w:t>(</w:t>
      </w:r>
      <w:r>
        <w:rPr>
          <w:rFonts w:cs="宋体"/>
          <w:spacing w:val="4"/>
        </w:rPr>
        <w:t>开发方</w:t>
      </w:r>
      <w:r>
        <w:rPr>
          <w:rFonts w:cs="宋体"/>
          <w:spacing w:val="4"/>
        </w:rPr>
        <w:t>)</w:t>
      </w:r>
      <w:r>
        <w:rPr>
          <w:rFonts w:cs="宋体"/>
          <w:spacing w:val="4"/>
        </w:rPr>
        <w:t>的权利，而受托方的义务则是委托方的权利。</w:t>
      </w:r>
    </w:p>
    <w:p w:rsidR="00800760" w:rsidRDefault="00235733">
      <w:pPr>
        <w:ind w:firstLine="436"/>
        <w:jc w:val="both"/>
        <w:rPr>
          <w:rFonts w:cs="宋体"/>
          <w:spacing w:val="4"/>
        </w:rPr>
      </w:pPr>
      <w:r>
        <w:rPr>
          <w:rFonts w:cs="宋体"/>
          <w:spacing w:val="4"/>
        </w:rPr>
        <w:t xml:space="preserve">2. </w:t>
      </w:r>
      <w:r>
        <w:rPr>
          <w:rFonts w:cs="宋体"/>
          <w:spacing w:val="4"/>
        </w:rPr>
        <w:t>当事人参与研究开发工作的方式。合作开发合同的当事人共同参加研究开发工作，双方既可以共同进行全部的研究开发工作，也可以约定不同的分工，分别承担不同阶段或不同部分的研究开发工作；委托开发合同则不同，当事人一方主要负责物资或经费投入，一般不参与实体研究，即使参与研究，也仅起辅助或检查的作用，而另一方则主要从事研究开发工作。</w:t>
      </w:r>
    </w:p>
    <w:p w:rsidR="00800760" w:rsidRDefault="00235733">
      <w:pPr>
        <w:ind w:firstLine="436"/>
        <w:jc w:val="both"/>
        <w:rPr>
          <w:rFonts w:cs="宋体"/>
          <w:spacing w:val="4"/>
        </w:rPr>
      </w:pPr>
      <w:r>
        <w:rPr>
          <w:rFonts w:cs="宋体"/>
          <w:spacing w:val="4"/>
        </w:rPr>
        <w:t xml:space="preserve">3. </w:t>
      </w:r>
      <w:r>
        <w:rPr>
          <w:rFonts w:cs="宋体"/>
          <w:spacing w:val="4"/>
        </w:rPr>
        <w:t>合同主体的能力。合作开发合同的当事人双方一般都具有研究开发能力，而委托开发合同的当事人，一般受托方具有科研能力。</w:t>
      </w:r>
    </w:p>
    <w:p w:rsidR="00800760" w:rsidRDefault="00235733">
      <w:pPr>
        <w:ind w:firstLine="436"/>
        <w:jc w:val="both"/>
        <w:rPr>
          <w:rFonts w:cs="宋体"/>
        </w:rPr>
      </w:pPr>
      <w:r>
        <w:rPr>
          <w:rFonts w:cs="宋体"/>
          <w:spacing w:val="4"/>
        </w:rPr>
        <w:t>判断合同双方究竟属于委托开发还是合作开发，主要依据两点：一是双方是否都进行了投资，二是双方是否都派出了人员参与研究开发。如果仅有一方投资，另一方进行研究开发，则一般属于委托开发；如果双方都进行了投资，且双方派出的人员对发明创造的完成都作出了创造性贡献，则应当属于合作开发；如果双方都进行了投资，但只有一方派出的人员对发明创造的完成作出了创造性贡献，尽管仍属于合作关系，但完成的发明创造只能由完成方享有权利。</w:t>
      </w:r>
    </w:p>
    <w:p w:rsidR="00800760" w:rsidRDefault="00235733">
      <w:pPr>
        <w:pStyle w:val="af6"/>
        <w:spacing w:before="120"/>
        <w:ind w:firstLine="420"/>
        <w:rPr>
          <w:rFonts w:ascii="Times New Roman" w:hAnsi="Times New Roman"/>
        </w:rPr>
      </w:pPr>
      <w:bookmarkStart w:id="6922" w:name="bookmark187"/>
      <w:bookmarkEnd w:id="6922"/>
      <w:r>
        <w:rPr>
          <w:rFonts w:ascii="Times New Roman" w:hAnsi="Times New Roman" w:hint="eastAsia"/>
        </w:rPr>
        <w:t>【案例</w:t>
      </w:r>
      <w:r>
        <w:rPr>
          <w:rFonts w:ascii="Times New Roman" w:hAnsi="Times New Roman" w:hint="eastAsia"/>
        </w:rPr>
        <w:t>3</w:t>
      </w:r>
      <w:r>
        <w:rPr>
          <w:rFonts w:ascii="Times New Roman" w:hAnsi="Times New Roman"/>
        </w:rPr>
        <w:t>-2-3</w:t>
      </w:r>
      <w:r>
        <w:rPr>
          <w:rFonts w:ascii="Times New Roman" w:hAnsi="Times New Roman" w:hint="eastAsia"/>
        </w:rPr>
        <w:t>】</w:t>
      </w:r>
    </w:p>
    <w:p w:rsidR="00800760" w:rsidRDefault="00235733">
      <w:pPr>
        <w:spacing w:line="360" w:lineRule="auto"/>
      </w:pPr>
      <w:r>
        <w:rPr>
          <w:rFonts w:eastAsia="楷体_GB2312" w:cs="MingLiU_HKSCS"/>
          <w:lang w:val="zh-CN"/>
        </w:rPr>
        <w:t>2015</w:t>
      </w:r>
      <w:r>
        <w:rPr>
          <w:rFonts w:eastAsia="楷体_GB2312" w:cs="MingLiU_HKSCS"/>
          <w:lang w:val="zh-CN"/>
        </w:rPr>
        <w:t>年</w:t>
      </w:r>
      <w:r>
        <w:rPr>
          <w:rFonts w:eastAsia="楷体_GB2312" w:cs="MingLiU_HKSCS"/>
          <w:lang w:val="zh-CN"/>
        </w:rPr>
        <w:t>8</w:t>
      </w:r>
      <w:r>
        <w:rPr>
          <w:rFonts w:eastAsia="楷体_GB2312" w:cs="MingLiU_HKSCS"/>
          <w:lang w:val="zh-CN"/>
        </w:rPr>
        <w:t>月，</w:t>
      </w:r>
      <w:r>
        <w:rPr>
          <w:rFonts w:eastAsia="楷体_GB2312" w:cs="MingLiU_HKSCS"/>
          <w:lang w:val="zh-CN"/>
        </w:rPr>
        <w:t>B</w:t>
      </w:r>
      <w:r>
        <w:rPr>
          <w:rFonts w:eastAsia="楷体_GB2312" w:cs="MingLiU_HKSCS"/>
          <w:lang w:val="zh-CN"/>
        </w:rPr>
        <w:t>公司委托</w:t>
      </w:r>
      <w:r>
        <w:rPr>
          <w:rFonts w:eastAsia="楷体_GB2312" w:cs="MingLiU_HKSCS"/>
          <w:lang w:val="zh-CN"/>
        </w:rPr>
        <w:t>A</w:t>
      </w:r>
      <w:r>
        <w:rPr>
          <w:rFonts w:eastAsia="楷体_GB2312" w:cs="MingLiU_HKSCS"/>
          <w:lang w:val="zh-CN"/>
        </w:rPr>
        <w:t>公司开发定制化</w:t>
      </w:r>
      <w:r>
        <w:rPr>
          <w:rFonts w:eastAsia="楷体_GB2312" w:cs="MingLiU_HKSCS"/>
          <w:lang w:val="zh-CN"/>
        </w:rPr>
        <w:t>360°</w:t>
      </w:r>
      <w:r>
        <w:rPr>
          <w:rFonts w:eastAsia="楷体_GB2312" w:cs="MingLiU_HKSCS"/>
          <w:lang w:val="zh-CN"/>
        </w:rPr>
        <w:t>全景镜头模组，双方签订了《</w:t>
      </w:r>
      <w:r>
        <w:rPr>
          <w:rFonts w:eastAsia="楷体_GB2312" w:cs="MingLiU_HKSCS"/>
          <w:lang w:val="zh-CN"/>
        </w:rPr>
        <w:t>360°</w:t>
      </w:r>
      <w:r>
        <w:rPr>
          <w:rFonts w:eastAsia="楷体_GB2312" w:cs="MingLiU_HKSCS"/>
          <w:lang w:val="zh-CN"/>
        </w:rPr>
        <w:t>全景镜头模组委托开发协议》。协议签订后，</w:t>
      </w:r>
      <w:r>
        <w:rPr>
          <w:rFonts w:eastAsia="楷体_GB2312" w:cs="MingLiU_HKSCS"/>
          <w:lang w:val="zh-CN"/>
        </w:rPr>
        <w:t>A</w:t>
      </w:r>
      <w:r>
        <w:rPr>
          <w:rFonts w:eastAsia="楷体_GB2312" w:cs="MingLiU_HKSCS"/>
          <w:lang w:val="zh-CN"/>
        </w:rPr>
        <w:t>公司全面履行了协议并交付了全景镜头模组产品及相关技术资料。</w:t>
      </w:r>
      <w:r>
        <w:rPr>
          <w:rFonts w:eastAsia="楷体_GB2312" w:cs="MingLiU_HKSCS"/>
          <w:lang w:val="zh-CN"/>
        </w:rPr>
        <w:t>2015</w:t>
      </w:r>
      <w:r>
        <w:rPr>
          <w:rFonts w:eastAsia="楷体_GB2312" w:cs="MingLiU_HKSCS"/>
          <w:lang w:val="zh-CN"/>
        </w:rPr>
        <w:t>年</w:t>
      </w:r>
      <w:r>
        <w:rPr>
          <w:rFonts w:eastAsia="楷体_GB2312" w:cs="MingLiU_HKSCS"/>
          <w:lang w:val="zh-CN"/>
        </w:rPr>
        <w:t>9</w:t>
      </w:r>
      <w:r>
        <w:rPr>
          <w:rFonts w:eastAsia="楷体_GB2312" w:cs="MingLiU_HKSCS"/>
          <w:lang w:val="zh-CN"/>
        </w:rPr>
        <w:t>月</w:t>
      </w:r>
      <w:r>
        <w:rPr>
          <w:rFonts w:eastAsia="楷体_GB2312" w:cs="MingLiU_HKSCS"/>
          <w:lang w:val="zh-CN"/>
        </w:rPr>
        <w:t>18</w:t>
      </w:r>
      <w:r>
        <w:rPr>
          <w:rFonts w:eastAsia="楷体_GB2312" w:cs="MingLiU_HKSCS"/>
          <w:lang w:val="zh-CN"/>
        </w:rPr>
        <w:t>日，</w:t>
      </w:r>
      <w:r>
        <w:rPr>
          <w:rFonts w:eastAsia="楷体_GB2312" w:cs="MingLiU_HKSCS"/>
          <w:lang w:val="zh-CN"/>
        </w:rPr>
        <w:t>B</w:t>
      </w:r>
      <w:r>
        <w:rPr>
          <w:rFonts w:eastAsia="楷体_GB2312" w:cs="MingLiU_HKSCS"/>
          <w:lang w:val="zh-CN"/>
        </w:rPr>
        <w:t>公司向</w:t>
      </w:r>
      <w:r>
        <w:rPr>
          <w:rFonts w:eastAsia="楷体_GB2312" w:cs="MingLiU_HKSCS"/>
        </w:rPr>
        <w:t>国务院专利行政部门</w:t>
      </w:r>
      <w:r>
        <w:rPr>
          <w:rFonts w:eastAsia="楷体_GB2312" w:cs="MingLiU_HKSCS"/>
          <w:lang w:val="zh-CN"/>
        </w:rPr>
        <w:t>提出包含专利名称为</w:t>
      </w:r>
      <w:r>
        <w:rPr>
          <w:rFonts w:eastAsia="楷体_GB2312" w:cs="MingLiU_HKSCS"/>
          <w:lang w:val="zh-CN"/>
        </w:rPr>
        <w:t>“</w:t>
      </w:r>
      <w:r>
        <w:rPr>
          <w:rFonts w:eastAsia="楷体_GB2312" w:cs="MingLiU_HKSCS"/>
          <w:lang w:val="zh-CN"/>
        </w:rPr>
        <w:t>全景图像采集装置</w:t>
      </w:r>
      <w:r>
        <w:rPr>
          <w:rFonts w:eastAsia="楷体_GB2312" w:cs="MingLiU_HKSCS"/>
          <w:lang w:val="zh-CN"/>
        </w:rPr>
        <w:t>”</w:t>
      </w:r>
      <w:r>
        <w:rPr>
          <w:rFonts w:eastAsia="楷体_GB2312" w:cs="MingLiU_HKSCS"/>
          <w:lang w:val="zh-CN"/>
        </w:rPr>
        <w:t>的发明专利在内的</w:t>
      </w:r>
      <w:r>
        <w:rPr>
          <w:rFonts w:eastAsia="楷体_GB2312" w:cs="MingLiU_HKSCS"/>
          <w:lang w:val="zh-CN"/>
        </w:rPr>
        <w:t>4</w:t>
      </w:r>
      <w:r>
        <w:rPr>
          <w:rFonts w:eastAsia="楷体_GB2312" w:cs="MingLiU_HKSCS"/>
          <w:lang w:val="zh-CN"/>
        </w:rPr>
        <w:t>项专利申请。专利获得授权后，</w:t>
      </w:r>
      <w:r>
        <w:rPr>
          <w:rFonts w:eastAsia="楷体_GB2312" w:cs="MingLiU_HKSCS"/>
          <w:lang w:val="zh-CN"/>
        </w:rPr>
        <w:t>A</w:t>
      </w:r>
      <w:r>
        <w:rPr>
          <w:rFonts w:eastAsia="楷体_GB2312" w:cs="MingLiU_HKSCS"/>
          <w:lang w:val="zh-CN"/>
        </w:rPr>
        <w:t>公司认为</w:t>
      </w:r>
      <w:r>
        <w:rPr>
          <w:rFonts w:eastAsia="楷体_GB2312" w:cs="MingLiU_HKSCS"/>
          <w:lang w:val="zh-CN"/>
        </w:rPr>
        <w:t>B</w:t>
      </w:r>
      <w:r>
        <w:rPr>
          <w:rFonts w:eastAsia="楷体_GB2312" w:cs="MingLiU_HKSCS"/>
          <w:lang w:val="zh-CN"/>
        </w:rPr>
        <w:t>公司的上述专利是履行涉案协议开发的技术成果，请求认定涉案专利的专利权归</w:t>
      </w:r>
      <w:r>
        <w:rPr>
          <w:rFonts w:eastAsia="楷体_GB2312" w:cs="MingLiU_HKSCS"/>
          <w:lang w:val="zh-CN"/>
        </w:rPr>
        <w:t>A</w:t>
      </w:r>
      <w:r>
        <w:rPr>
          <w:rFonts w:eastAsia="楷体_GB2312" w:cs="MingLiU_HKSCS"/>
          <w:lang w:val="zh-CN"/>
        </w:rPr>
        <w:t>公司所有，并对该专利的发明人予以变更。经查，涉案专利的实质性技术特征是由</w:t>
      </w:r>
      <w:r>
        <w:rPr>
          <w:rFonts w:eastAsia="楷体_GB2312" w:cs="MingLiU_HKSCS"/>
          <w:lang w:val="zh-CN"/>
        </w:rPr>
        <w:t>B</w:t>
      </w:r>
      <w:r>
        <w:rPr>
          <w:rFonts w:eastAsia="楷体_GB2312" w:cs="MingLiU_HKSCS"/>
          <w:lang w:val="zh-CN"/>
        </w:rPr>
        <w:t>公司提出，且</w:t>
      </w:r>
      <w:r>
        <w:rPr>
          <w:rFonts w:eastAsia="楷体_GB2312" w:cs="MingLiU_HKSCS"/>
          <w:lang w:val="zh-CN"/>
        </w:rPr>
        <w:t>A</w:t>
      </w:r>
      <w:r>
        <w:rPr>
          <w:rFonts w:eastAsia="楷体_GB2312" w:cs="MingLiU_HKSCS"/>
          <w:lang w:val="zh-CN"/>
        </w:rPr>
        <w:t>公司在缔约之时就已明确知晓并接受</w:t>
      </w:r>
      <w:r>
        <w:rPr>
          <w:rFonts w:eastAsia="楷体_GB2312" w:cs="MingLiU_HKSCS"/>
          <w:lang w:val="zh-CN"/>
        </w:rPr>
        <w:t>B</w:t>
      </w:r>
      <w:r>
        <w:rPr>
          <w:rFonts w:eastAsia="楷体_GB2312" w:cs="MingLiU_HKSCS"/>
          <w:lang w:val="zh-CN"/>
        </w:rPr>
        <w:t>公司有利用合同技术成果并添附技术特征申请专利的可能，</w:t>
      </w:r>
      <w:r>
        <w:rPr>
          <w:rFonts w:eastAsia="楷体_GB2312" w:cs="MingLiU_HKSCS"/>
          <w:lang w:val="zh-CN"/>
        </w:rPr>
        <w:t>B</w:t>
      </w:r>
      <w:r>
        <w:rPr>
          <w:rFonts w:eastAsia="楷体_GB2312" w:cs="MingLiU_HKSCS"/>
          <w:lang w:val="zh-CN"/>
        </w:rPr>
        <w:t>公司申请涉案专利没有恶意。</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 w:cs="楷体"/>
        </w:rPr>
      </w:pPr>
      <w:r>
        <w:rPr>
          <w:rFonts w:eastAsia="楷体_GB2312" w:cs="MingLiU_HKSCS"/>
          <w:lang w:val="zh-CN"/>
        </w:rPr>
        <w:t>该案涉及利用技术开发合同的技术成果申请的专利归属如何认定的问题。依据《专利法》第八条的规定，合作完成或者委托完成发明创造的权利归属，有约定的从约定；无约定、约定不明的，申请专利的权利属于完成的单位或者个人，申请被批准后，申请的单位或者个人为专利权人。按照</w:t>
      </w:r>
      <w:r>
        <w:rPr>
          <w:rFonts w:eastAsia="楷体_GB2312" w:cs="MingLiU_HKSCS"/>
          <w:lang w:val="zh-CN"/>
        </w:rPr>
        <w:t>“</w:t>
      </w:r>
      <w:r>
        <w:rPr>
          <w:rFonts w:eastAsia="楷体_GB2312" w:cs="MingLiU_HKSCS"/>
          <w:lang w:val="zh-CN"/>
        </w:rPr>
        <w:t>谁创造谁保护</w:t>
      </w:r>
      <w:r>
        <w:rPr>
          <w:rFonts w:eastAsia="楷体_GB2312" w:cs="MingLiU_HKSCS"/>
          <w:lang w:val="zh-CN"/>
        </w:rPr>
        <w:t>”</w:t>
      </w:r>
      <w:r>
        <w:rPr>
          <w:rFonts w:eastAsia="楷体_GB2312" w:cs="MingLiU_HKSCS"/>
          <w:lang w:val="zh-CN"/>
        </w:rPr>
        <w:t>的原则确认专利权归属更符合专利制度鼓励创新的基本原则，故除另有约定外，对专利的</w:t>
      </w:r>
      <w:r>
        <w:rPr>
          <w:rFonts w:eastAsia="楷体_GB2312" w:cs="MingLiU_HKSCS"/>
          <w:lang w:val="zh-CN"/>
        </w:rPr>
        <w:t>“</w:t>
      </w:r>
      <w:r>
        <w:rPr>
          <w:rFonts w:eastAsia="楷体_GB2312" w:cs="MingLiU_HKSCS"/>
          <w:lang w:val="zh-CN"/>
        </w:rPr>
        <w:t>实质性特点</w:t>
      </w:r>
      <w:r>
        <w:rPr>
          <w:rFonts w:eastAsia="楷体_GB2312" w:cs="MingLiU_HKSCS"/>
          <w:lang w:val="zh-CN"/>
        </w:rPr>
        <w:t>”</w:t>
      </w:r>
      <w:r>
        <w:rPr>
          <w:rFonts w:eastAsia="楷体_GB2312" w:cs="MingLiU_HKSCS"/>
          <w:lang w:val="zh-CN"/>
        </w:rPr>
        <w:t>作出了创造性贡献的单位或个人，应当认定为专利权利人。此外，即使合同相对人参与了专利技术的开发，但其能够预期并接受专利申请人利用合同技术成果申请专利的，不应当分享专利权，故</w:t>
      </w:r>
      <w:r>
        <w:rPr>
          <w:rFonts w:eastAsia="楷体_GB2312" w:cs="MingLiU_HKSCS"/>
          <w:lang w:val="zh-CN"/>
        </w:rPr>
        <w:t>A</w:t>
      </w:r>
      <w:r>
        <w:rPr>
          <w:rFonts w:eastAsia="楷体_GB2312" w:cs="MingLiU_HKSCS"/>
          <w:lang w:val="zh-CN"/>
        </w:rPr>
        <w:t>公司的请求应予驳回。</w:t>
      </w:r>
    </w:p>
    <w:p w:rsidR="00800760" w:rsidRDefault="00235733">
      <w:pPr>
        <w:pStyle w:val="3"/>
        <w:spacing w:before="240"/>
        <w:ind w:firstLineChars="0" w:firstLine="482"/>
        <w:rPr>
          <w:rFonts w:ascii="Times New Roman" w:hAnsi="Times New Roman" w:cs="黑体"/>
        </w:rPr>
      </w:pPr>
      <w:bookmarkStart w:id="6923" w:name="_Toc18065"/>
      <w:bookmarkStart w:id="6924" w:name="_Toc14803"/>
      <w:bookmarkStart w:id="6925" w:name="_Toc229114485"/>
      <w:bookmarkStart w:id="6926" w:name="_Toc229225581"/>
      <w:r>
        <w:rPr>
          <w:rFonts w:ascii="Times New Roman" w:hAnsi="Times New Roman" w:cs="黑体"/>
          <w:bCs/>
          <w:spacing w:val="15"/>
        </w:rPr>
        <w:t>四、发明创造的内容与合同标的的关系</w:t>
      </w:r>
      <w:bookmarkEnd w:id="6923"/>
      <w:bookmarkEnd w:id="6924"/>
      <w:bookmarkEnd w:id="6925"/>
      <w:bookmarkEnd w:id="6926"/>
    </w:p>
    <w:p w:rsidR="00800760" w:rsidRDefault="00235733">
      <w:pPr>
        <w:ind w:firstLine="436"/>
        <w:jc w:val="both"/>
        <w:rPr>
          <w:rFonts w:cs="宋体"/>
          <w:spacing w:val="4"/>
        </w:rPr>
      </w:pPr>
      <w:r>
        <w:rPr>
          <w:rFonts w:cs="宋体"/>
          <w:spacing w:val="4"/>
        </w:rPr>
        <w:t>判断基于合同的发明创造的归属，还应当考虑所涉及的专利或专利申请的技术方案与双方合同标的之间的关系。在双方存在委托或合作合同的情况下，如果涉案专利申请的技术方案与合同标的不具有关联性，则不能认为涉案专利申请是基于合同完成的发明创造。</w:t>
      </w:r>
    </w:p>
    <w:p w:rsidR="00800760" w:rsidRDefault="00235733">
      <w:pPr>
        <w:pStyle w:val="af6"/>
        <w:spacing w:before="120"/>
        <w:ind w:firstLine="420"/>
      </w:pPr>
      <w:r>
        <w:rPr>
          <w:rFonts w:hint="eastAsia"/>
        </w:rPr>
        <w:t>【案例3</w:t>
      </w:r>
      <w:r>
        <w:t>-2-4</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2006</w:t>
      </w:r>
      <w:r>
        <w:rPr>
          <w:rFonts w:eastAsia="楷体_GB2312" w:cs="MingLiU_HKSCS"/>
          <w:lang w:val="zh-CN"/>
        </w:rPr>
        <w:t>年</w:t>
      </w:r>
      <w:r>
        <w:rPr>
          <w:rFonts w:eastAsia="楷体_GB2312" w:cs="MingLiU_HKSCS"/>
          <w:lang w:val="zh-CN"/>
        </w:rPr>
        <w:t>9</w:t>
      </w:r>
      <w:r>
        <w:rPr>
          <w:rFonts w:eastAsia="楷体_GB2312" w:cs="MingLiU_HKSCS"/>
          <w:lang w:val="zh-CN"/>
        </w:rPr>
        <w:t>月，</w:t>
      </w:r>
      <w:r>
        <w:rPr>
          <w:rFonts w:eastAsia="楷体_GB2312" w:cs="MingLiU_HKSCS"/>
          <w:lang w:val="zh-CN"/>
        </w:rPr>
        <w:t>A</w:t>
      </w:r>
      <w:r>
        <w:rPr>
          <w:rFonts w:eastAsia="楷体_GB2312" w:cs="MingLiU_HKSCS"/>
          <w:lang w:val="zh-CN"/>
        </w:rPr>
        <w:t>公司与</w:t>
      </w:r>
      <w:r>
        <w:rPr>
          <w:rFonts w:eastAsia="楷体_GB2312" w:cs="MingLiU_HKSCS"/>
          <w:lang w:val="zh-CN"/>
        </w:rPr>
        <w:t>B</w:t>
      </w:r>
      <w:r>
        <w:rPr>
          <w:rFonts w:eastAsia="楷体_GB2312" w:cs="MingLiU_HKSCS"/>
          <w:lang w:val="zh-CN"/>
        </w:rPr>
        <w:t>公司就城市轨道交通自动售票机项目达成合作意向并签</w:t>
      </w:r>
      <w:bookmarkStart w:id="6927" w:name="bookmark188"/>
      <w:bookmarkEnd w:id="6927"/>
      <w:r>
        <w:rPr>
          <w:rFonts w:eastAsia="楷体_GB2312" w:cs="MingLiU_HKSCS"/>
          <w:lang w:val="zh-CN"/>
        </w:rPr>
        <w:t>订了保密协议，其间，</w:t>
      </w:r>
      <w:r>
        <w:rPr>
          <w:rFonts w:eastAsia="楷体_GB2312" w:cs="MingLiU_HKSCS"/>
          <w:lang w:val="zh-CN"/>
        </w:rPr>
        <w:t>A</w:t>
      </w:r>
      <w:r>
        <w:rPr>
          <w:rFonts w:eastAsia="楷体_GB2312" w:cs="MingLiU_HKSCS"/>
          <w:lang w:val="zh-CN"/>
        </w:rPr>
        <w:t>公司提供图纸委托</w:t>
      </w:r>
      <w:r>
        <w:rPr>
          <w:rFonts w:eastAsia="楷体_GB2312" w:cs="MingLiU_HKSCS"/>
          <w:lang w:val="zh-CN"/>
        </w:rPr>
        <w:t>B</w:t>
      </w:r>
      <w:r>
        <w:rPr>
          <w:rFonts w:eastAsia="楷体_GB2312" w:cs="MingLiU_HKSCS"/>
          <w:lang w:val="zh-CN"/>
        </w:rPr>
        <w:t>公司加工城市轨道交通自动售票机样机。样机验收合格后，</w:t>
      </w:r>
      <w:r>
        <w:rPr>
          <w:rFonts w:eastAsia="楷体_GB2312" w:cs="MingLiU_HKSCS"/>
          <w:lang w:val="zh-CN"/>
        </w:rPr>
        <w:t>2007</w:t>
      </w:r>
      <w:r>
        <w:rPr>
          <w:rFonts w:eastAsia="楷体_GB2312" w:cs="MingLiU_HKSCS"/>
          <w:lang w:val="zh-CN"/>
        </w:rPr>
        <w:t>年</w:t>
      </w:r>
      <w:r>
        <w:rPr>
          <w:rFonts w:eastAsia="楷体_GB2312" w:cs="MingLiU_HKSCS"/>
          <w:lang w:val="zh-CN"/>
        </w:rPr>
        <w:t>9</w:t>
      </w:r>
      <w:r>
        <w:rPr>
          <w:rFonts w:eastAsia="楷体_GB2312" w:cs="MingLiU_HKSCS"/>
          <w:lang w:val="zh-CN"/>
        </w:rPr>
        <w:t>月</w:t>
      </w:r>
      <w:r>
        <w:rPr>
          <w:rFonts w:eastAsia="楷体_GB2312" w:cs="MingLiU_HKSCS"/>
          <w:lang w:val="zh-CN"/>
        </w:rPr>
        <w:t>19</w:t>
      </w:r>
      <w:r>
        <w:rPr>
          <w:rFonts w:eastAsia="楷体_GB2312" w:cs="MingLiU_HKSCS"/>
          <w:lang w:val="zh-CN"/>
        </w:rPr>
        <w:t>日，双方就该项目签订正式的《委托加工制造合同》</w:t>
      </w:r>
      <w:r>
        <w:rPr>
          <w:rFonts w:eastAsia="楷体_GB2312" w:cs="MingLiU_HKSCS"/>
          <w:lang w:val="zh-CN"/>
        </w:rPr>
        <w:t>,</w:t>
      </w:r>
      <w:r>
        <w:rPr>
          <w:rFonts w:eastAsia="楷体_GB2312" w:cs="MingLiU_HKSCS"/>
          <w:lang w:val="zh-CN"/>
        </w:rPr>
        <w:t>合同中约定：</w:t>
      </w:r>
      <w:r>
        <w:rPr>
          <w:rFonts w:eastAsia="楷体_GB2312" w:cs="MingLiU_HKSCS"/>
          <w:lang w:val="zh-CN"/>
        </w:rPr>
        <w:t>“A</w:t>
      </w:r>
      <w:r>
        <w:rPr>
          <w:rFonts w:eastAsia="楷体_GB2312" w:cs="MingLiU_HKSCS"/>
          <w:lang w:val="zh-CN"/>
        </w:rPr>
        <w:t>公司委托</w:t>
      </w:r>
      <w:r>
        <w:rPr>
          <w:rFonts w:eastAsia="楷体_GB2312" w:cs="MingLiU_HKSCS"/>
          <w:lang w:val="zh-CN"/>
        </w:rPr>
        <w:t>B</w:t>
      </w:r>
      <w:r>
        <w:rPr>
          <w:rFonts w:eastAsia="楷体_GB2312" w:cs="MingLiU_HKSCS"/>
          <w:lang w:val="zh-CN"/>
        </w:rPr>
        <w:t>公司加工制造并由</w:t>
      </w:r>
      <w:r>
        <w:rPr>
          <w:rFonts w:eastAsia="楷体_GB2312" w:cs="MingLiU_HKSCS"/>
          <w:lang w:val="zh-CN"/>
        </w:rPr>
        <w:t>A</w:t>
      </w:r>
      <w:r>
        <w:rPr>
          <w:rFonts w:eastAsia="楷体_GB2312" w:cs="MingLiU_HKSCS"/>
          <w:lang w:val="zh-CN"/>
        </w:rPr>
        <w:t>公司按照合同价款和条件全部购买用于某市</w:t>
      </w:r>
      <w:r>
        <w:rPr>
          <w:rFonts w:eastAsia="楷体_GB2312" w:cs="MingLiU_HKSCS"/>
          <w:lang w:val="zh-CN"/>
        </w:rPr>
        <w:t>××</w:t>
      </w:r>
      <w:r>
        <w:rPr>
          <w:rFonts w:eastAsia="楷体_GB2312" w:cs="MingLiU_HKSCS"/>
          <w:lang w:val="zh-CN"/>
        </w:rPr>
        <w:t>线轨道交通的自动售票机</w:t>
      </w:r>
      <w:r>
        <w:rPr>
          <w:rFonts w:eastAsia="楷体_GB2312" w:cs="MingLiU_HKSCS"/>
          <w:lang w:val="zh-CN"/>
        </w:rPr>
        <w:t>”,“</w:t>
      </w:r>
      <w:r>
        <w:rPr>
          <w:rFonts w:eastAsia="楷体_GB2312" w:cs="MingLiU_HKSCS"/>
          <w:lang w:val="zh-CN"/>
        </w:rPr>
        <w:t>本合同的整机知识产权归</w:t>
      </w:r>
      <w:r>
        <w:rPr>
          <w:rFonts w:eastAsia="楷体_GB2312" w:cs="MingLiU_HKSCS"/>
          <w:lang w:val="zh-CN"/>
        </w:rPr>
        <w:t>A</w:t>
      </w:r>
      <w:r>
        <w:rPr>
          <w:rFonts w:eastAsia="楷体_GB2312" w:cs="MingLiU_HKSCS"/>
          <w:lang w:val="zh-CN"/>
        </w:rPr>
        <w:t>公司所有，组件知识产权归</w:t>
      </w:r>
      <w:r>
        <w:rPr>
          <w:rFonts w:eastAsia="楷体_GB2312" w:cs="MingLiU_HKSCS"/>
          <w:lang w:val="zh-CN"/>
        </w:rPr>
        <w:t>A</w:t>
      </w:r>
      <w:r>
        <w:rPr>
          <w:rFonts w:eastAsia="楷体_GB2312" w:cs="MingLiU_HKSCS"/>
          <w:lang w:val="zh-CN"/>
        </w:rPr>
        <w:t>、</w:t>
      </w:r>
      <w:r>
        <w:rPr>
          <w:rFonts w:eastAsia="楷体_GB2312" w:cs="MingLiU_HKSCS"/>
          <w:lang w:val="zh-CN"/>
        </w:rPr>
        <w:t>B</w:t>
      </w:r>
      <w:r>
        <w:rPr>
          <w:rFonts w:eastAsia="楷体_GB2312" w:cs="MingLiU_HKSCS"/>
          <w:lang w:val="zh-CN"/>
        </w:rPr>
        <w:t>双方共有</w:t>
      </w:r>
      <w:r>
        <w:rPr>
          <w:rFonts w:eastAsia="楷体_GB2312" w:cs="MingLiU_HKSCS"/>
          <w:lang w:val="zh-CN"/>
        </w:rPr>
        <w:t>”</w:t>
      </w:r>
      <w:r>
        <w:rPr>
          <w:rFonts w:eastAsia="楷体_GB2312" w:cs="MingLiU_HKSCS"/>
          <w:lang w:val="zh-CN"/>
        </w:rPr>
        <w:t>。之后，</w:t>
      </w:r>
      <w:r>
        <w:rPr>
          <w:rFonts w:eastAsia="楷体_GB2312" w:cs="MingLiU_HKSCS"/>
          <w:lang w:val="zh-CN"/>
        </w:rPr>
        <w:t>A</w:t>
      </w:r>
      <w:r>
        <w:rPr>
          <w:rFonts w:eastAsia="楷体_GB2312" w:cs="MingLiU_HKSCS"/>
          <w:lang w:val="zh-CN"/>
        </w:rPr>
        <w:t>公司发现</w:t>
      </w:r>
      <w:r>
        <w:rPr>
          <w:rFonts w:eastAsia="楷体_GB2312" w:cs="MingLiU_HKSCS"/>
          <w:lang w:val="zh-CN"/>
        </w:rPr>
        <w:t>B</w:t>
      </w:r>
      <w:r>
        <w:rPr>
          <w:rFonts w:eastAsia="楷体_GB2312" w:cs="MingLiU_HKSCS"/>
          <w:lang w:val="zh-CN"/>
        </w:rPr>
        <w:t>公司在</w:t>
      </w:r>
      <w:r>
        <w:rPr>
          <w:rFonts w:eastAsia="楷体_GB2312" w:cs="MingLiU_HKSCS"/>
          <w:lang w:val="zh-CN"/>
        </w:rPr>
        <w:t>2007</w:t>
      </w:r>
      <w:r>
        <w:rPr>
          <w:rFonts w:eastAsia="楷体_GB2312" w:cs="MingLiU_HKSCS"/>
          <w:lang w:val="zh-CN"/>
        </w:rPr>
        <w:t>年</w:t>
      </w:r>
      <w:r>
        <w:rPr>
          <w:rFonts w:eastAsia="楷体_GB2312" w:cs="MingLiU_HKSCS"/>
          <w:lang w:val="zh-CN"/>
        </w:rPr>
        <w:t>8</w:t>
      </w:r>
      <w:r>
        <w:rPr>
          <w:rFonts w:eastAsia="楷体_GB2312" w:cs="MingLiU_HKSCS"/>
          <w:lang w:val="zh-CN"/>
        </w:rPr>
        <w:t>月</w:t>
      </w:r>
      <w:r>
        <w:rPr>
          <w:rFonts w:eastAsia="楷体_GB2312" w:cs="MingLiU_HKSCS"/>
          <w:lang w:val="zh-CN"/>
        </w:rPr>
        <w:t>21</w:t>
      </w:r>
      <w:r>
        <w:rPr>
          <w:rFonts w:eastAsia="楷体_GB2312" w:cs="MingLiU_HKSCS"/>
          <w:lang w:val="zh-CN"/>
        </w:rPr>
        <w:t>日至</w:t>
      </w:r>
      <w:r>
        <w:rPr>
          <w:rFonts w:eastAsia="楷体_GB2312" w:cs="MingLiU_HKSCS"/>
          <w:lang w:val="zh-CN"/>
        </w:rPr>
        <w:t>9</w:t>
      </w:r>
      <w:r>
        <w:rPr>
          <w:rFonts w:eastAsia="楷体_GB2312" w:cs="MingLiU_HKSCS"/>
          <w:lang w:val="zh-CN"/>
        </w:rPr>
        <w:t>月</w:t>
      </w:r>
      <w:r>
        <w:rPr>
          <w:rFonts w:eastAsia="楷体_GB2312" w:cs="MingLiU_HKSCS"/>
          <w:lang w:val="zh-CN"/>
        </w:rPr>
        <w:t>11</w:t>
      </w:r>
      <w:r>
        <w:rPr>
          <w:rFonts w:eastAsia="楷体_GB2312" w:cs="MingLiU_HKSCS"/>
          <w:lang w:val="zh-CN"/>
        </w:rPr>
        <w:t>日期间，申请了</w:t>
      </w:r>
      <w:r>
        <w:rPr>
          <w:rFonts w:eastAsia="楷体_GB2312" w:cs="MingLiU_HKSCS"/>
          <w:lang w:val="zh-CN"/>
        </w:rPr>
        <w:t>“</w:t>
      </w:r>
      <w:r>
        <w:rPr>
          <w:rFonts w:eastAsia="楷体_GB2312" w:cs="MingLiU_HKSCS"/>
          <w:lang w:val="zh-CN"/>
        </w:rPr>
        <w:t>一种硬币循环处理机</w:t>
      </w:r>
      <w:r>
        <w:rPr>
          <w:rFonts w:eastAsia="楷体_GB2312" w:cs="MingLiU_HKSCS"/>
          <w:lang w:val="zh-CN"/>
        </w:rPr>
        <w:t>”</w:t>
      </w:r>
      <w:r>
        <w:rPr>
          <w:rFonts w:eastAsia="楷体_GB2312" w:cs="MingLiU_HKSCS"/>
          <w:lang w:val="zh-CN"/>
        </w:rPr>
        <w:t>等</w:t>
      </w:r>
      <w:r>
        <w:rPr>
          <w:rFonts w:eastAsia="楷体_GB2312" w:cs="MingLiU_HKSCS"/>
          <w:lang w:val="zh-CN"/>
        </w:rPr>
        <w:t>8</w:t>
      </w:r>
      <w:r>
        <w:rPr>
          <w:rFonts w:eastAsia="楷体_GB2312" w:cs="MingLiU_HKSCS"/>
          <w:lang w:val="zh-CN"/>
        </w:rPr>
        <w:t>项专利，申请人均为</w:t>
      </w:r>
      <w:r>
        <w:rPr>
          <w:rFonts w:eastAsia="楷体_GB2312" w:cs="MingLiU_HKSCS"/>
          <w:lang w:val="zh-CN"/>
        </w:rPr>
        <w:t>B</w:t>
      </w:r>
      <w:r>
        <w:rPr>
          <w:rFonts w:eastAsia="楷体_GB2312" w:cs="MingLiU_HKSCS"/>
          <w:lang w:val="zh-CN"/>
        </w:rPr>
        <w:t>公司和</w:t>
      </w:r>
      <w:r>
        <w:rPr>
          <w:rFonts w:eastAsia="楷体_GB2312" w:cs="MingLiU_HKSCS"/>
          <w:lang w:val="zh-CN"/>
        </w:rPr>
        <w:t>C</w:t>
      </w:r>
      <w:r>
        <w:rPr>
          <w:rFonts w:eastAsia="楷体_GB2312" w:cs="MingLiU_HKSCS"/>
          <w:lang w:val="zh-CN"/>
        </w:rPr>
        <w:t>公司。</w:t>
      </w:r>
      <w:r>
        <w:rPr>
          <w:rFonts w:eastAsia="楷体_GB2312" w:cs="MingLiU_HKSCS"/>
          <w:lang w:val="zh-CN"/>
        </w:rPr>
        <w:t>A</w:t>
      </w:r>
      <w:r>
        <w:rPr>
          <w:rFonts w:eastAsia="楷体_GB2312" w:cs="MingLiU_HKSCS" w:hint="eastAsia"/>
          <w:lang w:val="zh-CN"/>
        </w:rPr>
        <w:t>公司认为，该</w:t>
      </w:r>
      <w:r>
        <w:rPr>
          <w:rFonts w:eastAsia="楷体_GB2312" w:cs="MingLiU_HKSCS"/>
          <w:lang w:val="zh-CN"/>
        </w:rPr>
        <w:t>8</w:t>
      </w:r>
      <w:r>
        <w:rPr>
          <w:rFonts w:eastAsia="楷体_GB2312" w:cs="MingLiU_HKSCS" w:hint="eastAsia"/>
          <w:lang w:val="zh-CN"/>
        </w:rPr>
        <w:t>项专利中</w:t>
      </w:r>
      <w:r>
        <w:rPr>
          <w:rFonts w:eastAsia="楷体_GB2312" w:cs="MingLiU_HKSCS"/>
          <w:lang w:val="zh-CN"/>
        </w:rPr>
        <w:t>“</w:t>
      </w:r>
      <w:r>
        <w:rPr>
          <w:rFonts w:eastAsia="楷体_GB2312" w:cs="MingLiU_HKSCS"/>
          <w:lang w:val="zh-CN"/>
        </w:rPr>
        <w:t>一种硬币循环处理机</w:t>
      </w:r>
      <w:r>
        <w:rPr>
          <w:rFonts w:eastAsia="楷体_GB2312" w:cs="MingLiU_HKSCS"/>
          <w:lang w:val="zh-CN"/>
        </w:rPr>
        <w:t>”</w:t>
      </w:r>
      <w:r>
        <w:rPr>
          <w:rFonts w:eastAsia="楷体_GB2312" w:cs="MingLiU_HKSCS"/>
          <w:lang w:val="zh-CN"/>
        </w:rPr>
        <w:t>属于整机，专利权应归</w:t>
      </w:r>
      <w:r>
        <w:rPr>
          <w:rFonts w:eastAsia="楷体_GB2312" w:cs="MingLiU_HKSCS"/>
          <w:lang w:val="zh-CN"/>
        </w:rPr>
        <w:t>A</w:t>
      </w:r>
      <w:r>
        <w:rPr>
          <w:rFonts w:eastAsia="楷体_GB2312" w:cs="MingLiU_HKSCS"/>
          <w:lang w:val="zh-CN"/>
        </w:rPr>
        <w:t>公司所有，其余</w:t>
      </w:r>
      <w:r>
        <w:rPr>
          <w:rFonts w:eastAsia="楷体_GB2312" w:cs="MingLiU_HKSCS"/>
          <w:lang w:val="zh-CN"/>
        </w:rPr>
        <w:t>7</w:t>
      </w:r>
      <w:r>
        <w:rPr>
          <w:rFonts w:eastAsia="楷体_GB2312" w:cs="MingLiU_HKSCS"/>
          <w:lang w:val="zh-CN"/>
        </w:rPr>
        <w:t>项专利属于组件，专利权应归</w:t>
      </w:r>
      <w:r>
        <w:rPr>
          <w:rFonts w:eastAsia="楷体_GB2312" w:cs="MingLiU_HKSCS"/>
          <w:lang w:val="zh-CN"/>
        </w:rPr>
        <w:t>A</w:t>
      </w:r>
      <w:r>
        <w:rPr>
          <w:rFonts w:eastAsia="楷体_GB2312" w:cs="MingLiU_HKSCS"/>
          <w:lang w:val="zh-CN"/>
        </w:rPr>
        <w:t>公司和</w:t>
      </w:r>
      <w:r>
        <w:rPr>
          <w:rFonts w:eastAsia="楷体_GB2312" w:cs="MingLiU_HKSCS"/>
          <w:lang w:val="zh-CN"/>
        </w:rPr>
        <w:t>B</w:t>
      </w:r>
      <w:r>
        <w:rPr>
          <w:rFonts w:eastAsia="楷体_GB2312" w:cs="MingLiU_HKSCS"/>
          <w:lang w:val="zh-CN"/>
        </w:rPr>
        <w:t>公司共有。</w:t>
      </w:r>
    </w:p>
    <w:p w:rsidR="00800760" w:rsidRDefault="00235733">
      <w:pPr>
        <w:spacing w:line="360" w:lineRule="auto"/>
        <w:rPr>
          <w:rFonts w:eastAsia="楷体_GB2312" w:cs="MingLiU_HKSCS"/>
          <w:lang w:val="zh-CN"/>
        </w:rPr>
      </w:pPr>
      <w:r>
        <w:rPr>
          <w:rFonts w:eastAsia="楷体_GB2312" w:cs="MingLiU_HKSCS"/>
          <w:lang w:val="zh-CN"/>
        </w:rPr>
        <w:t>B</w:t>
      </w:r>
      <w:r>
        <w:rPr>
          <w:rFonts w:eastAsia="楷体_GB2312" w:cs="MingLiU_HKSCS"/>
          <w:lang w:val="zh-CN"/>
        </w:rPr>
        <w:t>公司和</w:t>
      </w:r>
      <w:r>
        <w:rPr>
          <w:rFonts w:eastAsia="楷体_GB2312" w:cs="MingLiU_HKSCS"/>
          <w:lang w:val="zh-CN"/>
        </w:rPr>
        <w:t>C</w:t>
      </w:r>
      <w:r>
        <w:rPr>
          <w:rFonts w:eastAsia="楷体_GB2312" w:cs="MingLiU_HKSCS"/>
          <w:lang w:val="zh-CN"/>
        </w:rPr>
        <w:t>公司辩称，涉案</w:t>
      </w:r>
      <w:r>
        <w:rPr>
          <w:rFonts w:eastAsia="楷体_GB2312" w:cs="MingLiU_HKSCS"/>
          <w:lang w:val="zh-CN"/>
        </w:rPr>
        <w:t>8</w:t>
      </w:r>
      <w:r>
        <w:rPr>
          <w:rFonts w:eastAsia="楷体_GB2312" w:cs="MingLiU_HKSCS"/>
          <w:lang w:val="zh-CN"/>
        </w:rPr>
        <w:t>项专利源于</w:t>
      </w:r>
      <w:r>
        <w:rPr>
          <w:rFonts w:eastAsia="楷体_GB2312" w:cs="MingLiU_HKSCS"/>
          <w:lang w:val="zh-CN"/>
        </w:rPr>
        <w:t>B</w:t>
      </w:r>
      <w:r>
        <w:rPr>
          <w:rFonts w:eastAsia="楷体_GB2312" w:cs="MingLiU_HKSCS"/>
          <w:lang w:val="zh-CN"/>
        </w:rPr>
        <w:t>公司于</w:t>
      </w:r>
      <w:r>
        <w:rPr>
          <w:rFonts w:eastAsia="楷体_GB2312" w:cs="MingLiU_HKSCS"/>
          <w:lang w:val="zh-CN"/>
        </w:rPr>
        <w:t>2006</w:t>
      </w:r>
      <w:r>
        <w:rPr>
          <w:rFonts w:eastAsia="楷体_GB2312" w:cs="MingLiU_HKSCS"/>
          <w:lang w:val="zh-CN"/>
        </w:rPr>
        <w:t>年</w:t>
      </w:r>
      <w:r>
        <w:rPr>
          <w:rFonts w:eastAsia="楷体_GB2312" w:cs="MingLiU_HKSCS"/>
          <w:lang w:val="zh-CN"/>
        </w:rPr>
        <w:t>5</w:t>
      </w:r>
      <w:r>
        <w:rPr>
          <w:rFonts w:eastAsia="楷体_GB2312" w:cs="MingLiU_HKSCS"/>
          <w:lang w:val="zh-CN"/>
        </w:rPr>
        <w:t>月</w:t>
      </w:r>
      <w:r>
        <w:rPr>
          <w:rFonts w:eastAsia="楷体_GB2312" w:cs="MingLiU_HKSCS"/>
          <w:lang w:val="zh-CN"/>
        </w:rPr>
        <w:t>1</w:t>
      </w:r>
      <w:r>
        <w:rPr>
          <w:rFonts w:eastAsia="楷体_GB2312" w:cs="MingLiU_HKSCS"/>
          <w:lang w:val="zh-CN"/>
        </w:rPr>
        <w:t>日至</w:t>
      </w:r>
      <w:r>
        <w:rPr>
          <w:rFonts w:eastAsia="楷体_GB2312" w:cs="MingLiU_HKSCS"/>
          <w:lang w:val="zh-CN"/>
        </w:rPr>
        <w:t>2007</w:t>
      </w:r>
      <w:r>
        <w:rPr>
          <w:rFonts w:eastAsia="楷体_GB2312" w:cs="MingLiU_HKSCS"/>
          <w:lang w:val="zh-CN"/>
        </w:rPr>
        <w:t>年</w:t>
      </w:r>
      <w:r>
        <w:rPr>
          <w:rFonts w:eastAsia="楷体_GB2312" w:cs="MingLiU_HKSCS"/>
          <w:lang w:val="zh-CN"/>
        </w:rPr>
        <w:t>12</w:t>
      </w:r>
      <w:r>
        <w:rPr>
          <w:rFonts w:eastAsia="楷体_GB2312" w:cs="MingLiU_HKSCS"/>
          <w:lang w:val="zh-CN"/>
        </w:rPr>
        <w:t>月</w:t>
      </w:r>
      <w:r>
        <w:rPr>
          <w:rFonts w:eastAsia="楷体_GB2312" w:cs="MingLiU_HKSCS"/>
          <w:lang w:val="zh-CN"/>
        </w:rPr>
        <w:t>31</w:t>
      </w:r>
      <w:r>
        <w:rPr>
          <w:rFonts w:eastAsia="楷体_GB2312" w:cs="MingLiU_HKSCS"/>
          <w:lang w:val="zh-CN"/>
        </w:rPr>
        <w:t>日所承担的某市科委的</w:t>
      </w:r>
      <w:r>
        <w:rPr>
          <w:rFonts w:eastAsia="楷体_GB2312" w:cs="MingLiU_HKSCS"/>
          <w:lang w:val="zh-CN"/>
        </w:rPr>
        <w:t>“</w:t>
      </w:r>
      <w:r>
        <w:rPr>
          <w:rFonts w:eastAsia="楷体_GB2312" w:cs="MingLiU_HKSCS"/>
          <w:lang w:val="zh-CN"/>
        </w:rPr>
        <w:t>自助服务装备关键技术研究与应用</w:t>
      </w:r>
      <w:r>
        <w:rPr>
          <w:rFonts w:eastAsia="楷体_GB2312" w:cs="MingLiU_HKSCS"/>
          <w:lang w:val="zh-CN"/>
        </w:rPr>
        <w:t>”</w:t>
      </w:r>
      <w:r>
        <w:rPr>
          <w:rFonts w:eastAsia="楷体_GB2312" w:cs="MingLiU_HKSCS"/>
          <w:lang w:val="zh-CN"/>
        </w:rPr>
        <w:t>项目，该项目中包含</w:t>
      </w:r>
      <w:r>
        <w:rPr>
          <w:rFonts w:eastAsia="楷体_GB2312" w:cs="MingLiU_HKSCS"/>
          <w:lang w:val="zh-CN"/>
        </w:rPr>
        <w:t>“</w:t>
      </w:r>
      <w:r>
        <w:rPr>
          <w:rFonts w:eastAsia="楷体_GB2312" w:cs="MingLiU_HKSCS"/>
          <w:lang w:val="zh-CN"/>
        </w:rPr>
        <w:t>自助铁路售票装备系统应用研究</w:t>
      </w:r>
      <w:r>
        <w:rPr>
          <w:rFonts w:eastAsia="楷体_GB2312" w:cs="MingLiU_HKSCS"/>
          <w:lang w:val="zh-CN"/>
        </w:rPr>
        <w:t>”</w:t>
      </w:r>
      <w:r>
        <w:rPr>
          <w:rFonts w:eastAsia="楷体_GB2312" w:cs="MingLiU_HKSCS"/>
          <w:lang w:val="zh-CN"/>
        </w:rPr>
        <w:t>子课题，在该项目的《项目任务书》中载明</w:t>
      </w:r>
      <w:r>
        <w:rPr>
          <w:rFonts w:eastAsia="楷体_GB2312" w:cs="MingLiU_HKSCS"/>
          <w:lang w:val="zh-CN"/>
        </w:rPr>
        <w:t>“</w:t>
      </w:r>
      <w:r>
        <w:rPr>
          <w:rFonts w:eastAsia="楷体_GB2312" w:cs="MingLiU_HKSCS"/>
          <w:lang w:val="zh-CN"/>
        </w:rPr>
        <w:t>本项目研究的有关技术成果归某市科委、项目主持单位、课题承担单位所有</w:t>
      </w:r>
      <w:r>
        <w:rPr>
          <w:rFonts w:eastAsia="楷体_GB2312" w:cs="MingLiU_HKSCS"/>
          <w:lang w:val="zh-CN"/>
        </w:rPr>
        <w:t>”</w:t>
      </w:r>
      <w:r>
        <w:rPr>
          <w:rFonts w:eastAsia="楷体_GB2312" w:cs="MingLiU_HKSCS"/>
          <w:lang w:val="zh-CN"/>
        </w:rPr>
        <w:t>。</w:t>
      </w:r>
      <w:r>
        <w:rPr>
          <w:rFonts w:eastAsia="楷体_GB2312" w:cs="MingLiU_HKSCS"/>
          <w:lang w:val="zh-CN"/>
        </w:rPr>
        <w:t>2006</w:t>
      </w:r>
      <w:r>
        <w:rPr>
          <w:rFonts w:eastAsia="楷体_GB2312" w:cs="MingLiU_HKSCS"/>
          <w:lang w:val="zh-CN"/>
        </w:rPr>
        <w:t>年</w:t>
      </w:r>
      <w:r>
        <w:rPr>
          <w:rFonts w:eastAsia="楷体_GB2312" w:cs="MingLiU_HKSCS"/>
          <w:lang w:val="zh-CN"/>
        </w:rPr>
        <w:t>12</w:t>
      </w:r>
      <w:r>
        <w:rPr>
          <w:rFonts w:eastAsia="楷体_GB2312" w:cs="MingLiU_HKSCS"/>
          <w:lang w:val="zh-CN"/>
        </w:rPr>
        <w:t>月</w:t>
      </w:r>
      <w:r>
        <w:rPr>
          <w:rFonts w:eastAsia="楷体_GB2312" w:cs="MingLiU_HKSCS"/>
          <w:lang w:val="zh-CN"/>
        </w:rPr>
        <w:t>18</w:t>
      </w:r>
      <w:r>
        <w:rPr>
          <w:rFonts w:eastAsia="楷体_GB2312" w:cs="MingLiU_HKSCS"/>
          <w:lang w:val="zh-CN"/>
        </w:rPr>
        <w:t>日，</w:t>
      </w:r>
      <w:r>
        <w:rPr>
          <w:rFonts w:eastAsia="楷体_GB2312" w:cs="MingLiU_HKSCS"/>
          <w:lang w:val="zh-CN"/>
        </w:rPr>
        <w:t>B</w:t>
      </w:r>
      <w:r>
        <w:rPr>
          <w:rFonts w:eastAsia="楷体_GB2312" w:cs="MingLiU_HKSCS"/>
          <w:lang w:val="zh-CN"/>
        </w:rPr>
        <w:t>公司与</w:t>
      </w:r>
      <w:r>
        <w:rPr>
          <w:rFonts w:eastAsia="楷体_GB2312" w:cs="MingLiU_HKSCS"/>
          <w:lang w:val="zh-CN"/>
        </w:rPr>
        <w:t>C</w:t>
      </w:r>
      <w:r>
        <w:rPr>
          <w:rFonts w:eastAsia="楷体_GB2312" w:cs="MingLiU_HKSCS"/>
          <w:lang w:val="zh-CN"/>
        </w:rPr>
        <w:t>公司签订技术开发合同，就</w:t>
      </w:r>
      <w:r>
        <w:rPr>
          <w:rFonts w:eastAsia="楷体_GB2312" w:cs="MingLiU_HKSCS"/>
          <w:lang w:val="zh-CN"/>
        </w:rPr>
        <w:t>“</w:t>
      </w:r>
      <w:r>
        <w:rPr>
          <w:rFonts w:eastAsia="楷体_GB2312" w:cs="MingLiU_HKSCS"/>
          <w:lang w:val="zh-CN"/>
        </w:rPr>
        <w:t>自助铁路售票装备系统应用研究</w:t>
      </w:r>
      <w:r>
        <w:rPr>
          <w:rFonts w:eastAsia="楷体_GB2312" w:cs="MingLiU_HKSCS"/>
          <w:lang w:val="zh-CN"/>
        </w:rPr>
        <w:t>”</w:t>
      </w:r>
      <w:r>
        <w:rPr>
          <w:rFonts w:eastAsia="楷体_GB2312" w:cs="MingLiU_HKSCS"/>
          <w:lang w:val="zh-CN"/>
        </w:rPr>
        <w:t>课题的技术开发进行合作。随后，对该课题的合作成果申请了该</w:t>
      </w:r>
      <w:r>
        <w:rPr>
          <w:rFonts w:eastAsia="楷体_GB2312" w:cs="MingLiU_HKSCS"/>
          <w:lang w:val="zh-CN"/>
        </w:rPr>
        <w:t>8</w:t>
      </w:r>
      <w:r>
        <w:rPr>
          <w:rFonts w:eastAsia="楷体_GB2312" w:cs="MingLiU_HKSCS"/>
          <w:lang w:val="zh-CN"/>
        </w:rPr>
        <w:t>项涉案专利。在该</w:t>
      </w:r>
      <w:r>
        <w:rPr>
          <w:rFonts w:eastAsia="楷体_GB2312" w:cs="MingLiU_HKSCS"/>
          <w:lang w:val="zh-CN"/>
        </w:rPr>
        <w:t>8</w:t>
      </w:r>
      <w:r>
        <w:rPr>
          <w:rFonts w:eastAsia="楷体_GB2312" w:cs="MingLiU_HKSCS"/>
          <w:lang w:val="zh-CN"/>
        </w:rPr>
        <w:t>项专利的申请日跨度期间，</w:t>
      </w:r>
      <w:r>
        <w:rPr>
          <w:rFonts w:eastAsia="楷体_GB2312" w:cs="MingLiU_HKSCS"/>
          <w:lang w:val="zh-CN"/>
        </w:rPr>
        <w:t>B</w:t>
      </w:r>
      <w:r>
        <w:rPr>
          <w:rFonts w:eastAsia="楷体_GB2312" w:cs="MingLiU_HKSCS"/>
          <w:lang w:val="zh-CN"/>
        </w:rPr>
        <w:t>公司和</w:t>
      </w:r>
      <w:r>
        <w:rPr>
          <w:rFonts w:eastAsia="楷体_GB2312" w:cs="MingLiU_HKSCS"/>
          <w:lang w:val="zh-CN"/>
        </w:rPr>
        <w:t>A</w:t>
      </w:r>
      <w:r>
        <w:rPr>
          <w:rFonts w:eastAsia="楷体_GB2312" w:cs="MingLiU_HKSCS"/>
          <w:lang w:val="zh-CN"/>
        </w:rPr>
        <w:t>公司尚未形成技术合作开发关系。</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实践中，经常会出现一个单位同时受托多个不同项目的情况，这些项目主题类似，来源于不同的委托单位。涉案研究成果究竟来源于哪一个项目往往是这类纠纷的关键。为此，需要判断涉案专利或专利申请的技术方案与相同委托事项或合同标的是否相同或高度关联。</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lang w:val="zh-CN"/>
        </w:rPr>
        <w:t>B</w:t>
      </w:r>
      <w:r>
        <w:rPr>
          <w:rFonts w:eastAsia="楷体_GB2312" w:cs="MingLiU_HKSCS"/>
          <w:lang w:val="zh-CN"/>
        </w:rPr>
        <w:t>公司先后承接某市科委委托的</w:t>
      </w:r>
      <w:r>
        <w:rPr>
          <w:rFonts w:eastAsia="楷体_GB2312" w:cs="MingLiU_HKSCS"/>
          <w:lang w:val="zh-CN"/>
        </w:rPr>
        <w:t>“</w:t>
      </w:r>
      <w:r>
        <w:rPr>
          <w:rFonts w:eastAsia="楷体_GB2312" w:cs="MingLiU_HKSCS"/>
          <w:lang w:val="zh-CN"/>
        </w:rPr>
        <w:t>自助服务装备关键技术研究与应用</w:t>
      </w:r>
      <w:r>
        <w:rPr>
          <w:rFonts w:eastAsia="楷体_GB2312" w:cs="MingLiU_HKSCS"/>
          <w:lang w:val="zh-CN"/>
        </w:rPr>
        <w:t>”</w:t>
      </w:r>
      <w:r>
        <w:rPr>
          <w:rFonts w:eastAsia="楷体_GB2312" w:cs="MingLiU_HKSCS"/>
          <w:lang w:val="zh-CN"/>
        </w:rPr>
        <w:t>课题和</w:t>
      </w:r>
      <w:r>
        <w:rPr>
          <w:rFonts w:eastAsia="楷体_GB2312" w:cs="MingLiU_HKSCS"/>
          <w:lang w:val="zh-CN"/>
        </w:rPr>
        <w:t>A</w:t>
      </w:r>
      <w:r>
        <w:rPr>
          <w:rFonts w:eastAsia="楷体_GB2312" w:cs="MingLiU_HKSCS"/>
          <w:lang w:val="zh-CN"/>
        </w:rPr>
        <w:t>公司委托的城市轨道交通自动售票机加工项目。前者的研发时间为</w:t>
      </w:r>
      <w:r>
        <w:rPr>
          <w:rFonts w:eastAsia="楷体_GB2312" w:cs="MingLiU_HKSCS"/>
          <w:lang w:val="zh-CN"/>
        </w:rPr>
        <w:t>2006</w:t>
      </w:r>
      <w:r>
        <w:rPr>
          <w:rFonts w:eastAsia="楷体_GB2312" w:cs="MingLiU_HKSCS"/>
          <w:lang w:val="zh-CN"/>
        </w:rPr>
        <w:t>年</w:t>
      </w:r>
      <w:r>
        <w:rPr>
          <w:rFonts w:eastAsia="楷体_GB2312" w:cs="MingLiU_HKSCS"/>
          <w:lang w:val="zh-CN"/>
        </w:rPr>
        <w:t>5</w:t>
      </w:r>
      <w:r>
        <w:rPr>
          <w:rFonts w:eastAsia="楷体_GB2312" w:cs="MingLiU_HKSCS"/>
          <w:lang w:val="zh-CN"/>
        </w:rPr>
        <w:t>月</w:t>
      </w:r>
      <w:r>
        <w:rPr>
          <w:rFonts w:eastAsia="楷体_GB2312" w:cs="MingLiU_HKSCS"/>
          <w:lang w:val="zh-CN"/>
        </w:rPr>
        <w:t>1</w:t>
      </w:r>
      <w:r>
        <w:rPr>
          <w:rFonts w:eastAsia="楷体_GB2312" w:cs="MingLiU_HKSCS"/>
          <w:lang w:val="zh-CN"/>
        </w:rPr>
        <w:t>日至</w:t>
      </w:r>
      <w:r>
        <w:rPr>
          <w:rFonts w:eastAsia="楷体_GB2312" w:cs="MingLiU_HKSCS"/>
          <w:lang w:val="zh-CN"/>
        </w:rPr>
        <w:t>2007</w:t>
      </w:r>
      <w:r>
        <w:rPr>
          <w:rFonts w:eastAsia="楷体_GB2312" w:cs="MingLiU_HKSCS"/>
          <w:lang w:val="zh-CN"/>
        </w:rPr>
        <w:t>年</w:t>
      </w:r>
      <w:r>
        <w:rPr>
          <w:rFonts w:eastAsia="楷体_GB2312" w:cs="MingLiU_HKSCS"/>
          <w:lang w:val="zh-CN"/>
        </w:rPr>
        <w:t>12</w:t>
      </w:r>
      <w:r>
        <w:rPr>
          <w:rFonts w:eastAsia="楷体_GB2312" w:cs="MingLiU_HKSCS"/>
          <w:lang w:val="zh-CN"/>
        </w:rPr>
        <w:t>月</w:t>
      </w:r>
      <w:r>
        <w:rPr>
          <w:rFonts w:eastAsia="楷体_GB2312" w:cs="MingLiU_HKSCS"/>
          <w:lang w:val="zh-CN"/>
        </w:rPr>
        <w:t>31</w:t>
      </w:r>
      <w:r>
        <w:rPr>
          <w:rFonts w:eastAsia="楷体_GB2312" w:cs="MingLiU_HKSCS"/>
          <w:lang w:val="zh-CN"/>
        </w:rPr>
        <w:t>日；后者签订合作意向的时间是</w:t>
      </w:r>
      <w:r>
        <w:rPr>
          <w:rFonts w:eastAsia="楷体_GB2312" w:cs="MingLiU_HKSCS"/>
          <w:lang w:val="zh-CN"/>
        </w:rPr>
        <w:t>2006</w:t>
      </w:r>
      <w:r>
        <w:rPr>
          <w:rFonts w:eastAsia="楷体_GB2312" w:cs="MingLiU_HKSCS"/>
          <w:lang w:val="zh-CN"/>
        </w:rPr>
        <w:t>年</w:t>
      </w:r>
      <w:r>
        <w:rPr>
          <w:rFonts w:eastAsia="楷体_GB2312" w:cs="MingLiU_HKSCS"/>
          <w:lang w:val="zh-CN"/>
        </w:rPr>
        <w:t>9</w:t>
      </w:r>
      <w:r>
        <w:rPr>
          <w:rFonts w:eastAsia="楷体_GB2312" w:cs="MingLiU_HKSCS"/>
          <w:lang w:val="zh-CN"/>
        </w:rPr>
        <w:t>月，签订委托加工合同的时间是</w:t>
      </w:r>
      <w:r>
        <w:rPr>
          <w:rFonts w:eastAsia="楷体_GB2312" w:cs="MingLiU_HKSCS"/>
          <w:lang w:val="zh-CN"/>
        </w:rPr>
        <w:t>2007</w:t>
      </w:r>
      <w:r>
        <w:rPr>
          <w:rFonts w:eastAsia="楷体_GB2312" w:cs="MingLiU_HKSCS"/>
          <w:lang w:val="zh-CN"/>
        </w:rPr>
        <w:t>年</w:t>
      </w:r>
      <w:r>
        <w:rPr>
          <w:rFonts w:eastAsia="楷体_GB2312" w:cs="MingLiU_HKSCS"/>
          <w:lang w:val="zh-CN"/>
        </w:rPr>
        <w:t>9</w:t>
      </w:r>
      <w:r>
        <w:rPr>
          <w:rFonts w:eastAsia="楷体_GB2312" w:cs="MingLiU_HKSCS"/>
          <w:lang w:val="zh-CN"/>
        </w:rPr>
        <w:t>月</w:t>
      </w:r>
      <w:r>
        <w:rPr>
          <w:rFonts w:eastAsia="楷体_GB2312" w:cs="MingLiU_HKSCS"/>
          <w:lang w:val="zh-CN"/>
        </w:rPr>
        <w:t>19</w:t>
      </w:r>
      <w:r>
        <w:rPr>
          <w:rFonts w:eastAsia="楷体_GB2312" w:cs="MingLiU_HKSCS"/>
          <w:lang w:val="zh-CN"/>
        </w:rPr>
        <w:t>日。从两合同的委托时间和项目完成时间看，二者项目完成时间重叠，涉案</w:t>
      </w:r>
      <w:r>
        <w:rPr>
          <w:rFonts w:eastAsia="楷体_GB2312" w:cs="MingLiU_HKSCS"/>
          <w:lang w:val="zh-CN"/>
        </w:rPr>
        <w:t>8</w:t>
      </w:r>
      <w:r>
        <w:rPr>
          <w:rFonts w:eastAsia="楷体_GB2312" w:cs="MingLiU_HKSCS"/>
          <w:lang w:val="zh-CN"/>
        </w:rPr>
        <w:t>项专利的申请日</w:t>
      </w:r>
      <w:r>
        <w:rPr>
          <w:rFonts w:eastAsia="楷体_GB2312" w:cs="MingLiU_HKSCS"/>
          <w:lang w:val="zh-CN"/>
        </w:rPr>
        <w:t>(2007</w:t>
      </w:r>
      <w:r>
        <w:rPr>
          <w:rFonts w:eastAsia="楷体_GB2312" w:cs="MingLiU_HKSCS"/>
          <w:lang w:val="zh-CN"/>
        </w:rPr>
        <w:t>年</w:t>
      </w:r>
      <w:r>
        <w:rPr>
          <w:rFonts w:eastAsia="楷体_GB2312" w:cs="MingLiU_HKSCS"/>
          <w:lang w:val="zh-CN"/>
        </w:rPr>
        <w:t>8</w:t>
      </w:r>
      <w:r>
        <w:rPr>
          <w:rFonts w:eastAsia="楷体_GB2312" w:cs="MingLiU_HKSCS"/>
          <w:lang w:val="zh-CN"/>
        </w:rPr>
        <w:t>月</w:t>
      </w:r>
      <w:r>
        <w:rPr>
          <w:rFonts w:eastAsia="楷体_GB2312" w:cs="MingLiU_HKSCS"/>
          <w:lang w:val="zh-CN"/>
        </w:rPr>
        <w:t>21</w:t>
      </w:r>
      <w:r>
        <w:rPr>
          <w:rFonts w:eastAsia="楷体_GB2312" w:cs="MingLiU_HKSCS"/>
          <w:lang w:val="zh-CN"/>
        </w:rPr>
        <w:t>日至</w:t>
      </w:r>
      <w:r>
        <w:rPr>
          <w:rFonts w:eastAsia="楷体_GB2312" w:cs="MingLiU_HKSCS"/>
          <w:lang w:val="zh-CN"/>
        </w:rPr>
        <w:t>9</w:t>
      </w:r>
      <w:r>
        <w:rPr>
          <w:rFonts w:eastAsia="楷体_GB2312" w:cs="MingLiU_HKSCS"/>
          <w:lang w:val="zh-CN"/>
        </w:rPr>
        <w:t>月</w:t>
      </w:r>
      <w:r>
        <w:rPr>
          <w:rFonts w:eastAsia="楷体_GB2312" w:cs="MingLiU_HKSCS"/>
          <w:lang w:val="zh-CN"/>
        </w:rPr>
        <w:t>11</w:t>
      </w:r>
      <w:r>
        <w:rPr>
          <w:rFonts w:eastAsia="楷体_GB2312" w:cs="MingLiU_HKSCS"/>
          <w:lang w:val="zh-CN"/>
        </w:rPr>
        <w:t>日</w:t>
      </w:r>
      <w:r>
        <w:rPr>
          <w:rFonts w:eastAsia="楷体_GB2312" w:cs="MingLiU_HKSCS"/>
          <w:lang w:val="zh-CN"/>
        </w:rPr>
        <w:t>)</w:t>
      </w:r>
      <w:r>
        <w:rPr>
          <w:rFonts w:eastAsia="楷体_GB2312" w:cs="MingLiU_HKSCS"/>
          <w:lang w:val="zh-CN"/>
        </w:rPr>
        <w:t>恰好处于两合同的完成期间。判断所述专利是</w:t>
      </w:r>
      <w:r>
        <w:rPr>
          <w:rFonts w:eastAsia="楷体_GB2312" w:cs="MingLiU_HKSCS"/>
          <w:lang w:val="zh-CN"/>
        </w:rPr>
        <w:t>B</w:t>
      </w:r>
      <w:r>
        <w:rPr>
          <w:rFonts w:eastAsia="楷体_GB2312" w:cs="MingLiU_HKSCS"/>
          <w:lang w:val="zh-CN"/>
        </w:rPr>
        <w:t>公司完成某市科委委托项目中完成的发明创造，还是在完成</w:t>
      </w:r>
      <w:r>
        <w:rPr>
          <w:rFonts w:eastAsia="楷体_GB2312" w:cs="MingLiU_HKSCS"/>
          <w:lang w:val="zh-CN"/>
        </w:rPr>
        <w:t>A</w:t>
      </w:r>
      <w:r>
        <w:rPr>
          <w:rFonts w:eastAsia="楷体_GB2312" w:cs="MingLiU_HKSCS"/>
          <w:lang w:val="zh-CN"/>
        </w:rPr>
        <w:t>公司委托加工项目中完成的发明创造，关键在于看涉案发明专利与两合同标的之间的关系。经查，前一合同</w:t>
      </w:r>
      <w:r>
        <w:rPr>
          <w:rFonts w:eastAsia="楷体_GB2312" w:cs="MingLiU_HKSCS"/>
          <w:lang w:val="zh-CN"/>
        </w:rPr>
        <w:t>(</w:t>
      </w:r>
      <w:r>
        <w:rPr>
          <w:rFonts w:eastAsia="楷体_GB2312" w:cs="MingLiU_HKSCS"/>
          <w:lang w:val="zh-CN"/>
        </w:rPr>
        <w:t>某市科委项目</w:t>
      </w:r>
      <w:r>
        <w:rPr>
          <w:rFonts w:eastAsia="楷体_GB2312" w:cs="MingLiU_HKSCS"/>
          <w:lang w:val="zh-CN"/>
        </w:rPr>
        <w:t>)</w:t>
      </w:r>
      <w:r>
        <w:rPr>
          <w:rFonts w:eastAsia="楷体_GB2312" w:cs="MingLiU_HKSCS"/>
          <w:lang w:val="zh-CN"/>
        </w:rPr>
        <w:t>主要涉及用于铁路售票系统的自动售票机，其项目研发内容未包括有关硬币处理设备的内容；而后一合同</w:t>
      </w:r>
      <w:r>
        <w:rPr>
          <w:rFonts w:eastAsia="楷体_GB2312" w:cs="MingLiU_HKSCS"/>
          <w:lang w:val="zh-CN"/>
        </w:rPr>
        <w:t>(A</w:t>
      </w:r>
      <w:r>
        <w:rPr>
          <w:rFonts w:eastAsia="楷体_GB2312" w:cs="MingLiU_HKSCS"/>
          <w:lang w:val="zh-CN"/>
        </w:rPr>
        <w:t>公司委托项目</w:t>
      </w:r>
      <w:r>
        <w:rPr>
          <w:rFonts w:eastAsia="楷体_GB2312" w:cs="MingLiU_HKSCS"/>
          <w:lang w:val="zh-CN"/>
        </w:rPr>
        <w:t>)</w:t>
      </w:r>
      <w:r>
        <w:rPr>
          <w:rFonts w:eastAsia="楷体_GB2312" w:cs="MingLiU_HKSCS"/>
          <w:lang w:val="zh-CN"/>
        </w:rPr>
        <w:t>主要涉及用于城市轨道交通</w:t>
      </w:r>
      <w:r>
        <w:rPr>
          <w:rFonts w:eastAsia="楷体_GB2312" w:cs="MingLiU_HKSCS"/>
          <w:lang w:val="zh-CN"/>
        </w:rPr>
        <w:t>(</w:t>
      </w:r>
      <w:r>
        <w:rPr>
          <w:rFonts w:eastAsia="楷体_GB2312" w:cs="MingLiU_HKSCS"/>
          <w:lang w:val="zh-CN"/>
        </w:rPr>
        <w:t>地铁和城铁</w:t>
      </w:r>
      <w:r>
        <w:rPr>
          <w:rFonts w:eastAsia="楷体_GB2312" w:cs="MingLiU_HKSCS"/>
          <w:lang w:val="zh-CN"/>
        </w:rPr>
        <w:t>)</w:t>
      </w:r>
      <w:r>
        <w:rPr>
          <w:rFonts w:eastAsia="楷体_GB2312" w:cs="MingLiU_HKSCS"/>
          <w:lang w:val="zh-CN"/>
        </w:rPr>
        <w:t>的自动售票机。众所周知，相比铁路票价来说，地铁票价相对较低，前者多用纸钞而后者多用硬币。从某市科委的委托项目书来看，并未包括要对硬币处理单元进行研发的内容。因此，尽管在某市科委委托项目的课题验收时，</w:t>
      </w:r>
      <w:r>
        <w:rPr>
          <w:rFonts w:eastAsia="楷体_GB2312" w:cs="MingLiU_HKSCS"/>
          <w:lang w:val="zh-CN"/>
        </w:rPr>
        <w:t>B</w:t>
      </w:r>
      <w:r>
        <w:rPr>
          <w:rFonts w:eastAsia="楷体_GB2312" w:cs="MingLiU_HKSCS"/>
          <w:lang w:val="zh-CN"/>
        </w:rPr>
        <w:t>公司将所述</w:t>
      </w:r>
      <w:r>
        <w:rPr>
          <w:rFonts w:eastAsia="楷体_GB2312" w:cs="MingLiU_HKSCS"/>
          <w:lang w:val="zh-CN"/>
        </w:rPr>
        <w:t>8</w:t>
      </w:r>
      <w:r>
        <w:rPr>
          <w:rFonts w:eastAsia="楷体_GB2312" w:cs="MingLiU_HKSCS"/>
          <w:lang w:val="zh-CN"/>
        </w:rPr>
        <w:t>项专利作为前一课题的研究成果，但尚不能确定涉案</w:t>
      </w:r>
      <w:r>
        <w:rPr>
          <w:rFonts w:eastAsia="楷体_GB2312" w:cs="MingLiU_HKSCS"/>
          <w:lang w:val="zh-CN"/>
        </w:rPr>
        <w:t>8</w:t>
      </w:r>
      <w:r>
        <w:rPr>
          <w:rFonts w:eastAsia="楷体_GB2312" w:cs="MingLiU_HKSCS"/>
          <w:lang w:val="zh-CN"/>
        </w:rPr>
        <w:t>项专利就属于</w:t>
      </w:r>
      <w:r>
        <w:rPr>
          <w:rFonts w:eastAsia="楷体_GB2312" w:cs="MingLiU_HKSCS"/>
          <w:lang w:val="zh-CN"/>
        </w:rPr>
        <w:t>B</w:t>
      </w:r>
      <w:r>
        <w:rPr>
          <w:rFonts w:eastAsia="楷体_GB2312" w:cs="MingLiU_HKSCS"/>
          <w:lang w:val="zh-CN"/>
        </w:rPr>
        <w:t>公司在执行某市科委委托项目中完成的发明创造。</w:t>
      </w:r>
    </w:p>
    <w:p w:rsidR="00800760" w:rsidRDefault="00235733">
      <w:pPr>
        <w:pStyle w:val="2"/>
        <w:spacing w:before="91"/>
        <w:ind w:firstLineChars="0" w:firstLine="0"/>
        <w:rPr>
          <w:rFonts w:ascii="Times New Roman" w:hAnsi="Times New Roman"/>
        </w:rPr>
      </w:pPr>
      <w:bookmarkStart w:id="6928" w:name="_Toc27532"/>
      <w:bookmarkStart w:id="6929" w:name="_Toc14916"/>
      <w:bookmarkStart w:id="6930" w:name="_Toc28603"/>
      <w:bookmarkStart w:id="6931" w:name="_Toc7727"/>
      <w:bookmarkStart w:id="6932" w:name="_Toc2858"/>
      <w:bookmarkStart w:id="6933" w:name="_Toc24868"/>
      <w:bookmarkStart w:id="6934" w:name="_Toc22588"/>
      <w:bookmarkStart w:id="6935" w:name="_Toc8406"/>
      <w:bookmarkStart w:id="6936" w:name="_Toc12036"/>
      <w:bookmarkStart w:id="6937" w:name="_Toc28854"/>
      <w:bookmarkStart w:id="6938" w:name="_Toc27044"/>
      <w:bookmarkStart w:id="6939" w:name="_Toc27110"/>
      <w:bookmarkStart w:id="6940" w:name="_Toc32167"/>
      <w:bookmarkStart w:id="6941" w:name="_Toc21299"/>
      <w:bookmarkStart w:id="6942" w:name="_Toc15689"/>
      <w:bookmarkStart w:id="6943" w:name="_Toc22381"/>
      <w:bookmarkStart w:id="6944" w:name="_Toc10261"/>
      <w:bookmarkStart w:id="6945" w:name="_Toc1088"/>
      <w:bookmarkStart w:id="6946" w:name="_Toc32588"/>
      <w:bookmarkStart w:id="6947" w:name="_Toc19802"/>
      <w:bookmarkStart w:id="6948" w:name="_Toc10826"/>
      <w:bookmarkStart w:id="6949" w:name="_Toc31751"/>
      <w:bookmarkStart w:id="6950" w:name="_Toc6111"/>
      <w:bookmarkStart w:id="6951" w:name="_Toc18280"/>
      <w:bookmarkStart w:id="6952" w:name="_Toc3320"/>
      <w:bookmarkStart w:id="6953" w:name="_Toc4651"/>
      <w:bookmarkStart w:id="6954" w:name="_Toc20435"/>
      <w:bookmarkStart w:id="6955" w:name="_Toc14314"/>
      <w:bookmarkStart w:id="6956" w:name="_Toc13769"/>
      <w:bookmarkStart w:id="6957" w:name="_Toc229114486"/>
      <w:bookmarkStart w:id="6958" w:name="_Toc28032"/>
      <w:bookmarkStart w:id="6959" w:name="_Toc16036"/>
      <w:bookmarkStart w:id="6960" w:name="_Toc23423"/>
      <w:bookmarkStart w:id="6961" w:name="_Toc227"/>
      <w:bookmarkStart w:id="6962" w:name="_Toc5556"/>
      <w:bookmarkStart w:id="6963" w:name="_Toc14437"/>
      <w:bookmarkStart w:id="6964" w:name="_Toc16817"/>
      <w:bookmarkStart w:id="6965" w:name="_Toc32476"/>
      <w:bookmarkStart w:id="6966" w:name="_Toc23195"/>
      <w:bookmarkStart w:id="6967" w:name="_Toc22590"/>
      <w:bookmarkStart w:id="6968" w:name="_Toc13592"/>
      <w:bookmarkStart w:id="6969" w:name="_Toc17860"/>
      <w:bookmarkStart w:id="6970" w:name="_Toc8591"/>
      <w:bookmarkStart w:id="6971" w:name="_Toc229225582"/>
      <w:r>
        <w:rPr>
          <w:rFonts w:ascii="Times New Roman" w:hAnsi="Times New Roman"/>
        </w:rPr>
        <w:t>第三节</w:t>
      </w:r>
      <w:r>
        <w:rPr>
          <w:rFonts w:ascii="Times New Roman" w:hAnsi="Times New Roman" w:hint="eastAsia"/>
        </w:rPr>
        <w:t xml:space="preserve">　</w:t>
      </w:r>
      <w:r>
        <w:rPr>
          <w:rFonts w:ascii="Times New Roman" w:hAnsi="Times New Roman"/>
        </w:rPr>
        <w:t>技术转让引起的专利权属纠纷的行政调解</w:t>
      </w:r>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p>
    <w:p w:rsidR="00800760" w:rsidRDefault="00235733">
      <w:pPr>
        <w:ind w:firstLine="436"/>
        <w:jc w:val="both"/>
        <w:rPr>
          <w:rFonts w:cs="宋体"/>
          <w:spacing w:val="4"/>
        </w:rPr>
      </w:pPr>
      <w:r>
        <w:rPr>
          <w:rFonts w:cs="宋体"/>
          <w:spacing w:val="4"/>
        </w:rPr>
        <w:t>技术转让是指转让方将自己所拥有的技术转让给受让方的行为。广义上的技术转让包括专利权转让、专利申请权转让、技术秘密转让、专利实施许可、技术秘密使用许可等形式。</w:t>
      </w:r>
    </w:p>
    <w:p w:rsidR="00800760" w:rsidRDefault="00235733">
      <w:pPr>
        <w:ind w:firstLine="436"/>
        <w:jc w:val="both"/>
        <w:rPr>
          <w:rFonts w:cs="宋体"/>
          <w:spacing w:val="4"/>
        </w:rPr>
      </w:pPr>
      <w:r>
        <w:rPr>
          <w:rFonts w:cs="宋体"/>
          <w:spacing w:val="4"/>
        </w:rPr>
        <w:t>技术转让中的技术是制造产品和提供服务的系统知识，主要以专利技术和技术秘密</w:t>
      </w:r>
      <w:r>
        <w:rPr>
          <w:rFonts w:cs="宋体"/>
          <w:spacing w:val="4"/>
        </w:rPr>
        <w:t>(</w:t>
      </w:r>
      <w:r>
        <w:rPr>
          <w:rFonts w:cs="宋体"/>
          <w:spacing w:val="4"/>
        </w:rPr>
        <w:t>非专利技术</w:t>
      </w:r>
      <w:r>
        <w:rPr>
          <w:rFonts w:cs="宋体"/>
          <w:spacing w:val="4"/>
        </w:rPr>
        <w:t>)</w:t>
      </w:r>
      <w:r>
        <w:rPr>
          <w:rFonts w:cs="宋体"/>
          <w:spacing w:val="4"/>
        </w:rPr>
        <w:t>形式存在。技术转让实质上是知识产权的转让，转让的是具有权属性质的技术。本领域普通技术人员已经掌握的技术、专利期满的技术等社会公众可以自由使用的技术，通常不能成为技术转让的标的。</w:t>
      </w:r>
    </w:p>
    <w:p w:rsidR="00800760" w:rsidRDefault="00235733">
      <w:pPr>
        <w:ind w:firstLine="436"/>
        <w:jc w:val="both"/>
        <w:rPr>
          <w:rFonts w:cs="宋体"/>
          <w:spacing w:val="4"/>
        </w:rPr>
      </w:pPr>
      <w:r>
        <w:rPr>
          <w:rFonts w:cs="宋体"/>
          <w:spacing w:val="4"/>
        </w:rPr>
        <w:t>技术转让的当事人应当签订书面合同。技术转让合同一般针对的是现有的特定的专利、专利申请、技术秘密等，通常不包括转让尚待研究开发的技术成果或者传授不涉及专利或者技术秘密成果权属的知识、技术、经验和信息订立的合同。</w:t>
      </w:r>
    </w:p>
    <w:p w:rsidR="00800760" w:rsidRDefault="00235733">
      <w:pPr>
        <w:ind w:firstLine="436"/>
        <w:jc w:val="both"/>
        <w:rPr>
          <w:rFonts w:cs="宋体"/>
          <w:spacing w:val="4"/>
        </w:rPr>
      </w:pPr>
      <w:r>
        <w:rPr>
          <w:rFonts w:cs="宋体"/>
          <w:spacing w:val="4"/>
        </w:rPr>
        <w:t>通常情况下，专利实施许可转让的仅仅是专利技术的实施权，不涉及权属转移，很少引起专利权属纠纷。由技术转让引起的专利权属纠纷一般包括专利申请权转让和专利权转让</w:t>
      </w:r>
      <w:r>
        <w:rPr>
          <w:rFonts w:cs="宋体"/>
          <w:spacing w:val="4"/>
        </w:rPr>
        <w:t>(</w:t>
      </w:r>
      <w:r>
        <w:rPr>
          <w:rFonts w:cs="宋体"/>
          <w:spacing w:val="4"/>
        </w:rPr>
        <w:t>以下统称</w:t>
      </w:r>
      <w:r>
        <w:rPr>
          <w:rFonts w:cs="宋体"/>
          <w:spacing w:val="4"/>
        </w:rPr>
        <w:t>“</w:t>
      </w:r>
      <w:r>
        <w:rPr>
          <w:rFonts w:cs="宋体"/>
          <w:spacing w:val="4"/>
        </w:rPr>
        <w:t>权利转让</w:t>
      </w:r>
      <w:r>
        <w:rPr>
          <w:rFonts w:cs="宋体"/>
          <w:spacing w:val="4"/>
        </w:rPr>
        <w:t>”)</w:t>
      </w:r>
      <w:r>
        <w:rPr>
          <w:rFonts w:cs="宋体"/>
          <w:spacing w:val="4"/>
        </w:rPr>
        <w:t>引起的专利权属纠纷、技术秘密转让引起的专利权属纠纷，以及技术秘密使用许可引起的专利权属纠纷。</w:t>
      </w:r>
    </w:p>
    <w:p w:rsidR="00800760" w:rsidRDefault="00235733">
      <w:pPr>
        <w:pStyle w:val="3"/>
        <w:spacing w:before="240"/>
        <w:ind w:firstLineChars="0" w:firstLine="444"/>
        <w:rPr>
          <w:rFonts w:ascii="Times New Roman" w:hAnsi="Times New Roman"/>
        </w:rPr>
      </w:pPr>
      <w:bookmarkStart w:id="6972" w:name="_Toc16635"/>
      <w:bookmarkStart w:id="6973" w:name="_Toc6712"/>
      <w:bookmarkStart w:id="6974" w:name="_Toc27759"/>
      <w:bookmarkStart w:id="6975" w:name="_Toc2526"/>
      <w:bookmarkStart w:id="6976" w:name="_Toc29214"/>
      <w:bookmarkStart w:id="6977" w:name="_Toc24818"/>
      <w:bookmarkStart w:id="6978" w:name="_Toc21305"/>
      <w:bookmarkStart w:id="6979" w:name="_Toc22847"/>
      <w:bookmarkStart w:id="6980" w:name="_Toc6989"/>
      <w:bookmarkStart w:id="6981" w:name="_Toc229114487"/>
      <w:bookmarkStart w:id="6982" w:name="_Toc229225583"/>
      <w:r>
        <w:rPr>
          <w:rFonts w:ascii="Times New Roman" w:hAnsi="Times New Roman"/>
        </w:rPr>
        <w:t>一、权利转让</w:t>
      </w:r>
      <w:bookmarkEnd w:id="6972"/>
      <w:bookmarkEnd w:id="6973"/>
      <w:bookmarkEnd w:id="6974"/>
      <w:bookmarkEnd w:id="6975"/>
      <w:bookmarkEnd w:id="6976"/>
      <w:bookmarkEnd w:id="6977"/>
      <w:bookmarkEnd w:id="6978"/>
      <w:bookmarkEnd w:id="6979"/>
      <w:bookmarkEnd w:id="6980"/>
      <w:bookmarkEnd w:id="6981"/>
      <w:bookmarkEnd w:id="6982"/>
    </w:p>
    <w:p w:rsidR="00800760" w:rsidRDefault="00235733">
      <w:pPr>
        <w:ind w:firstLine="436"/>
        <w:jc w:val="both"/>
        <w:rPr>
          <w:rFonts w:cs="宋体"/>
          <w:spacing w:val="4"/>
        </w:rPr>
      </w:pPr>
      <w:r>
        <w:rPr>
          <w:rFonts w:cs="宋体"/>
          <w:spacing w:val="4"/>
        </w:rPr>
        <w:t>转让专利申请权或者专利权的，当事人应当订立书面合同，并向国务院专利行政部门登记，由国务院专利行政部门予以公告。专利申请权或者专利权的转让自登记之日起生效。中国单位或者个人向外国人、外国企业或者外国其他组织转让专利申请权或者专利权的，应当依照有关法律、行政法规的规定办理手续。</w:t>
      </w:r>
    </w:p>
    <w:p w:rsidR="00800760" w:rsidRDefault="00235733">
      <w:pPr>
        <w:pStyle w:val="a5"/>
        <w:spacing w:line="310" w:lineRule="auto"/>
        <w:ind w:firstLine="436"/>
      </w:pPr>
      <w:r>
        <w:rPr>
          <w:rFonts w:cs="宋体"/>
          <w:spacing w:val="4"/>
        </w:rPr>
        <w:t>在调解由于权利转让引起的专利权属纠纷时，管理专利工作的部门应确定转让合同是否有效以及转让是否已经生效。签订转让合同并向国务院专利行政部门申请登记的，专利申请权或者专利权归属转让后的当事人；签订转让合同但未向国务院专利行政部门申请登记的，专利申请权或者专利权未发生转移。调解相关纠纷时，确认相关的专利申请权和专利权是归转让前的当事人还是归转让后的当事人，要视转让合同的具体情况具体分析。</w:t>
      </w:r>
    </w:p>
    <w:p w:rsidR="00800760" w:rsidRDefault="00235733">
      <w:pPr>
        <w:pStyle w:val="af6"/>
        <w:spacing w:before="120"/>
        <w:ind w:firstLine="420"/>
        <w:rPr>
          <w:rFonts w:ascii="Times New Roman" w:hAnsi="Times New Roman"/>
        </w:rPr>
      </w:pPr>
      <w:bookmarkStart w:id="6983" w:name="bookmark189"/>
      <w:bookmarkEnd w:id="6983"/>
      <w:r>
        <w:rPr>
          <w:rFonts w:ascii="Times New Roman" w:hAnsi="Times New Roman" w:hint="eastAsia"/>
        </w:rPr>
        <w:t>【案例</w:t>
      </w:r>
      <w:r>
        <w:rPr>
          <w:rFonts w:ascii="Times New Roman" w:hAnsi="Times New Roman" w:hint="eastAsia"/>
        </w:rPr>
        <w:t>3</w:t>
      </w:r>
      <w:r>
        <w:rPr>
          <w:rFonts w:ascii="Times New Roman" w:hAnsi="Times New Roman"/>
        </w:rPr>
        <w:t>-3-1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1994</w:t>
      </w:r>
      <w:r>
        <w:rPr>
          <w:rFonts w:eastAsia="楷体_GB2312" w:cs="MingLiU_HKSCS"/>
          <w:lang w:val="zh-CN"/>
        </w:rPr>
        <w:t>年，</w:t>
      </w:r>
      <w:r>
        <w:rPr>
          <w:rFonts w:eastAsia="楷体_GB2312" w:cs="MingLiU_HKSCS"/>
          <w:lang w:val="zh-CN"/>
        </w:rPr>
        <w:t>A</w:t>
      </w:r>
      <w:r>
        <w:rPr>
          <w:rFonts w:eastAsia="楷体_GB2312" w:cs="MingLiU_HKSCS"/>
          <w:lang w:val="zh-CN"/>
        </w:rPr>
        <w:t>公司与</w:t>
      </w:r>
      <w:r>
        <w:rPr>
          <w:rFonts w:eastAsia="楷体_GB2312" w:cs="MingLiU_HKSCS"/>
          <w:lang w:val="zh-CN"/>
        </w:rPr>
        <w:t>B</w:t>
      </w:r>
      <w:r>
        <w:rPr>
          <w:rFonts w:eastAsia="楷体_GB2312" w:cs="MingLiU_HKSCS"/>
          <w:lang w:val="zh-CN"/>
        </w:rPr>
        <w:t>公司签订转让合同，约定将其拥有的两项实用新型专利转让给</w:t>
      </w:r>
      <w:r>
        <w:rPr>
          <w:rFonts w:eastAsia="楷体_GB2312" w:cs="MingLiU_HKSCS"/>
          <w:lang w:val="zh-CN"/>
        </w:rPr>
        <w:t>B</w:t>
      </w:r>
      <w:r>
        <w:rPr>
          <w:rFonts w:eastAsia="楷体_GB2312" w:cs="MingLiU_HKSCS"/>
          <w:lang w:val="zh-CN"/>
        </w:rPr>
        <w:t>公司，但未在国务院专利行政部门办理转让登记手续。</w:t>
      </w:r>
      <w:r>
        <w:rPr>
          <w:rFonts w:eastAsia="楷体_GB2312" w:cs="MingLiU_HKSCS"/>
          <w:lang w:val="zh-CN"/>
        </w:rPr>
        <w:t>1997</w:t>
      </w:r>
      <w:r>
        <w:rPr>
          <w:rFonts w:eastAsia="楷体_GB2312" w:cs="MingLiU_HKSCS"/>
          <w:lang w:val="zh-CN"/>
        </w:rPr>
        <w:t>年，</w:t>
      </w:r>
      <w:r>
        <w:rPr>
          <w:rFonts w:eastAsia="楷体_GB2312" w:cs="MingLiU_HKSCS"/>
          <w:lang w:val="zh-CN"/>
        </w:rPr>
        <w:t>B</w:t>
      </w:r>
      <w:r>
        <w:rPr>
          <w:rFonts w:eastAsia="楷体_GB2312" w:cs="MingLiU_HKSCS"/>
          <w:lang w:val="zh-CN"/>
        </w:rPr>
        <w:t>公司又与</w:t>
      </w:r>
      <w:r>
        <w:rPr>
          <w:rFonts w:eastAsia="楷体_GB2312" w:cs="MingLiU_HKSCS"/>
          <w:lang w:val="zh-CN"/>
        </w:rPr>
        <w:t>C</w:t>
      </w:r>
      <w:r>
        <w:rPr>
          <w:rFonts w:eastAsia="楷体_GB2312" w:cs="MingLiU_HKSCS"/>
          <w:lang w:val="zh-CN"/>
        </w:rPr>
        <w:t>公司订立转让合同，约定将上述两项实用新型专利转让给</w:t>
      </w:r>
      <w:r>
        <w:rPr>
          <w:rFonts w:eastAsia="楷体_GB2312" w:cs="MingLiU_HKSCS"/>
          <w:lang w:val="zh-CN"/>
        </w:rPr>
        <w:t>C</w:t>
      </w:r>
      <w:r>
        <w:rPr>
          <w:rFonts w:eastAsia="楷体_GB2312" w:cs="MingLiU_HKSCS"/>
          <w:lang w:val="zh-CN"/>
        </w:rPr>
        <w:t>公司，仍未在国务院专利行政部门办理转让登记手续。其后，三家公司对该两项实用新型专利权的归属产生纠纷。相关部门经审查后认为，</w:t>
      </w:r>
      <w:r>
        <w:rPr>
          <w:rFonts w:eastAsia="楷体_GB2312" w:cs="MingLiU_HKSCS"/>
          <w:lang w:val="zh-CN"/>
        </w:rPr>
        <w:t>A</w:t>
      </w:r>
      <w:r>
        <w:rPr>
          <w:rFonts w:eastAsia="楷体_GB2312" w:cs="MingLiU_HKSCS"/>
          <w:lang w:val="zh-CN"/>
        </w:rPr>
        <w:t>公司与</w:t>
      </w:r>
      <w:r>
        <w:rPr>
          <w:rFonts w:eastAsia="楷体_GB2312" w:cs="MingLiU_HKSCS"/>
          <w:lang w:val="zh-CN"/>
        </w:rPr>
        <w:t>B</w:t>
      </w:r>
      <w:r>
        <w:rPr>
          <w:rFonts w:eastAsia="楷体_GB2312" w:cs="MingLiU_HKSCS"/>
          <w:lang w:val="zh-CN"/>
        </w:rPr>
        <w:t>公司签订的合同和</w:t>
      </w:r>
      <w:r>
        <w:rPr>
          <w:rFonts w:eastAsia="楷体_GB2312" w:cs="MingLiU_HKSCS"/>
          <w:lang w:val="zh-CN"/>
        </w:rPr>
        <w:t>B</w:t>
      </w:r>
      <w:r>
        <w:rPr>
          <w:rFonts w:eastAsia="楷体_GB2312" w:cs="MingLiU_HKSCS"/>
          <w:lang w:val="zh-CN"/>
        </w:rPr>
        <w:t>公司与</w:t>
      </w:r>
      <w:r>
        <w:rPr>
          <w:rFonts w:eastAsia="楷体_GB2312" w:cs="MingLiU_HKSCS"/>
          <w:lang w:val="zh-CN"/>
        </w:rPr>
        <w:t>C</w:t>
      </w:r>
      <w:r>
        <w:rPr>
          <w:rFonts w:eastAsia="楷体_GB2312" w:cs="MingLiU_HKSCS"/>
          <w:lang w:val="zh-CN"/>
        </w:rPr>
        <w:t>公司签订的合同均为双方当事人的真实意思表示，合同均有效，转让合同自合同成立之日生效，因此两项专利权应当归</w:t>
      </w:r>
      <w:r>
        <w:rPr>
          <w:rFonts w:eastAsia="楷体_GB2312" w:cs="MingLiU_HKSCS"/>
          <w:lang w:val="zh-CN"/>
        </w:rPr>
        <w:t>C</w:t>
      </w:r>
      <w:r>
        <w:rPr>
          <w:rFonts w:eastAsia="楷体_GB2312" w:cs="MingLiU_HKSCS"/>
          <w:lang w:val="zh-CN"/>
        </w:rPr>
        <w:t>公司所有，</w:t>
      </w:r>
      <w:r>
        <w:rPr>
          <w:rFonts w:eastAsia="楷体_GB2312" w:cs="MingLiU_HKSCS"/>
          <w:lang w:val="zh-CN"/>
        </w:rPr>
        <w:t>A</w:t>
      </w:r>
      <w:r>
        <w:rPr>
          <w:rFonts w:eastAsia="楷体_GB2312" w:cs="MingLiU_HKSCS"/>
          <w:lang w:val="zh-CN"/>
        </w:rPr>
        <w:t>公司和</w:t>
      </w:r>
      <w:r>
        <w:rPr>
          <w:rFonts w:eastAsia="楷体_GB2312" w:cs="MingLiU_HKSCS"/>
          <w:lang w:val="zh-CN"/>
        </w:rPr>
        <w:t>B</w:t>
      </w:r>
      <w:r>
        <w:rPr>
          <w:rFonts w:eastAsia="楷体_GB2312" w:cs="MingLiU_HKSCS"/>
          <w:lang w:val="zh-CN"/>
        </w:rPr>
        <w:t>公司应配合</w:t>
      </w:r>
      <w:r>
        <w:rPr>
          <w:rFonts w:eastAsia="楷体_GB2312" w:cs="MingLiU_HKSCS"/>
          <w:lang w:val="zh-CN"/>
        </w:rPr>
        <w:t>C</w:t>
      </w:r>
      <w:r>
        <w:rPr>
          <w:rFonts w:eastAsia="楷体_GB2312" w:cs="MingLiU_HKSCS"/>
          <w:lang w:val="zh-CN"/>
        </w:rPr>
        <w:t>公司尽快完成登记和公告手续。</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3</w:t>
      </w:r>
      <w:r>
        <w:rPr>
          <w:rFonts w:ascii="Times New Roman" w:hAnsi="Times New Roman"/>
        </w:rPr>
        <w:t>-3-2</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申请了一项发明专利并获得授权。</w:t>
      </w:r>
      <w:r>
        <w:rPr>
          <w:rFonts w:eastAsia="楷体_GB2312" w:cs="MingLiU_HKSCS"/>
          <w:lang w:val="zh-CN"/>
        </w:rPr>
        <w:t>1999</w:t>
      </w:r>
      <w:r>
        <w:rPr>
          <w:rFonts w:eastAsia="楷体_GB2312" w:cs="MingLiU_HKSCS"/>
          <w:lang w:val="zh-CN"/>
        </w:rPr>
        <w:t>年</w:t>
      </w:r>
      <w:r>
        <w:rPr>
          <w:rFonts w:eastAsia="楷体_GB2312" w:cs="MingLiU_HKSCS"/>
          <w:lang w:val="zh-CN"/>
        </w:rPr>
        <w:t>10</w:t>
      </w:r>
      <w:r>
        <w:rPr>
          <w:rFonts w:eastAsia="楷体_GB2312" w:cs="MingLiU_HKSCS"/>
          <w:lang w:val="zh-CN"/>
        </w:rPr>
        <w:t>月，</w:t>
      </w:r>
      <w:r>
        <w:rPr>
          <w:rFonts w:eastAsia="楷体_GB2312" w:cs="MingLiU_HKSCS" w:hint="eastAsia"/>
          <w:lang w:val="zh-CN"/>
        </w:rPr>
        <w:t>甲</w:t>
      </w:r>
      <w:r>
        <w:rPr>
          <w:rFonts w:eastAsia="楷体_GB2312" w:cs="MingLiU_HKSCS"/>
          <w:lang w:val="zh-CN"/>
        </w:rPr>
        <w:t>与</w:t>
      </w:r>
      <w:r>
        <w:rPr>
          <w:rFonts w:eastAsia="楷体_GB2312" w:cs="MingLiU_HKSCS" w:hint="eastAsia"/>
          <w:lang w:val="zh-CN"/>
        </w:rPr>
        <w:t>乙</w:t>
      </w:r>
      <w:r>
        <w:rPr>
          <w:rFonts w:eastAsia="楷体_GB2312" w:cs="MingLiU_HKSCS"/>
          <w:lang w:val="zh-CN"/>
        </w:rPr>
        <w:t>订立专利权转让合同，但在</w:t>
      </w:r>
      <w:r>
        <w:rPr>
          <w:rFonts w:eastAsia="楷体_GB2312" w:cs="MingLiU_HKSCS" w:hint="eastAsia"/>
          <w:lang w:val="zh-CN"/>
        </w:rPr>
        <w:t>乙</w:t>
      </w:r>
      <w:r>
        <w:rPr>
          <w:rFonts w:eastAsia="楷体_GB2312" w:cs="MingLiU_HKSCS"/>
          <w:lang w:val="zh-CN"/>
        </w:rPr>
        <w:t>就该转让事项向国务院专利行政部门进行登记之前，</w:t>
      </w:r>
      <w:r>
        <w:rPr>
          <w:rFonts w:eastAsia="楷体_GB2312" w:cs="MingLiU_HKSCS" w:hint="eastAsia"/>
          <w:lang w:val="zh-CN"/>
        </w:rPr>
        <w:t>甲</w:t>
      </w:r>
      <w:r>
        <w:rPr>
          <w:rFonts w:eastAsia="楷体_GB2312" w:cs="MingLiU_HKSCS"/>
          <w:lang w:val="zh-CN"/>
        </w:rPr>
        <w:t>又与</w:t>
      </w:r>
      <w:r>
        <w:rPr>
          <w:rFonts w:eastAsia="楷体_GB2312" w:cs="MingLiU_HKSCS" w:hint="eastAsia"/>
          <w:lang w:val="zh-CN"/>
        </w:rPr>
        <w:t>丙</w:t>
      </w:r>
      <w:r>
        <w:rPr>
          <w:rFonts w:eastAsia="楷体_GB2312" w:cs="MingLiU_HKSCS"/>
          <w:lang w:val="zh-CN"/>
        </w:rPr>
        <w:t>就同一专利权订立了转让合同并就这一转让向国务院专利行政部门进行了登记，并被公告。相关部门经审查后认为，尽管</w:t>
      </w:r>
      <w:r>
        <w:rPr>
          <w:rFonts w:eastAsia="楷体_GB2312" w:cs="MingLiU_HKSCS" w:hint="eastAsia"/>
          <w:lang w:val="zh-CN"/>
        </w:rPr>
        <w:t>甲</w:t>
      </w:r>
      <w:r>
        <w:rPr>
          <w:rFonts w:eastAsia="楷体_GB2312" w:cs="MingLiU_HKSCS"/>
          <w:lang w:val="zh-CN"/>
        </w:rPr>
        <w:t>与</w:t>
      </w:r>
      <w:r>
        <w:rPr>
          <w:rFonts w:eastAsia="楷体_GB2312" w:cs="MingLiU_HKSCS" w:hint="eastAsia"/>
          <w:lang w:val="zh-CN"/>
        </w:rPr>
        <w:t>丙</w:t>
      </w:r>
      <w:r>
        <w:rPr>
          <w:rFonts w:eastAsia="楷体_GB2312" w:cs="MingLiU_HKSCS"/>
          <w:lang w:val="zh-CN"/>
        </w:rPr>
        <w:t>的转让合同在后，但合同本身有效且该转让行为已经登记并公告，因此该在后转让合同能够产生专利权转让的效力，专利权归</w:t>
      </w:r>
      <w:r>
        <w:rPr>
          <w:rFonts w:eastAsia="楷体_GB2312" w:cs="MingLiU_HKSCS" w:hint="eastAsia"/>
          <w:lang w:val="zh-CN"/>
        </w:rPr>
        <w:t>丙</w:t>
      </w:r>
      <w:r>
        <w:rPr>
          <w:rFonts w:eastAsia="楷体_GB2312" w:cs="MingLiU_HKSCS"/>
          <w:lang w:val="zh-CN"/>
        </w:rPr>
        <w:t>所有。</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根据《专利法》第十条第三款的规定，专利权的转让应当经国务院专利行政部门登记和公告，其生效日是专利权转让的登记日。该条款明确，登记并公告是专利权或专利申请权转让生效的必要条件。</w:t>
      </w:r>
    </w:p>
    <w:p w:rsidR="00800760" w:rsidRDefault="00235733">
      <w:pPr>
        <w:spacing w:line="360" w:lineRule="auto"/>
        <w:rPr>
          <w:rFonts w:eastAsia="楷体_GB2312" w:cs="MingLiU_HKSCS"/>
          <w:lang w:val="zh-CN"/>
        </w:rPr>
      </w:pPr>
      <w:r>
        <w:rPr>
          <w:rFonts w:eastAsia="楷体_GB2312" w:cs="MingLiU_HKSCS"/>
          <w:lang w:val="zh-CN"/>
        </w:rPr>
        <w:t>在案例</w:t>
      </w:r>
      <w:r>
        <w:rPr>
          <w:rFonts w:eastAsia="楷体_GB2312" w:cs="MingLiU_HKSCS"/>
          <w:lang w:val="zh-CN"/>
        </w:rPr>
        <w:t>3-</w:t>
      </w:r>
      <w:r>
        <w:rPr>
          <w:rFonts w:eastAsia="楷体_GB2312" w:cs="MingLiU_HKSCS" w:hint="eastAsia"/>
          <w:lang w:val="en-US"/>
        </w:rPr>
        <w:t>3-</w:t>
      </w:r>
      <w:r>
        <w:rPr>
          <w:rFonts w:eastAsia="楷体_GB2312" w:cs="MingLiU_HKSCS"/>
          <w:lang w:val="zh-CN"/>
        </w:rPr>
        <w:t>1</w:t>
      </w:r>
      <w:r>
        <w:rPr>
          <w:rFonts w:eastAsia="楷体_GB2312" w:cs="MingLiU_HKSCS"/>
          <w:lang w:val="zh-CN"/>
        </w:rPr>
        <w:t>中，</w:t>
      </w:r>
      <w:r>
        <w:rPr>
          <w:rFonts w:eastAsia="楷体_GB2312" w:cs="MingLiU_HKSCS"/>
          <w:lang w:val="zh-CN"/>
        </w:rPr>
        <w:t>A</w:t>
      </w:r>
      <w:r>
        <w:rPr>
          <w:rFonts w:eastAsia="楷体_GB2312" w:cs="MingLiU_HKSCS"/>
          <w:lang w:val="zh-CN"/>
        </w:rPr>
        <w:t>公司与</w:t>
      </w:r>
      <w:r>
        <w:rPr>
          <w:rFonts w:eastAsia="楷体_GB2312" w:cs="MingLiU_HKSCS"/>
          <w:lang w:val="zh-CN"/>
        </w:rPr>
        <w:t>B</w:t>
      </w:r>
      <w:r>
        <w:rPr>
          <w:rFonts w:eastAsia="楷体_GB2312" w:cs="MingLiU_HKSCS"/>
          <w:lang w:val="zh-CN"/>
        </w:rPr>
        <w:t>公司之间的转让行为和</w:t>
      </w:r>
      <w:r>
        <w:rPr>
          <w:rFonts w:eastAsia="楷体_GB2312" w:cs="MingLiU_HKSCS"/>
          <w:lang w:val="zh-CN"/>
        </w:rPr>
        <w:t>B</w:t>
      </w:r>
      <w:r>
        <w:rPr>
          <w:rFonts w:eastAsia="楷体_GB2312" w:cs="MingLiU_HKSCS"/>
          <w:lang w:val="zh-CN"/>
        </w:rPr>
        <w:t>公司与</w:t>
      </w:r>
      <w:r>
        <w:rPr>
          <w:rFonts w:eastAsia="楷体_GB2312" w:cs="MingLiU_HKSCS"/>
          <w:lang w:val="zh-CN"/>
        </w:rPr>
        <w:t>C</w:t>
      </w:r>
      <w:r>
        <w:rPr>
          <w:rFonts w:eastAsia="楷体_GB2312" w:cs="MingLiU_HKSCS"/>
          <w:lang w:val="zh-CN"/>
        </w:rPr>
        <w:t>公司之间的转让行为均未履行《专利法》所要求的登记和公告程序，因此合同虽然成立但均未生效，专利权应当视为未从</w:t>
      </w:r>
      <w:r>
        <w:rPr>
          <w:rFonts w:eastAsia="楷体_GB2312" w:cs="MingLiU_HKSCS"/>
          <w:lang w:val="zh-CN"/>
        </w:rPr>
        <w:t>A</w:t>
      </w:r>
      <w:r>
        <w:rPr>
          <w:rFonts w:eastAsia="楷体_GB2312" w:cs="MingLiU_HKSCS"/>
          <w:lang w:val="zh-CN"/>
        </w:rPr>
        <w:t>公司转让给</w:t>
      </w:r>
      <w:r>
        <w:rPr>
          <w:rFonts w:eastAsia="楷体_GB2312" w:cs="MingLiU_HKSCS"/>
          <w:lang w:val="zh-CN"/>
        </w:rPr>
        <w:t>B</w:t>
      </w:r>
      <w:r>
        <w:rPr>
          <w:rFonts w:eastAsia="楷体_GB2312" w:cs="MingLiU_HKSCS"/>
          <w:lang w:val="zh-CN"/>
        </w:rPr>
        <w:t>公司，更谈不上从</w:t>
      </w:r>
      <w:r>
        <w:rPr>
          <w:rFonts w:eastAsia="楷体_GB2312" w:cs="MingLiU_HKSCS"/>
          <w:lang w:val="zh-CN"/>
        </w:rPr>
        <w:t>B</w:t>
      </w:r>
      <w:r>
        <w:rPr>
          <w:rFonts w:eastAsia="楷体_GB2312" w:cs="MingLiU_HKSCS"/>
          <w:lang w:val="zh-CN"/>
        </w:rPr>
        <w:t>公司转让给</w:t>
      </w:r>
      <w:r>
        <w:rPr>
          <w:rFonts w:eastAsia="楷体_GB2312" w:cs="MingLiU_HKSCS"/>
          <w:lang w:val="zh-CN"/>
        </w:rPr>
        <w:t>C</w:t>
      </w:r>
      <w:r>
        <w:rPr>
          <w:rFonts w:eastAsia="楷体_GB2312" w:cs="MingLiU_HKSCS"/>
          <w:lang w:val="zh-CN"/>
        </w:rPr>
        <w:t>公司，专利权应当归</w:t>
      </w:r>
      <w:r>
        <w:rPr>
          <w:rFonts w:eastAsia="楷体_GB2312" w:cs="MingLiU_HKSCS"/>
          <w:lang w:val="zh-CN"/>
        </w:rPr>
        <w:t>A</w:t>
      </w:r>
      <w:r>
        <w:rPr>
          <w:rFonts w:eastAsia="楷体_GB2312" w:cs="MingLiU_HKSCS"/>
          <w:lang w:val="zh-CN"/>
        </w:rPr>
        <w:t>公司所有。但该案中，相关部门经审查后认为，</w:t>
      </w:r>
      <w:r>
        <w:rPr>
          <w:rFonts w:eastAsia="楷体_GB2312" w:cs="MingLiU_HKSCS"/>
          <w:lang w:val="zh-CN"/>
        </w:rPr>
        <w:t>A</w:t>
      </w:r>
      <w:r>
        <w:rPr>
          <w:rFonts w:eastAsia="楷体_GB2312" w:cs="MingLiU_HKSCS"/>
          <w:lang w:val="zh-CN"/>
        </w:rPr>
        <w:t>公司与</w:t>
      </w:r>
      <w:r>
        <w:rPr>
          <w:rFonts w:eastAsia="楷体_GB2312" w:cs="MingLiU_HKSCS"/>
          <w:lang w:val="zh-CN"/>
        </w:rPr>
        <w:t>B</w:t>
      </w:r>
      <w:r>
        <w:rPr>
          <w:rFonts w:eastAsia="楷体_GB2312" w:cs="MingLiU_HKSCS"/>
          <w:lang w:val="zh-CN"/>
        </w:rPr>
        <w:t>公司签订的合同和</w:t>
      </w:r>
      <w:r>
        <w:rPr>
          <w:rFonts w:eastAsia="楷体_GB2312" w:cs="MingLiU_HKSCS"/>
          <w:lang w:val="zh-CN"/>
        </w:rPr>
        <w:t>B</w:t>
      </w:r>
      <w:r>
        <w:rPr>
          <w:rFonts w:eastAsia="楷体_GB2312" w:cs="MingLiU_HKSCS"/>
          <w:lang w:val="zh-CN"/>
        </w:rPr>
        <w:t>公司与</w:t>
      </w:r>
      <w:r>
        <w:rPr>
          <w:rFonts w:eastAsia="楷体_GB2312" w:cs="MingLiU_HKSCS"/>
          <w:lang w:val="zh-CN"/>
        </w:rPr>
        <w:t>C</w:t>
      </w:r>
      <w:r>
        <w:rPr>
          <w:rFonts w:eastAsia="楷体_GB2312" w:cs="MingLiU_HKSCS"/>
          <w:lang w:val="zh-CN"/>
        </w:rPr>
        <w:t>公司签订的合同均为双方当事人的真实意思表示，合同均有效，转让合同自合同成立之日生效，因此两项专利权应当归</w:t>
      </w:r>
      <w:r>
        <w:rPr>
          <w:rFonts w:eastAsia="楷体_GB2312" w:cs="MingLiU_HKSCS"/>
          <w:lang w:val="zh-CN"/>
        </w:rPr>
        <w:t>C</w:t>
      </w:r>
      <w:r>
        <w:rPr>
          <w:rFonts w:eastAsia="楷体_GB2312" w:cs="MingLiU_HKSCS"/>
          <w:lang w:val="zh-CN"/>
        </w:rPr>
        <w:t>公司所有，</w:t>
      </w:r>
      <w:r>
        <w:rPr>
          <w:rFonts w:eastAsia="楷体_GB2312" w:cs="MingLiU_HKSCS"/>
          <w:lang w:val="zh-CN"/>
        </w:rPr>
        <w:t>A</w:t>
      </w:r>
      <w:r>
        <w:rPr>
          <w:rFonts w:eastAsia="楷体_GB2312" w:cs="MingLiU_HKSCS"/>
          <w:lang w:val="zh-CN"/>
        </w:rPr>
        <w:t>公司和</w:t>
      </w:r>
      <w:r>
        <w:rPr>
          <w:rFonts w:eastAsia="楷体_GB2312" w:cs="MingLiU_HKSCS"/>
          <w:lang w:val="zh-CN"/>
        </w:rPr>
        <w:t>B</w:t>
      </w:r>
      <w:r>
        <w:rPr>
          <w:rFonts w:eastAsia="楷体_GB2312" w:cs="MingLiU_HKSCS"/>
          <w:lang w:val="zh-CN"/>
        </w:rPr>
        <w:t>公司应配合</w:t>
      </w:r>
      <w:r>
        <w:rPr>
          <w:rFonts w:eastAsia="楷体_GB2312" w:cs="MingLiU_HKSCS"/>
          <w:lang w:val="zh-CN"/>
        </w:rPr>
        <w:t>C</w:t>
      </w:r>
      <w:r>
        <w:rPr>
          <w:rFonts w:eastAsia="楷体_GB2312" w:cs="MingLiU_HKSCS" w:hint="eastAsia"/>
          <w:lang w:val="zh-CN"/>
        </w:rPr>
        <w:t>公司尽快完成登记和公告手续。</w:t>
      </w:r>
    </w:p>
    <w:p w:rsidR="00800760" w:rsidRDefault="00235733">
      <w:pPr>
        <w:spacing w:line="360" w:lineRule="auto"/>
        <w:rPr>
          <w:rFonts w:eastAsia="楷体_GB2312" w:cs="MingLiU_HKSCS"/>
          <w:lang w:val="zh-CN"/>
        </w:rPr>
      </w:pPr>
      <w:r>
        <w:rPr>
          <w:rFonts w:eastAsia="楷体_GB2312" w:cs="MingLiU_HKSCS"/>
          <w:lang w:val="zh-CN"/>
        </w:rPr>
        <w:t>在案例</w:t>
      </w:r>
      <w:r>
        <w:rPr>
          <w:rFonts w:eastAsia="楷体_GB2312" w:cs="MingLiU_HKSCS"/>
          <w:lang w:val="zh-CN"/>
        </w:rPr>
        <w:t>3-</w:t>
      </w:r>
      <w:r>
        <w:rPr>
          <w:rFonts w:eastAsia="楷体_GB2312" w:cs="MingLiU_HKSCS" w:hint="eastAsia"/>
          <w:lang w:val="en-US"/>
        </w:rPr>
        <w:t>3-2</w:t>
      </w:r>
      <w:r>
        <w:rPr>
          <w:rFonts w:eastAsia="楷体_GB2312" w:cs="MingLiU_HKSCS"/>
          <w:lang w:val="zh-CN"/>
        </w:rPr>
        <w:t>中，</w:t>
      </w:r>
      <w:r>
        <w:rPr>
          <w:rFonts w:eastAsia="楷体_GB2312" w:cs="MingLiU_HKSCS" w:hint="eastAsia"/>
          <w:lang w:val="zh-CN"/>
        </w:rPr>
        <w:t>甲</w:t>
      </w:r>
      <w:r>
        <w:rPr>
          <w:rFonts w:eastAsia="楷体_GB2312" w:cs="MingLiU_HKSCS"/>
          <w:lang w:val="zh-CN"/>
        </w:rPr>
        <w:t>就同一专利权先与</w:t>
      </w:r>
      <w:r>
        <w:rPr>
          <w:rFonts w:eastAsia="楷体_GB2312" w:cs="MingLiU_HKSCS" w:hint="eastAsia"/>
          <w:lang w:val="zh-CN"/>
        </w:rPr>
        <w:t>乙</w:t>
      </w:r>
      <w:r>
        <w:rPr>
          <w:rFonts w:eastAsia="楷体_GB2312" w:cs="MingLiU_HKSCS"/>
          <w:lang w:val="zh-CN"/>
        </w:rPr>
        <w:t>签订转让合同，之后又将专利权转让给</w:t>
      </w:r>
      <w:r>
        <w:rPr>
          <w:rFonts w:eastAsia="楷体_GB2312" w:cs="MingLiU_HKSCS" w:hint="eastAsia"/>
          <w:lang w:val="zh-CN"/>
        </w:rPr>
        <w:t>丙</w:t>
      </w:r>
      <w:r>
        <w:rPr>
          <w:rFonts w:eastAsia="楷体_GB2312" w:cs="MingLiU_HKSCS"/>
          <w:lang w:val="zh-CN"/>
        </w:rPr>
        <w:t>。虽然</w:t>
      </w:r>
      <w:r>
        <w:rPr>
          <w:rFonts w:eastAsia="楷体_GB2312" w:cs="MingLiU_HKSCS" w:hint="eastAsia"/>
          <w:lang w:val="zh-CN"/>
        </w:rPr>
        <w:t>甲</w:t>
      </w:r>
      <w:r>
        <w:rPr>
          <w:rFonts w:eastAsia="楷体_GB2312" w:cs="MingLiU_HKSCS"/>
          <w:lang w:val="zh-CN"/>
        </w:rPr>
        <w:t>与</w:t>
      </w:r>
      <w:r>
        <w:rPr>
          <w:rFonts w:eastAsia="楷体_GB2312" w:cs="MingLiU_HKSCS" w:hint="eastAsia"/>
          <w:lang w:val="zh-CN"/>
        </w:rPr>
        <w:t>乙</w:t>
      </w:r>
      <w:r>
        <w:rPr>
          <w:rFonts w:eastAsia="楷体_GB2312" w:cs="MingLiU_HKSCS"/>
          <w:lang w:val="zh-CN"/>
        </w:rPr>
        <w:t>的转让合同在后，但经登记并公告后已经成就合同生效的条件，专利权由</w:t>
      </w:r>
      <w:r>
        <w:rPr>
          <w:rFonts w:eastAsia="楷体_GB2312" w:cs="MingLiU_HKSCS" w:hint="eastAsia"/>
          <w:lang w:val="zh-CN"/>
        </w:rPr>
        <w:t>甲</w:t>
      </w:r>
      <w:r>
        <w:rPr>
          <w:rFonts w:eastAsia="楷体_GB2312" w:cs="MingLiU_HKSCS"/>
          <w:lang w:val="zh-CN"/>
        </w:rPr>
        <w:t>转移到</w:t>
      </w:r>
      <w:r>
        <w:rPr>
          <w:rFonts w:eastAsia="楷体_GB2312" w:cs="MingLiU_HKSCS" w:hint="eastAsia"/>
          <w:lang w:val="zh-CN"/>
        </w:rPr>
        <w:t>丙</w:t>
      </w:r>
      <w:r>
        <w:rPr>
          <w:rFonts w:eastAsia="楷体_GB2312" w:cs="MingLiU_HKSCS"/>
          <w:lang w:val="zh-CN"/>
        </w:rPr>
        <w:t>。虽然</w:t>
      </w:r>
      <w:r>
        <w:rPr>
          <w:rFonts w:eastAsia="楷体_GB2312" w:cs="MingLiU_HKSCS" w:hint="eastAsia"/>
          <w:lang w:val="zh-CN"/>
        </w:rPr>
        <w:t>甲</w:t>
      </w:r>
      <w:r>
        <w:rPr>
          <w:rFonts w:eastAsia="楷体_GB2312" w:cs="MingLiU_HKSCS"/>
          <w:lang w:val="zh-CN"/>
        </w:rPr>
        <w:t>与</w:t>
      </w:r>
      <w:r>
        <w:rPr>
          <w:rFonts w:eastAsia="楷体_GB2312" w:cs="MingLiU_HKSCS" w:hint="eastAsia"/>
          <w:lang w:val="zh-CN"/>
        </w:rPr>
        <w:t>乙</w:t>
      </w:r>
      <w:r>
        <w:rPr>
          <w:rFonts w:eastAsia="楷体_GB2312" w:cs="MingLiU_HKSCS"/>
          <w:lang w:val="zh-CN"/>
        </w:rPr>
        <w:t>的转让合同成立在先，但其不能对抗在法律上已经生效的在后转让合同。</w:t>
      </w:r>
      <w:r>
        <w:rPr>
          <w:rFonts w:eastAsia="楷体_GB2312" w:cs="MingLiU_HKSCS" w:hint="eastAsia"/>
          <w:lang w:val="zh-CN"/>
        </w:rPr>
        <w:t>乙</w:t>
      </w:r>
      <w:r>
        <w:rPr>
          <w:rFonts w:eastAsia="楷体_GB2312" w:cs="MingLiU_HKSCS"/>
          <w:lang w:val="zh-CN"/>
        </w:rPr>
        <w:t>可以要求</w:t>
      </w:r>
      <w:r>
        <w:rPr>
          <w:rFonts w:eastAsia="楷体_GB2312" w:cs="MingLiU_HKSCS" w:hint="eastAsia"/>
          <w:lang w:val="zh-CN"/>
        </w:rPr>
        <w:t>甲</w:t>
      </w:r>
      <w:r>
        <w:rPr>
          <w:rFonts w:eastAsia="楷体_GB2312" w:cs="MingLiU_HKSCS"/>
          <w:lang w:val="zh-CN"/>
        </w:rPr>
        <w:t>承担违约责任。</w:t>
      </w:r>
    </w:p>
    <w:p w:rsidR="00800760" w:rsidRDefault="00235733">
      <w:pPr>
        <w:pStyle w:val="3"/>
        <w:spacing w:before="240"/>
        <w:ind w:firstLineChars="0" w:firstLine="444"/>
        <w:rPr>
          <w:rFonts w:ascii="Times New Roman" w:hAnsi="Times New Roman"/>
        </w:rPr>
      </w:pPr>
      <w:bookmarkStart w:id="6984" w:name="_Toc6591"/>
      <w:bookmarkStart w:id="6985" w:name="_Toc229114488"/>
      <w:bookmarkStart w:id="6986" w:name="_Toc3553"/>
      <w:bookmarkStart w:id="6987" w:name="_Toc31251"/>
      <w:bookmarkStart w:id="6988" w:name="_Toc20881"/>
      <w:bookmarkStart w:id="6989" w:name="_Toc12595"/>
      <w:bookmarkStart w:id="6990" w:name="_Toc26674"/>
      <w:bookmarkStart w:id="6991" w:name="_Toc23306"/>
      <w:bookmarkStart w:id="6992" w:name="_Toc20090"/>
      <w:bookmarkStart w:id="6993" w:name="_Toc920"/>
      <w:bookmarkStart w:id="6994" w:name="_Toc229225584"/>
      <w:r>
        <w:rPr>
          <w:rFonts w:ascii="Times New Roman" w:hAnsi="Times New Roman"/>
        </w:rPr>
        <w:t>二、技术秘密转让</w:t>
      </w:r>
      <w:bookmarkEnd w:id="6984"/>
      <w:bookmarkEnd w:id="6985"/>
      <w:bookmarkEnd w:id="6986"/>
      <w:bookmarkEnd w:id="6987"/>
      <w:bookmarkEnd w:id="6988"/>
      <w:bookmarkEnd w:id="6989"/>
      <w:bookmarkEnd w:id="6990"/>
      <w:bookmarkEnd w:id="6991"/>
      <w:bookmarkEnd w:id="6992"/>
      <w:bookmarkEnd w:id="6993"/>
      <w:bookmarkEnd w:id="6994"/>
    </w:p>
    <w:p w:rsidR="00800760" w:rsidRDefault="00235733">
      <w:pPr>
        <w:ind w:firstLine="436"/>
        <w:jc w:val="both"/>
        <w:rPr>
          <w:rFonts w:cs="宋体"/>
          <w:spacing w:val="4"/>
        </w:rPr>
      </w:pPr>
      <w:r>
        <w:rPr>
          <w:rFonts w:cs="宋体"/>
          <w:spacing w:val="4"/>
        </w:rPr>
        <w:t>技术秘密是一种未申请专利的技术成果，不受专利法保护，企业一般通过保密措施进行保护。</w:t>
      </w:r>
    </w:p>
    <w:p w:rsidR="00800760" w:rsidRDefault="00235733">
      <w:pPr>
        <w:ind w:firstLine="436"/>
        <w:jc w:val="both"/>
        <w:rPr>
          <w:rFonts w:cs="宋体"/>
          <w:spacing w:val="4"/>
        </w:rPr>
      </w:pPr>
      <w:r>
        <w:rPr>
          <w:rFonts w:cs="宋体"/>
          <w:spacing w:val="4"/>
        </w:rPr>
        <w:t>技术秘密可以完全让与他人。技术秘密转让后，受让人有完全处置该技术秘密的权利，包括将其申请专利。技术秘密转让后，将该技术申请专利的权利属于受让人，合同中另有约定的除外。</w:t>
      </w:r>
    </w:p>
    <w:p w:rsidR="00800760" w:rsidRDefault="00235733">
      <w:pPr>
        <w:ind w:firstLine="436"/>
        <w:jc w:val="both"/>
        <w:rPr>
          <w:rFonts w:cs="宋体"/>
          <w:spacing w:val="4"/>
        </w:rPr>
      </w:pPr>
      <w:r>
        <w:rPr>
          <w:rFonts w:cs="宋体"/>
          <w:spacing w:val="4"/>
        </w:rPr>
        <w:t>由于技术秘密转让引起的专利权属纠纷，在进行行政调解时应确定技术秘密转让合同是否有效。</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3</w:t>
      </w:r>
      <w:r>
        <w:rPr>
          <w:rFonts w:ascii="Times New Roman" w:hAnsi="Times New Roman"/>
        </w:rPr>
        <w:t>-3-3</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2008</w:t>
      </w:r>
      <w:r>
        <w:rPr>
          <w:rFonts w:eastAsia="楷体_GB2312" w:cs="MingLiU_HKSCS"/>
          <w:lang w:val="zh-CN"/>
        </w:rPr>
        <w:t>年</w:t>
      </w:r>
      <w:r>
        <w:rPr>
          <w:rFonts w:eastAsia="楷体_GB2312" w:cs="MingLiU_HKSCS"/>
          <w:lang w:val="zh-CN"/>
        </w:rPr>
        <w:t>6</w:t>
      </w:r>
      <w:r>
        <w:rPr>
          <w:rFonts w:eastAsia="楷体_GB2312" w:cs="MingLiU_HKSCS"/>
          <w:lang w:val="zh-CN"/>
        </w:rPr>
        <w:t>月，</w:t>
      </w:r>
      <w:r>
        <w:rPr>
          <w:rFonts w:eastAsia="楷体_GB2312" w:cs="MingLiU_HKSCS"/>
          <w:lang w:val="zh-CN"/>
        </w:rPr>
        <w:t>A</w:t>
      </w:r>
      <w:r>
        <w:rPr>
          <w:rFonts w:eastAsia="楷体_GB2312" w:cs="MingLiU_HKSCS"/>
          <w:lang w:val="zh-CN"/>
        </w:rPr>
        <w:t>公司与</w:t>
      </w:r>
      <w:r>
        <w:rPr>
          <w:rFonts w:eastAsia="楷体_GB2312" w:cs="MingLiU_HKSCS"/>
          <w:lang w:val="zh-CN"/>
        </w:rPr>
        <w:t>B</w:t>
      </w:r>
      <w:r>
        <w:rPr>
          <w:rFonts w:eastAsia="楷体_GB2312" w:cs="MingLiU_HKSCS"/>
          <w:lang w:val="zh-CN"/>
        </w:rPr>
        <w:t>公司签订技术秘密转让合同，双方约定：</w:t>
      </w:r>
      <w:r>
        <w:rPr>
          <w:rFonts w:eastAsia="楷体_GB2312" w:cs="MingLiU_HKSCS"/>
          <w:lang w:val="zh-CN"/>
        </w:rPr>
        <w:t>A</w:t>
      </w:r>
      <w:r>
        <w:rPr>
          <w:rFonts w:eastAsia="楷体_GB2312" w:cs="MingLiU_HKSCS"/>
          <w:lang w:val="zh-CN"/>
        </w:rPr>
        <w:t>公司将其拥有的一项技术秘密转让给</w:t>
      </w:r>
      <w:r>
        <w:rPr>
          <w:rFonts w:eastAsia="楷体_GB2312" w:cs="MingLiU_HKSCS"/>
          <w:lang w:val="zh-CN"/>
        </w:rPr>
        <w:t>B</w:t>
      </w:r>
      <w:r>
        <w:rPr>
          <w:rFonts w:eastAsia="楷体_GB2312" w:cs="MingLiU_HKSCS"/>
          <w:lang w:val="zh-CN"/>
        </w:rPr>
        <w:t>公司，</w:t>
      </w:r>
      <w:r>
        <w:rPr>
          <w:rFonts w:eastAsia="楷体_GB2312" w:cs="MingLiU_HKSCS"/>
          <w:lang w:val="zh-CN"/>
        </w:rPr>
        <w:t>B</w:t>
      </w:r>
      <w:r>
        <w:rPr>
          <w:rFonts w:eastAsia="楷体_GB2312" w:cs="MingLiU_HKSCS"/>
          <w:lang w:val="zh-CN"/>
        </w:rPr>
        <w:t>公司付给</w:t>
      </w:r>
      <w:r>
        <w:rPr>
          <w:rFonts w:eastAsia="楷体_GB2312" w:cs="MingLiU_HKSCS"/>
          <w:lang w:val="zh-CN"/>
        </w:rPr>
        <w:t>A</w:t>
      </w:r>
      <w:r>
        <w:rPr>
          <w:rFonts w:eastAsia="楷体_GB2312" w:cs="MingLiU_HKSCS"/>
          <w:lang w:val="zh-CN"/>
        </w:rPr>
        <w:t>公司</w:t>
      </w:r>
      <w:r>
        <w:rPr>
          <w:rFonts w:eastAsia="楷体_GB2312" w:cs="MingLiU_HKSCS"/>
          <w:lang w:val="zh-CN"/>
        </w:rPr>
        <w:t>300</w:t>
      </w:r>
      <w:r>
        <w:rPr>
          <w:rFonts w:eastAsia="楷体_GB2312" w:cs="MingLiU_HKSCS"/>
          <w:lang w:val="zh-CN"/>
        </w:rPr>
        <w:t>万元转让费，其中</w:t>
      </w:r>
      <w:r>
        <w:rPr>
          <w:rFonts w:eastAsia="楷体_GB2312" w:cs="MingLiU_HKSCS"/>
          <w:lang w:val="zh-CN"/>
        </w:rPr>
        <w:t>50%</w:t>
      </w:r>
      <w:r>
        <w:rPr>
          <w:rFonts w:eastAsia="楷体_GB2312" w:cs="MingLiU_HKSCS"/>
          <w:lang w:val="zh-CN"/>
        </w:rPr>
        <w:t>转让费在合同签订当天给付，剩余</w:t>
      </w:r>
      <w:r>
        <w:rPr>
          <w:rFonts w:eastAsia="楷体_GB2312" w:cs="MingLiU_HKSCS"/>
          <w:lang w:val="zh-CN"/>
        </w:rPr>
        <w:t>50%</w:t>
      </w:r>
      <w:r>
        <w:rPr>
          <w:rFonts w:eastAsia="楷体_GB2312" w:cs="MingLiU_HKSCS"/>
          <w:lang w:val="zh-CN"/>
        </w:rPr>
        <w:t>转让费在</w:t>
      </w:r>
      <w:r>
        <w:rPr>
          <w:rFonts w:eastAsia="楷体_GB2312" w:cs="MingLiU_HKSCS"/>
          <w:lang w:val="zh-CN"/>
        </w:rPr>
        <w:t>6</w:t>
      </w:r>
      <w:r>
        <w:rPr>
          <w:rFonts w:eastAsia="楷体_GB2312" w:cs="MingLiU_HKSCS"/>
          <w:lang w:val="zh-CN"/>
        </w:rPr>
        <w:t>个月后给付。</w:t>
      </w:r>
      <w:r>
        <w:rPr>
          <w:rFonts w:eastAsia="楷体_GB2312" w:cs="MingLiU_HKSCS"/>
          <w:lang w:val="zh-CN"/>
        </w:rPr>
        <w:t>B</w:t>
      </w:r>
      <w:r>
        <w:rPr>
          <w:rFonts w:eastAsia="楷体_GB2312" w:cs="MingLiU_HKSCS"/>
          <w:lang w:val="zh-CN"/>
        </w:rPr>
        <w:t>公司于</w:t>
      </w:r>
      <w:r>
        <w:rPr>
          <w:rFonts w:eastAsia="楷体_GB2312" w:cs="MingLiU_HKSCS"/>
          <w:lang w:val="zh-CN"/>
        </w:rPr>
        <w:t>2008</w:t>
      </w:r>
      <w:r>
        <w:rPr>
          <w:rFonts w:eastAsia="楷体_GB2312" w:cs="MingLiU_HKSCS"/>
          <w:lang w:val="zh-CN"/>
        </w:rPr>
        <w:t>年</w:t>
      </w:r>
      <w:r>
        <w:rPr>
          <w:rFonts w:eastAsia="楷体_GB2312" w:cs="MingLiU_HKSCS"/>
          <w:lang w:val="zh-CN"/>
        </w:rPr>
        <w:t>11</w:t>
      </w:r>
      <w:r>
        <w:rPr>
          <w:rFonts w:eastAsia="楷体_GB2312" w:cs="MingLiU_HKSCS"/>
          <w:lang w:val="zh-CN"/>
        </w:rPr>
        <w:t>月将该技术秘密申请了专利，但逾期未给付剩余的</w:t>
      </w:r>
      <w:r>
        <w:rPr>
          <w:rFonts w:eastAsia="楷体_GB2312" w:cs="MingLiU_HKSCS"/>
          <w:lang w:val="zh-CN"/>
        </w:rPr>
        <w:t>50%</w:t>
      </w:r>
      <w:r>
        <w:rPr>
          <w:rFonts w:eastAsia="楷体_GB2312" w:cs="MingLiU_HKSCS"/>
          <w:lang w:val="zh-CN"/>
        </w:rPr>
        <w:t>转让费。</w:t>
      </w:r>
      <w:r>
        <w:rPr>
          <w:rFonts w:eastAsia="楷体_GB2312" w:cs="MingLiU_HKSCS"/>
          <w:lang w:val="zh-CN"/>
        </w:rPr>
        <w:t>A</w:t>
      </w:r>
      <w:r>
        <w:rPr>
          <w:rFonts w:eastAsia="楷体_GB2312" w:cs="MingLiU_HKSCS"/>
          <w:lang w:val="zh-CN"/>
        </w:rPr>
        <w:t>公司以</w:t>
      </w:r>
      <w:r>
        <w:rPr>
          <w:rFonts w:eastAsia="楷体_GB2312" w:cs="MingLiU_HKSCS"/>
          <w:lang w:val="zh-CN"/>
        </w:rPr>
        <w:t>B</w:t>
      </w:r>
      <w:r>
        <w:rPr>
          <w:rFonts w:eastAsia="楷体_GB2312" w:cs="MingLiU_HKSCS"/>
          <w:lang w:val="zh-CN"/>
        </w:rPr>
        <w:t>公司未给付余款导致合同无效为由，主张该技术秘密的专利申请权应归</w:t>
      </w:r>
      <w:r>
        <w:rPr>
          <w:rFonts w:eastAsia="楷体_GB2312" w:cs="MingLiU_HKSCS"/>
          <w:lang w:val="zh-CN"/>
        </w:rPr>
        <w:t>A</w:t>
      </w:r>
      <w:r>
        <w:rPr>
          <w:rFonts w:eastAsia="楷体_GB2312" w:cs="MingLiU_HKSCS"/>
          <w:lang w:val="zh-CN"/>
        </w:rPr>
        <w:t>公司所有。</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lang w:val="zh-CN"/>
        </w:rPr>
        <w:t>A</w:t>
      </w:r>
      <w:r>
        <w:rPr>
          <w:rFonts w:eastAsia="楷体_GB2312" w:cs="MingLiU_HKSCS"/>
          <w:lang w:val="zh-CN"/>
        </w:rPr>
        <w:t>公司与</w:t>
      </w:r>
      <w:r>
        <w:rPr>
          <w:rFonts w:eastAsia="楷体_GB2312" w:cs="MingLiU_HKSCS"/>
          <w:lang w:val="zh-CN"/>
        </w:rPr>
        <w:t>B</w:t>
      </w:r>
      <w:r>
        <w:rPr>
          <w:rFonts w:eastAsia="楷体_GB2312" w:cs="MingLiU_HKSCS"/>
          <w:lang w:val="zh-CN"/>
        </w:rPr>
        <w:t>公司签订的合同为双方当事人的真实意思表示，该转让合同为有效合同，转让合同自合同成立之日生效。合同生效后，</w:t>
      </w:r>
      <w:r>
        <w:rPr>
          <w:rFonts w:eastAsia="楷体_GB2312" w:cs="MingLiU_HKSCS"/>
          <w:lang w:val="zh-CN"/>
        </w:rPr>
        <w:t>B</w:t>
      </w:r>
      <w:r>
        <w:rPr>
          <w:rFonts w:eastAsia="楷体_GB2312" w:cs="MingLiU_HKSCS"/>
          <w:lang w:val="zh-CN"/>
        </w:rPr>
        <w:t>公司对涉案技术秘密拥有完全处置权，该专利申请权应归</w:t>
      </w:r>
      <w:r>
        <w:rPr>
          <w:rFonts w:eastAsia="楷体_GB2312" w:cs="MingLiU_HKSCS"/>
          <w:lang w:val="zh-CN"/>
        </w:rPr>
        <w:t>B</w:t>
      </w:r>
      <w:r>
        <w:rPr>
          <w:rFonts w:eastAsia="楷体_GB2312" w:cs="MingLiU_HKSCS"/>
          <w:lang w:val="zh-CN"/>
        </w:rPr>
        <w:t>公司所有。至于合同余款，</w:t>
      </w:r>
      <w:r>
        <w:rPr>
          <w:rFonts w:eastAsia="楷体_GB2312" w:cs="MingLiU_HKSCS"/>
          <w:lang w:val="zh-CN"/>
        </w:rPr>
        <w:t>A</w:t>
      </w:r>
      <w:r>
        <w:rPr>
          <w:rFonts w:eastAsia="楷体_GB2312" w:cs="MingLiU_HKSCS"/>
          <w:lang w:val="zh-CN"/>
        </w:rPr>
        <w:t>公司可以要求</w:t>
      </w:r>
      <w:r>
        <w:rPr>
          <w:rFonts w:eastAsia="楷体_GB2312" w:cs="MingLiU_HKSCS"/>
          <w:lang w:val="zh-CN"/>
        </w:rPr>
        <w:t>B</w:t>
      </w:r>
      <w:r>
        <w:rPr>
          <w:rFonts w:eastAsia="楷体_GB2312" w:cs="MingLiU_HKSCS"/>
          <w:lang w:val="zh-CN"/>
        </w:rPr>
        <w:t>公司承担违约赔偿责任。</w:t>
      </w:r>
    </w:p>
    <w:p w:rsidR="00800760" w:rsidRDefault="00235733">
      <w:pPr>
        <w:spacing w:line="360" w:lineRule="auto"/>
        <w:rPr>
          <w:rFonts w:eastAsia="楷体" w:cs="楷体"/>
        </w:rPr>
      </w:pPr>
      <w:r>
        <w:rPr>
          <w:rFonts w:eastAsia="楷体_GB2312" w:cs="MingLiU_HKSCS"/>
          <w:lang w:val="zh-CN"/>
        </w:rPr>
        <w:t>对于技术秘密转让合同，合同有效存在的基础是作为合同标的的技术客观上处于秘密状态。在合同签订前该技术处于保密状态，且合同的签订是双方当事人的真实意思表示的情况下，应当认定合同有效。至于合同签订后受让方未付全款或者转让方泄密等，与合同的有效性无关，属于未履行或违反合同义务，应当由违反合同的当事人承担违约责任或赔偿责任。</w:t>
      </w:r>
    </w:p>
    <w:p w:rsidR="00800760" w:rsidRDefault="00235733">
      <w:pPr>
        <w:pStyle w:val="3"/>
        <w:spacing w:before="240"/>
        <w:ind w:firstLineChars="0" w:firstLine="444"/>
        <w:rPr>
          <w:rFonts w:ascii="Times New Roman" w:hAnsi="Times New Roman"/>
        </w:rPr>
      </w:pPr>
      <w:bookmarkStart w:id="6995" w:name="_Toc13602"/>
      <w:bookmarkStart w:id="6996" w:name="_Toc20486"/>
      <w:bookmarkStart w:id="6997" w:name="_Toc17300"/>
      <w:bookmarkStart w:id="6998" w:name="_Toc7590"/>
      <w:bookmarkStart w:id="6999" w:name="_Toc28166"/>
      <w:bookmarkStart w:id="7000" w:name="_Toc17719"/>
      <w:bookmarkStart w:id="7001" w:name="_Toc229114489"/>
      <w:bookmarkStart w:id="7002" w:name="_Toc23114"/>
      <w:bookmarkStart w:id="7003" w:name="_Toc23508"/>
      <w:bookmarkStart w:id="7004" w:name="_Toc17306"/>
      <w:bookmarkStart w:id="7005" w:name="_Toc229225585"/>
      <w:r>
        <w:rPr>
          <w:rFonts w:ascii="Times New Roman" w:hAnsi="Times New Roman"/>
        </w:rPr>
        <w:t>三、技术秘密使用许可</w:t>
      </w:r>
      <w:bookmarkEnd w:id="6995"/>
      <w:bookmarkEnd w:id="6996"/>
      <w:bookmarkEnd w:id="6997"/>
      <w:bookmarkEnd w:id="6998"/>
      <w:bookmarkEnd w:id="6999"/>
      <w:bookmarkEnd w:id="7000"/>
      <w:bookmarkEnd w:id="7001"/>
      <w:bookmarkEnd w:id="7002"/>
      <w:bookmarkEnd w:id="7003"/>
      <w:bookmarkEnd w:id="7004"/>
      <w:bookmarkEnd w:id="7005"/>
    </w:p>
    <w:p w:rsidR="00800760" w:rsidRDefault="00235733">
      <w:pPr>
        <w:ind w:firstLine="436"/>
        <w:jc w:val="both"/>
        <w:rPr>
          <w:rFonts w:cs="宋体"/>
          <w:spacing w:val="4"/>
        </w:rPr>
      </w:pPr>
      <w:r>
        <w:rPr>
          <w:rFonts w:cs="宋体"/>
          <w:spacing w:val="4"/>
        </w:rPr>
        <w:t>技术秘密使用许可可以分为独占许可、排他许可和普通许可。独占许可是指被许可方在合同规定的区域内享有使用技术秘密的独占权，即使是许可方</w:t>
      </w:r>
      <w:r>
        <w:rPr>
          <w:rFonts w:cs="宋体"/>
          <w:spacing w:val="4"/>
        </w:rPr>
        <w:t>(</w:t>
      </w:r>
      <w:r>
        <w:rPr>
          <w:rFonts w:cs="宋体"/>
          <w:spacing w:val="4"/>
        </w:rPr>
        <w:t>技术秘密的</w:t>
      </w:r>
      <w:bookmarkStart w:id="7006" w:name="bookmark190"/>
      <w:bookmarkEnd w:id="7006"/>
      <w:r>
        <w:rPr>
          <w:rFonts w:cs="宋体" w:hint="eastAsia"/>
          <w:spacing w:val="4"/>
        </w:rPr>
        <w:t>所有</w:t>
      </w:r>
      <w:r>
        <w:rPr>
          <w:rFonts w:cs="宋体"/>
          <w:spacing w:val="4"/>
        </w:rPr>
        <w:t>人</w:t>
      </w:r>
      <w:r>
        <w:rPr>
          <w:rFonts w:cs="宋体"/>
          <w:spacing w:val="4"/>
        </w:rPr>
        <w:t>)</w:t>
      </w:r>
      <w:r>
        <w:rPr>
          <w:rFonts w:cs="宋体"/>
          <w:spacing w:val="4"/>
        </w:rPr>
        <w:t>也无权使用该技术。排他许可是指在合同规定的区域内，许可方仅能给予被许可方使用技术秘密的权利，不得再许可第三方使用，但是许可方自己可以保留使用该技术秘密的权利。普通许可是指在合同规定的区域内，许可方既能给予被许可方使用技术秘密的权利，也能保留自己使用该技术秘密的权利，还可以将该技术秘密以同样的方式许可给第三方使用。</w:t>
      </w:r>
    </w:p>
    <w:p w:rsidR="00800760" w:rsidRDefault="00235733">
      <w:pPr>
        <w:ind w:firstLine="436"/>
        <w:jc w:val="both"/>
        <w:rPr>
          <w:rFonts w:cs="宋体"/>
          <w:spacing w:val="4"/>
        </w:rPr>
      </w:pPr>
      <w:r>
        <w:rPr>
          <w:rFonts w:cs="宋体"/>
          <w:spacing w:val="4"/>
        </w:rPr>
        <w:t>无论是许可方还是被许可方，都负有对技术秘密的保密义务，不应当将其申请专利。但是，当一方当事人违背保密协议和合同约定，将技术秘密申请专利的，无论哪一种许可方式，专利申请权和专利权均应当归许可方</w:t>
      </w:r>
      <w:r>
        <w:rPr>
          <w:rFonts w:cs="宋体"/>
          <w:spacing w:val="4"/>
        </w:rPr>
        <w:t>(</w:t>
      </w:r>
      <w:r>
        <w:rPr>
          <w:rFonts w:cs="宋体"/>
          <w:spacing w:val="4"/>
        </w:rPr>
        <w:t>即技术秘密的</w:t>
      </w:r>
      <w:r>
        <w:rPr>
          <w:rFonts w:cs="宋体" w:hint="eastAsia"/>
          <w:spacing w:val="4"/>
        </w:rPr>
        <w:t>所有</w:t>
      </w:r>
      <w:r>
        <w:rPr>
          <w:rFonts w:cs="宋体"/>
          <w:spacing w:val="4"/>
        </w:rPr>
        <w:t>人</w:t>
      </w:r>
      <w:r>
        <w:rPr>
          <w:rFonts w:cs="宋体"/>
          <w:spacing w:val="4"/>
        </w:rPr>
        <w:t>)</w:t>
      </w:r>
      <w:r>
        <w:rPr>
          <w:rFonts w:cs="宋体"/>
          <w:spacing w:val="4"/>
        </w:rPr>
        <w:t>所有。如果许可方申请了专利，其应当承担违约和赔偿责任，且被许可方有权继续按照技术秘密使用许可协议的约定使用该专利；如果是被许可方申请了专利，其不仅要承担违约和赔偿责任，还要归还专利申请权和专利权。</w:t>
      </w:r>
    </w:p>
    <w:p w:rsidR="00800760" w:rsidRDefault="00235733">
      <w:pPr>
        <w:pStyle w:val="af6"/>
        <w:spacing w:before="120"/>
        <w:ind w:firstLine="420"/>
      </w:pPr>
      <w:r>
        <w:rPr>
          <w:rFonts w:hint="eastAsia"/>
        </w:rPr>
        <w:t>【案例3</w:t>
      </w:r>
      <w:r>
        <w:t>-3-4</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1994</w:t>
      </w:r>
      <w:r>
        <w:rPr>
          <w:rFonts w:eastAsia="楷体_GB2312" w:cs="MingLiU_HKSCS"/>
          <w:lang w:val="zh-CN"/>
        </w:rPr>
        <w:t>年</w:t>
      </w:r>
      <w:r>
        <w:rPr>
          <w:rFonts w:eastAsia="楷体_GB2312" w:cs="MingLiU_HKSCS"/>
          <w:lang w:val="zh-CN"/>
        </w:rPr>
        <w:t>1</w:t>
      </w:r>
      <w:r>
        <w:rPr>
          <w:rFonts w:eastAsia="楷体_GB2312" w:cs="MingLiU_HKSCS"/>
          <w:lang w:val="zh-CN"/>
        </w:rPr>
        <w:t>月，</w:t>
      </w:r>
      <w:r>
        <w:rPr>
          <w:rFonts w:eastAsia="楷体_GB2312" w:cs="MingLiU_HKSCS"/>
          <w:lang w:val="zh-CN"/>
        </w:rPr>
        <w:t>A</w:t>
      </w:r>
      <w:r>
        <w:rPr>
          <w:rFonts w:eastAsia="楷体_GB2312" w:cs="MingLiU_HKSCS"/>
          <w:lang w:val="zh-CN"/>
        </w:rPr>
        <w:t>公司获得</w:t>
      </w:r>
      <w:r>
        <w:rPr>
          <w:rFonts w:eastAsia="楷体_GB2312" w:cs="MingLiU_HKSCS"/>
          <w:lang w:val="zh-CN"/>
        </w:rPr>
        <w:t>“AFS-230</w:t>
      </w:r>
      <w:r>
        <w:rPr>
          <w:rFonts w:eastAsia="楷体_GB2312" w:cs="MingLiU_HKSCS"/>
          <w:lang w:val="zh-CN"/>
        </w:rPr>
        <w:t>型全自动双道原子荧光光度计</w:t>
      </w:r>
      <w:r>
        <w:rPr>
          <w:rFonts w:eastAsia="楷体_GB2312" w:cs="MingLiU_HKSCS"/>
          <w:lang w:val="zh-CN"/>
        </w:rPr>
        <w:t>”</w:t>
      </w:r>
      <w:r>
        <w:rPr>
          <w:rFonts w:eastAsia="楷体_GB2312" w:cs="MingLiU_HKSCS"/>
          <w:lang w:val="zh-CN"/>
        </w:rPr>
        <w:t>发明专利。</w:t>
      </w:r>
      <w:r>
        <w:rPr>
          <w:rFonts w:eastAsia="楷体_GB2312" w:cs="MingLiU_HKSCS"/>
          <w:lang w:val="zh-CN"/>
        </w:rPr>
        <w:t>1994</w:t>
      </w:r>
      <w:r>
        <w:rPr>
          <w:rFonts w:eastAsia="楷体_GB2312" w:cs="MingLiU_HKSCS"/>
          <w:lang w:val="zh-CN"/>
        </w:rPr>
        <w:t>年</w:t>
      </w:r>
      <w:r>
        <w:rPr>
          <w:rFonts w:eastAsia="楷体_GB2312" w:cs="MingLiU_HKSCS"/>
          <w:lang w:val="zh-CN"/>
        </w:rPr>
        <w:t>8</w:t>
      </w:r>
      <w:r>
        <w:rPr>
          <w:rFonts w:eastAsia="楷体_GB2312" w:cs="MingLiU_HKSCS"/>
          <w:lang w:val="zh-CN"/>
        </w:rPr>
        <w:t>月，</w:t>
      </w:r>
      <w:r>
        <w:rPr>
          <w:rFonts w:eastAsia="楷体_GB2312" w:cs="MingLiU_HKSCS"/>
          <w:lang w:val="zh-CN"/>
        </w:rPr>
        <w:t>A</w:t>
      </w:r>
      <w:r>
        <w:rPr>
          <w:rFonts w:eastAsia="楷体_GB2312" w:cs="MingLiU_HKSCS"/>
          <w:lang w:val="zh-CN"/>
        </w:rPr>
        <w:t>公司与其他两个公司共同出资成立</w:t>
      </w:r>
      <w:r>
        <w:rPr>
          <w:rFonts w:eastAsia="楷体_GB2312" w:cs="MingLiU_HKSCS"/>
          <w:lang w:val="zh-CN"/>
        </w:rPr>
        <w:t>B</w:t>
      </w:r>
      <w:r>
        <w:rPr>
          <w:rFonts w:eastAsia="楷体_GB2312" w:cs="MingLiU_HKSCS"/>
          <w:lang w:val="zh-CN"/>
        </w:rPr>
        <w:t>公司。三方签订的《合资企业合同》中写明：</w:t>
      </w:r>
      <w:r>
        <w:rPr>
          <w:rFonts w:eastAsia="楷体_GB2312" w:cs="MingLiU_HKSCS"/>
          <w:lang w:val="zh-CN"/>
        </w:rPr>
        <w:t>A</w:t>
      </w:r>
      <w:r>
        <w:rPr>
          <w:rFonts w:eastAsia="楷体_GB2312" w:cs="MingLiU_HKSCS"/>
          <w:lang w:val="zh-CN"/>
        </w:rPr>
        <w:t>公司以</w:t>
      </w:r>
      <w:r>
        <w:rPr>
          <w:rFonts w:eastAsia="楷体_GB2312" w:cs="MingLiU_HKSCS"/>
          <w:lang w:val="zh-CN"/>
        </w:rPr>
        <w:t>2</w:t>
      </w:r>
      <w:r>
        <w:rPr>
          <w:rFonts w:eastAsia="楷体_GB2312" w:cs="MingLiU_HKSCS"/>
          <w:lang w:val="zh-CN"/>
        </w:rPr>
        <w:t>万美元现金、</w:t>
      </w:r>
      <w:r>
        <w:rPr>
          <w:rFonts w:eastAsia="楷体_GB2312" w:cs="MingLiU_HKSCS"/>
          <w:lang w:val="zh-CN"/>
        </w:rPr>
        <w:t>0.8</w:t>
      </w:r>
      <w:r>
        <w:rPr>
          <w:rFonts w:eastAsia="楷体_GB2312" w:cs="MingLiU_HKSCS"/>
          <w:lang w:val="zh-CN"/>
        </w:rPr>
        <w:t>万美元的设备、</w:t>
      </w:r>
      <w:r>
        <w:rPr>
          <w:rFonts w:eastAsia="楷体_GB2312" w:cs="MingLiU_HKSCS"/>
          <w:lang w:val="zh-CN"/>
        </w:rPr>
        <w:t>3</w:t>
      </w:r>
      <w:r>
        <w:rPr>
          <w:rFonts w:eastAsia="楷体_GB2312" w:cs="MingLiU_HKSCS"/>
          <w:lang w:val="zh-CN"/>
        </w:rPr>
        <w:t>万美元的专利技术使用权作为出资；</w:t>
      </w:r>
      <w:r>
        <w:rPr>
          <w:rFonts w:eastAsia="楷体_GB2312" w:cs="MingLiU_HKSCS"/>
          <w:lang w:val="zh-CN"/>
        </w:rPr>
        <w:t>A</w:t>
      </w:r>
      <w:r>
        <w:rPr>
          <w:rFonts w:eastAsia="楷体_GB2312" w:cs="MingLiU_HKSCS"/>
          <w:lang w:val="zh-CN"/>
        </w:rPr>
        <w:t>公司提供以</w:t>
      </w:r>
      <w:r>
        <w:rPr>
          <w:rFonts w:eastAsia="楷体_GB2312" w:cs="MingLiU_HKSCS"/>
          <w:lang w:val="zh-CN"/>
        </w:rPr>
        <w:t>AFS-230</w:t>
      </w:r>
      <w:r>
        <w:rPr>
          <w:rFonts w:eastAsia="楷体_GB2312" w:cs="MingLiU_HKSCS"/>
          <w:lang w:val="zh-CN"/>
        </w:rPr>
        <w:t>型为基础的改进型主机、接口、软件等全部技术及断续流动装置；</w:t>
      </w:r>
      <w:r>
        <w:rPr>
          <w:rFonts w:eastAsia="楷体_GB2312" w:cs="MingLiU_HKSCS"/>
          <w:lang w:val="zh-CN"/>
        </w:rPr>
        <w:t>B</w:t>
      </w:r>
      <w:r>
        <w:rPr>
          <w:rFonts w:eastAsia="楷体_GB2312" w:cs="MingLiU_HKSCS"/>
          <w:lang w:val="zh-CN"/>
        </w:rPr>
        <w:t>公司的主要经营范围是生产和经营</w:t>
      </w:r>
      <w:r>
        <w:rPr>
          <w:rFonts w:eastAsia="楷体_GB2312" w:cs="MingLiU_HKSCS"/>
          <w:lang w:val="zh-CN"/>
        </w:rPr>
        <w:t>AFS</w:t>
      </w:r>
      <w:r>
        <w:rPr>
          <w:rFonts w:eastAsia="楷体_GB2312" w:cs="MingLiU_HKSCS"/>
          <w:lang w:val="zh-CN"/>
        </w:rPr>
        <w:t>原子荧光光谱仪等产品，</w:t>
      </w:r>
      <w:r>
        <w:rPr>
          <w:rFonts w:eastAsia="楷体_GB2312" w:cs="MingLiU_HKSCS"/>
          <w:lang w:val="zh-CN"/>
        </w:rPr>
        <w:t>B</w:t>
      </w:r>
      <w:r>
        <w:rPr>
          <w:rFonts w:eastAsia="楷体_GB2312" w:cs="MingLiU_HKSCS"/>
          <w:lang w:val="zh-CN"/>
        </w:rPr>
        <w:t>公司在经营中，每销售一台</w:t>
      </w:r>
      <w:r>
        <w:rPr>
          <w:rFonts w:eastAsia="楷体_GB2312" w:cs="MingLiU_HKSCS"/>
          <w:lang w:val="zh-CN"/>
        </w:rPr>
        <w:t>AFS</w:t>
      </w:r>
      <w:r>
        <w:rPr>
          <w:rFonts w:eastAsia="楷体_GB2312" w:cs="MingLiU_HKSCS"/>
          <w:lang w:val="zh-CN"/>
        </w:rPr>
        <w:t>仪器向</w:t>
      </w:r>
      <w:r>
        <w:rPr>
          <w:rFonts w:eastAsia="楷体_GB2312" w:cs="MingLiU_HKSCS"/>
          <w:lang w:val="zh-CN"/>
        </w:rPr>
        <w:t>A</w:t>
      </w:r>
      <w:r>
        <w:rPr>
          <w:rFonts w:eastAsia="楷体_GB2312" w:cs="MingLiU_HKSCS"/>
          <w:lang w:val="zh-CN"/>
        </w:rPr>
        <w:t>公司支付</w:t>
      </w:r>
      <w:r>
        <w:rPr>
          <w:rFonts w:eastAsia="楷体_GB2312" w:cs="MingLiU_HKSCS"/>
          <w:lang w:val="zh-CN"/>
        </w:rPr>
        <w:t>3%</w:t>
      </w:r>
      <w:r>
        <w:rPr>
          <w:rFonts w:eastAsia="楷体_GB2312" w:cs="MingLiU_HKSCS"/>
          <w:lang w:val="zh-CN"/>
        </w:rPr>
        <w:t>的技术提成费。</w:t>
      </w:r>
      <w:r>
        <w:rPr>
          <w:rFonts w:eastAsia="楷体_GB2312" w:cs="MingLiU_HKSCS"/>
          <w:lang w:val="zh-CN"/>
        </w:rPr>
        <w:t>1998</w:t>
      </w:r>
      <w:r>
        <w:rPr>
          <w:rFonts w:eastAsia="楷体_GB2312" w:cs="MingLiU_HKSCS"/>
          <w:lang w:val="zh-CN"/>
        </w:rPr>
        <w:t>年，</w:t>
      </w:r>
      <w:r>
        <w:rPr>
          <w:rFonts w:eastAsia="楷体_GB2312" w:cs="MingLiU_HKSCS"/>
          <w:lang w:val="zh-CN"/>
        </w:rPr>
        <w:t>B</w:t>
      </w:r>
      <w:r>
        <w:rPr>
          <w:rFonts w:eastAsia="楷体_GB2312" w:cs="MingLiU_HKSCS"/>
          <w:lang w:val="zh-CN"/>
        </w:rPr>
        <w:t>公司申请了</w:t>
      </w:r>
      <w:r>
        <w:rPr>
          <w:rFonts w:eastAsia="楷体_GB2312" w:cs="MingLiU_HKSCS"/>
          <w:lang w:val="zh-CN"/>
        </w:rPr>
        <w:t>“</w:t>
      </w:r>
      <w:r>
        <w:rPr>
          <w:rFonts w:eastAsia="楷体_GB2312" w:cs="MingLiU_HKSCS"/>
          <w:lang w:val="zh-CN"/>
        </w:rPr>
        <w:t>用于原子荧光光度计的断续流动装置</w:t>
      </w:r>
      <w:r>
        <w:rPr>
          <w:rFonts w:eastAsia="楷体_GB2312" w:cs="MingLiU_HKSCS"/>
          <w:lang w:val="zh-CN"/>
        </w:rPr>
        <w:t>”</w:t>
      </w:r>
      <w:r>
        <w:rPr>
          <w:rFonts w:eastAsia="楷体_GB2312" w:cs="MingLiU_HKSCS"/>
          <w:lang w:val="zh-CN"/>
        </w:rPr>
        <w:t>实用新型专利，</w:t>
      </w:r>
      <w:r>
        <w:rPr>
          <w:rFonts w:eastAsia="楷体_GB2312" w:cs="MingLiU_HKSCS"/>
          <w:lang w:val="zh-CN"/>
        </w:rPr>
        <w:t>2000</w:t>
      </w:r>
      <w:r>
        <w:rPr>
          <w:rFonts w:eastAsia="楷体_GB2312" w:cs="MingLiU_HKSCS"/>
          <w:lang w:val="zh-CN"/>
        </w:rPr>
        <w:t>年获得授权。</w:t>
      </w:r>
      <w:r>
        <w:rPr>
          <w:rFonts w:eastAsia="楷体_GB2312" w:cs="MingLiU_HKSCS"/>
          <w:lang w:val="zh-CN"/>
        </w:rPr>
        <w:t>A</w:t>
      </w:r>
      <w:r>
        <w:rPr>
          <w:rFonts w:eastAsia="楷体_GB2312" w:cs="MingLiU_HKSCS" w:hint="eastAsia"/>
          <w:lang w:val="zh-CN"/>
        </w:rPr>
        <w:t>公司认为该实用新型专利应当归其所有，双方因此产生争议。</w:t>
      </w:r>
      <w:r>
        <w:rPr>
          <w:rFonts w:eastAsia="楷体_GB2312" w:cs="MingLiU_HKSCS"/>
          <w:lang w:val="zh-CN"/>
        </w:rPr>
        <w:t>B</w:t>
      </w:r>
      <w:r>
        <w:rPr>
          <w:rFonts w:eastAsia="楷体_GB2312" w:cs="MingLiU_HKSCS"/>
          <w:lang w:val="zh-CN"/>
        </w:rPr>
        <w:t>公司认为，</w:t>
      </w:r>
      <w:r>
        <w:rPr>
          <w:rFonts w:eastAsia="楷体_GB2312" w:cs="MingLiU_HKSCS"/>
          <w:lang w:val="zh-CN"/>
        </w:rPr>
        <w:t>A</w:t>
      </w:r>
      <w:r>
        <w:rPr>
          <w:rFonts w:eastAsia="楷体_GB2312" w:cs="MingLiU_HKSCS"/>
          <w:lang w:val="zh-CN"/>
        </w:rPr>
        <w:t>公司以</w:t>
      </w:r>
      <w:r>
        <w:rPr>
          <w:rFonts w:eastAsia="楷体_GB2312" w:cs="MingLiU_HKSCS"/>
          <w:lang w:val="zh-CN"/>
        </w:rPr>
        <w:t>AFS-230</w:t>
      </w:r>
      <w:r>
        <w:rPr>
          <w:rFonts w:eastAsia="楷体_GB2312" w:cs="MingLiU_HKSCS"/>
          <w:lang w:val="zh-CN"/>
        </w:rPr>
        <w:t>型为基础的改进型主机、接口、软件等全部技术及断续流动装置作为投入转让给了</w:t>
      </w:r>
      <w:r>
        <w:rPr>
          <w:rFonts w:eastAsia="楷体_GB2312" w:cs="MingLiU_HKSCS"/>
          <w:lang w:val="zh-CN"/>
        </w:rPr>
        <w:t>B</w:t>
      </w:r>
      <w:r>
        <w:rPr>
          <w:rFonts w:eastAsia="楷体_GB2312" w:cs="MingLiU_HKSCS"/>
          <w:lang w:val="zh-CN"/>
        </w:rPr>
        <w:t>公司，因此</w:t>
      </w:r>
      <w:r>
        <w:rPr>
          <w:rFonts w:eastAsia="楷体_GB2312" w:cs="MingLiU_HKSCS"/>
          <w:lang w:val="zh-CN"/>
        </w:rPr>
        <w:t>B</w:t>
      </w:r>
      <w:r>
        <w:rPr>
          <w:rFonts w:eastAsia="楷体_GB2312" w:cs="MingLiU_HKSCS"/>
          <w:lang w:val="zh-CN"/>
        </w:rPr>
        <w:t>公司从</w:t>
      </w:r>
      <w:r>
        <w:rPr>
          <w:rFonts w:eastAsia="楷体_GB2312" w:cs="MingLiU_HKSCS"/>
          <w:lang w:val="zh-CN"/>
        </w:rPr>
        <w:t>A</w:t>
      </w:r>
      <w:r>
        <w:rPr>
          <w:rFonts w:eastAsia="楷体_GB2312" w:cs="MingLiU_HKSCS"/>
          <w:lang w:val="zh-CN"/>
        </w:rPr>
        <w:t>公司处受让取得了断续流动装置的全部权利，有权申请专利。</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10" w:lineRule="auto"/>
        <w:ind w:firstLine="436"/>
        <w:jc w:val="both"/>
        <w:rPr>
          <w:rFonts w:eastAsia="楷体" w:cs="楷体"/>
        </w:rPr>
      </w:pPr>
      <w:r>
        <w:rPr>
          <w:rFonts w:eastAsia="楷体" w:cs="楷体"/>
          <w:spacing w:val="4"/>
        </w:rPr>
        <w:t>该案中，双方发生专利权属纠纷，应当归咎于合同就涉案实用新型专利技术的归属约定不明确。涉案实用新型专利技术的研制开发是</w:t>
      </w:r>
      <w:r>
        <w:rPr>
          <w:rFonts w:eastAsia="Times New Roman"/>
          <w:spacing w:val="4"/>
        </w:rPr>
        <w:t>A</w:t>
      </w:r>
      <w:r>
        <w:rPr>
          <w:rFonts w:eastAsia="楷体" w:cs="楷体"/>
          <w:spacing w:val="4"/>
        </w:rPr>
        <w:t>公司的任务</w:t>
      </w:r>
      <w:r>
        <w:rPr>
          <w:rFonts w:eastAsia="楷体" w:cs="楷体"/>
          <w:spacing w:val="3"/>
        </w:rPr>
        <w:t>范围，在共同投资</w:t>
      </w:r>
      <w:r>
        <w:rPr>
          <w:rFonts w:eastAsia="楷体" w:cs="楷体"/>
          <w:spacing w:val="4"/>
        </w:rPr>
        <w:t>成立</w:t>
      </w:r>
      <w:r>
        <w:rPr>
          <w:rFonts w:eastAsia="Times New Roman"/>
          <w:spacing w:val="4"/>
        </w:rPr>
        <w:t>B</w:t>
      </w:r>
      <w:r>
        <w:rPr>
          <w:rFonts w:eastAsia="楷体" w:cs="楷体"/>
          <w:spacing w:val="4"/>
        </w:rPr>
        <w:t>公司的合同中，三方当事人也约定向</w:t>
      </w:r>
      <w:r>
        <w:rPr>
          <w:rFonts w:eastAsia="Times New Roman"/>
          <w:spacing w:val="4"/>
        </w:rPr>
        <w:t>B</w:t>
      </w:r>
      <w:r>
        <w:rPr>
          <w:rFonts w:eastAsia="楷体" w:cs="楷体"/>
          <w:spacing w:val="4"/>
        </w:rPr>
        <w:t>公司提供涉案断续流动装置技术是</w:t>
      </w:r>
      <w:r>
        <w:rPr>
          <w:rFonts w:eastAsia="Times New Roman"/>
          <w:spacing w:val="4"/>
        </w:rPr>
        <w:t>A</w:t>
      </w:r>
      <w:r>
        <w:rPr>
          <w:rFonts w:eastAsia="楷体" w:cs="楷体"/>
          <w:spacing w:val="3"/>
        </w:rPr>
        <w:t>公</w:t>
      </w:r>
      <w:r>
        <w:rPr>
          <w:rFonts w:eastAsia="楷体" w:cs="楷体"/>
          <w:spacing w:val="4"/>
        </w:rPr>
        <w:t>司的义务之一，其性质类似技术秘密使用许可，表明该技术是</w:t>
      </w:r>
      <w:r>
        <w:rPr>
          <w:rFonts w:cs="宋体"/>
          <w:spacing w:val="4"/>
        </w:rPr>
        <w:t>B</w:t>
      </w:r>
      <w:r>
        <w:rPr>
          <w:rFonts w:eastAsia="楷体" w:cs="楷体"/>
          <w:spacing w:val="4"/>
        </w:rPr>
        <w:t>公司从</w:t>
      </w:r>
      <w:r>
        <w:rPr>
          <w:rFonts w:cs="宋体"/>
          <w:spacing w:val="4"/>
        </w:rPr>
        <w:t>A</w:t>
      </w:r>
      <w:r>
        <w:rPr>
          <w:rFonts w:eastAsia="楷体" w:cs="楷体"/>
          <w:spacing w:val="3"/>
        </w:rPr>
        <w:t>公司受让取</w:t>
      </w:r>
      <w:r>
        <w:rPr>
          <w:rFonts w:eastAsia="楷体" w:cs="楷体"/>
          <w:spacing w:val="4"/>
        </w:rPr>
        <w:t>得的，</w:t>
      </w:r>
      <w:r>
        <w:rPr>
          <w:rFonts w:eastAsia="Times New Roman"/>
          <w:spacing w:val="4"/>
        </w:rPr>
        <w:t>B</w:t>
      </w:r>
      <w:r>
        <w:rPr>
          <w:rFonts w:eastAsia="楷体" w:cs="楷体"/>
          <w:spacing w:val="4"/>
        </w:rPr>
        <w:t>公司有权使用该项技术并生产相关的产品。但该合同并未约定</w:t>
      </w:r>
      <w:r>
        <w:rPr>
          <w:rFonts w:eastAsia="Times New Roman"/>
          <w:spacing w:val="4"/>
        </w:rPr>
        <w:t>A</w:t>
      </w:r>
      <w:r>
        <w:rPr>
          <w:rFonts w:eastAsia="楷体" w:cs="楷体"/>
          <w:spacing w:val="4"/>
        </w:rPr>
        <w:t>公司将</w:t>
      </w:r>
      <w:r>
        <w:rPr>
          <w:rFonts w:eastAsia="楷体" w:cs="楷体"/>
          <w:spacing w:val="3"/>
        </w:rPr>
        <w:t>该项</w:t>
      </w:r>
      <w:r>
        <w:rPr>
          <w:rFonts w:eastAsia="楷体" w:cs="楷体"/>
          <w:spacing w:val="1"/>
        </w:rPr>
        <w:t>技术申请专利的权利同时予以转让，即并未约定</w:t>
      </w:r>
      <w:r>
        <w:rPr>
          <w:rFonts w:eastAsia="Times New Roman"/>
          <w:spacing w:val="1"/>
        </w:rPr>
        <w:t>B</w:t>
      </w:r>
      <w:r>
        <w:rPr>
          <w:rFonts w:eastAsia="楷体" w:cs="楷体"/>
          <w:spacing w:val="1"/>
        </w:rPr>
        <w:t>公司享有以该技术申请专利的权利。</w:t>
      </w:r>
    </w:p>
    <w:p w:rsidR="00800760" w:rsidRDefault="00235733">
      <w:pPr>
        <w:spacing w:before="68" w:line="316" w:lineRule="auto"/>
        <w:ind w:left="20" w:right="105" w:firstLine="428"/>
        <w:rPr>
          <w:rFonts w:eastAsia="楷体" w:cs="楷体"/>
        </w:rPr>
      </w:pPr>
      <w:r>
        <w:rPr>
          <w:rFonts w:eastAsia="楷体" w:cs="楷体"/>
          <w:spacing w:val="2"/>
        </w:rPr>
        <w:t>因此，不能推定为</w:t>
      </w:r>
      <w:r>
        <w:rPr>
          <w:rFonts w:cs="宋体"/>
          <w:spacing w:val="2"/>
        </w:rPr>
        <w:t>A</w:t>
      </w:r>
      <w:r>
        <w:rPr>
          <w:rFonts w:eastAsia="楷体" w:cs="楷体"/>
          <w:spacing w:val="2"/>
        </w:rPr>
        <w:t>公司同意同时将专利申请权转让，只能认定作为</w:t>
      </w:r>
      <w:r>
        <w:rPr>
          <w:rFonts w:cs="宋体"/>
          <w:spacing w:val="2"/>
        </w:rPr>
        <w:t>A</w:t>
      </w:r>
      <w:r>
        <w:rPr>
          <w:rFonts w:eastAsia="楷体" w:cs="楷体"/>
          <w:spacing w:val="2"/>
        </w:rPr>
        <w:t>公司的一项合</w:t>
      </w:r>
      <w:r>
        <w:rPr>
          <w:rFonts w:eastAsia="楷体" w:cs="楷体"/>
          <w:spacing w:val="1"/>
        </w:rPr>
        <w:t>同义务，其应当许可</w:t>
      </w:r>
      <w:r>
        <w:rPr>
          <w:rFonts w:eastAsia="Times New Roman"/>
          <w:spacing w:val="1"/>
        </w:rPr>
        <w:t>B</w:t>
      </w:r>
      <w:r>
        <w:rPr>
          <w:rFonts w:eastAsia="楷体" w:cs="楷体"/>
          <w:spacing w:val="1"/>
        </w:rPr>
        <w:t>公司使用该项技术和产品。</w:t>
      </w:r>
    </w:p>
    <w:p w:rsidR="00800760" w:rsidRDefault="00235733">
      <w:pPr>
        <w:spacing w:before="2" w:line="304" w:lineRule="auto"/>
        <w:ind w:left="20" w:right="100" w:firstLine="436"/>
        <w:jc w:val="both"/>
        <w:rPr>
          <w:rFonts w:eastAsia="楷体" w:cs="楷体"/>
        </w:rPr>
      </w:pPr>
      <w:r>
        <w:rPr>
          <w:rFonts w:eastAsia="楷体" w:cs="楷体"/>
          <w:spacing w:val="4"/>
        </w:rPr>
        <w:t>需要指出的是，当事人以技术入股的方式订立联营合同，但技术入股人不参</w:t>
      </w:r>
      <w:r>
        <w:rPr>
          <w:rFonts w:eastAsia="楷体" w:cs="楷体"/>
          <w:spacing w:val="3"/>
        </w:rPr>
        <w:t>与联</w:t>
      </w:r>
      <w:r>
        <w:rPr>
          <w:rFonts w:eastAsia="楷体" w:cs="楷体"/>
          <w:spacing w:val="4"/>
        </w:rPr>
        <w:t>营体的经营管理，并且以保底条款形式约定联营体</w:t>
      </w:r>
      <w:r>
        <w:rPr>
          <w:rFonts w:eastAsia="楷体" w:cs="楷体"/>
          <w:spacing w:val="3"/>
        </w:rPr>
        <w:t>或者联营对方支付技术价款或者使</w:t>
      </w:r>
      <w:r>
        <w:rPr>
          <w:rFonts w:eastAsia="楷体" w:cs="楷体"/>
          <w:spacing w:val="-4"/>
        </w:rPr>
        <w:t>用费的，视为技术转让合同。</w:t>
      </w:r>
    </w:p>
    <w:p w:rsidR="00800760" w:rsidRDefault="00235733" w:rsidP="008175D7">
      <w:pPr>
        <w:ind w:firstLine="436"/>
        <w:jc w:val="both"/>
        <w:rPr>
          <w:rFonts w:cs="宋体"/>
          <w:spacing w:val="4"/>
        </w:rPr>
      </w:pPr>
      <w:r>
        <w:rPr>
          <w:rFonts w:cs="宋体" w:hint="eastAsia"/>
          <w:spacing w:val="4"/>
        </w:rPr>
        <w:t>因专利申请权或者专利权的归属纠纷请求调解的，当事人可以持管理专利工作的部门的受理通知书请求国务院专利行政部门中止该专利申请或者专利权的有关程序。经调解达成协议的，当事人应当在十五日内持调解协议书向国务院专利行政部门办理恢复手续，管理专利工作的部门应当自结案之日起五个工作日内将相关文书抄送至国务院专利行政部门；不能达成协议的，当事人应当持管理专利工作的部门出具的撤销案件通知书向国务院专利行政部门办理恢复手续。自请求中止之日起满一年未请求延长中止的，国务院专利行政部门自行恢复有关程序。</w:t>
      </w:r>
    </w:p>
    <w:p w:rsidR="00800760" w:rsidRPr="008175D7" w:rsidRDefault="00800760" w:rsidP="008175D7">
      <w:pPr>
        <w:ind w:firstLine="436"/>
        <w:jc w:val="both"/>
        <w:rPr>
          <w:rFonts w:cs="宋体"/>
          <w:spacing w:val="4"/>
        </w:rPr>
      </w:pPr>
    </w:p>
    <w:p w:rsidR="00800760" w:rsidRDefault="00235733">
      <w:pPr>
        <w:spacing w:before="107" w:line="219" w:lineRule="auto"/>
        <w:ind w:left="684"/>
        <w:outlineLvl w:val="1"/>
      </w:pPr>
      <w:bookmarkStart w:id="7007" w:name="bookmark191"/>
      <w:bookmarkStart w:id="7008" w:name="_Toc20530"/>
      <w:bookmarkStart w:id="7009" w:name="_Toc10668"/>
      <w:bookmarkStart w:id="7010" w:name="_Toc10200"/>
      <w:bookmarkStart w:id="7011" w:name="_Toc16341"/>
      <w:bookmarkStart w:id="7012" w:name="_Toc29469"/>
      <w:bookmarkStart w:id="7013" w:name="_Toc7073"/>
      <w:bookmarkStart w:id="7014" w:name="_Toc5186"/>
      <w:bookmarkStart w:id="7015" w:name="_Toc11880"/>
      <w:bookmarkStart w:id="7016" w:name="_Toc18243"/>
      <w:bookmarkStart w:id="7017" w:name="_Toc23060"/>
      <w:bookmarkStart w:id="7018" w:name="_Toc26179"/>
      <w:bookmarkStart w:id="7019" w:name="_Toc10805"/>
      <w:bookmarkStart w:id="7020" w:name="_Toc27867"/>
      <w:bookmarkStart w:id="7021" w:name="_Toc27928"/>
      <w:bookmarkStart w:id="7022" w:name="_Toc7263"/>
      <w:bookmarkStart w:id="7023" w:name="_Toc3239"/>
      <w:bookmarkStart w:id="7024" w:name="_Toc16148"/>
      <w:bookmarkStart w:id="7025" w:name="_Toc21241"/>
      <w:bookmarkStart w:id="7026" w:name="_Toc10302"/>
      <w:bookmarkStart w:id="7027" w:name="_Toc2866"/>
      <w:bookmarkStart w:id="7028" w:name="_Toc13359"/>
      <w:bookmarkStart w:id="7029" w:name="_Toc25751"/>
      <w:bookmarkStart w:id="7030" w:name="_Toc7945"/>
      <w:bookmarkStart w:id="7031" w:name="_Toc9341"/>
      <w:bookmarkStart w:id="7032" w:name="_Toc11053"/>
      <w:bookmarkStart w:id="7033" w:name="_Toc15769"/>
      <w:bookmarkStart w:id="7034" w:name="_Toc18727"/>
      <w:bookmarkStart w:id="7035" w:name="_Toc12332"/>
      <w:bookmarkStart w:id="7036" w:name="_Toc28060"/>
      <w:bookmarkStart w:id="7037" w:name="_Toc13080"/>
      <w:bookmarkStart w:id="7038" w:name="_Toc1622"/>
      <w:bookmarkStart w:id="7039" w:name="_Toc26421"/>
      <w:bookmarkStart w:id="7040" w:name="_Toc28187"/>
      <w:bookmarkStart w:id="7041" w:name="_Toc18224"/>
      <w:bookmarkStart w:id="7042" w:name="_Toc22690"/>
      <w:bookmarkStart w:id="7043" w:name="_Toc25070"/>
      <w:bookmarkStart w:id="7044" w:name="_Toc1486"/>
      <w:bookmarkStart w:id="7045" w:name="_Toc19512"/>
      <w:bookmarkStart w:id="7046" w:name="_Toc27996"/>
      <w:bookmarkStart w:id="7047" w:name="_Toc3931"/>
      <w:bookmarkStart w:id="7048" w:name="_Toc12019"/>
      <w:bookmarkEnd w:id="7007"/>
      <w:r>
        <w:br w:type="page"/>
      </w:r>
    </w:p>
    <w:p w:rsidR="00800760" w:rsidRDefault="00235733">
      <w:pPr>
        <w:pStyle w:val="1"/>
      </w:pPr>
      <w:bookmarkStart w:id="7049" w:name="_Toc162"/>
      <w:bookmarkStart w:id="7050" w:name="_Toc229114490"/>
      <w:bookmarkStart w:id="7051" w:name="_Toc229225586"/>
      <w:r>
        <w:t>第四章</w:t>
      </w:r>
      <w:r>
        <w:rPr>
          <w:rFonts w:hint="eastAsia"/>
        </w:rPr>
        <w:t xml:space="preserve">　</w:t>
      </w:r>
      <w:r>
        <w:t>发明人或设计人署名权纠纷的行政调解</w:t>
      </w:r>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p>
    <w:p w:rsidR="00800760" w:rsidRDefault="00235733">
      <w:pPr>
        <w:ind w:firstLine="436"/>
        <w:jc w:val="both"/>
        <w:rPr>
          <w:rFonts w:cs="宋体"/>
          <w:spacing w:val="4"/>
        </w:rPr>
      </w:pPr>
      <w:r>
        <w:rPr>
          <w:rFonts w:cs="宋体"/>
          <w:spacing w:val="4"/>
        </w:rPr>
        <w:t>一项发明创造的发明人或设计人有权在专利申请文件中写明自己是发明人或设计人。当事人因发明人或设计人资格或专利申请文件上的署名权发生纠纷的，可以请求管理专利工作的部门进行调解。</w:t>
      </w:r>
    </w:p>
    <w:p w:rsidR="00800760" w:rsidRDefault="00800760">
      <w:pPr>
        <w:pStyle w:val="a5"/>
        <w:spacing w:line="244" w:lineRule="auto"/>
      </w:pPr>
    </w:p>
    <w:p w:rsidR="00800760" w:rsidRDefault="00235733">
      <w:pPr>
        <w:pStyle w:val="2"/>
        <w:spacing w:before="91"/>
        <w:ind w:firstLineChars="0" w:firstLine="0"/>
        <w:rPr>
          <w:rFonts w:ascii="Times New Roman" w:hAnsi="Times New Roman"/>
        </w:rPr>
      </w:pPr>
      <w:bookmarkStart w:id="7052" w:name="_Toc23886"/>
      <w:bookmarkStart w:id="7053" w:name="_Toc12460"/>
      <w:bookmarkStart w:id="7054" w:name="_Toc19377"/>
      <w:bookmarkStart w:id="7055" w:name="_Toc10106"/>
      <w:bookmarkStart w:id="7056" w:name="_Toc20922"/>
      <w:bookmarkStart w:id="7057" w:name="_Toc6646"/>
      <w:bookmarkStart w:id="7058" w:name="_Toc1659"/>
      <w:bookmarkStart w:id="7059" w:name="_Toc20839"/>
      <w:bookmarkStart w:id="7060" w:name="_Toc1207"/>
      <w:bookmarkStart w:id="7061" w:name="_Toc3896"/>
      <w:bookmarkStart w:id="7062" w:name="_Toc6"/>
      <w:bookmarkStart w:id="7063" w:name="_Toc23946"/>
      <w:bookmarkStart w:id="7064" w:name="_Toc26816"/>
      <w:bookmarkStart w:id="7065" w:name="_Toc9813"/>
      <w:bookmarkStart w:id="7066" w:name="_Toc17692"/>
      <w:bookmarkStart w:id="7067" w:name="_Toc4824"/>
      <w:bookmarkStart w:id="7068" w:name="_Toc24893"/>
      <w:bookmarkStart w:id="7069" w:name="_Toc32029"/>
      <w:bookmarkStart w:id="7070" w:name="_Toc11831"/>
      <w:bookmarkStart w:id="7071" w:name="_Toc5374"/>
      <w:bookmarkStart w:id="7072" w:name="_Toc18349"/>
      <w:bookmarkStart w:id="7073" w:name="_Toc12908"/>
      <w:bookmarkStart w:id="7074" w:name="_Toc13"/>
      <w:bookmarkStart w:id="7075" w:name="_Toc21252"/>
      <w:bookmarkStart w:id="7076" w:name="_Toc4130"/>
      <w:bookmarkStart w:id="7077" w:name="_Toc1831"/>
      <w:bookmarkStart w:id="7078" w:name="_Toc7894"/>
      <w:bookmarkStart w:id="7079" w:name="_Toc10177"/>
      <w:bookmarkStart w:id="7080" w:name="_Toc2963"/>
      <w:bookmarkStart w:id="7081" w:name="_Toc13280"/>
      <w:bookmarkStart w:id="7082" w:name="_Toc19020"/>
      <w:bookmarkStart w:id="7083" w:name="_Toc21177"/>
      <w:bookmarkStart w:id="7084" w:name="_Toc13225"/>
      <w:bookmarkStart w:id="7085" w:name="_Toc15059"/>
      <w:bookmarkStart w:id="7086" w:name="_Toc21877"/>
      <w:bookmarkStart w:id="7087" w:name="_Toc22970"/>
      <w:bookmarkStart w:id="7088" w:name="_Toc5675"/>
      <w:bookmarkStart w:id="7089" w:name="_Toc12777"/>
      <w:bookmarkStart w:id="7090" w:name="_Toc4766"/>
      <w:bookmarkStart w:id="7091" w:name="_Toc11482"/>
      <w:bookmarkStart w:id="7092" w:name="_Toc26485"/>
      <w:bookmarkStart w:id="7093" w:name="_Toc6701"/>
      <w:bookmarkStart w:id="7094" w:name="_Toc229114491"/>
      <w:bookmarkStart w:id="7095" w:name="_Toc229225587"/>
      <w:r>
        <w:rPr>
          <w:rFonts w:ascii="Times New Roman" w:hAnsi="Times New Roman"/>
        </w:rPr>
        <w:t>第一节</w:t>
      </w:r>
      <w:r>
        <w:rPr>
          <w:rFonts w:ascii="Times New Roman" w:hAnsi="Times New Roman" w:hint="eastAsia"/>
        </w:rPr>
        <w:t xml:space="preserve">　</w:t>
      </w:r>
      <w:r>
        <w:rPr>
          <w:rFonts w:ascii="Times New Roman" w:hAnsi="Times New Roman"/>
        </w:rPr>
        <w:t>发明人或设计人资格的构成要件</w:t>
      </w:r>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p>
    <w:p w:rsidR="00800760" w:rsidRDefault="00235733">
      <w:pPr>
        <w:ind w:firstLine="436"/>
        <w:jc w:val="both"/>
        <w:rPr>
          <w:rFonts w:cs="宋体"/>
          <w:spacing w:val="4"/>
        </w:rPr>
      </w:pPr>
      <w:r>
        <w:rPr>
          <w:rFonts w:cs="宋体"/>
          <w:spacing w:val="4"/>
        </w:rPr>
        <w:t>发明人或设计人，是指对发明创造的实质性特点作出创造性贡献的人。对发明与实用新型的实质性特点作出创造性贡献的人，称为发明人；对外观设计的实质性特点作出创造性贡献的人，称为设计人。在完成发明创造过程中，只负责组织工作的人、为物质技术条件的利用提供方便的人或者从事其他辅助工作的人，不是发明人或设计人。</w:t>
      </w:r>
    </w:p>
    <w:p w:rsidR="00800760" w:rsidRDefault="00235733">
      <w:pPr>
        <w:ind w:firstLine="436"/>
        <w:jc w:val="both"/>
        <w:rPr>
          <w:rFonts w:cs="宋体"/>
          <w:spacing w:val="4"/>
        </w:rPr>
      </w:pPr>
      <w:r>
        <w:rPr>
          <w:rFonts w:cs="宋体"/>
          <w:spacing w:val="4"/>
        </w:rPr>
        <w:t>发明人或设计人有权在一项发明、实用新型或外观设计的专利申请文件中署名，其通常应具备以下几个要件：</w:t>
      </w:r>
    </w:p>
    <w:p w:rsidR="00800760" w:rsidRDefault="00235733">
      <w:pPr>
        <w:ind w:firstLine="436"/>
        <w:jc w:val="both"/>
        <w:rPr>
          <w:rFonts w:cs="宋体"/>
          <w:spacing w:val="4"/>
        </w:rPr>
      </w:pPr>
      <w:r>
        <w:rPr>
          <w:rFonts w:cs="宋体"/>
          <w:spacing w:val="4"/>
        </w:rPr>
        <w:t xml:space="preserve">1. </w:t>
      </w:r>
      <w:r>
        <w:rPr>
          <w:rFonts w:cs="宋体"/>
          <w:spacing w:val="4"/>
        </w:rPr>
        <w:t>存在专利法意义上的发明创造，包括发明、实用新型或外观设计专利或专利申请。</w:t>
      </w:r>
    </w:p>
    <w:p w:rsidR="00800760" w:rsidRDefault="00235733">
      <w:pPr>
        <w:ind w:firstLine="436"/>
        <w:jc w:val="both"/>
        <w:rPr>
          <w:rFonts w:cs="宋体"/>
          <w:spacing w:val="4"/>
        </w:rPr>
      </w:pPr>
      <w:r>
        <w:rPr>
          <w:rFonts w:cs="宋体"/>
          <w:spacing w:val="4"/>
        </w:rPr>
        <w:t xml:space="preserve">2. </w:t>
      </w:r>
      <w:r>
        <w:rPr>
          <w:rFonts w:cs="宋体"/>
          <w:spacing w:val="4"/>
        </w:rPr>
        <w:t>发明人或设计人应当是所述发明创造的实际参与人。</w:t>
      </w:r>
    </w:p>
    <w:p w:rsidR="00800760" w:rsidRDefault="00235733">
      <w:pPr>
        <w:ind w:firstLine="436"/>
        <w:jc w:val="both"/>
        <w:rPr>
          <w:rFonts w:cs="宋体"/>
        </w:rPr>
      </w:pPr>
      <w:r>
        <w:rPr>
          <w:rFonts w:cs="宋体"/>
          <w:spacing w:val="4"/>
        </w:rPr>
        <w:t xml:space="preserve">3. </w:t>
      </w:r>
      <w:r>
        <w:rPr>
          <w:rFonts w:cs="宋体"/>
          <w:spacing w:val="4"/>
        </w:rPr>
        <w:t>发明人或设计人对发明创造的实质性特点作出了创造性贡献。</w:t>
      </w:r>
    </w:p>
    <w:p w:rsidR="00800760" w:rsidRDefault="00235733">
      <w:pPr>
        <w:pStyle w:val="3"/>
        <w:spacing w:before="240"/>
        <w:ind w:firstLine="444"/>
        <w:rPr>
          <w:rFonts w:ascii="Times New Roman" w:hAnsi="Times New Roman"/>
        </w:rPr>
      </w:pPr>
      <w:bookmarkStart w:id="7096" w:name="_Toc22694"/>
      <w:bookmarkStart w:id="7097" w:name="_Toc24581"/>
      <w:bookmarkStart w:id="7098" w:name="_Toc3840"/>
      <w:bookmarkStart w:id="7099" w:name="_Toc3890"/>
      <w:bookmarkStart w:id="7100" w:name="_Toc8196"/>
      <w:bookmarkStart w:id="7101" w:name="_Toc229114492"/>
      <w:bookmarkStart w:id="7102" w:name="_Toc4012"/>
      <w:bookmarkStart w:id="7103" w:name="_Toc21739"/>
      <w:bookmarkStart w:id="7104" w:name="_Toc22378"/>
      <w:bookmarkStart w:id="7105" w:name="_Toc24895"/>
      <w:bookmarkStart w:id="7106" w:name="_Toc229225588"/>
      <w:r>
        <w:rPr>
          <w:rFonts w:ascii="Times New Roman" w:hAnsi="Times New Roman"/>
        </w:rPr>
        <w:t>一、存在专利法意义上的发明创造</w:t>
      </w:r>
      <w:bookmarkEnd w:id="7096"/>
      <w:bookmarkEnd w:id="7097"/>
      <w:bookmarkEnd w:id="7098"/>
      <w:bookmarkEnd w:id="7099"/>
      <w:bookmarkEnd w:id="7100"/>
      <w:bookmarkEnd w:id="7101"/>
      <w:bookmarkEnd w:id="7102"/>
      <w:bookmarkEnd w:id="7103"/>
      <w:bookmarkEnd w:id="7104"/>
      <w:bookmarkEnd w:id="7105"/>
      <w:bookmarkEnd w:id="7106"/>
    </w:p>
    <w:p w:rsidR="00800760" w:rsidRDefault="00235733">
      <w:pPr>
        <w:ind w:firstLine="436"/>
        <w:jc w:val="both"/>
        <w:rPr>
          <w:rFonts w:cs="宋体"/>
          <w:spacing w:val="4"/>
        </w:rPr>
      </w:pPr>
      <w:r>
        <w:rPr>
          <w:rFonts w:cs="宋体"/>
          <w:spacing w:val="4"/>
        </w:rPr>
        <w:t>存在一项专利法意义上的发明创造是判断是否具备发明人或设计人资格的前提条件。专利法意义上的发明创造包括发明、实用新型和外观设计，既可以是经授权公告的专利，也可以是尚未授权的专利申请。</w:t>
      </w:r>
    </w:p>
    <w:p w:rsidR="00800760" w:rsidRDefault="00235733">
      <w:pPr>
        <w:ind w:firstLine="436"/>
        <w:jc w:val="both"/>
        <w:rPr>
          <w:rFonts w:cs="宋体"/>
          <w:spacing w:val="4"/>
        </w:rPr>
      </w:pPr>
      <w:r>
        <w:rPr>
          <w:rFonts w:cs="宋体"/>
          <w:spacing w:val="4"/>
        </w:rPr>
        <w:t>发明或实用新型专利或专利申请所涉及的发明创造应当是指专利文件或专利申请文件中记载的技术方案，其中不仅包括权利要求书记载的技术方案，也包括仅记载在说明书中而未记载在权利要求书中的技术方案，但记载在说明书摘要而未记载在说明书或权利要求书中的技术方案不能作为专利法意义上的发明创造。</w:t>
      </w:r>
    </w:p>
    <w:p w:rsidR="00800760" w:rsidRDefault="00235733">
      <w:pPr>
        <w:pStyle w:val="af6"/>
        <w:spacing w:before="120"/>
        <w:ind w:firstLine="420"/>
        <w:rPr>
          <w:rFonts w:ascii="Times New Roman" w:hAnsi="Times New Roman"/>
        </w:rPr>
      </w:pPr>
      <w:bookmarkStart w:id="7107" w:name="bookmark192"/>
      <w:bookmarkEnd w:id="7107"/>
      <w:r>
        <w:rPr>
          <w:rFonts w:ascii="Times New Roman" w:hAnsi="Times New Roman" w:hint="eastAsia"/>
        </w:rPr>
        <w:t>【案例</w:t>
      </w:r>
      <w:r>
        <w:rPr>
          <w:rFonts w:ascii="Times New Roman" w:hAnsi="Times New Roman"/>
        </w:rPr>
        <w:t>4-1-1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向当地管理专利工作的部门提出调解请求，认为其应为专利号为</w:t>
      </w:r>
      <w:r>
        <w:rPr>
          <w:rFonts w:eastAsia="楷体_GB2312" w:cs="MingLiU_HKSCS"/>
          <w:lang w:val="zh-CN"/>
        </w:rPr>
        <w:t>20001××××.×,</w:t>
      </w:r>
      <w:r>
        <w:rPr>
          <w:rFonts w:eastAsia="楷体_GB2312" w:cs="MingLiU_HKSCS"/>
          <w:lang w:val="zh-CN"/>
        </w:rPr>
        <w:t>发明名称为</w:t>
      </w:r>
      <w:r>
        <w:rPr>
          <w:rFonts w:eastAsia="楷体_GB2312" w:cs="MingLiU_HKSCS"/>
          <w:lang w:val="zh-CN"/>
        </w:rPr>
        <w:t>“</w:t>
      </w:r>
      <w:r>
        <w:rPr>
          <w:rFonts w:eastAsia="楷体_GB2312" w:cs="MingLiU_HKSCS"/>
          <w:lang w:val="zh-CN"/>
        </w:rPr>
        <w:t>一种发动机用燃油添加剂</w:t>
      </w:r>
      <w:r>
        <w:rPr>
          <w:rFonts w:eastAsia="楷体_GB2312" w:cs="MingLiU_HKSCS"/>
          <w:lang w:val="zh-CN"/>
        </w:rPr>
        <w:t>”</w:t>
      </w:r>
      <w:r>
        <w:rPr>
          <w:rFonts w:eastAsia="楷体_GB2312" w:cs="MingLiU_HKSCS"/>
          <w:lang w:val="zh-CN"/>
        </w:rPr>
        <w:t>的发明专利申请的发明人，</w:t>
      </w:r>
      <w:r>
        <w:rPr>
          <w:rFonts w:eastAsia="楷体_GB2312" w:cs="MingLiU_HKSCS"/>
          <w:lang w:val="zh-CN"/>
        </w:rPr>
        <w:t>A</w:t>
      </w:r>
      <w:r>
        <w:rPr>
          <w:rFonts w:eastAsia="楷体_GB2312" w:cs="MingLiU_HKSCS"/>
          <w:lang w:val="zh-CN"/>
        </w:rPr>
        <w:t>单位认为</w:t>
      </w:r>
      <w:r>
        <w:rPr>
          <w:rFonts w:eastAsia="楷体_GB2312" w:cs="MingLiU_HKSCS" w:hint="eastAsia"/>
          <w:lang w:val="zh-CN"/>
        </w:rPr>
        <w:t>甲</w:t>
      </w:r>
      <w:r>
        <w:rPr>
          <w:rFonts w:eastAsia="楷体_GB2312" w:cs="MingLiU_HKSCS"/>
          <w:lang w:val="zh-CN"/>
        </w:rPr>
        <w:t>不符合《专利法》第</w:t>
      </w:r>
      <w:r>
        <w:rPr>
          <w:rFonts w:eastAsia="楷体_GB2312" w:cs="MingLiU_HKSCS" w:hint="eastAsia"/>
          <w:lang w:val="zh-CN"/>
        </w:rPr>
        <w:t>十六</w:t>
      </w:r>
      <w:r>
        <w:rPr>
          <w:rFonts w:eastAsia="楷体_GB2312" w:cs="MingLiU_HKSCS"/>
          <w:lang w:val="zh-CN"/>
        </w:rPr>
        <w:t>条第一款的规定，未将其写在专利申请文件中。</w:t>
      </w:r>
      <w:r>
        <w:rPr>
          <w:rFonts w:eastAsia="楷体_GB2312" w:cs="MingLiU_HKSCS" w:hint="eastAsia"/>
          <w:lang w:val="zh-CN"/>
        </w:rPr>
        <w:t>甲</w:t>
      </w:r>
      <w:r>
        <w:rPr>
          <w:rFonts w:eastAsia="楷体_GB2312" w:cs="MingLiU_HKSCS"/>
          <w:lang w:val="zh-CN"/>
        </w:rPr>
        <w:t>称，该发明同时涉及发动机燃油及该燃油用添加剂，虽然其未参与添加剂的开发，但是具体参与了将添加剂加入燃油中调整燃油配方的工作，不将其作为发明人对待是不公平的。</w:t>
      </w:r>
      <w:r>
        <w:rPr>
          <w:rFonts w:eastAsia="楷体_GB2312" w:cs="MingLiU_HKSCS"/>
          <w:lang w:val="zh-CN"/>
        </w:rPr>
        <w:t>A</w:t>
      </w:r>
      <w:r>
        <w:rPr>
          <w:rFonts w:eastAsia="楷体_GB2312" w:cs="MingLiU_HKSCS" w:hint="eastAsia"/>
          <w:lang w:val="zh-CN"/>
        </w:rPr>
        <w:t>单位辩称，该发明名称为</w:t>
      </w:r>
      <w:r>
        <w:rPr>
          <w:rFonts w:eastAsia="楷体_GB2312" w:cs="MingLiU_HKSCS"/>
          <w:lang w:val="zh-CN"/>
        </w:rPr>
        <w:t>“</w:t>
      </w:r>
      <w:r>
        <w:rPr>
          <w:rFonts w:eastAsia="楷体_GB2312" w:cs="MingLiU_HKSCS"/>
          <w:lang w:val="zh-CN"/>
        </w:rPr>
        <w:t>一种发动机用燃油添加剂</w:t>
      </w:r>
      <w:r>
        <w:rPr>
          <w:rFonts w:eastAsia="楷体_GB2312" w:cs="MingLiU_HKSCS"/>
          <w:lang w:val="zh-CN"/>
        </w:rPr>
        <w:t>”,</w:t>
      </w:r>
      <w:r>
        <w:rPr>
          <w:rFonts w:eastAsia="楷体_GB2312" w:cs="MingLiU_HKSCS"/>
          <w:lang w:val="zh-CN"/>
        </w:rPr>
        <w:t>权利要求中也仅保护燃油添加剂，并未要求保护添加了添加剂的燃油，因此未将</w:t>
      </w:r>
      <w:r>
        <w:rPr>
          <w:rFonts w:eastAsia="楷体_GB2312" w:cs="MingLiU_HKSCS" w:hint="eastAsia"/>
          <w:lang w:val="zh-CN"/>
        </w:rPr>
        <w:t>甲</w:t>
      </w:r>
      <w:r>
        <w:rPr>
          <w:rFonts w:eastAsia="楷体_GB2312" w:cs="MingLiU_HKSCS"/>
          <w:lang w:val="zh-CN"/>
        </w:rPr>
        <w:t>作为该发明专利申请的发明人。经查，该专利说明书中不仅包括燃油添加剂的配方，也包括添加了添加剂的燃油的配方，以及对燃油的使用效果进行验证的实施例。</w:t>
      </w:r>
    </w:p>
    <w:p w:rsidR="00800760" w:rsidRDefault="00235733">
      <w:pPr>
        <w:rPr>
          <w:rFonts w:eastAsia="华文隶书" w:cs="华文隶书"/>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有资格作为发明人或设计人写在专利文件或专利申请文件中的人应当是实际参与了发明创造的人，其所参与的发明创造应当包括所有出现在说明书中的技术方案，而不是局限于权利要求中要求保护的技术方案。这是因为，一方面，在专利文件或专利申请文件中的发明人或设计人是对发明人或设计人参与发明创造在精神层面上的肯定，而专利文件或专利申请文件不仅包括权利要求书，还包括说明书，社会公众在看到专利文件或专利申请文件扉页上的发明人或设计人时，不会仅将其与权利要求联系起来；另一方面，在专利审批过程中，专利申请人可能会对申请文件作出修改，仅出现在说明书中的技术方案可能会因修改而作为权利要求书要求保护的技术方案，如果仅将发明人或设计人的署名权界定在基于权利要求书的技术方案上的话，将会导致发明人或设计人的署名权随着权利要求的变化发生变化，这显然是不合理的。</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lang w:val="zh-CN"/>
        </w:rPr>
        <w:t>A</w:t>
      </w:r>
      <w:r>
        <w:rPr>
          <w:rFonts w:eastAsia="楷体_GB2312" w:cs="MingLiU_HKSCS"/>
          <w:lang w:val="zh-CN"/>
        </w:rPr>
        <w:t>单位仅以专利权利要求中未请求保护燃油而不将</w:t>
      </w:r>
      <w:r>
        <w:rPr>
          <w:rFonts w:eastAsia="楷体_GB2312" w:cs="MingLiU_HKSCS" w:hint="eastAsia"/>
          <w:lang w:val="zh-CN"/>
        </w:rPr>
        <w:t>甲</w:t>
      </w:r>
      <w:r>
        <w:rPr>
          <w:rFonts w:eastAsia="楷体_GB2312" w:cs="MingLiU_HKSCS"/>
          <w:lang w:val="zh-CN"/>
        </w:rPr>
        <w:t>作为发明人的理由不能被接受。判断</w:t>
      </w:r>
      <w:r>
        <w:rPr>
          <w:rFonts w:eastAsia="楷体_GB2312" w:cs="MingLiU_HKSCS" w:hint="eastAsia"/>
          <w:lang w:val="zh-CN"/>
        </w:rPr>
        <w:t>甲</w:t>
      </w:r>
      <w:r>
        <w:rPr>
          <w:rFonts w:eastAsia="楷体_GB2312" w:cs="MingLiU_HKSCS"/>
          <w:lang w:val="zh-CN"/>
        </w:rPr>
        <w:t>是否有资格作为发明人，管理专利工作的部门还应审查</w:t>
      </w:r>
      <w:r>
        <w:rPr>
          <w:rFonts w:eastAsia="楷体_GB2312" w:cs="MingLiU_HKSCS" w:hint="eastAsia"/>
          <w:lang w:val="zh-CN"/>
        </w:rPr>
        <w:t>甲</w:t>
      </w:r>
      <w:r>
        <w:rPr>
          <w:rFonts w:eastAsia="楷体_GB2312" w:cs="MingLiU_HKSCS"/>
          <w:lang w:val="zh-CN"/>
        </w:rPr>
        <w:t>在具有添加剂的燃油的发明过程中是否作出了创造性贡献。</w:t>
      </w:r>
    </w:p>
    <w:p w:rsidR="00800760" w:rsidRDefault="00235733">
      <w:pPr>
        <w:pStyle w:val="3"/>
        <w:spacing w:before="240"/>
        <w:ind w:firstLine="444"/>
        <w:rPr>
          <w:rFonts w:ascii="Times New Roman" w:hAnsi="Times New Roman"/>
        </w:rPr>
      </w:pPr>
      <w:bookmarkStart w:id="7108" w:name="_Toc11673"/>
      <w:bookmarkStart w:id="7109" w:name="_Toc3226"/>
      <w:bookmarkStart w:id="7110" w:name="_Toc229114493"/>
      <w:bookmarkStart w:id="7111" w:name="_Toc13453"/>
      <w:bookmarkStart w:id="7112" w:name="_Toc11749"/>
      <w:bookmarkStart w:id="7113" w:name="_Toc22146"/>
      <w:bookmarkStart w:id="7114" w:name="_Toc19565"/>
      <w:bookmarkStart w:id="7115" w:name="_Toc8991"/>
      <w:bookmarkStart w:id="7116" w:name="_Toc3043"/>
      <w:bookmarkStart w:id="7117" w:name="_Toc24618"/>
      <w:bookmarkStart w:id="7118" w:name="_Toc229225589"/>
      <w:r>
        <w:rPr>
          <w:rFonts w:ascii="Times New Roman" w:hAnsi="Times New Roman"/>
        </w:rPr>
        <w:t>二、是发明创造的实际参与人</w:t>
      </w:r>
      <w:bookmarkEnd w:id="7108"/>
      <w:bookmarkEnd w:id="7109"/>
      <w:bookmarkEnd w:id="7110"/>
      <w:bookmarkEnd w:id="7111"/>
      <w:bookmarkEnd w:id="7112"/>
      <w:bookmarkEnd w:id="7113"/>
      <w:bookmarkEnd w:id="7114"/>
      <w:bookmarkEnd w:id="7115"/>
      <w:bookmarkEnd w:id="7116"/>
      <w:bookmarkEnd w:id="7117"/>
      <w:bookmarkEnd w:id="7118"/>
    </w:p>
    <w:p w:rsidR="00800760" w:rsidRDefault="00235733">
      <w:r>
        <w:t>有资格作为发明人或设计人的人应当实际参与到发明创造的形成过程中，未实际参与发明创造的人不能作为发明人或设计人。根据发明创造性质的不同，实际参与的表现形式可能会有差异。</w:t>
      </w:r>
    </w:p>
    <w:p w:rsidR="00800760" w:rsidRDefault="00235733">
      <w:pPr>
        <w:pStyle w:val="af6"/>
        <w:spacing w:before="120"/>
        <w:ind w:firstLine="420"/>
        <w:rPr>
          <w:rFonts w:ascii="Times New Roman" w:hAnsi="Times New Roman"/>
        </w:rPr>
      </w:pPr>
      <w:bookmarkStart w:id="7119" w:name="bookmark193"/>
      <w:bookmarkEnd w:id="7119"/>
      <w:r>
        <w:rPr>
          <w:rFonts w:ascii="Times New Roman" w:hAnsi="Times New Roman" w:hint="eastAsia"/>
        </w:rPr>
        <w:t>【案例</w:t>
      </w:r>
      <w:r>
        <w:rPr>
          <w:rFonts w:ascii="Times New Roman" w:hAnsi="Times New Roman"/>
        </w:rPr>
        <w:t>4-1-</w:t>
      </w:r>
      <w:r>
        <w:rPr>
          <w:rFonts w:ascii="Times New Roman" w:hAnsi="Times New Roman" w:hint="eastAsia"/>
        </w:rPr>
        <w:t>2</w:t>
      </w:r>
      <w:r>
        <w:rPr>
          <w:rFonts w:ascii="Times New Roman" w:hAnsi="Times New Roman" w:hint="eastAsia"/>
        </w:rPr>
        <w:t>】</w:t>
      </w:r>
    </w:p>
    <w:p w:rsidR="00800760" w:rsidRDefault="00235733">
      <w:pPr>
        <w:spacing w:line="360" w:lineRule="auto"/>
        <w:rPr>
          <w:rFonts w:eastAsia="楷体" w:cs="楷体"/>
        </w:rPr>
      </w:pPr>
      <w:r>
        <w:rPr>
          <w:rFonts w:eastAsia="楷体_GB2312" w:cs="MingLiU_HKSCS" w:hint="eastAsia"/>
          <w:lang w:val="zh-CN"/>
        </w:rPr>
        <w:t>甲</w:t>
      </w:r>
      <w:r>
        <w:rPr>
          <w:rFonts w:eastAsia="楷体_GB2312" w:cs="MingLiU_HKSCS"/>
          <w:lang w:val="zh-CN"/>
        </w:rPr>
        <w:t>于</w:t>
      </w:r>
      <w:r>
        <w:rPr>
          <w:rFonts w:eastAsia="楷体_GB2312" w:cs="MingLiU_HKSCS"/>
          <w:lang w:val="zh-CN"/>
        </w:rPr>
        <w:t>2007</w:t>
      </w:r>
      <w:r>
        <w:rPr>
          <w:rFonts w:eastAsia="楷体_GB2312" w:cs="MingLiU_HKSCS"/>
          <w:lang w:val="zh-CN"/>
        </w:rPr>
        <w:t>年向</w:t>
      </w:r>
      <w:r>
        <w:rPr>
          <w:rFonts w:eastAsia="楷体_GB2312" w:cs="MingLiU_HKSCS"/>
        </w:rPr>
        <w:t>国务院专利行政部门</w:t>
      </w:r>
      <w:r>
        <w:rPr>
          <w:rFonts w:eastAsia="楷体_GB2312" w:cs="MingLiU_HKSCS"/>
          <w:lang w:val="zh-CN"/>
        </w:rPr>
        <w:t>提交名称为</w:t>
      </w:r>
      <w:r>
        <w:rPr>
          <w:rFonts w:eastAsia="楷体_GB2312" w:cs="MingLiU_HKSCS"/>
          <w:lang w:val="zh-CN"/>
        </w:rPr>
        <w:t>“</w:t>
      </w:r>
      <w:r>
        <w:rPr>
          <w:rFonts w:eastAsia="楷体_GB2312" w:cs="MingLiU_HKSCS"/>
          <w:lang w:val="zh-CN"/>
        </w:rPr>
        <w:t>智能门锁</w:t>
      </w:r>
      <w:r>
        <w:rPr>
          <w:rFonts w:eastAsia="楷体_GB2312" w:cs="MingLiU_HKSCS"/>
          <w:lang w:val="zh-CN"/>
        </w:rPr>
        <w:t>”</w:t>
      </w:r>
      <w:r>
        <w:rPr>
          <w:rFonts w:eastAsia="楷体_GB2312" w:cs="MingLiU_HKSCS"/>
          <w:lang w:val="zh-CN"/>
        </w:rPr>
        <w:t>的实用新型专利申请，其本人既是发明人，又是专利申请人。该专利授权后，</w:t>
      </w:r>
      <w:r>
        <w:rPr>
          <w:rFonts w:eastAsia="楷体_GB2312" w:cs="MingLiU_HKSCS" w:hint="eastAsia"/>
          <w:lang w:val="zh-CN"/>
        </w:rPr>
        <w:t>乙</w:t>
      </w:r>
      <w:r>
        <w:rPr>
          <w:rFonts w:eastAsia="楷体_GB2312" w:cs="MingLiU_HKSCS"/>
          <w:lang w:val="zh-CN"/>
        </w:rPr>
        <w:t>向当地知识产权局提交调解请求，认为该项专利权所涉及的</w:t>
      </w:r>
      <w:r>
        <w:rPr>
          <w:rFonts w:eastAsia="楷体_GB2312" w:cs="MingLiU_HKSCS"/>
          <w:lang w:val="zh-CN"/>
        </w:rPr>
        <w:t>“</w:t>
      </w:r>
      <w:r>
        <w:rPr>
          <w:rFonts w:eastAsia="楷体_GB2312" w:cs="MingLiU_HKSCS"/>
          <w:lang w:val="zh-CN"/>
        </w:rPr>
        <w:t>智能门锁</w:t>
      </w:r>
      <w:r>
        <w:rPr>
          <w:rFonts w:eastAsia="楷体_GB2312" w:cs="MingLiU_HKSCS"/>
          <w:lang w:val="zh-CN"/>
        </w:rPr>
        <w:t>”</w:t>
      </w:r>
      <w:r>
        <w:rPr>
          <w:rFonts w:eastAsia="楷体_GB2312" w:cs="MingLiU_HKSCS"/>
          <w:lang w:val="zh-CN"/>
        </w:rPr>
        <w:t>是他发明的，他才是这种智能门锁的发明人。</w:t>
      </w:r>
      <w:r>
        <w:rPr>
          <w:rFonts w:eastAsia="楷体_GB2312" w:cs="MingLiU_HKSCS" w:hint="eastAsia"/>
          <w:lang w:val="zh-CN"/>
        </w:rPr>
        <w:t>乙</w:t>
      </w:r>
      <w:r>
        <w:rPr>
          <w:rFonts w:eastAsia="楷体_GB2312" w:cs="MingLiU_HKSCS"/>
          <w:lang w:val="zh-CN"/>
        </w:rPr>
        <w:t>主张，其与</w:t>
      </w:r>
      <w:r>
        <w:rPr>
          <w:rFonts w:eastAsia="楷体_GB2312" w:cs="MingLiU_HKSCS" w:hint="eastAsia"/>
          <w:lang w:val="zh-CN"/>
        </w:rPr>
        <w:t>甲</w:t>
      </w:r>
      <w:r>
        <w:rPr>
          <w:rFonts w:eastAsia="楷体_GB2312" w:cs="MingLiU_HKSCS"/>
          <w:lang w:val="zh-CN"/>
        </w:rPr>
        <w:t>在一次展览会上结识，二人就该展览会上展出的一种门锁讨论后，均认为这种门锁不够智能。展览会结束后，</w:t>
      </w:r>
      <w:r>
        <w:rPr>
          <w:rFonts w:eastAsia="楷体_GB2312" w:cs="MingLiU_HKSCS" w:hint="eastAsia"/>
          <w:lang w:val="zh-CN"/>
        </w:rPr>
        <w:t>乙</w:t>
      </w:r>
      <w:r>
        <w:rPr>
          <w:rFonts w:eastAsia="楷体_GB2312" w:cs="MingLiU_HKSCS"/>
          <w:lang w:val="zh-CN"/>
        </w:rPr>
        <w:t>给</w:t>
      </w:r>
      <w:r>
        <w:rPr>
          <w:rFonts w:eastAsia="楷体_GB2312" w:cs="MingLiU_HKSCS" w:hint="eastAsia"/>
          <w:lang w:val="zh-CN"/>
        </w:rPr>
        <w:t>甲</w:t>
      </w:r>
      <w:r>
        <w:rPr>
          <w:rFonts w:eastAsia="楷体_GB2312" w:cs="MingLiU_HKSCS"/>
          <w:lang w:val="zh-CN"/>
        </w:rPr>
        <w:t>发了一封邮件，其在邮件中提出，如果把锁芯控制改为自动控制，就可以将门锁改为智能门锁。</w:t>
      </w:r>
      <w:r>
        <w:rPr>
          <w:rFonts w:eastAsia="楷体_GB2312" w:cs="MingLiU_HKSCS" w:hint="eastAsia"/>
          <w:lang w:val="zh-CN"/>
        </w:rPr>
        <w:t>甲</w:t>
      </w:r>
      <w:r>
        <w:rPr>
          <w:rFonts w:eastAsia="楷体_GB2312" w:cs="MingLiU_HKSCS"/>
          <w:lang w:val="zh-CN"/>
        </w:rPr>
        <w:t>辩称，智能控制锁芯的移动是门锁智能化的必经过程，在收到</w:t>
      </w:r>
      <w:r>
        <w:rPr>
          <w:rFonts w:eastAsia="楷体_GB2312" w:cs="MingLiU_HKSCS" w:hint="eastAsia"/>
          <w:lang w:val="zh-CN"/>
        </w:rPr>
        <w:t>乙</w:t>
      </w:r>
      <w:r>
        <w:rPr>
          <w:rFonts w:eastAsia="楷体_GB2312" w:cs="MingLiU_HKSCS"/>
          <w:lang w:val="zh-CN"/>
        </w:rPr>
        <w:t>的邮件之前，自己已经在尝试采用各种方法来控制锁芯的移动，并且在涉案专利智能门锁的发明过程中，</w:t>
      </w:r>
      <w:r>
        <w:rPr>
          <w:rFonts w:eastAsia="楷体_GB2312" w:cs="MingLiU_HKSCS" w:hint="eastAsia"/>
          <w:lang w:val="zh-CN"/>
        </w:rPr>
        <w:t>乙</w:t>
      </w:r>
      <w:r>
        <w:rPr>
          <w:rFonts w:eastAsia="楷体_GB2312" w:cs="MingLiU_HKSCS"/>
          <w:lang w:val="zh-CN"/>
        </w:rPr>
        <w:t>根本没有参与任何工作。</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在头脑中产生一个概念与亲自参与发明创造是两个完全不同的过程。尽管对于某些发明，尤其是开拓性发明的作出，新概念或新原理的突破起着非常重要的作用，但是这种新的概念与能够最终获得知识产权的技术构思存在很大程度的差异。前者仅仅是智慧的灵光，非常抽象，是否能够形成技术方案具有太多的不确定性；后者则是发明创造的起点，更加具体。虽然从技术构思演变成能够给予知识产权保护的具体技术方案可能也需要试验、修改、再试验、再修改，但具体的技术构思对于发明创造的作出具有非常强的指导性，形成技术构思应当属于亲历发明创造。</w:t>
      </w:r>
    </w:p>
    <w:p w:rsidR="00800760" w:rsidRDefault="00235733">
      <w:pPr>
        <w:spacing w:line="360" w:lineRule="auto"/>
        <w:rPr>
          <w:rFonts w:eastAsia="楷体_GB2312" w:cs="MingLiU_HKSCS"/>
          <w:lang w:val="zh-CN"/>
        </w:rPr>
      </w:pPr>
      <w:r>
        <w:rPr>
          <w:rFonts w:eastAsia="楷体_GB2312" w:cs="MingLiU_HKSCS"/>
          <w:lang w:val="zh-CN"/>
        </w:rPr>
        <w:t>该案中，锁芯是门锁的关键部件，将锁芯由机械控制改为自动控制，自然会影响到门锁的智能化程度，关键是如何将这种抽象的概念实际应用到门锁结构中。</w:t>
      </w:r>
      <w:r>
        <w:rPr>
          <w:rFonts w:eastAsia="楷体_GB2312" w:cs="MingLiU_HKSCS" w:hint="eastAsia"/>
          <w:lang w:val="zh-CN"/>
        </w:rPr>
        <w:t>乙</w:t>
      </w:r>
      <w:r>
        <w:rPr>
          <w:rFonts w:eastAsia="楷体_GB2312" w:cs="MingLiU_HKSCS"/>
          <w:lang w:val="zh-CN"/>
        </w:rPr>
        <w:t>显然只是提出智能化这样一个抽象的概念，其没有具体参与到采用何种方式实现智能化控制锁芯移动的研究开发过程中，因此，不能被认为是涉案</w:t>
      </w:r>
      <w:r>
        <w:rPr>
          <w:rFonts w:eastAsia="楷体_GB2312" w:cs="MingLiU_HKSCS"/>
          <w:lang w:val="zh-CN"/>
        </w:rPr>
        <w:t>“</w:t>
      </w:r>
      <w:r>
        <w:rPr>
          <w:rFonts w:eastAsia="楷体_GB2312" w:cs="MingLiU_HKSCS"/>
          <w:lang w:val="zh-CN"/>
        </w:rPr>
        <w:t>智能门锁</w:t>
      </w:r>
      <w:r>
        <w:rPr>
          <w:rFonts w:eastAsia="楷体_GB2312" w:cs="MingLiU_HKSCS"/>
          <w:lang w:val="zh-CN"/>
        </w:rPr>
        <w:t>”</w:t>
      </w:r>
      <w:r>
        <w:rPr>
          <w:rFonts w:eastAsia="楷体_GB2312" w:cs="MingLiU_HKSCS"/>
          <w:lang w:val="zh-CN"/>
        </w:rPr>
        <w:t>真正的发明人。</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rPr>
        <w:t>4-1-3</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称，</w:t>
      </w:r>
      <w:r>
        <w:rPr>
          <w:rFonts w:eastAsia="楷体_GB2312" w:cs="MingLiU_HKSCS" w:hint="eastAsia"/>
          <w:lang w:val="zh-CN"/>
        </w:rPr>
        <w:t>乙</w:t>
      </w:r>
      <w:r>
        <w:rPr>
          <w:rFonts w:eastAsia="楷体_GB2312" w:cs="MingLiU_HKSCS"/>
          <w:lang w:val="zh-CN"/>
        </w:rPr>
        <w:t>以唯一发明人身份提交涉案专利申请，但该发明专利申请所涉技术方案系</w:t>
      </w:r>
      <w:r>
        <w:rPr>
          <w:rFonts w:eastAsia="楷体_GB2312" w:cs="MingLiU_HKSCS" w:hint="eastAsia"/>
          <w:lang w:val="zh-CN"/>
        </w:rPr>
        <w:t>乙</w:t>
      </w:r>
      <w:r>
        <w:rPr>
          <w:rFonts w:eastAsia="楷体_GB2312" w:cs="MingLiU_HKSCS"/>
          <w:lang w:val="zh-CN"/>
        </w:rPr>
        <w:t>在执行某公司的任务时与</w:t>
      </w:r>
      <w:r>
        <w:rPr>
          <w:rFonts w:eastAsia="楷体_GB2312" w:cs="MingLiU_HKSCS" w:hint="eastAsia"/>
          <w:lang w:val="zh-CN"/>
        </w:rPr>
        <w:t>甲</w:t>
      </w:r>
      <w:r>
        <w:rPr>
          <w:rFonts w:eastAsia="楷体_GB2312" w:cs="MingLiU_HKSCS"/>
          <w:lang w:val="zh-CN"/>
        </w:rPr>
        <w:t>共同完成的职务发明创造，</w:t>
      </w:r>
      <w:r>
        <w:rPr>
          <w:rFonts w:eastAsia="楷体_GB2312" w:cs="MingLiU_HKSCS" w:hint="eastAsia"/>
          <w:lang w:val="zh-CN"/>
        </w:rPr>
        <w:t>乙</w:t>
      </w:r>
      <w:r>
        <w:rPr>
          <w:rFonts w:eastAsia="楷体_GB2312" w:cs="MingLiU_HKSCS"/>
          <w:lang w:val="zh-CN"/>
        </w:rPr>
        <w:t>将该项发明创造以唯一发明人的身份申请发明专利的行为违反了有关法律规定。</w:t>
      </w:r>
      <w:r>
        <w:rPr>
          <w:rFonts w:eastAsia="楷体_GB2312" w:cs="MingLiU_HKSCS" w:hint="eastAsia"/>
          <w:lang w:val="zh-CN"/>
        </w:rPr>
        <w:t>甲</w:t>
      </w:r>
      <w:r>
        <w:rPr>
          <w:rFonts w:eastAsia="楷体_GB2312" w:cs="MingLiU_HKSCS"/>
          <w:lang w:val="zh-CN"/>
        </w:rPr>
        <w:t>提交了关于涉案专利申请的技术鉴定资料，其中有</w:t>
      </w:r>
      <w:r>
        <w:rPr>
          <w:rFonts w:eastAsia="楷体_GB2312" w:cs="MingLiU_HKSCS" w:hint="eastAsia"/>
          <w:lang w:val="zh-CN"/>
        </w:rPr>
        <w:t>甲</w:t>
      </w:r>
      <w:r>
        <w:rPr>
          <w:rFonts w:eastAsia="楷体_GB2312" w:cs="MingLiU_HKSCS"/>
          <w:lang w:val="zh-CN"/>
        </w:rPr>
        <w:t>参与署名的相应技术文档，该文档中详细记载了涉案发明专利申请的技术方案的细节。管理专利工作的部门认为，</w:t>
      </w:r>
      <w:r>
        <w:rPr>
          <w:rFonts w:eastAsia="楷体_GB2312" w:cs="MingLiU_HKSCS" w:hint="eastAsia"/>
          <w:lang w:val="zh-CN"/>
        </w:rPr>
        <w:t>甲</w:t>
      </w:r>
      <w:r>
        <w:rPr>
          <w:rFonts w:eastAsia="楷体_GB2312" w:cs="MingLiU_HKSCS"/>
          <w:lang w:val="zh-CN"/>
        </w:rPr>
        <w:t>证明自己为发明人的证据为在相应技术文档中有其署名的技术鉴定资料。根据相关法律规定，如无相反的证据，在作品上署名的人即为作者，并以此享有相关的权利。基于该技术文档中详细记载了涉案发明专利申请的技术方案的细节，因此可推定</w:t>
      </w:r>
      <w:r>
        <w:rPr>
          <w:rFonts w:eastAsia="楷体_GB2312" w:cs="MingLiU_HKSCS" w:hint="eastAsia"/>
          <w:lang w:val="zh-CN"/>
        </w:rPr>
        <w:t>甲</w:t>
      </w:r>
      <w:r>
        <w:rPr>
          <w:rFonts w:eastAsia="楷体_GB2312" w:cs="MingLiU_HKSCS"/>
          <w:lang w:val="zh-CN"/>
        </w:rPr>
        <w:t>参与了对所涉的技术方案进行的研究。</w:t>
      </w:r>
      <w:r>
        <w:rPr>
          <w:rFonts w:eastAsia="楷体_GB2312" w:cs="MingLiU_HKSCS" w:hint="eastAsia"/>
          <w:lang w:val="zh-CN"/>
        </w:rPr>
        <w:t>甲</w:t>
      </w:r>
      <w:r>
        <w:rPr>
          <w:rFonts w:eastAsia="楷体_GB2312" w:cs="MingLiU_HKSCS"/>
          <w:lang w:val="zh-CN"/>
        </w:rPr>
        <w:t>主张其具有涉案发明专利申请的发明人资格的请求应当得到支持。</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hint="eastAsia"/>
          <w:lang w:val="zh-CN"/>
        </w:rPr>
        <w:t>甲</w:t>
      </w:r>
      <w:r>
        <w:rPr>
          <w:rFonts w:eastAsia="楷体_GB2312" w:cs="MingLiU_HKSCS"/>
          <w:lang w:val="zh-CN"/>
        </w:rPr>
        <w:t>证明自己具有涉案专利申请的发明人资格所依赖的证据为涉案专利申请的技术鉴定资料，其中有</w:t>
      </w:r>
      <w:r>
        <w:rPr>
          <w:rFonts w:eastAsia="楷体_GB2312" w:cs="MingLiU_HKSCS" w:hint="eastAsia"/>
          <w:lang w:val="zh-CN"/>
        </w:rPr>
        <w:t>甲</w:t>
      </w:r>
      <w:r>
        <w:rPr>
          <w:rFonts w:eastAsia="楷体_GB2312" w:cs="MingLiU_HKSCS"/>
          <w:lang w:val="zh-CN"/>
        </w:rPr>
        <w:t>参与署名的相应技术文档。在判断所述技术鉴定资料能否证明</w:t>
      </w:r>
      <w:r>
        <w:rPr>
          <w:rFonts w:eastAsia="楷体_GB2312" w:cs="MingLiU_HKSCS" w:hint="eastAsia"/>
          <w:lang w:val="zh-CN"/>
        </w:rPr>
        <w:t>甲</w:t>
      </w:r>
      <w:r>
        <w:rPr>
          <w:rFonts w:eastAsia="楷体_GB2312" w:cs="MingLiU_HKSCS"/>
          <w:lang w:val="zh-CN"/>
        </w:rPr>
        <w:t>为涉案专利的发明人时，要解决以下两个问题：一是所述技术鉴定资料与涉案专利申请的关系，二是在技术鉴定资料中</w:t>
      </w:r>
      <w:r>
        <w:rPr>
          <w:rFonts w:eastAsia="楷体_GB2312" w:cs="MingLiU_HKSCS" w:hint="eastAsia"/>
          <w:lang w:val="zh-CN"/>
        </w:rPr>
        <w:t>甲</w:t>
      </w:r>
      <w:r>
        <w:rPr>
          <w:rFonts w:eastAsia="楷体_GB2312" w:cs="MingLiU_HKSCS"/>
          <w:lang w:val="zh-CN"/>
        </w:rPr>
        <w:t>的身份。该案中，首先，所述技术鉴定资料中</w:t>
      </w:r>
      <w:r>
        <w:rPr>
          <w:rFonts w:eastAsia="楷体_GB2312" w:cs="MingLiU_HKSCS" w:hint="eastAsia"/>
          <w:lang w:val="zh-CN"/>
        </w:rPr>
        <w:t>甲</w:t>
      </w:r>
      <w:r>
        <w:rPr>
          <w:rFonts w:eastAsia="楷体_GB2312" w:cs="MingLiU_HKSCS"/>
          <w:lang w:val="zh-CN"/>
        </w:rPr>
        <w:t>参与署名的技术文档中记载的技术方案的细节与涉案专利申请技术方案一致；其次，所述技术鉴定资料中记载，</w:t>
      </w:r>
      <w:r>
        <w:rPr>
          <w:rFonts w:eastAsia="楷体_GB2312" w:cs="MingLiU_HKSCS" w:hint="eastAsia"/>
          <w:lang w:val="zh-CN"/>
        </w:rPr>
        <w:t>甲</w:t>
      </w:r>
      <w:r>
        <w:rPr>
          <w:rFonts w:eastAsia="楷体_GB2312" w:cs="MingLiU_HKSCS"/>
          <w:lang w:val="zh-CN"/>
        </w:rPr>
        <w:t>为参与研发人员，而非出具鉴定意见的评委。在无相反证据表明所述技术鉴定资料不能被采信的情况下，技术鉴定资料中记载的研发人员应当是对该技术的形成作出了创造性贡献的人，</w:t>
      </w:r>
      <w:r>
        <w:rPr>
          <w:rFonts w:eastAsia="楷体_GB2312" w:cs="MingLiU_HKSCS" w:hint="eastAsia"/>
          <w:lang w:val="zh-CN"/>
        </w:rPr>
        <w:t>甲</w:t>
      </w:r>
      <w:r>
        <w:rPr>
          <w:rFonts w:eastAsia="楷体_GB2312" w:cs="MingLiU_HKSCS"/>
          <w:lang w:val="zh-CN"/>
        </w:rPr>
        <w:t>应当为涉案发明创造的发明人。</w:t>
      </w:r>
    </w:p>
    <w:p w:rsidR="00800760" w:rsidRDefault="00235733">
      <w:pPr>
        <w:pStyle w:val="3"/>
        <w:spacing w:before="240"/>
        <w:ind w:firstLine="444"/>
        <w:rPr>
          <w:rFonts w:ascii="Times New Roman" w:hAnsi="Times New Roman"/>
        </w:rPr>
      </w:pPr>
      <w:bookmarkStart w:id="7120" w:name="_Toc1475"/>
      <w:bookmarkStart w:id="7121" w:name="_Toc12527"/>
      <w:bookmarkStart w:id="7122" w:name="_Toc25013"/>
      <w:bookmarkStart w:id="7123" w:name="_Toc21997"/>
      <w:bookmarkStart w:id="7124" w:name="_Toc17260"/>
      <w:bookmarkStart w:id="7125" w:name="_Toc25096"/>
      <w:bookmarkStart w:id="7126" w:name="_Toc19593"/>
      <w:bookmarkStart w:id="7127" w:name="_Toc1416"/>
      <w:bookmarkStart w:id="7128" w:name="_Toc4567"/>
      <w:bookmarkStart w:id="7129" w:name="_Toc229114494"/>
      <w:bookmarkStart w:id="7130" w:name="_Toc229225590"/>
      <w:r>
        <w:rPr>
          <w:rFonts w:ascii="Times New Roman" w:hAnsi="Times New Roman"/>
        </w:rPr>
        <w:t>三、对发明创造的实质性特点作出创造性贡献</w:t>
      </w:r>
      <w:bookmarkEnd w:id="7120"/>
      <w:bookmarkEnd w:id="7121"/>
      <w:bookmarkEnd w:id="7122"/>
      <w:bookmarkEnd w:id="7123"/>
      <w:bookmarkEnd w:id="7124"/>
      <w:bookmarkEnd w:id="7125"/>
      <w:bookmarkEnd w:id="7126"/>
      <w:bookmarkEnd w:id="7127"/>
      <w:bookmarkEnd w:id="7128"/>
      <w:bookmarkEnd w:id="7129"/>
      <w:bookmarkEnd w:id="7130"/>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一</w:t>
      </w:r>
      <w:r>
        <w:rPr>
          <w:rFonts w:ascii="Times New Roman" w:hAnsi="Times New Roman"/>
        </w:rPr>
        <w:t>)</w:t>
      </w:r>
      <w:r>
        <w:rPr>
          <w:rFonts w:ascii="Times New Roman" w:hAnsi="Times New Roman"/>
        </w:rPr>
        <w:t>实质性特点</w:t>
      </w:r>
    </w:p>
    <w:p w:rsidR="00800760" w:rsidRDefault="00235733">
      <w:pPr>
        <w:ind w:firstLine="476"/>
        <w:jc w:val="both"/>
        <w:rPr>
          <w:rFonts w:cs="宋体"/>
          <w:spacing w:val="4"/>
        </w:rPr>
      </w:pPr>
      <w:r>
        <w:rPr>
          <w:rFonts w:cs="宋体"/>
          <w:spacing w:val="14"/>
        </w:rPr>
        <w:t>理</w:t>
      </w:r>
      <w:r>
        <w:rPr>
          <w:rFonts w:cs="宋体"/>
          <w:spacing w:val="4"/>
        </w:rPr>
        <w:t>论上，发明创造的实质性特点，对于发明和实用新型而言，是指与作出发明创造时已有的技术相比，发明创造在技术方案的构成上所具有的本质区别。它不是在已有的技术基础上通过逻辑分析、推理或者简单试验就能够自然而然得出的结果，而是必须经过创造性思维活动才能获得的结果。对于外观设计而言，是指外观设计与现有设计或者现有设计特征的组合相比，应当具有明显的区别。</w:t>
      </w:r>
    </w:p>
    <w:p w:rsidR="00800760" w:rsidRDefault="00235733">
      <w:pPr>
        <w:ind w:firstLine="436"/>
        <w:jc w:val="both"/>
        <w:rPr>
          <w:rFonts w:cs="宋体"/>
          <w:spacing w:val="4"/>
        </w:rPr>
      </w:pPr>
      <w:r>
        <w:rPr>
          <w:rFonts w:cs="宋体"/>
          <w:spacing w:val="4"/>
        </w:rPr>
        <w:t>实践中，发明创造的实质性特点应理解为专利申请文件或者专利文件中当事人声称的技术改进，对这一技术改进作出创造性贡献的人都应当认定为发明人或设计人。在根据专利文件或专利申请文件无法确定所述技术改进之处时，以整体技术方案为准，对在技术方案的任何一部分作出创造性贡献的人，均为发明人或设计人。</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二</w:t>
      </w:r>
      <w:r>
        <w:rPr>
          <w:rFonts w:ascii="Times New Roman" w:hAnsi="Times New Roman"/>
        </w:rPr>
        <w:t>)</w:t>
      </w:r>
      <w:r>
        <w:rPr>
          <w:rFonts w:ascii="Times New Roman" w:hAnsi="Times New Roman"/>
        </w:rPr>
        <w:t>创造性贡献</w:t>
      </w:r>
    </w:p>
    <w:p w:rsidR="00800760" w:rsidRDefault="00235733">
      <w:pPr>
        <w:ind w:firstLine="436"/>
        <w:jc w:val="both"/>
        <w:rPr>
          <w:rFonts w:cs="宋体"/>
          <w:spacing w:val="4"/>
        </w:rPr>
      </w:pPr>
      <w:r>
        <w:rPr>
          <w:rFonts w:cs="宋体"/>
          <w:spacing w:val="4"/>
        </w:rPr>
        <w:t>创造性贡献，不同于《专利法》第二十二条第三款规定的</w:t>
      </w:r>
      <w:r>
        <w:rPr>
          <w:rFonts w:cs="宋体"/>
          <w:spacing w:val="4"/>
        </w:rPr>
        <w:t>“</w:t>
      </w:r>
      <w:r>
        <w:rPr>
          <w:rFonts w:cs="宋体"/>
          <w:spacing w:val="4"/>
        </w:rPr>
        <w:t>创造性</w:t>
      </w:r>
      <w:r>
        <w:rPr>
          <w:rFonts w:cs="宋体"/>
          <w:spacing w:val="4"/>
        </w:rPr>
        <w:t>”</w:t>
      </w:r>
      <w:r>
        <w:rPr>
          <w:rFonts w:cs="宋体"/>
          <w:spacing w:val="4"/>
        </w:rPr>
        <w:t>。对发明创</w:t>
      </w:r>
      <w:bookmarkStart w:id="7131" w:name="bookmark194"/>
      <w:bookmarkEnd w:id="7131"/>
      <w:r>
        <w:rPr>
          <w:rFonts w:cs="宋体"/>
          <w:spacing w:val="4"/>
        </w:rPr>
        <w:t>造的实质性特点作出</w:t>
      </w:r>
      <w:r>
        <w:rPr>
          <w:rFonts w:cs="宋体"/>
          <w:spacing w:val="4"/>
        </w:rPr>
        <w:t>“</w:t>
      </w:r>
      <w:r>
        <w:rPr>
          <w:rFonts w:cs="宋体"/>
          <w:spacing w:val="4"/>
        </w:rPr>
        <w:t>创造性贡献</w:t>
      </w:r>
      <w:r>
        <w:rPr>
          <w:rFonts w:cs="宋体"/>
          <w:spacing w:val="4"/>
        </w:rPr>
        <w:t>”,</w:t>
      </w:r>
      <w:r>
        <w:rPr>
          <w:rFonts w:cs="宋体"/>
          <w:spacing w:val="4"/>
        </w:rPr>
        <w:t>是指发明创造的参与人对于该发明创造相比已有技术的改进起</w:t>
      </w:r>
      <w:r>
        <w:rPr>
          <w:rFonts w:cs="宋体" w:hint="eastAsia"/>
          <w:spacing w:val="4"/>
        </w:rPr>
        <w:t>到</w:t>
      </w:r>
      <w:r>
        <w:rPr>
          <w:rFonts w:cs="宋体"/>
          <w:spacing w:val="4"/>
        </w:rPr>
        <w:t>主要作用，例如提出技术构思、提出验证构思可行性的方案、提出修改构思的方案等。</w:t>
      </w:r>
    </w:p>
    <w:p w:rsidR="00800760" w:rsidRDefault="00235733">
      <w:pPr>
        <w:ind w:firstLine="436"/>
        <w:jc w:val="both"/>
        <w:rPr>
          <w:rFonts w:cs="宋体"/>
          <w:spacing w:val="4"/>
        </w:rPr>
      </w:pPr>
      <w:r>
        <w:rPr>
          <w:rFonts w:cs="宋体"/>
          <w:spacing w:val="4"/>
        </w:rPr>
        <w:t>在对创造性贡献作出认定时，应当分解所涉及专利技术方案的实质性技术构成。提出实质性技术构成并由此实现技术方案的人，是对发明创造的实质性特点作出创造性贡献的人。</w:t>
      </w:r>
    </w:p>
    <w:p w:rsidR="00800760" w:rsidRDefault="00235733">
      <w:pPr>
        <w:ind w:firstLine="436"/>
        <w:jc w:val="both"/>
        <w:rPr>
          <w:rFonts w:cs="宋体"/>
        </w:rPr>
      </w:pPr>
      <w:r>
        <w:rPr>
          <w:rFonts w:cs="宋体"/>
          <w:spacing w:val="4"/>
        </w:rPr>
        <w:t>判断当事人是否对发明创造作出创造性贡献，应当基于技术本身。仅仅负责项目组织、人员调配、资金划拨、实验操作、设备购买、资料收集、文献检索等的，不能认为对实质性特点作出了创造性贡献。</w:t>
      </w:r>
    </w:p>
    <w:p w:rsidR="00800760" w:rsidRDefault="00235733">
      <w:pPr>
        <w:pStyle w:val="af6"/>
        <w:spacing w:before="120"/>
        <w:ind w:firstLine="420"/>
      </w:pPr>
      <w:r>
        <w:rPr>
          <w:rFonts w:hint="eastAsia"/>
        </w:rPr>
        <w:t>【案例</w:t>
      </w:r>
      <w:r>
        <w:t>4-1-4</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认为，其具有某涉案专利的署名权，并提交《</w:t>
      </w:r>
      <w:r>
        <w:rPr>
          <w:rFonts w:eastAsia="楷体_GB2312" w:cs="MingLiU_HKSCS"/>
          <w:lang w:val="zh-CN"/>
        </w:rPr>
        <w:t>××</w:t>
      </w:r>
      <w:r>
        <w:rPr>
          <w:rFonts w:eastAsia="楷体_GB2312" w:cs="MingLiU_HKSCS"/>
          <w:lang w:val="zh-CN"/>
        </w:rPr>
        <w:t>项目可行性研究报告》、长胜项目和新鑫项目的技术资料作为涉案专利申请的主要技术资料。管理专利工作的部门认为，</w:t>
      </w:r>
      <w:r>
        <w:rPr>
          <w:rFonts w:eastAsia="楷体_GB2312" w:cs="MingLiU_HKSCS" w:hint="eastAsia"/>
          <w:lang w:val="zh-CN"/>
        </w:rPr>
        <w:t>甲</w:t>
      </w:r>
      <w:r>
        <w:rPr>
          <w:rFonts w:eastAsia="楷体_GB2312" w:cs="MingLiU_HKSCS"/>
          <w:lang w:val="zh-CN"/>
        </w:rPr>
        <w:t>在案件处理过程中始终未能提交或说明《</w:t>
      </w:r>
      <w:r>
        <w:rPr>
          <w:rFonts w:eastAsia="楷体_GB2312" w:cs="MingLiU_HKSCS"/>
          <w:lang w:val="zh-CN"/>
        </w:rPr>
        <w:t>××</w:t>
      </w:r>
      <w:r>
        <w:rPr>
          <w:rFonts w:eastAsia="楷体_GB2312" w:cs="MingLiU_HKSCS"/>
          <w:lang w:val="zh-CN"/>
        </w:rPr>
        <w:t>项目可行性研究报告》等技术资料的原始文档或文件来源；除《</w:t>
      </w:r>
      <w:r>
        <w:rPr>
          <w:rFonts w:eastAsia="楷体_GB2312" w:cs="MingLiU_HKSCS"/>
          <w:lang w:val="zh-CN"/>
        </w:rPr>
        <w:t>××</w:t>
      </w:r>
      <w:r>
        <w:rPr>
          <w:rFonts w:eastAsia="楷体_GB2312" w:cs="MingLiU_HKSCS"/>
          <w:lang w:val="zh-CN"/>
        </w:rPr>
        <w:t>项目可行性研究报告》外，涉及长胜项目和新鑫项目的技术资料本身也未体现出</w:t>
      </w:r>
      <w:r>
        <w:rPr>
          <w:rFonts w:eastAsia="楷体_GB2312" w:cs="MingLiU_HKSCS" w:hint="eastAsia"/>
          <w:lang w:val="zh-CN"/>
        </w:rPr>
        <w:t>甲</w:t>
      </w:r>
      <w:r>
        <w:rPr>
          <w:rFonts w:eastAsia="楷体_GB2312" w:cs="MingLiU_HKSCS"/>
          <w:lang w:val="zh-CN"/>
        </w:rPr>
        <w:t>个人对涉案专利的技术贡献。同时，在</w:t>
      </w:r>
      <w:r>
        <w:rPr>
          <w:rFonts w:eastAsia="楷体_GB2312" w:cs="MingLiU_HKSCS" w:hint="eastAsia"/>
          <w:lang w:val="zh-CN"/>
        </w:rPr>
        <w:t>办案</w:t>
      </w:r>
      <w:r>
        <w:rPr>
          <w:rFonts w:eastAsia="楷体_GB2312" w:cs="MingLiU_HKSCS"/>
          <w:lang w:val="zh-CN"/>
        </w:rPr>
        <w:t>人员反复就涉案专利技术的内容要求双方当事人陈述意见的情况下，</w:t>
      </w:r>
      <w:r>
        <w:rPr>
          <w:rFonts w:eastAsia="楷体_GB2312" w:cs="MingLiU_HKSCS" w:hint="eastAsia"/>
          <w:lang w:val="zh-CN"/>
        </w:rPr>
        <w:t>甲</w:t>
      </w:r>
      <w:r>
        <w:rPr>
          <w:rFonts w:eastAsia="楷体_GB2312" w:cs="MingLiU_HKSCS"/>
          <w:lang w:val="zh-CN"/>
        </w:rPr>
        <w:t>未能就涉案专利技术的形成、研发和其他技术细节问题给予清晰的阐释。鉴于</w:t>
      </w:r>
      <w:r>
        <w:rPr>
          <w:rFonts w:eastAsia="楷体_GB2312" w:cs="MingLiU_HKSCS" w:hint="eastAsia"/>
          <w:lang w:val="zh-CN"/>
        </w:rPr>
        <w:t>甲</w:t>
      </w:r>
      <w:r>
        <w:rPr>
          <w:rFonts w:eastAsia="楷体_GB2312" w:cs="MingLiU_HKSCS"/>
          <w:lang w:val="zh-CN"/>
        </w:rPr>
        <w:t>未能充分说明并提交证据证明其对涉案专利技术的实质性特点作出了创造性贡献，因此不能认定其具有涉案专利的署名权。</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根据《专利法实施细则》第</w:t>
      </w:r>
      <w:r>
        <w:rPr>
          <w:rFonts w:eastAsia="楷体_GB2312" w:cs="MingLiU_HKSCS" w:hint="eastAsia"/>
          <w:lang w:val="zh-CN"/>
        </w:rPr>
        <w:t>十四</w:t>
      </w:r>
      <w:r>
        <w:rPr>
          <w:rFonts w:eastAsia="楷体_GB2312" w:cs="MingLiU_HKSCS"/>
          <w:lang w:val="zh-CN"/>
        </w:rPr>
        <w:t>条的规定，发明人是指对发明创造的实质性特点作出创造性贡献的人。只负责组织工作或从事其他辅助工作的人，不是发明人。该案中，只有在</w:t>
      </w:r>
      <w:r>
        <w:rPr>
          <w:rFonts w:eastAsia="楷体_GB2312" w:cs="MingLiU_HKSCS" w:hint="eastAsia"/>
          <w:lang w:val="zh-CN"/>
        </w:rPr>
        <w:t>甲</w:t>
      </w:r>
      <w:r>
        <w:rPr>
          <w:rFonts w:eastAsia="楷体_GB2312" w:cs="MingLiU_HKSCS"/>
          <w:lang w:val="zh-CN"/>
        </w:rPr>
        <w:t>能够证明其对涉案专利技术作出了创造性贡献而非一般性的辅助工作的情况下，其发明人身份才能够得以确认。但在该案处理过程中，</w:t>
      </w:r>
      <w:r>
        <w:rPr>
          <w:rFonts w:eastAsia="楷体_GB2312" w:cs="MingLiU_HKSCS" w:hint="eastAsia"/>
          <w:lang w:val="zh-CN"/>
        </w:rPr>
        <w:t>甲</w:t>
      </w:r>
      <w:r>
        <w:rPr>
          <w:rFonts w:eastAsia="楷体_GB2312" w:cs="MingLiU_HKSCS"/>
          <w:lang w:val="zh-CN"/>
        </w:rPr>
        <w:t>既无法对涉案专利技术的技术细节和技术构思进行清晰的阐释，也怠于对关键的证据予以举证，因此需要承担不利的后果。相关部门认定</w:t>
      </w:r>
      <w:r>
        <w:rPr>
          <w:rFonts w:eastAsia="楷体_GB2312" w:cs="MingLiU_HKSCS" w:hint="eastAsia"/>
          <w:lang w:val="zh-CN"/>
        </w:rPr>
        <w:t>甲</w:t>
      </w:r>
      <w:r>
        <w:rPr>
          <w:rFonts w:eastAsia="楷体_GB2312" w:cs="MingLiU_HKSCS"/>
          <w:lang w:val="zh-CN"/>
        </w:rPr>
        <w:t>并非涉案专利技术方案的主要参与者，非涉案专利的发明人，并无不妥。</w:t>
      </w:r>
    </w:p>
    <w:p w:rsidR="00800760" w:rsidRDefault="00235733">
      <w:pPr>
        <w:pStyle w:val="af6"/>
        <w:spacing w:before="120"/>
        <w:ind w:firstLine="420"/>
      </w:pPr>
      <w:r>
        <w:rPr>
          <w:rFonts w:hint="eastAsia"/>
        </w:rPr>
        <w:t>【案例</w:t>
      </w:r>
      <w:r>
        <w:t>4-1-5</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某公司向</w:t>
      </w:r>
      <w:r>
        <w:rPr>
          <w:rFonts w:eastAsia="楷体_GB2312" w:cs="MingLiU_HKSCS"/>
        </w:rPr>
        <w:t>国务院专利行政部门</w:t>
      </w:r>
      <w:r>
        <w:rPr>
          <w:rFonts w:eastAsia="楷体_GB2312" w:cs="MingLiU_HKSCS"/>
          <w:lang w:val="zh-CN"/>
        </w:rPr>
        <w:t>申请名称为</w:t>
      </w:r>
      <w:r>
        <w:rPr>
          <w:rFonts w:eastAsia="楷体_GB2312" w:cs="MingLiU_HKSCS"/>
          <w:lang w:val="zh-CN"/>
        </w:rPr>
        <w:t>“</w:t>
      </w:r>
      <w:r>
        <w:rPr>
          <w:rFonts w:eastAsia="楷体_GB2312" w:cs="MingLiU_HKSCS"/>
          <w:lang w:val="zh-CN"/>
        </w:rPr>
        <w:t>过氧乙酸灭菌器</w:t>
      </w:r>
      <w:r>
        <w:rPr>
          <w:rFonts w:eastAsia="楷体_GB2312" w:cs="MingLiU_HKSCS"/>
          <w:lang w:val="zh-CN"/>
        </w:rPr>
        <w:t>”</w:t>
      </w:r>
      <w:r>
        <w:rPr>
          <w:rFonts w:eastAsia="楷体_GB2312" w:cs="MingLiU_HKSCS"/>
          <w:lang w:val="zh-CN"/>
        </w:rPr>
        <w:t>的实用新型专利，获得</w:t>
      </w:r>
      <w:bookmarkStart w:id="7132" w:name="bookmark195"/>
      <w:bookmarkEnd w:id="7132"/>
      <w:r>
        <w:rPr>
          <w:rFonts w:eastAsia="楷体_GB2312" w:cs="MingLiU_HKSCS"/>
          <w:lang w:val="zh-CN"/>
        </w:rPr>
        <w:t>授权并公告。专利证书记载的专利权人为该公司，发明人为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。原告</w:t>
      </w:r>
      <w:r>
        <w:rPr>
          <w:rFonts w:eastAsia="楷体_GB2312" w:cs="MingLiU_HKSCS" w:hint="eastAsia"/>
          <w:lang w:val="zh-CN"/>
        </w:rPr>
        <w:t>丁</w:t>
      </w:r>
      <w:r>
        <w:rPr>
          <w:rFonts w:eastAsia="楷体_GB2312" w:cs="MingLiU_HKSCS"/>
          <w:lang w:val="zh-CN"/>
        </w:rPr>
        <w:t>认为该公司已经实施了该专利并取得了营业利润，应当按照《专利法实施细则》规定向其支付奖金和报酬。该公司辩称，</w:t>
      </w:r>
      <w:r>
        <w:rPr>
          <w:rFonts w:eastAsia="楷体_GB2312" w:cs="MingLiU_HKSCS" w:hint="eastAsia"/>
          <w:lang w:val="zh-CN"/>
        </w:rPr>
        <w:t>丁</w:t>
      </w:r>
      <w:r>
        <w:rPr>
          <w:rFonts w:eastAsia="楷体_GB2312" w:cs="MingLiU_HKSCS"/>
          <w:lang w:val="zh-CN"/>
        </w:rPr>
        <w:t>在涉案专利申请过程中所从事的工作内容和性质是组织申请材料和办理申请手续，对发明创造的实质性特点并未作出创造性贡献，不是涉案专利的职务发明人。经查，在涉案专利申请期间，</w:t>
      </w:r>
      <w:r>
        <w:rPr>
          <w:rFonts w:eastAsia="楷体_GB2312" w:cs="MingLiU_HKSCS" w:hint="eastAsia"/>
          <w:lang w:val="zh-CN"/>
        </w:rPr>
        <w:t>丁</w:t>
      </w:r>
      <w:r>
        <w:rPr>
          <w:rFonts w:eastAsia="楷体_GB2312" w:cs="MingLiU_HKSCS"/>
          <w:lang w:val="zh-CN"/>
        </w:rPr>
        <w:t>作为该公司的知识产权专员，负责组织申请材料和办理申请手续，且其所学为法律专业，并无与涉案专利相关的学习经历。</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 w:cs="楷体"/>
          <w:spacing w:val="5"/>
        </w:rPr>
      </w:pPr>
      <w:r>
        <w:rPr>
          <w:rFonts w:eastAsia="楷体_GB2312" w:cs="MingLiU_HKSCS"/>
          <w:lang w:val="zh-CN"/>
        </w:rPr>
        <w:t>该案涉及职务发明创造的发明人身份认定问题。处理时不能简单地径行以专利权证书作为认定发明人的唯一依据，而应当以是否对涉案发明创造作出创造性贡献作为标准，将利用职务之便列自己为发明人的行为进行甄别。该案中，鉴于</w:t>
      </w:r>
      <w:r>
        <w:rPr>
          <w:rFonts w:eastAsia="楷体_GB2312" w:cs="MingLiU_HKSCS" w:hint="eastAsia"/>
          <w:lang w:val="zh-CN"/>
        </w:rPr>
        <w:t>丁</w:t>
      </w:r>
      <w:r>
        <w:rPr>
          <w:rFonts w:eastAsia="楷体_GB2312" w:cs="MingLiU_HKSCS"/>
          <w:lang w:val="zh-CN"/>
        </w:rPr>
        <w:t>所处岗位的特殊性，在其不能举证证明其在完成发明创造过程中所作出的贡献的情况下，应认定其仅从事了辅助工作，不是涉案实用新型的发明人，其要求获得职务发明创造报酬的理由不成立。</w:t>
      </w:r>
    </w:p>
    <w:p w:rsidR="00800760" w:rsidRDefault="00235733">
      <w:pPr>
        <w:pStyle w:val="af6"/>
        <w:spacing w:before="120"/>
        <w:ind w:firstLine="420"/>
      </w:pPr>
      <w:r>
        <w:rPr>
          <w:rFonts w:hint="eastAsia"/>
        </w:rPr>
        <w:t>【案例</w:t>
      </w:r>
      <w:r>
        <w:t>4-1-</w:t>
      </w:r>
      <w:r>
        <w:rPr>
          <w:rFonts w:hint="eastAsia"/>
        </w:rPr>
        <w:t>6】</w:t>
      </w:r>
    </w:p>
    <w:p w:rsidR="00800760" w:rsidRDefault="00235733">
      <w:pPr>
        <w:spacing w:line="360" w:lineRule="auto"/>
        <w:rPr>
          <w:rFonts w:eastAsia="楷体_GB2312" w:cs="MingLiU_HKSCS"/>
          <w:lang w:val="zh-CN"/>
        </w:rPr>
      </w:pPr>
      <w:r>
        <w:rPr>
          <w:rFonts w:eastAsia="楷体_GB2312" w:cs="MingLiU_HKSCS"/>
          <w:lang w:val="zh-CN"/>
        </w:rPr>
        <w:t>A</w:t>
      </w:r>
      <w:r>
        <w:rPr>
          <w:rFonts w:eastAsia="楷体_GB2312" w:cs="MingLiU_HKSCS"/>
          <w:lang w:val="zh-CN"/>
        </w:rPr>
        <w:t>检测公司于多年前进行了二个阶段的抗冲耐磨机试验，其中存在部件</w:t>
      </w:r>
      <w:r>
        <w:rPr>
          <w:rFonts w:eastAsia="楷体_GB2312" w:cs="MingLiU_HKSCS"/>
          <w:lang w:val="zh-CN"/>
        </w:rPr>
        <w:t>“</w:t>
      </w:r>
      <w:r>
        <w:rPr>
          <w:rFonts w:eastAsia="楷体_GB2312" w:cs="MingLiU_HKSCS" w:hint="eastAsia"/>
          <w:lang w:val="zh-CN"/>
        </w:rPr>
        <w:t>喷水帽和分水叶片</w:t>
      </w:r>
      <w:r>
        <w:rPr>
          <w:rFonts w:eastAsia="楷体_GB2312" w:cs="MingLiU_HKSCS"/>
          <w:lang w:val="zh-CN"/>
        </w:rPr>
        <w:t>”</w:t>
      </w:r>
      <w:r>
        <w:rPr>
          <w:rFonts w:eastAsia="楷体_GB2312" w:cs="MingLiU_HKSCS" w:hint="eastAsia"/>
          <w:lang w:val="zh-CN"/>
        </w:rPr>
        <w:t>，并形成了《混凝土抗冲磨试验仪试制第二阶段总结》的总结材料。甲原系</w:t>
      </w:r>
      <w:r>
        <w:rPr>
          <w:rFonts w:eastAsia="楷体_GB2312" w:cs="MingLiU_HKSCS"/>
          <w:lang w:val="zh-CN"/>
        </w:rPr>
        <w:t>A</w:t>
      </w:r>
      <w:r>
        <w:rPr>
          <w:rFonts w:eastAsia="楷体_GB2312" w:cs="MingLiU_HKSCS"/>
          <w:lang w:val="zh-CN"/>
        </w:rPr>
        <w:t>检测公司职工，其没有参与前二个阶段的试验工作，但参与了接下来的试验，试验中对</w:t>
      </w:r>
      <w:r>
        <w:rPr>
          <w:rFonts w:eastAsia="楷体_GB2312" w:cs="MingLiU_HKSCS"/>
          <w:lang w:val="zh-CN"/>
        </w:rPr>
        <w:t>“</w:t>
      </w:r>
      <w:r>
        <w:rPr>
          <w:rFonts w:eastAsia="楷体_GB2312" w:cs="MingLiU_HKSCS" w:hint="eastAsia"/>
          <w:lang w:val="zh-CN"/>
        </w:rPr>
        <w:t>喷水帽和分水叶片</w:t>
      </w:r>
      <w:r>
        <w:rPr>
          <w:rFonts w:eastAsia="楷体_GB2312" w:cs="MingLiU_HKSCS"/>
          <w:lang w:val="zh-CN"/>
        </w:rPr>
        <w:t>”</w:t>
      </w:r>
      <w:r>
        <w:rPr>
          <w:rFonts w:eastAsia="楷体_GB2312" w:cs="MingLiU_HKSCS" w:hint="eastAsia"/>
          <w:lang w:val="zh-CN"/>
        </w:rPr>
        <w:t>两个部件作出了改进，并生产出</w:t>
      </w:r>
      <w:r>
        <w:rPr>
          <w:rFonts w:eastAsia="楷体_GB2312" w:cs="MingLiU_HKSCS"/>
          <w:lang w:val="zh-CN"/>
        </w:rPr>
        <w:t>“</w:t>
      </w:r>
      <w:r>
        <w:rPr>
          <w:rFonts w:eastAsia="楷体_GB2312" w:cs="MingLiU_HKSCS" w:hint="eastAsia"/>
          <w:lang w:val="zh-CN"/>
        </w:rPr>
        <w:t>小样机</w:t>
      </w:r>
      <w:r>
        <w:rPr>
          <w:rFonts w:eastAsia="楷体_GB2312" w:cs="MingLiU_HKSCS"/>
          <w:lang w:val="zh-CN"/>
        </w:rPr>
        <w:t>”</w:t>
      </w:r>
      <w:r>
        <w:rPr>
          <w:rFonts w:eastAsia="楷体_GB2312" w:cs="MingLiU_HKSCS" w:hint="eastAsia"/>
          <w:lang w:val="zh-CN"/>
        </w:rPr>
        <w:t>，而后甲设计出了抗冲耐磨机的设计蓝图，并生产出</w:t>
      </w:r>
      <w:r>
        <w:rPr>
          <w:rFonts w:eastAsia="楷体_GB2312" w:cs="MingLiU_HKSCS"/>
          <w:lang w:val="zh-CN"/>
        </w:rPr>
        <w:t>“</w:t>
      </w:r>
      <w:r>
        <w:rPr>
          <w:rFonts w:eastAsia="楷体_GB2312" w:cs="MingLiU_HKSCS" w:hint="eastAsia"/>
          <w:lang w:val="zh-CN"/>
        </w:rPr>
        <w:t>大样机</w:t>
      </w:r>
      <w:r>
        <w:rPr>
          <w:rFonts w:eastAsia="楷体_GB2312" w:cs="MingLiU_HKSCS"/>
          <w:lang w:val="zh-CN"/>
        </w:rPr>
        <w:t>”</w:t>
      </w:r>
      <w:r>
        <w:rPr>
          <w:rFonts w:eastAsia="楷体_GB2312" w:cs="MingLiU_HKSCS" w:hint="eastAsia"/>
          <w:lang w:val="zh-CN"/>
        </w:rPr>
        <w:t>。后来，</w:t>
      </w:r>
      <w:r>
        <w:rPr>
          <w:rFonts w:eastAsia="楷体_GB2312" w:cs="MingLiU_HKSCS"/>
          <w:lang w:val="zh-CN"/>
        </w:rPr>
        <w:t>A</w:t>
      </w:r>
      <w:r>
        <w:rPr>
          <w:rFonts w:eastAsia="楷体_GB2312" w:cs="MingLiU_HKSCS"/>
          <w:lang w:val="zh-CN"/>
        </w:rPr>
        <w:t>检测公司指派</w:t>
      </w:r>
      <w:r>
        <w:rPr>
          <w:rFonts w:eastAsia="楷体_GB2312" w:cs="MingLiU_HKSCS" w:hint="eastAsia"/>
          <w:lang w:val="zh-CN"/>
        </w:rPr>
        <w:t>乙</w:t>
      </w:r>
      <w:r>
        <w:rPr>
          <w:rFonts w:eastAsia="楷体_GB2312" w:cs="MingLiU_HKSCS"/>
          <w:lang w:val="zh-CN"/>
        </w:rPr>
        <w:t>继续推进设备研制工作，并以</w:t>
      </w:r>
      <w:r>
        <w:rPr>
          <w:rFonts w:eastAsia="楷体_GB2312" w:cs="MingLiU_HKSCS"/>
          <w:lang w:val="zh-CN"/>
        </w:rPr>
        <w:t>A</w:t>
      </w:r>
      <w:r>
        <w:rPr>
          <w:rFonts w:eastAsia="楷体_GB2312" w:cs="MingLiU_HKSCS"/>
          <w:lang w:val="zh-CN"/>
        </w:rPr>
        <w:t>检测公司为申请人，</w:t>
      </w:r>
      <w:r>
        <w:rPr>
          <w:rFonts w:eastAsia="楷体_GB2312" w:cs="MingLiU_HKSCS" w:hint="eastAsia"/>
          <w:lang w:val="zh-CN"/>
        </w:rPr>
        <w:t>乙</w:t>
      </w:r>
      <w:r>
        <w:rPr>
          <w:rFonts w:eastAsia="楷体_GB2312" w:cs="MingLiU_HKSCS"/>
          <w:lang w:val="zh-CN"/>
        </w:rPr>
        <w:t>为发明人申请了涉案实用新型专利。</w:t>
      </w:r>
      <w:r>
        <w:rPr>
          <w:rFonts w:eastAsia="楷体_GB2312" w:cs="MingLiU_HKSCS" w:hint="eastAsia"/>
          <w:lang w:val="zh-CN"/>
        </w:rPr>
        <w:t>乙</w:t>
      </w:r>
      <w:r>
        <w:rPr>
          <w:rFonts w:eastAsia="楷体_GB2312" w:cs="MingLiU_HKSCS"/>
          <w:lang w:val="zh-CN"/>
        </w:rPr>
        <w:t>曾与</w:t>
      </w:r>
      <w:r>
        <w:rPr>
          <w:rFonts w:eastAsia="楷体_GB2312" w:cs="MingLiU_HKSCS" w:hint="eastAsia"/>
          <w:lang w:val="zh-CN"/>
        </w:rPr>
        <w:t>甲</w:t>
      </w:r>
      <w:r>
        <w:rPr>
          <w:rFonts w:eastAsia="楷体_GB2312" w:cs="MingLiU_HKSCS"/>
          <w:lang w:val="zh-CN"/>
        </w:rPr>
        <w:t>在同一单位工作，</w:t>
      </w:r>
      <w:r>
        <w:rPr>
          <w:rFonts w:eastAsia="楷体_GB2312" w:cs="MingLiU_HKSCS" w:hint="eastAsia"/>
          <w:lang w:val="zh-CN"/>
        </w:rPr>
        <w:t>乙</w:t>
      </w:r>
      <w:r>
        <w:rPr>
          <w:rFonts w:eastAsia="楷体_GB2312" w:cs="MingLiU_HKSCS"/>
          <w:lang w:val="zh-CN"/>
        </w:rPr>
        <w:t>在设备研制过程中曾经找过</w:t>
      </w:r>
      <w:r>
        <w:rPr>
          <w:rFonts w:eastAsia="楷体_GB2312" w:cs="MingLiU_HKSCS" w:hint="eastAsia"/>
          <w:lang w:val="zh-CN"/>
        </w:rPr>
        <w:t>甲</w:t>
      </w:r>
      <w:r>
        <w:rPr>
          <w:rFonts w:eastAsia="楷体_GB2312" w:cs="MingLiU_HKSCS"/>
          <w:lang w:val="zh-CN"/>
        </w:rPr>
        <w:t>，看过</w:t>
      </w:r>
      <w:r>
        <w:rPr>
          <w:rFonts w:eastAsia="楷体_GB2312" w:cs="MingLiU_HKSCS" w:hint="eastAsia"/>
          <w:lang w:val="zh-CN"/>
        </w:rPr>
        <w:t>甲</w:t>
      </w:r>
      <w:r>
        <w:rPr>
          <w:rFonts w:eastAsia="楷体_GB2312" w:cs="MingLiU_HKSCS"/>
          <w:lang w:val="zh-CN"/>
        </w:rPr>
        <w:t>的手稿，也参与调试过</w:t>
      </w:r>
      <w:r>
        <w:rPr>
          <w:rFonts w:eastAsia="楷体_GB2312" w:cs="MingLiU_HKSCS"/>
          <w:lang w:val="zh-CN"/>
        </w:rPr>
        <w:t>“</w:t>
      </w:r>
      <w:r>
        <w:rPr>
          <w:rFonts w:eastAsia="楷体_GB2312" w:cs="MingLiU_HKSCS" w:hint="eastAsia"/>
          <w:lang w:val="zh-CN"/>
        </w:rPr>
        <w:t>小样机</w:t>
      </w:r>
      <w:r>
        <w:rPr>
          <w:rFonts w:eastAsia="楷体_GB2312" w:cs="MingLiU_HKSCS"/>
          <w:lang w:val="zh-CN"/>
        </w:rPr>
        <w:t>”</w:t>
      </w:r>
      <w:r>
        <w:rPr>
          <w:rFonts w:eastAsia="楷体_GB2312" w:cs="MingLiU_HKSCS" w:hint="eastAsia"/>
          <w:lang w:val="zh-CN"/>
        </w:rPr>
        <w:t>、</w:t>
      </w:r>
      <w:r>
        <w:rPr>
          <w:rFonts w:eastAsia="楷体_GB2312" w:cs="MingLiU_HKSCS"/>
          <w:lang w:val="zh-CN"/>
        </w:rPr>
        <w:t>“</w:t>
      </w:r>
      <w:r>
        <w:rPr>
          <w:rFonts w:eastAsia="楷体_GB2312" w:cs="MingLiU_HKSCS" w:hint="eastAsia"/>
          <w:lang w:val="zh-CN"/>
        </w:rPr>
        <w:t>大样机</w:t>
      </w:r>
      <w:r>
        <w:rPr>
          <w:rFonts w:eastAsia="楷体_GB2312" w:cs="MingLiU_HKSCS"/>
          <w:lang w:val="zh-CN"/>
        </w:rPr>
        <w:t>”</w:t>
      </w:r>
      <w:r>
        <w:rPr>
          <w:rFonts w:eastAsia="楷体_GB2312" w:cs="MingLiU_HKSCS" w:hint="eastAsia"/>
          <w:lang w:val="zh-CN"/>
        </w:rPr>
        <w:t>，最终，乙称对设备做了另外三点改进。</w:t>
      </w:r>
    </w:p>
    <w:p w:rsidR="00800760" w:rsidRDefault="00235733">
      <w:pPr>
        <w:spacing w:line="360" w:lineRule="auto"/>
        <w:rPr>
          <w:rFonts w:eastAsia="楷体_GB2312" w:cs="MingLiU_HKSCS"/>
          <w:lang w:val="zh-CN"/>
        </w:rPr>
      </w:pPr>
      <w:r>
        <w:rPr>
          <w:rFonts w:eastAsia="楷体_GB2312" w:cs="MingLiU_HKSCS" w:hint="eastAsia"/>
          <w:lang w:val="zh-CN"/>
        </w:rPr>
        <w:t>在涉案实用新型专利中，说明书附图与甲关于</w:t>
      </w:r>
      <w:r>
        <w:rPr>
          <w:rFonts w:eastAsia="楷体_GB2312" w:cs="MingLiU_HKSCS"/>
          <w:lang w:val="zh-CN"/>
        </w:rPr>
        <w:t>“</w:t>
      </w:r>
      <w:r>
        <w:rPr>
          <w:rFonts w:eastAsia="楷体_GB2312" w:cs="MingLiU_HKSCS" w:hint="eastAsia"/>
          <w:lang w:val="zh-CN"/>
        </w:rPr>
        <w:t>喷水帽和分水叶片</w:t>
      </w:r>
      <w:r>
        <w:rPr>
          <w:rFonts w:eastAsia="楷体_GB2312" w:cs="MingLiU_HKSCS"/>
          <w:lang w:val="zh-CN"/>
        </w:rPr>
        <w:t>”</w:t>
      </w:r>
      <w:r>
        <w:rPr>
          <w:rFonts w:eastAsia="楷体_GB2312" w:cs="MingLiU_HKSCS" w:hint="eastAsia"/>
          <w:lang w:val="zh-CN"/>
        </w:rPr>
        <w:t>两个部件的改进相一致，但权利要求书中并未记载与甲改进对应的技术特征，原因是乙认为甲的手稿内容没有创新之处。甲则认为乙是在</w:t>
      </w:r>
      <w:r>
        <w:rPr>
          <w:rFonts w:eastAsia="楷体_GB2312" w:cs="MingLiU_HKSCS"/>
          <w:lang w:val="zh-CN"/>
        </w:rPr>
        <w:t>“</w:t>
      </w:r>
      <w:r>
        <w:rPr>
          <w:rFonts w:eastAsia="楷体_GB2312" w:cs="MingLiU_HKSCS" w:hint="eastAsia"/>
          <w:lang w:val="zh-CN"/>
        </w:rPr>
        <w:t>小样机</w:t>
      </w:r>
      <w:r>
        <w:rPr>
          <w:rFonts w:eastAsia="楷体_GB2312" w:cs="MingLiU_HKSCS"/>
          <w:lang w:val="zh-CN"/>
        </w:rPr>
        <w:t>”</w:t>
      </w:r>
      <w:r>
        <w:rPr>
          <w:rFonts w:eastAsia="楷体_GB2312" w:cs="MingLiU_HKSCS" w:hint="eastAsia"/>
          <w:lang w:val="zh-CN"/>
        </w:rPr>
        <w:t>的基础上做了</w:t>
      </w:r>
      <w:r>
        <w:rPr>
          <w:rFonts w:eastAsia="楷体_GB2312" w:cs="MingLiU_HKSCS"/>
          <w:lang w:val="zh-CN"/>
        </w:rPr>
        <w:t>“</w:t>
      </w:r>
      <w:r>
        <w:rPr>
          <w:rFonts w:eastAsia="楷体_GB2312" w:cs="MingLiU_HKSCS" w:hint="eastAsia"/>
          <w:lang w:val="zh-CN"/>
        </w:rPr>
        <w:t>不重要的</w:t>
      </w:r>
      <w:r>
        <w:rPr>
          <w:rFonts w:eastAsia="楷体_GB2312" w:cs="MingLiU_HKSCS"/>
          <w:lang w:val="zh-CN"/>
        </w:rPr>
        <w:t>”</w:t>
      </w:r>
      <w:r>
        <w:rPr>
          <w:rFonts w:eastAsia="楷体_GB2312" w:cs="MingLiU_HKSCS" w:hint="eastAsia"/>
          <w:lang w:val="zh-CN"/>
        </w:rPr>
        <w:t>改进，是在他人发明构思的基础上提出申请并完成设计的，没有新的技术改进，</w:t>
      </w:r>
      <w:r>
        <w:rPr>
          <w:rFonts w:eastAsia="楷体_GB2312" w:cs="MingLiU_HKSCS"/>
          <w:lang w:val="zh-CN"/>
        </w:rPr>
        <w:t>A</w:t>
      </w:r>
      <w:r>
        <w:rPr>
          <w:rFonts w:eastAsia="楷体_GB2312" w:cs="MingLiU_HKSCS"/>
          <w:lang w:val="zh-CN"/>
        </w:rPr>
        <w:t>检测公司以</w:t>
      </w:r>
      <w:r>
        <w:rPr>
          <w:rFonts w:eastAsia="楷体_GB2312" w:cs="MingLiU_HKSCS" w:hint="eastAsia"/>
          <w:lang w:val="zh-CN"/>
        </w:rPr>
        <w:t>乙</w:t>
      </w:r>
      <w:r>
        <w:rPr>
          <w:rFonts w:eastAsia="楷体_GB2312" w:cs="MingLiU_HKSCS"/>
          <w:lang w:val="zh-CN"/>
        </w:rPr>
        <w:t>为发明人申请实用新型专利，侵犯了其署名权。法院经一审二审再审程序，均认为</w:t>
      </w:r>
      <w:r>
        <w:rPr>
          <w:rFonts w:eastAsia="楷体_GB2312" w:cs="MingLiU_HKSCS" w:hint="eastAsia"/>
          <w:lang w:val="zh-CN"/>
        </w:rPr>
        <w:t>甲</w:t>
      </w:r>
      <w:r>
        <w:rPr>
          <w:rFonts w:eastAsia="楷体_GB2312" w:cs="MingLiU_HKSCS"/>
          <w:lang w:val="zh-CN"/>
        </w:rPr>
        <w:t>的技术改进对于涉案专利的实质性特点没有作出创造性贡献，不能享有涉案专利的署名权。</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 w:cs="楷体"/>
        </w:rPr>
      </w:pPr>
      <w:r>
        <w:rPr>
          <w:rFonts w:eastAsia="楷体_GB2312" w:cs="MingLiU_HKSCS" w:hint="eastAsia"/>
          <w:lang w:val="zh-CN"/>
        </w:rPr>
        <w:t>涉案实用新型专利的权利要求书内容显示并没有专门将甲</w:t>
      </w:r>
      <w:r>
        <w:rPr>
          <w:rFonts w:eastAsia="楷体_GB2312" w:cs="MingLiU_HKSCS"/>
          <w:lang w:val="zh-CN"/>
        </w:rPr>
        <w:t>“</w:t>
      </w:r>
      <w:r>
        <w:rPr>
          <w:rFonts w:eastAsia="楷体_GB2312" w:cs="MingLiU_HKSCS" w:hint="eastAsia"/>
          <w:lang w:val="zh-CN"/>
        </w:rPr>
        <w:t>关于喷水帽和分水叶片两个方面进行改进内容</w:t>
      </w:r>
      <w:r>
        <w:rPr>
          <w:rFonts w:eastAsia="楷体_GB2312" w:cs="MingLiU_HKSCS"/>
          <w:lang w:val="zh-CN"/>
        </w:rPr>
        <w:t>”</w:t>
      </w:r>
      <w:r>
        <w:rPr>
          <w:rFonts w:eastAsia="楷体_GB2312" w:cs="MingLiU_HKSCS" w:hint="eastAsia"/>
          <w:lang w:val="zh-CN"/>
        </w:rPr>
        <w:t>作为权利要求进行保护，只是其技术方案中包含有喷水帽和分水叶片两个部件，至于此两个部件是不是平顶或者长方形，在所不问。也就是说，专利说明书附图中的喷水帽和分水叶片的形状（即：甲主张的改进点），只是涉案专利产品构造的实施例之一，因涉案专利保护的是产品的构造而非部件的形状，说明书附图中所示的喷水帽和分水叶片的形状并未对涉案实用新型专利的实质性特点作出创造性贡献。并且喷水帽和分水叶片两个部件设计的产生，早已在甲参与抗冲耐磨机改进之前业已形成。因此，甲对于涉案实用新型专利的实质性特点没有作出创造性贡献，不能成为专利的发明人或设计人。本案是由同一公司同一研究项目期间的技术方案申请专利并被授权而引发的发明人署名权纠纷，实质上涉及</w:t>
      </w:r>
      <w:r>
        <w:rPr>
          <w:rFonts w:eastAsia="楷体_GB2312" w:cs="MingLiU_HKSCS"/>
          <w:lang w:val="zh-CN"/>
        </w:rPr>
        <w:t>“</w:t>
      </w:r>
      <w:r>
        <w:rPr>
          <w:rFonts w:eastAsia="楷体_GB2312" w:cs="MingLiU_HKSCS" w:hint="eastAsia"/>
          <w:lang w:val="zh-CN"/>
        </w:rPr>
        <w:t>对专利实质性特点作出创造性贡献</w:t>
      </w:r>
      <w:r>
        <w:rPr>
          <w:rFonts w:eastAsia="楷体_GB2312" w:cs="MingLiU_HKSCS"/>
          <w:lang w:val="zh-CN"/>
        </w:rPr>
        <w:t>”</w:t>
      </w:r>
      <w:r>
        <w:rPr>
          <w:rFonts w:eastAsia="楷体_GB2312" w:cs="MingLiU_HKSCS" w:hint="eastAsia"/>
          <w:lang w:val="zh-CN"/>
        </w:rPr>
        <w:t>的判断问题。本案经过一审二审及再审程序确认，对于评价科研人员的技术贡献，保护科研人员的人身权益具有较强的指导意义。</w:t>
      </w:r>
    </w:p>
    <w:p w:rsidR="00800760" w:rsidRDefault="00235733">
      <w:pPr>
        <w:pStyle w:val="2"/>
        <w:spacing w:before="322"/>
        <w:ind w:firstLineChars="0" w:firstLine="0"/>
        <w:rPr>
          <w:rFonts w:ascii="Times New Roman" w:hAnsi="Times New Roman"/>
        </w:rPr>
      </w:pPr>
      <w:bookmarkStart w:id="7133" w:name="_Toc1221"/>
      <w:bookmarkStart w:id="7134" w:name="_Toc31678"/>
      <w:bookmarkStart w:id="7135" w:name="_Toc8003"/>
      <w:bookmarkStart w:id="7136" w:name="_Toc30611"/>
      <w:bookmarkStart w:id="7137" w:name="_Toc32000"/>
      <w:bookmarkStart w:id="7138" w:name="_Toc19067"/>
      <w:bookmarkStart w:id="7139" w:name="_Toc26077"/>
      <w:bookmarkStart w:id="7140" w:name="_Toc13763"/>
      <w:bookmarkStart w:id="7141" w:name="_Toc19105"/>
      <w:bookmarkStart w:id="7142" w:name="_Toc18311"/>
      <w:bookmarkStart w:id="7143" w:name="_Toc21538"/>
      <w:bookmarkStart w:id="7144" w:name="_Toc6610"/>
      <w:bookmarkStart w:id="7145" w:name="_Toc10734"/>
      <w:bookmarkStart w:id="7146" w:name="_Toc25668"/>
      <w:bookmarkStart w:id="7147" w:name="_Toc17165"/>
      <w:bookmarkStart w:id="7148" w:name="_Toc31437"/>
      <w:bookmarkStart w:id="7149" w:name="_Toc19670"/>
      <w:bookmarkStart w:id="7150" w:name="_Toc28251"/>
      <w:bookmarkStart w:id="7151" w:name="_Toc13871"/>
      <w:bookmarkStart w:id="7152" w:name="_Toc9257"/>
      <w:bookmarkStart w:id="7153" w:name="_Toc23326"/>
      <w:bookmarkStart w:id="7154" w:name="_Toc4349"/>
      <w:bookmarkStart w:id="7155" w:name="_Toc941"/>
      <w:bookmarkStart w:id="7156" w:name="_Toc17594"/>
      <w:bookmarkStart w:id="7157" w:name="_Toc31884"/>
      <w:bookmarkStart w:id="7158" w:name="_Toc13650"/>
      <w:bookmarkStart w:id="7159" w:name="_Toc14386"/>
      <w:bookmarkStart w:id="7160" w:name="_Toc30650"/>
      <w:bookmarkStart w:id="7161" w:name="_Toc4108"/>
      <w:bookmarkStart w:id="7162" w:name="_Toc8390"/>
      <w:bookmarkStart w:id="7163" w:name="_Toc7589"/>
      <w:bookmarkStart w:id="7164" w:name="_Toc31825"/>
      <w:bookmarkStart w:id="7165" w:name="_Toc2320"/>
      <w:bookmarkStart w:id="7166" w:name="_Toc17139"/>
      <w:bookmarkStart w:id="7167" w:name="_Toc286"/>
      <w:bookmarkStart w:id="7168" w:name="_Toc285"/>
      <w:bookmarkStart w:id="7169" w:name="_Toc3019"/>
      <w:bookmarkStart w:id="7170" w:name="_Toc32158"/>
      <w:bookmarkStart w:id="7171" w:name="_Toc11924"/>
      <w:bookmarkStart w:id="7172" w:name="_Toc22197"/>
      <w:bookmarkStart w:id="7173" w:name="_Toc22018"/>
      <w:bookmarkStart w:id="7174" w:name="_Toc4938"/>
      <w:bookmarkStart w:id="7175" w:name="_Toc229114495"/>
      <w:bookmarkStart w:id="7176" w:name="_Toc229225591"/>
      <w:r>
        <w:rPr>
          <w:rFonts w:ascii="Times New Roman" w:hAnsi="Times New Roman"/>
        </w:rPr>
        <w:t>第二节</w:t>
      </w:r>
      <w:r>
        <w:rPr>
          <w:rFonts w:ascii="Times New Roman" w:hAnsi="Times New Roman" w:hint="eastAsia"/>
        </w:rPr>
        <w:t xml:space="preserve">　</w:t>
      </w:r>
      <w:r>
        <w:rPr>
          <w:rFonts w:ascii="Times New Roman" w:hAnsi="Times New Roman"/>
        </w:rPr>
        <w:t>判断发明人或设计人资格的考虑因素</w:t>
      </w:r>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p>
    <w:p w:rsidR="00800760" w:rsidRDefault="00235733">
      <w:pPr>
        <w:ind w:firstLine="436"/>
        <w:jc w:val="both"/>
        <w:rPr>
          <w:rFonts w:cs="宋体"/>
          <w:spacing w:val="4"/>
        </w:rPr>
      </w:pPr>
      <w:r>
        <w:rPr>
          <w:rFonts w:cs="宋体"/>
          <w:spacing w:val="4"/>
        </w:rPr>
        <w:t>判断谁有资格作为发明人或设计人，需要综合考虑多方面的因素，如当事人提交的证据、当事人对技术方案的细节及其形成过程的了解程度，以及当事人在发明创造的形成中所承担的角色。</w:t>
      </w:r>
    </w:p>
    <w:p w:rsidR="00800760" w:rsidRDefault="00235733">
      <w:pPr>
        <w:pStyle w:val="3"/>
        <w:spacing w:before="240"/>
        <w:ind w:firstLine="444"/>
        <w:rPr>
          <w:rFonts w:ascii="Times New Roman" w:hAnsi="Times New Roman"/>
        </w:rPr>
      </w:pPr>
      <w:bookmarkStart w:id="7177" w:name="_Toc22652"/>
      <w:bookmarkStart w:id="7178" w:name="_Toc229114496"/>
      <w:bookmarkStart w:id="7179" w:name="_Toc20918"/>
      <w:bookmarkStart w:id="7180" w:name="_Toc13309"/>
      <w:bookmarkStart w:id="7181" w:name="_Toc960"/>
      <w:bookmarkStart w:id="7182" w:name="_Toc22626"/>
      <w:bookmarkStart w:id="7183" w:name="_Toc3186"/>
      <w:bookmarkStart w:id="7184" w:name="_Toc19255"/>
      <w:bookmarkStart w:id="7185" w:name="_Toc18321"/>
      <w:bookmarkStart w:id="7186" w:name="_Toc27637"/>
      <w:bookmarkStart w:id="7187" w:name="_Toc229225592"/>
      <w:r>
        <w:rPr>
          <w:rFonts w:ascii="Times New Roman" w:hAnsi="Times New Roman"/>
        </w:rPr>
        <w:t>一、当事人提交的证据</w:t>
      </w:r>
      <w:bookmarkEnd w:id="7177"/>
      <w:bookmarkEnd w:id="7178"/>
      <w:bookmarkEnd w:id="7179"/>
      <w:bookmarkEnd w:id="7180"/>
      <w:bookmarkEnd w:id="7181"/>
      <w:bookmarkEnd w:id="7182"/>
      <w:bookmarkEnd w:id="7183"/>
      <w:bookmarkEnd w:id="7184"/>
      <w:bookmarkEnd w:id="7185"/>
      <w:bookmarkEnd w:id="7186"/>
      <w:bookmarkEnd w:id="7187"/>
    </w:p>
    <w:p w:rsidR="00800760" w:rsidRDefault="00235733">
      <w:pPr>
        <w:ind w:firstLine="436"/>
        <w:jc w:val="both"/>
        <w:rPr>
          <w:rFonts w:cs="宋体"/>
          <w:spacing w:val="4"/>
        </w:rPr>
      </w:pPr>
      <w:r>
        <w:rPr>
          <w:rFonts w:cs="宋体"/>
          <w:spacing w:val="4"/>
        </w:rPr>
        <w:t>一般来说，无论职务发明还是非职务发明，一项发明创造从构思、试验、改进到形成最终的技术方案乃至专利申请文件的过程中，都会留有相关资料。这些资料是确定发明人或设计人资格的关键证据。</w:t>
      </w:r>
    </w:p>
    <w:p w:rsidR="00800760" w:rsidRDefault="00235733">
      <w:pPr>
        <w:ind w:firstLine="436"/>
        <w:jc w:val="both"/>
      </w:pPr>
      <w:r>
        <w:rPr>
          <w:rFonts w:cs="宋体"/>
          <w:spacing w:val="4"/>
        </w:rPr>
        <w:t>当事人之间就发明人或设计人资格产生争议时，发明创造应当已经完成，而确定某人是否实际参与发明创造的作出，属于对之前发生事件的事后判断，一定程度上依赖于当事人提供的证据。尤其是当专利申请文件或专利文件中记载了某人为发明人或设计人，请求人欲推翻这一法律事实，认为某人不是真正的发明人或设计人时，与证明其为发明人或设计人相比负有更重的举证责任。</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rPr>
        <w:t>4-2-1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在案例</w:t>
      </w:r>
      <w:r>
        <w:rPr>
          <w:rFonts w:eastAsia="楷体_GB2312" w:cs="MingLiU_HKSCS"/>
          <w:lang w:val="zh-CN"/>
        </w:rPr>
        <w:t>4-</w:t>
      </w:r>
      <w:r>
        <w:rPr>
          <w:rFonts w:eastAsia="楷体_GB2312" w:cs="MingLiU_HKSCS" w:hint="eastAsia"/>
          <w:lang w:val="en-US"/>
        </w:rPr>
        <w:t>1-</w:t>
      </w:r>
      <w:r>
        <w:rPr>
          <w:rFonts w:eastAsia="楷体_GB2312" w:cs="MingLiU_HKSCS"/>
          <w:lang w:val="zh-CN"/>
        </w:rPr>
        <w:t>3</w:t>
      </w:r>
      <w:r>
        <w:rPr>
          <w:rFonts w:eastAsia="楷体_GB2312" w:cs="MingLiU_HKSCS"/>
          <w:lang w:val="zh-CN"/>
        </w:rPr>
        <w:t>中，判定</w:t>
      </w:r>
      <w:r>
        <w:rPr>
          <w:rFonts w:eastAsia="楷体_GB2312" w:cs="MingLiU_HKSCS" w:hint="eastAsia"/>
          <w:lang w:val="zh-CN"/>
        </w:rPr>
        <w:t>甲</w:t>
      </w:r>
      <w:r>
        <w:rPr>
          <w:rFonts w:eastAsia="楷体_GB2312" w:cs="MingLiU_HKSCS"/>
          <w:lang w:val="zh-CN"/>
        </w:rPr>
        <w:t>是否具备发明人资格的证据为涉案专利申请的技术鉴定资料，其中有</w:t>
      </w:r>
      <w:r>
        <w:rPr>
          <w:rFonts w:eastAsia="楷体_GB2312" w:cs="MingLiU_HKSCS" w:hint="eastAsia"/>
          <w:lang w:val="zh-CN"/>
        </w:rPr>
        <w:t>甲</w:t>
      </w:r>
      <w:r>
        <w:rPr>
          <w:rFonts w:eastAsia="楷体_GB2312" w:cs="MingLiU_HKSCS"/>
          <w:lang w:val="zh-CN"/>
        </w:rPr>
        <w:t>参与署名的相应技术文档。一般情况下，纠纷发生前形成的与案件事实有关的证据具有较大的可信度。在记载有涉案专利技术的技术鉴定资料中署名一般有两类情况：一类是参与研发人员，另一类是出具鉴定意见的评委。若无相反证据，技术鉴定资料中记载的研发人员应当是事发当时被认为对该技术的形成作出了创造性贡献的人。在</w:t>
      </w:r>
      <w:r>
        <w:rPr>
          <w:rFonts w:eastAsia="楷体_GB2312" w:cs="MingLiU_HKSCS" w:hint="eastAsia"/>
          <w:lang w:val="zh-CN"/>
        </w:rPr>
        <w:t>乙</w:t>
      </w:r>
      <w:r>
        <w:rPr>
          <w:rFonts w:eastAsia="楷体_GB2312" w:cs="MingLiU_HKSCS"/>
          <w:lang w:val="zh-CN"/>
        </w:rPr>
        <w:t>没有相反证据证明</w:t>
      </w:r>
      <w:r>
        <w:rPr>
          <w:rFonts w:eastAsia="楷体_GB2312" w:cs="MingLiU_HKSCS" w:hint="eastAsia"/>
          <w:lang w:val="zh-CN"/>
        </w:rPr>
        <w:t>甲</w:t>
      </w:r>
      <w:r>
        <w:rPr>
          <w:rFonts w:eastAsia="楷体_GB2312" w:cs="MingLiU_HKSCS"/>
          <w:lang w:val="zh-CN"/>
        </w:rPr>
        <w:t>未实际参与技术研发的情况下，可以认定</w:t>
      </w:r>
      <w:r>
        <w:rPr>
          <w:rFonts w:eastAsia="楷体_GB2312" w:cs="MingLiU_HKSCS" w:hint="eastAsia"/>
          <w:lang w:val="zh-CN"/>
        </w:rPr>
        <w:t>甲</w:t>
      </w:r>
      <w:r>
        <w:rPr>
          <w:rFonts w:eastAsia="楷体_GB2312" w:cs="MingLiU_HKSCS"/>
          <w:lang w:val="zh-CN"/>
        </w:rPr>
        <w:t>是对涉案发明创造作出创造性贡献的人，应当属于发明人。</w:t>
      </w:r>
    </w:p>
    <w:p w:rsidR="00800760" w:rsidRDefault="00235733">
      <w:pPr>
        <w:pStyle w:val="3"/>
        <w:spacing w:before="240"/>
        <w:ind w:firstLine="444"/>
        <w:rPr>
          <w:rFonts w:ascii="Times New Roman" w:hAnsi="Times New Roman"/>
        </w:rPr>
      </w:pPr>
      <w:bookmarkStart w:id="7188" w:name="_Toc1591"/>
      <w:bookmarkStart w:id="7189" w:name="_Toc17148"/>
      <w:bookmarkStart w:id="7190" w:name="_Toc229114497"/>
      <w:bookmarkStart w:id="7191" w:name="_Toc19178"/>
      <w:bookmarkStart w:id="7192" w:name="_Toc14281"/>
      <w:bookmarkStart w:id="7193" w:name="_Toc25077"/>
      <w:bookmarkStart w:id="7194" w:name="_Toc7855"/>
      <w:bookmarkStart w:id="7195" w:name="_Toc9055"/>
      <w:bookmarkStart w:id="7196" w:name="_Toc24125"/>
      <w:bookmarkStart w:id="7197" w:name="_Toc1451"/>
      <w:bookmarkStart w:id="7198" w:name="_Toc229225593"/>
      <w:r>
        <w:rPr>
          <w:rFonts w:ascii="Times New Roman" w:hAnsi="Times New Roman"/>
        </w:rPr>
        <w:t>二、当事人对技术方案的细节及其形成过程的了解程度</w:t>
      </w:r>
      <w:bookmarkEnd w:id="7188"/>
      <w:bookmarkEnd w:id="7189"/>
      <w:bookmarkEnd w:id="7190"/>
      <w:bookmarkEnd w:id="7191"/>
      <w:bookmarkEnd w:id="7192"/>
      <w:bookmarkEnd w:id="7193"/>
      <w:bookmarkEnd w:id="7194"/>
      <w:bookmarkEnd w:id="7195"/>
      <w:bookmarkEnd w:id="7196"/>
      <w:bookmarkEnd w:id="7197"/>
      <w:bookmarkEnd w:id="7198"/>
    </w:p>
    <w:p w:rsidR="00800760" w:rsidRDefault="00235733">
      <w:pPr>
        <w:ind w:firstLine="436"/>
        <w:jc w:val="both"/>
        <w:rPr>
          <w:rFonts w:cs="宋体"/>
          <w:spacing w:val="4"/>
        </w:rPr>
      </w:pPr>
      <w:r>
        <w:rPr>
          <w:rFonts w:cs="宋体"/>
          <w:spacing w:val="4"/>
        </w:rPr>
        <w:t>一般情况下，发明创造的主要完成者对技术构思的起源、项目研发时的技术状况、研发过程中遇到的主要困难、发明创造的解决方式以及效果等各个方面应当会有详细的了解。调解署名权纠纷时，除了客观证据外，争议双方对发明创造完成过程各阶段的了解程度也可以辅助确定真正的发明人或设计人。</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rPr>
        <w:t>4-2-2</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以《</w:t>
      </w:r>
      <w:r>
        <w:rPr>
          <w:rFonts w:eastAsia="楷体_GB2312" w:cs="MingLiU_HKSCS"/>
          <w:lang w:val="zh-CN"/>
        </w:rPr>
        <w:t>××</w:t>
      </w:r>
      <w:r>
        <w:rPr>
          <w:rFonts w:eastAsia="楷体_GB2312" w:cs="MingLiU_HKSCS"/>
          <w:lang w:val="zh-CN"/>
        </w:rPr>
        <w:t>项目可行性研究报告》一文为主要技术基础申请了涉案发明专利并获得授权，发明人为</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乙</w:t>
      </w:r>
      <w:r>
        <w:rPr>
          <w:rFonts w:eastAsia="楷体_GB2312" w:cs="MingLiU_HKSCS"/>
          <w:lang w:val="zh-CN"/>
        </w:rPr>
        <w:t>称，自己是《</w:t>
      </w:r>
      <w:r>
        <w:rPr>
          <w:rFonts w:eastAsia="楷体_GB2312" w:cs="MingLiU_HKSCS"/>
          <w:lang w:val="zh-CN"/>
        </w:rPr>
        <w:t>××</w:t>
      </w:r>
      <w:r>
        <w:rPr>
          <w:rFonts w:eastAsia="楷体_GB2312" w:cs="MingLiU_HKSCS"/>
          <w:lang w:val="zh-CN"/>
        </w:rPr>
        <w:t>项目可行性研究报告》的唯一作者，</w:t>
      </w:r>
      <w:r>
        <w:rPr>
          <w:rFonts w:eastAsia="楷体_GB2312" w:cs="MingLiU_HKSCS" w:hint="eastAsia"/>
          <w:lang w:val="zh-CN"/>
        </w:rPr>
        <w:t>甲</w:t>
      </w:r>
      <w:r>
        <w:rPr>
          <w:rFonts w:eastAsia="楷体_GB2312" w:cs="MingLiU_HKSCS"/>
          <w:lang w:val="zh-CN"/>
        </w:rPr>
        <w:t>受公司委托负责申请专利，但其申请时私自添加自己的名字，因此请求确认涉案专利的唯一发明人为</w:t>
      </w:r>
      <w:r>
        <w:rPr>
          <w:rFonts w:eastAsia="楷体_GB2312" w:cs="MingLiU_HKSCS" w:hint="eastAsia"/>
          <w:lang w:val="zh-CN"/>
        </w:rPr>
        <w:t>乙</w:t>
      </w:r>
      <w:r>
        <w:rPr>
          <w:rFonts w:eastAsia="楷体_GB2312" w:cs="MingLiU_HKSCS"/>
          <w:lang w:val="zh-CN"/>
        </w:rPr>
        <w:t>。管理专利工作的部门认为，《</w:t>
      </w:r>
      <w:r>
        <w:rPr>
          <w:rFonts w:eastAsia="楷体_GB2312" w:cs="MingLiU_HKSCS"/>
          <w:lang w:val="zh-CN"/>
        </w:rPr>
        <w:t>××</w:t>
      </w:r>
      <w:r>
        <w:rPr>
          <w:rFonts w:eastAsia="楷体_GB2312" w:cs="MingLiU_HKSCS"/>
          <w:lang w:val="zh-CN"/>
        </w:rPr>
        <w:t>项目可行性研究报告》是打印稿，该作品体现了一定的虚拟性，在两个主体对该份打印稿都主张权利的情况下，必须认定作者与虚拟作品的对应关系，确定真正的作者。《</w:t>
      </w:r>
      <w:r>
        <w:rPr>
          <w:rFonts w:eastAsia="楷体_GB2312" w:cs="MingLiU_HKSCS"/>
          <w:lang w:val="zh-CN"/>
        </w:rPr>
        <w:t>××</w:t>
      </w:r>
      <w:r>
        <w:rPr>
          <w:rFonts w:eastAsia="楷体_GB2312" w:cs="MingLiU_HKSCS"/>
          <w:lang w:val="zh-CN"/>
        </w:rPr>
        <w:t>项目可行性研究报告》是申请发明专利的基础文件，真正的作者必然对报告中所涉及的复杂技术了然于胸。处理过程中相关部门多次要求双方对《</w:t>
      </w:r>
      <w:r>
        <w:rPr>
          <w:rFonts w:eastAsia="楷体_GB2312" w:cs="MingLiU_HKSCS"/>
          <w:lang w:val="zh-CN"/>
        </w:rPr>
        <w:t>××</w:t>
      </w:r>
      <w:r>
        <w:rPr>
          <w:rFonts w:eastAsia="楷体_GB2312" w:cs="MingLiU_HKSCS"/>
          <w:lang w:val="zh-CN"/>
        </w:rPr>
        <w:t>项目可行性研究报告》中涉及的技术原理予以解释，但</w:t>
      </w:r>
      <w:r>
        <w:rPr>
          <w:rFonts w:eastAsia="楷体_GB2312" w:cs="MingLiU_HKSCS" w:hint="eastAsia"/>
          <w:lang w:val="zh-CN"/>
        </w:rPr>
        <w:t>甲</w:t>
      </w:r>
      <w:r>
        <w:rPr>
          <w:rFonts w:eastAsia="楷体_GB2312" w:cs="MingLiU_HKSCS"/>
          <w:lang w:val="zh-CN"/>
        </w:rPr>
        <w:t>以各种理由拒绝解释。鉴于</w:t>
      </w:r>
      <w:r>
        <w:rPr>
          <w:rFonts w:eastAsia="楷体_GB2312" w:cs="MingLiU_HKSCS" w:hint="eastAsia"/>
          <w:lang w:val="zh-CN"/>
        </w:rPr>
        <w:t>甲</w:t>
      </w:r>
      <w:r>
        <w:rPr>
          <w:rFonts w:eastAsia="楷体_GB2312" w:cs="MingLiU_HKSCS"/>
          <w:lang w:val="zh-CN"/>
        </w:rPr>
        <w:t>无法对《</w:t>
      </w:r>
      <w:r>
        <w:rPr>
          <w:rFonts w:eastAsia="楷体_GB2312" w:cs="MingLiU_HKSCS"/>
          <w:lang w:val="zh-CN"/>
        </w:rPr>
        <w:t>××</w:t>
      </w:r>
      <w:r>
        <w:rPr>
          <w:rFonts w:eastAsia="楷体_GB2312" w:cs="MingLiU_HKSCS"/>
          <w:lang w:val="zh-CN"/>
        </w:rPr>
        <w:t>项目可行性研究报告》中的相关技术作出合理的解释，同时其他证据也不足以证明其对涉案发明专利的实质性特点作出创造性贡献，因此</w:t>
      </w:r>
      <w:r>
        <w:rPr>
          <w:rFonts w:eastAsia="楷体_GB2312" w:cs="MingLiU_HKSCS" w:hint="eastAsia"/>
          <w:lang w:val="zh-CN"/>
        </w:rPr>
        <w:t>甲</w:t>
      </w:r>
      <w:r>
        <w:rPr>
          <w:rFonts w:eastAsia="楷体_GB2312" w:cs="MingLiU_HKSCS"/>
          <w:lang w:val="zh-CN"/>
        </w:rPr>
        <w:t>不是该案的发明人，</w:t>
      </w:r>
      <w:r>
        <w:rPr>
          <w:rFonts w:eastAsia="楷体_GB2312" w:cs="MingLiU_HKSCS" w:hint="eastAsia"/>
          <w:lang w:val="zh-CN"/>
        </w:rPr>
        <w:t>乙</w:t>
      </w:r>
      <w:r>
        <w:rPr>
          <w:rFonts w:eastAsia="楷体_GB2312" w:cs="MingLiU_HKSCS"/>
          <w:lang w:val="zh-CN"/>
        </w:rPr>
        <w:t>的主张能够得到支持。</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发明人或设计人的署名权保护的是那些真正在技术上对发明创造作出贡献的人，</w:t>
      </w:r>
      <w:bookmarkStart w:id="7199" w:name="bookmark196"/>
      <w:bookmarkEnd w:id="7199"/>
      <w:r>
        <w:rPr>
          <w:rFonts w:eastAsia="楷体_GB2312" w:cs="MingLiU_HKSCS"/>
          <w:lang w:val="zh-CN"/>
        </w:rPr>
        <w:t>而真正的发明人或设计人，因为实际参与了发明创造的萌芽、试验和形成的整个过程，一般来说，相比未实际参与发明创造的人来说，必然会对涉案专利的技术细节有更多的了解。因此，在调解过程中应充分调查双方当事人对于技术细节的掌握。该案中，通过在处理过程中了解涉案当事人对技术原理的掌握情况，确定《</w:t>
      </w:r>
      <w:r>
        <w:rPr>
          <w:rFonts w:eastAsia="楷体_GB2312" w:cs="MingLiU_HKSCS"/>
          <w:lang w:val="zh-CN"/>
        </w:rPr>
        <w:t>××</w:t>
      </w:r>
      <w:r>
        <w:rPr>
          <w:rFonts w:eastAsia="楷体_GB2312" w:cs="MingLiU_HKSCS"/>
          <w:lang w:val="zh-CN"/>
        </w:rPr>
        <w:t>项目可行性研究报告》的真正作者，最终结合其他证据确定涉案专利的发明人，给出了一种有效且可操作的判断方式。</w:t>
      </w:r>
    </w:p>
    <w:p w:rsidR="00800760" w:rsidRDefault="00235733">
      <w:pPr>
        <w:pStyle w:val="3"/>
        <w:spacing w:before="240"/>
        <w:ind w:firstLine="444"/>
        <w:rPr>
          <w:rFonts w:ascii="Times New Roman" w:hAnsi="Times New Roman"/>
        </w:rPr>
      </w:pPr>
      <w:bookmarkStart w:id="7200" w:name="_Toc30567"/>
      <w:bookmarkStart w:id="7201" w:name="_Toc23337"/>
      <w:bookmarkStart w:id="7202" w:name="_Toc25436"/>
      <w:bookmarkStart w:id="7203" w:name="_Toc25093"/>
      <w:bookmarkStart w:id="7204" w:name="_Toc24185"/>
      <w:bookmarkStart w:id="7205" w:name="_Toc28264"/>
      <w:bookmarkStart w:id="7206" w:name="_Toc1692"/>
      <w:bookmarkStart w:id="7207" w:name="_Toc23904"/>
      <w:bookmarkStart w:id="7208" w:name="_Toc16975"/>
      <w:bookmarkStart w:id="7209" w:name="_Toc229114498"/>
      <w:bookmarkStart w:id="7210" w:name="_Toc229225594"/>
      <w:r>
        <w:rPr>
          <w:rFonts w:ascii="Times New Roman" w:hAnsi="Times New Roman"/>
        </w:rPr>
        <w:t>三、当事人在发明创造过程中承担的角色</w:t>
      </w:r>
      <w:bookmarkEnd w:id="7200"/>
      <w:bookmarkEnd w:id="7201"/>
      <w:bookmarkEnd w:id="7202"/>
      <w:bookmarkEnd w:id="7203"/>
      <w:bookmarkEnd w:id="7204"/>
      <w:bookmarkEnd w:id="7205"/>
      <w:bookmarkEnd w:id="7206"/>
      <w:bookmarkEnd w:id="7207"/>
      <w:bookmarkEnd w:id="7208"/>
      <w:bookmarkEnd w:id="7209"/>
      <w:bookmarkEnd w:id="7210"/>
    </w:p>
    <w:p w:rsidR="00800760" w:rsidRDefault="00235733">
      <w:pPr>
        <w:ind w:firstLine="436"/>
        <w:jc w:val="both"/>
        <w:rPr>
          <w:rFonts w:cs="宋体"/>
          <w:spacing w:val="4"/>
        </w:rPr>
      </w:pPr>
      <w:r>
        <w:rPr>
          <w:rFonts w:cs="宋体"/>
          <w:spacing w:val="4"/>
        </w:rPr>
        <w:t>未从技术角度对发明创造的作出起到主要作用的人不能作为发明人或设计人。这类人员通常包括研究项目的组织人、为物质技术条件的利用提供方便的人、从事其他辅助性工作的人。</w:t>
      </w:r>
    </w:p>
    <w:p w:rsidR="00800760" w:rsidRDefault="00235733">
      <w:pPr>
        <w:pStyle w:val="4"/>
        <w:spacing w:before="240"/>
        <w:ind w:firstLineChars="0" w:firstLine="444"/>
        <w:rPr>
          <w:rFonts w:ascii="Times New Roman" w:hAnsi="Times New Roman" w:cs="Arial"/>
          <w:lang w:val="en-US"/>
        </w:rPr>
      </w:pPr>
      <w:r>
        <w:rPr>
          <w:rFonts w:ascii="Times New Roman" w:hAnsi="Times New Roman" w:cs="Arial"/>
          <w:lang w:val="en-US"/>
        </w:rPr>
        <w:t>(</w:t>
      </w:r>
      <w:r>
        <w:rPr>
          <w:rFonts w:ascii="Times New Roman" w:hAnsi="Times New Roman" w:cs="Arial"/>
          <w:lang w:val="en-US"/>
        </w:rPr>
        <w:t>一</w:t>
      </w:r>
      <w:r>
        <w:rPr>
          <w:rFonts w:ascii="Times New Roman" w:hAnsi="Times New Roman" w:cs="Arial"/>
          <w:lang w:val="en-US"/>
        </w:rPr>
        <w:t>)</w:t>
      </w:r>
      <w:r>
        <w:rPr>
          <w:rFonts w:ascii="Times New Roman" w:hAnsi="Times New Roman" w:cs="Arial"/>
          <w:lang w:val="en-US"/>
        </w:rPr>
        <w:t>组织人</w:t>
      </w:r>
    </w:p>
    <w:p w:rsidR="00800760" w:rsidRDefault="00235733">
      <w:pPr>
        <w:ind w:firstLine="436"/>
        <w:jc w:val="both"/>
        <w:rPr>
          <w:rFonts w:cs="宋体"/>
          <w:spacing w:val="4"/>
        </w:rPr>
      </w:pPr>
      <w:r>
        <w:rPr>
          <w:rFonts w:cs="宋体"/>
          <w:spacing w:val="4"/>
        </w:rPr>
        <w:t>组织人通常包括研究课题或研发项目的牵头人、负责人，合作项目的联系人等，其在课题或项目研发过程中仅仅起到确定项目、筹措经费、调配人员、提供各种后勤保障的作用。既组织领导整个课题或项目的全部进程，又实际参与课题或项目的具体研究工作的人，不应当被排除到发明人或设计人之外。</w:t>
      </w:r>
    </w:p>
    <w:p w:rsidR="00800760" w:rsidRDefault="00235733">
      <w:pPr>
        <w:pStyle w:val="af6"/>
        <w:spacing w:before="120"/>
        <w:ind w:firstLine="420"/>
      </w:pPr>
      <w:r>
        <w:rPr>
          <w:rFonts w:hint="eastAsia"/>
        </w:rPr>
        <w:t>【案例</w:t>
      </w:r>
      <w:r>
        <w:t>4-2-3</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认为其在某专利申请中的发明创造中作出的贡献巨大，是该专利项目组的负责人，应当享有该专利的发明人署名权。另一方当事人则认为，</w:t>
      </w:r>
      <w:r>
        <w:rPr>
          <w:rFonts w:eastAsia="楷体_GB2312" w:cs="MingLiU_HKSCS" w:hint="eastAsia"/>
          <w:lang w:val="zh-CN"/>
        </w:rPr>
        <w:t>甲</w:t>
      </w:r>
      <w:r>
        <w:rPr>
          <w:rFonts w:eastAsia="楷体_GB2312" w:cs="MingLiU_HKSCS"/>
          <w:lang w:val="zh-CN"/>
        </w:rPr>
        <w:t>是其所在公司的总经理，负责公司的管理，并未参与涉案发明创造的具体研发。管理专利工作的部门经调查认为，涉案专利属于实用新型专利，其创新在于产品结构的适应性改造，并不包括改造前产品的制造、加工工艺。</w:t>
      </w:r>
      <w:r>
        <w:rPr>
          <w:rFonts w:eastAsia="楷体_GB2312" w:cs="MingLiU_HKSCS" w:hint="eastAsia"/>
          <w:lang w:val="zh-CN"/>
        </w:rPr>
        <w:t>甲</w:t>
      </w:r>
      <w:r>
        <w:rPr>
          <w:rFonts w:eastAsia="楷体_GB2312" w:cs="MingLiU_HKSCS"/>
          <w:lang w:val="zh-CN"/>
        </w:rPr>
        <w:t>在涉案专利形成前的产品制造方法方面的贡献以及其在涉案专利申请中的贡献均不等同于《专利法实施细则》中规定的</w:t>
      </w:r>
      <w:r>
        <w:rPr>
          <w:rFonts w:eastAsia="楷体_GB2312" w:cs="MingLiU_HKSCS"/>
          <w:lang w:val="zh-CN"/>
        </w:rPr>
        <w:t>“</w:t>
      </w:r>
      <w:r>
        <w:rPr>
          <w:rFonts w:eastAsia="楷体_GB2312" w:cs="MingLiU_HKSCS"/>
          <w:lang w:val="zh-CN"/>
        </w:rPr>
        <w:t>对发明创造的创造性贡献</w:t>
      </w:r>
      <w:r>
        <w:rPr>
          <w:rFonts w:eastAsia="楷体_GB2312" w:cs="MingLiU_HKSCS"/>
          <w:lang w:val="zh-CN"/>
        </w:rPr>
        <w:t>”,</w:t>
      </w:r>
      <w:r>
        <w:rPr>
          <w:rFonts w:eastAsia="楷体_GB2312" w:cs="MingLiU_HKSCS"/>
          <w:lang w:val="zh-CN"/>
        </w:rPr>
        <w:t>故</w:t>
      </w:r>
      <w:r>
        <w:rPr>
          <w:rFonts w:eastAsia="楷体_GB2312" w:cs="MingLiU_HKSCS" w:hint="eastAsia"/>
          <w:lang w:val="zh-CN"/>
        </w:rPr>
        <w:t>甲</w:t>
      </w:r>
      <w:r>
        <w:rPr>
          <w:rFonts w:eastAsia="楷体_GB2312" w:cs="MingLiU_HKSCS"/>
          <w:lang w:val="zh-CN"/>
        </w:rPr>
        <w:t>以其对重要零部件的加工工艺、制作工艺的贡献以及专利申请资料的整理为由主张其享有涉案专利的发明人署名权，不能得到支持。</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专利法之所以将发明人或设计人的署名权界定在那些从技术角度对发明创造相对于已有技术的改进作出主要贡献的人，原因在于，通过允许发明人或设计人在专利申请文件或专利文件上署名而从精神层面上对其发明创造的能力予以肯定，从而在更大程度上鼓励技术人员的发明创造积极性。从事牵头、组织工作的人未在技术层面作出</w:t>
      </w:r>
      <w:bookmarkStart w:id="7211" w:name="bookmark197"/>
      <w:bookmarkEnd w:id="7211"/>
      <w:r>
        <w:rPr>
          <w:rFonts w:eastAsia="楷体_GB2312" w:cs="MingLiU_HKSCS"/>
          <w:lang w:val="zh-CN"/>
        </w:rPr>
        <w:t>贡献，不能冠之以发明人或设计人，其贡献可以从职务、收入等方面得以体现。该案中，</w:t>
      </w:r>
      <w:r>
        <w:rPr>
          <w:rFonts w:eastAsia="楷体_GB2312" w:cs="MingLiU_HKSCS" w:hint="eastAsia"/>
          <w:lang w:val="zh-CN"/>
        </w:rPr>
        <w:t>甲</w:t>
      </w:r>
      <w:r>
        <w:rPr>
          <w:rFonts w:eastAsia="楷体_GB2312" w:cs="MingLiU_HKSCS"/>
          <w:lang w:val="zh-CN"/>
        </w:rPr>
        <w:t>以其在涉案专利项目组中作为负责人的身份主张署名权，不能被支持。</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二</w:t>
      </w:r>
      <w:r>
        <w:rPr>
          <w:rFonts w:ascii="Times New Roman" w:hAnsi="Times New Roman"/>
        </w:rPr>
        <w:t>)</w:t>
      </w:r>
      <w:r>
        <w:rPr>
          <w:rFonts w:ascii="Times New Roman" w:hAnsi="Times New Roman"/>
        </w:rPr>
        <w:t>提供物质条件便利的人</w:t>
      </w:r>
    </w:p>
    <w:p w:rsidR="00800760" w:rsidRDefault="00235733">
      <w:pPr>
        <w:ind w:firstLine="436"/>
        <w:jc w:val="both"/>
        <w:rPr>
          <w:rFonts w:cs="宋体"/>
          <w:spacing w:val="4"/>
        </w:rPr>
      </w:pPr>
      <w:r>
        <w:rPr>
          <w:rFonts w:cs="宋体"/>
          <w:spacing w:val="4"/>
        </w:rPr>
        <w:t>一项发明创造从形成技术构思到具体技术方案的完成需要诸多物质条件的保障，例如购买设备、提供原材料、保养维修仪器与设备等。仅为发明创造的完成提供物质条件便利的人不能被认定为发明人或设计人。</w:t>
      </w:r>
    </w:p>
    <w:p w:rsidR="00800760" w:rsidRDefault="00235733">
      <w:pPr>
        <w:pStyle w:val="af6"/>
        <w:spacing w:before="120"/>
        <w:ind w:firstLine="420"/>
      </w:pPr>
      <w:r>
        <w:rPr>
          <w:rFonts w:hint="eastAsia"/>
        </w:rPr>
        <w:t>【案例</w:t>
      </w:r>
      <w:r>
        <w:t>4-2-4</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某公司拥有一项发明专利，该专利涉及一种由原料</w:t>
      </w:r>
      <w:r>
        <w:rPr>
          <w:rFonts w:eastAsia="楷体_GB2312" w:cs="MingLiU_HKSCS"/>
          <w:lang w:val="zh-CN"/>
        </w:rPr>
        <w:t>A</w:t>
      </w:r>
      <w:r>
        <w:rPr>
          <w:rFonts w:eastAsia="楷体_GB2312" w:cs="MingLiU_HKSCS"/>
          <w:lang w:val="zh-CN"/>
        </w:rPr>
        <w:t>经氧化成盐制备药物</w:t>
      </w:r>
      <w:r>
        <w:rPr>
          <w:rFonts w:eastAsia="楷体_GB2312" w:cs="MingLiU_HKSCS"/>
          <w:lang w:val="zh-CN"/>
        </w:rPr>
        <w:t>B</w:t>
      </w:r>
      <w:r>
        <w:rPr>
          <w:rFonts w:eastAsia="楷体_GB2312" w:cs="MingLiU_HKSCS"/>
          <w:lang w:val="zh-CN"/>
        </w:rPr>
        <w:t>的方法，专利文件中载明的发明人为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。专利授权后，</w:t>
      </w:r>
      <w:r>
        <w:rPr>
          <w:rFonts w:eastAsia="楷体_GB2312" w:cs="MingLiU_HKSCS" w:hint="eastAsia"/>
          <w:lang w:val="zh-CN"/>
        </w:rPr>
        <w:t>丙</w:t>
      </w:r>
      <w:r>
        <w:rPr>
          <w:rFonts w:eastAsia="楷体_GB2312" w:cs="MingLiU_HKSCS"/>
          <w:lang w:val="zh-CN"/>
        </w:rPr>
        <w:t>向当地管理专利工作的部门提出调解请求，主张其也是发明人之一。</w:t>
      </w:r>
      <w:r>
        <w:rPr>
          <w:rFonts w:eastAsia="楷体_GB2312" w:cs="MingLiU_HKSCS" w:hint="eastAsia"/>
          <w:lang w:val="zh-CN"/>
        </w:rPr>
        <w:t>丙</w:t>
      </w:r>
      <w:r>
        <w:rPr>
          <w:rFonts w:eastAsia="楷体_GB2312" w:cs="MingLiU_HKSCS"/>
          <w:lang w:val="zh-CN"/>
        </w:rPr>
        <w:t>提出的理由是，该专利发明创造所用到的原料</w:t>
      </w:r>
      <w:r>
        <w:rPr>
          <w:rFonts w:eastAsia="楷体_GB2312" w:cs="MingLiU_HKSCS"/>
          <w:lang w:val="zh-CN"/>
        </w:rPr>
        <w:t>A</w:t>
      </w:r>
      <w:r>
        <w:rPr>
          <w:rFonts w:eastAsia="楷体_GB2312" w:cs="MingLiU_HKSCS"/>
          <w:lang w:val="zh-CN"/>
        </w:rPr>
        <w:t>是由其所在课题组合成并提供给</w:t>
      </w:r>
      <w:r>
        <w:rPr>
          <w:rFonts w:eastAsia="楷体_GB2312" w:cs="MingLiU_HKSCS" w:hint="eastAsia"/>
          <w:lang w:val="zh-CN"/>
        </w:rPr>
        <w:t>甲</w:t>
      </w:r>
      <w:r>
        <w:rPr>
          <w:rFonts w:eastAsia="楷体_GB2312" w:cs="MingLiU_HKSCS"/>
          <w:lang w:val="zh-CN"/>
        </w:rPr>
        <w:t>的，如果没有原料</w:t>
      </w:r>
      <w:r>
        <w:rPr>
          <w:rFonts w:eastAsia="楷体_GB2312" w:cs="MingLiU_HKSCS"/>
          <w:lang w:val="zh-CN"/>
        </w:rPr>
        <w:t>A,</w:t>
      </w:r>
      <w:r>
        <w:rPr>
          <w:rFonts w:eastAsia="楷体_GB2312" w:cs="MingLiU_HKSCS" w:hint="eastAsia"/>
          <w:lang w:val="zh-CN"/>
        </w:rPr>
        <w:t>甲</w:t>
      </w:r>
      <w:r>
        <w:rPr>
          <w:rFonts w:eastAsia="楷体_GB2312" w:cs="MingLiU_HKSCS"/>
          <w:lang w:val="zh-CN"/>
        </w:rPr>
        <w:t>就不可能制备得到药物</w:t>
      </w:r>
      <w:r>
        <w:rPr>
          <w:rFonts w:eastAsia="楷体_GB2312" w:cs="MingLiU_HKSCS"/>
          <w:lang w:val="zh-CN"/>
        </w:rPr>
        <w:t>B,</w:t>
      </w:r>
      <w:r>
        <w:rPr>
          <w:rFonts w:eastAsia="楷体_GB2312" w:cs="MingLiU_HKSCS"/>
          <w:lang w:val="zh-CN"/>
        </w:rPr>
        <w:t>不可能获得该专利。某公司和</w:t>
      </w:r>
      <w:r>
        <w:rPr>
          <w:rFonts w:eastAsia="楷体_GB2312" w:cs="MingLiU_HKSCS" w:hint="eastAsia"/>
          <w:lang w:val="zh-CN"/>
        </w:rPr>
        <w:t>甲</w:t>
      </w:r>
      <w:r>
        <w:rPr>
          <w:rFonts w:eastAsia="楷体_GB2312" w:cs="MingLiU_HKSCS"/>
          <w:lang w:val="zh-CN"/>
        </w:rPr>
        <w:t>辩称，尽管实验过程中使用的原料</w:t>
      </w:r>
      <w:r>
        <w:rPr>
          <w:rFonts w:eastAsia="楷体_GB2312" w:cs="MingLiU_HKSCS"/>
          <w:lang w:val="zh-CN"/>
        </w:rPr>
        <w:t>A</w:t>
      </w:r>
      <w:r>
        <w:rPr>
          <w:rFonts w:eastAsia="楷体_GB2312" w:cs="MingLiU_HKSCS"/>
          <w:lang w:val="zh-CN"/>
        </w:rPr>
        <w:t>确实来源于</w:t>
      </w:r>
      <w:r>
        <w:rPr>
          <w:rFonts w:eastAsia="楷体_GB2312" w:cs="MingLiU_HKSCS" w:hint="eastAsia"/>
          <w:lang w:val="zh-CN"/>
        </w:rPr>
        <w:t>丙</w:t>
      </w:r>
      <w:r>
        <w:rPr>
          <w:rFonts w:eastAsia="楷体_GB2312" w:cs="MingLiU_HKSCS"/>
          <w:lang w:val="zh-CN"/>
        </w:rPr>
        <w:t>，但原料</w:t>
      </w:r>
      <w:r>
        <w:rPr>
          <w:rFonts w:eastAsia="楷体_GB2312" w:cs="MingLiU_HKSCS"/>
          <w:lang w:val="zh-CN"/>
        </w:rPr>
        <w:t>A</w:t>
      </w:r>
      <w:r>
        <w:rPr>
          <w:rFonts w:eastAsia="楷体_GB2312" w:cs="MingLiU_HKSCS"/>
          <w:lang w:val="zh-CN"/>
        </w:rPr>
        <w:t>是一种市售商品，即使不从</w:t>
      </w:r>
      <w:r>
        <w:rPr>
          <w:rFonts w:eastAsia="楷体_GB2312" w:cs="MingLiU_HKSCS" w:hint="eastAsia"/>
          <w:lang w:val="zh-CN"/>
        </w:rPr>
        <w:t>丙</w:t>
      </w:r>
      <w:r>
        <w:rPr>
          <w:rFonts w:eastAsia="楷体_GB2312" w:cs="MingLiU_HKSCS"/>
          <w:lang w:val="zh-CN"/>
        </w:rPr>
        <w:t>处获得，也可以从其他公司购买得到。</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是否具有发明人或设计人资格，最关键的是要考察其对发明创造的完成是否作出主要的技术贡献。涉案专利技术的核心在于将原料</w:t>
      </w:r>
      <w:r>
        <w:rPr>
          <w:rFonts w:eastAsia="楷体_GB2312" w:cs="MingLiU_HKSCS"/>
          <w:lang w:val="zh-CN"/>
        </w:rPr>
        <w:t>A</w:t>
      </w:r>
      <w:r>
        <w:rPr>
          <w:rFonts w:eastAsia="楷体_GB2312" w:cs="MingLiU_HKSCS"/>
          <w:lang w:val="zh-CN"/>
        </w:rPr>
        <w:t>转化为产品</w:t>
      </w:r>
      <w:r>
        <w:rPr>
          <w:rFonts w:eastAsia="楷体_GB2312" w:cs="MingLiU_HKSCS"/>
          <w:lang w:val="zh-CN"/>
        </w:rPr>
        <w:t>B,</w:t>
      </w:r>
      <w:r>
        <w:rPr>
          <w:rFonts w:eastAsia="楷体_GB2312" w:cs="MingLiU_HKSCS"/>
          <w:lang w:val="zh-CN"/>
        </w:rPr>
        <w:t>其中对产品</w:t>
      </w:r>
      <w:r>
        <w:rPr>
          <w:rFonts w:eastAsia="楷体_GB2312" w:cs="MingLiU_HKSCS"/>
          <w:lang w:val="zh-CN"/>
        </w:rPr>
        <w:t>B</w:t>
      </w:r>
      <w:r>
        <w:rPr>
          <w:rFonts w:eastAsia="楷体_GB2312" w:cs="MingLiU_HKSCS"/>
          <w:lang w:val="zh-CN"/>
        </w:rPr>
        <w:t>的结构设计和形成产品</w:t>
      </w:r>
      <w:r>
        <w:rPr>
          <w:rFonts w:eastAsia="楷体_GB2312" w:cs="MingLiU_HKSCS"/>
          <w:lang w:val="zh-CN"/>
        </w:rPr>
        <w:t>B</w:t>
      </w:r>
      <w:r>
        <w:rPr>
          <w:rFonts w:eastAsia="楷体_GB2312" w:cs="MingLiU_HKSCS"/>
          <w:lang w:val="zh-CN"/>
        </w:rPr>
        <w:t>的方法步骤的设计是该专利技术的重中之重。</w:t>
      </w:r>
      <w:r>
        <w:rPr>
          <w:rFonts w:eastAsia="楷体_GB2312" w:cs="MingLiU_HKSCS" w:hint="eastAsia"/>
          <w:lang w:val="zh-CN"/>
        </w:rPr>
        <w:t>丙</w:t>
      </w:r>
      <w:r>
        <w:rPr>
          <w:rFonts w:eastAsia="楷体_GB2312" w:cs="MingLiU_HKSCS"/>
          <w:lang w:val="zh-CN"/>
        </w:rPr>
        <w:t>由于方便而向课题组提供一种市售的已知原料，尽管对发明创造的形成具有一定的作用，但其仅仅是为发明创造的完成提供了物质便利，并非对该发明创造作出了技术贡献。因此，</w:t>
      </w:r>
      <w:r>
        <w:rPr>
          <w:rFonts w:eastAsia="楷体_GB2312" w:cs="MingLiU_HKSCS" w:hint="eastAsia"/>
          <w:lang w:val="zh-CN"/>
        </w:rPr>
        <w:t>丙</w:t>
      </w:r>
      <w:r>
        <w:rPr>
          <w:rFonts w:eastAsia="楷体_GB2312" w:cs="MingLiU_HKSCS"/>
          <w:lang w:val="zh-CN"/>
        </w:rPr>
        <w:t>不能被认为具有涉案专利发明人的资格。</w:t>
      </w:r>
    </w:p>
    <w:p w:rsidR="00800760" w:rsidRDefault="00235733">
      <w:pPr>
        <w:spacing w:line="360" w:lineRule="auto"/>
        <w:rPr>
          <w:rFonts w:eastAsia="楷体_GB2312" w:cs="MingLiU_HKSCS"/>
          <w:lang w:val="zh-CN"/>
        </w:rPr>
      </w:pPr>
      <w:r>
        <w:rPr>
          <w:rFonts w:eastAsia="楷体_GB2312" w:cs="MingLiU_HKSCS"/>
          <w:lang w:val="zh-CN"/>
        </w:rPr>
        <w:t>该案中，假定原料</w:t>
      </w:r>
      <w:r>
        <w:rPr>
          <w:rFonts w:eastAsia="楷体_GB2312" w:cs="MingLiU_HKSCS"/>
          <w:lang w:val="zh-CN"/>
        </w:rPr>
        <w:t>A</w:t>
      </w:r>
      <w:r>
        <w:rPr>
          <w:rFonts w:eastAsia="楷体_GB2312" w:cs="MingLiU_HKSCS"/>
          <w:lang w:val="zh-CN"/>
        </w:rPr>
        <w:t>是一种由</w:t>
      </w:r>
      <w:r>
        <w:rPr>
          <w:rFonts w:eastAsia="楷体_GB2312" w:cs="MingLiU_HKSCS" w:hint="eastAsia"/>
          <w:lang w:val="zh-CN"/>
        </w:rPr>
        <w:t>甲</w:t>
      </w:r>
      <w:r>
        <w:rPr>
          <w:rFonts w:eastAsia="楷体_GB2312" w:cs="MingLiU_HKSCS"/>
          <w:lang w:val="zh-CN"/>
        </w:rPr>
        <w:t>发明的新物质，从其他任何单位和已知的文献都不能获得该物质，那么</w:t>
      </w:r>
      <w:r>
        <w:rPr>
          <w:rFonts w:eastAsia="楷体_GB2312" w:cs="MingLiU_HKSCS"/>
          <w:lang w:val="zh-CN"/>
        </w:rPr>
        <w:t>,</w:t>
      </w:r>
      <w:r>
        <w:rPr>
          <w:rFonts w:eastAsia="楷体_GB2312" w:cs="MingLiU_HKSCS"/>
          <w:lang w:val="zh-CN"/>
        </w:rPr>
        <w:t>没有</w:t>
      </w:r>
      <w:r>
        <w:rPr>
          <w:rFonts w:eastAsia="楷体_GB2312" w:cs="MingLiU_HKSCS" w:hint="eastAsia"/>
          <w:lang w:val="zh-CN"/>
        </w:rPr>
        <w:t>丙</w:t>
      </w:r>
      <w:r>
        <w:rPr>
          <w:rFonts w:eastAsia="楷体_GB2312" w:cs="MingLiU_HKSCS"/>
          <w:lang w:val="zh-CN"/>
        </w:rPr>
        <w:t>提供原料</w:t>
      </w:r>
      <w:r>
        <w:rPr>
          <w:rFonts w:eastAsia="楷体_GB2312" w:cs="MingLiU_HKSCS"/>
          <w:lang w:val="zh-CN"/>
        </w:rPr>
        <w:t>A,</w:t>
      </w:r>
      <w:r>
        <w:rPr>
          <w:rFonts w:eastAsia="楷体_GB2312" w:cs="MingLiU_HKSCS"/>
          <w:lang w:val="zh-CN"/>
        </w:rPr>
        <w:t>涉案专利就不可能完成，此时，应当认为</w:t>
      </w:r>
      <w:r>
        <w:rPr>
          <w:rFonts w:eastAsia="楷体_GB2312" w:cs="MingLiU_HKSCS" w:hint="eastAsia"/>
          <w:lang w:val="zh-CN"/>
        </w:rPr>
        <w:t>丙</w:t>
      </w:r>
      <w:r>
        <w:rPr>
          <w:rFonts w:eastAsia="楷体_GB2312" w:cs="MingLiU_HKSCS"/>
          <w:lang w:val="zh-CN"/>
        </w:rPr>
        <w:t>对涉案专利的作出具有主要的技术贡献，是涉案专利的发明人。</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三</w:t>
      </w:r>
      <w:r>
        <w:rPr>
          <w:rFonts w:ascii="Times New Roman" w:hAnsi="Times New Roman"/>
        </w:rPr>
        <w:t>)</w:t>
      </w:r>
      <w:r>
        <w:rPr>
          <w:rFonts w:ascii="Times New Roman" w:hAnsi="Times New Roman"/>
        </w:rPr>
        <w:t>辅助人</w:t>
      </w:r>
    </w:p>
    <w:p w:rsidR="00800760" w:rsidRDefault="00235733">
      <w:pPr>
        <w:ind w:firstLine="436"/>
        <w:jc w:val="both"/>
        <w:rPr>
          <w:rFonts w:cs="宋体"/>
          <w:spacing w:val="4"/>
        </w:rPr>
      </w:pPr>
      <w:r>
        <w:rPr>
          <w:rFonts w:cs="宋体"/>
          <w:spacing w:val="4"/>
        </w:rPr>
        <w:t>辅助人是指研究项目组中不参与大量实质性、创造性的工作，仅根据主要参与人员的指示提供辅助性外围劳动的人。辅助人通常包括实验操作人员、文献检索人员、数据分析人员、产品检测人员、资料管理人员等。</w:t>
      </w:r>
    </w:p>
    <w:p w:rsidR="00800760" w:rsidRDefault="00235733">
      <w:pPr>
        <w:pStyle w:val="af6"/>
        <w:spacing w:before="120"/>
        <w:ind w:firstLine="420"/>
      </w:pPr>
      <w:bookmarkStart w:id="7212" w:name="bookmark198"/>
      <w:bookmarkEnd w:id="7212"/>
      <w:r>
        <w:rPr>
          <w:rFonts w:hint="eastAsia"/>
        </w:rPr>
        <w:t>【案例4</w:t>
      </w:r>
      <w:r>
        <w:t>-2-5</w:t>
      </w:r>
      <w:r>
        <w:rPr>
          <w:rFonts w:hint="eastAsia"/>
        </w:rPr>
        <w:t>】</w:t>
      </w:r>
    </w:p>
    <w:p w:rsidR="00800760" w:rsidRDefault="00235733">
      <w:pPr>
        <w:spacing w:line="360" w:lineRule="auto"/>
        <w:rPr>
          <w:rFonts w:eastAsia="楷体" w:cs="楷体"/>
        </w:rPr>
      </w:pPr>
      <w:r>
        <w:rPr>
          <w:rFonts w:eastAsia="楷体_GB2312" w:cs="MingLiU_HKSCS"/>
          <w:lang w:val="zh-CN"/>
        </w:rPr>
        <w:t>某催化剂公司提交一项沸石催化剂的发明专利申请，专利申请文件中载明的发明人为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向当地知识产权局提出调解请求。</w:t>
      </w:r>
      <w:r>
        <w:rPr>
          <w:rFonts w:eastAsia="楷体_GB2312" w:cs="MingLiU_HKSCS" w:hint="eastAsia"/>
          <w:lang w:val="zh-CN"/>
        </w:rPr>
        <w:t>丙</w:t>
      </w:r>
      <w:r>
        <w:rPr>
          <w:rFonts w:eastAsia="楷体_GB2312" w:cs="MingLiU_HKSCS"/>
          <w:lang w:val="zh-CN"/>
        </w:rPr>
        <w:t>称其为课题组的一员，与</w:t>
      </w:r>
      <w:r>
        <w:rPr>
          <w:rFonts w:eastAsia="楷体_GB2312" w:cs="MingLiU_HKSCS" w:hint="eastAsia"/>
          <w:lang w:val="zh-CN"/>
        </w:rPr>
        <w:t>乙</w:t>
      </w:r>
      <w:r>
        <w:rPr>
          <w:rFonts w:eastAsia="楷体_GB2312" w:cs="MingLiU_HKSCS"/>
          <w:lang w:val="zh-CN"/>
        </w:rPr>
        <w:t>一起负责催化剂的合成，既然</w:t>
      </w:r>
      <w:r>
        <w:rPr>
          <w:rFonts w:eastAsia="楷体_GB2312" w:cs="MingLiU_HKSCS" w:hint="eastAsia"/>
          <w:lang w:val="zh-CN"/>
        </w:rPr>
        <w:t>乙</w:t>
      </w:r>
      <w:r>
        <w:rPr>
          <w:rFonts w:eastAsia="楷体_GB2312" w:cs="MingLiU_HKSCS"/>
          <w:lang w:val="zh-CN"/>
        </w:rPr>
        <w:t>是该专利申请的发明人，其也应当具有发明人资格；</w:t>
      </w:r>
      <w:r>
        <w:rPr>
          <w:rFonts w:eastAsia="楷体_GB2312" w:cs="MingLiU_HKSCS" w:hint="eastAsia"/>
          <w:lang w:val="zh-CN"/>
        </w:rPr>
        <w:t>丁</w:t>
      </w:r>
      <w:r>
        <w:rPr>
          <w:rFonts w:eastAsia="楷体_GB2312" w:cs="MingLiU_HKSCS"/>
          <w:lang w:val="zh-CN"/>
        </w:rPr>
        <w:t>称其在该公司测试中心工作，负责物理吸附仪的做样和日常维护，</w:t>
      </w:r>
      <w:r>
        <w:rPr>
          <w:rFonts w:eastAsia="楷体_GB2312" w:cs="MingLiU_HKSCS" w:hint="eastAsia"/>
          <w:lang w:val="zh-CN"/>
        </w:rPr>
        <w:t>甲</w:t>
      </w:r>
      <w:r>
        <w:rPr>
          <w:rFonts w:eastAsia="楷体_GB2312" w:cs="MingLiU_HKSCS"/>
          <w:lang w:val="zh-CN"/>
        </w:rPr>
        <w:t>课题组的每批催化剂样品都由其测试，其会将测试结果反馈课题组，而样品的测试是催化剂研发不可缺少的一部分。催化剂公司辩称，</w:t>
      </w:r>
      <w:r>
        <w:rPr>
          <w:rFonts w:eastAsia="楷体_GB2312" w:cs="MingLiU_HKSCS" w:hint="eastAsia"/>
          <w:lang w:val="zh-CN"/>
        </w:rPr>
        <w:t>丙</w:t>
      </w:r>
      <w:r>
        <w:rPr>
          <w:rFonts w:eastAsia="楷体_GB2312" w:cs="MingLiU_HKSCS"/>
          <w:lang w:val="zh-CN"/>
        </w:rPr>
        <w:t>虽然是课题组的一员，但其日常工作任务是根据</w:t>
      </w:r>
      <w:r>
        <w:rPr>
          <w:rFonts w:eastAsia="楷体_GB2312" w:cs="MingLiU_HKSCS" w:hint="eastAsia"/>
          <w:lang w:val="zh-CN"/>
        </w:rPr>
        <w:t>甲</w:t>
      </w:r>
      <w:r>
        <w:rPr>
          <w:rFonts w:eastAsia="楷体_GB2312" w:cs="MingLiU_HKSCS"/>
          <w:lang w:val="zh-CN"/>
        </w:rPr>
        <w:t>设计的配方和条件合成沸石催化剂。</w:t>
      </w:r>
      <w:r>
        <w:rPr>
          <w:rFonts w:eastAsia="楷体_GB2312" w:cs="MingLiU_HKSCS" w:hint="eastAsia"/>
          <w:lang w:val="zh-CN"/>
        </w:rPr>
        <w:t>乙</w:t>
      </w:r>
      <w:r>
        <w:rPr>
          <w:rFonts w:eastAsia="楷体_GB2312" w:cs="MingLiU_HKSCS"/>
          <w:lang w:val="zh-CN"/>
        </w:rPr>
        <w:t>除参与催化剂的合成外，每次都对实验的现象、结果进行分析，并提出配方修改方案。另外，每批催化剂制备结束后，课题组都会取样送测试中心进行吸附性能测试，</w:t>
      </w:r>
      <w:r>
        <w:rPr>
          <w:rFonts w:eastAsia="楷体_GB2312" w:cs="MingLiU_HKSCS" w:hint="eastAsia"/>
          <w:lang w:val="zh-CN"/>
        </w:rPr>
        <w:t>丁</w:t>
      </w:r>
      <w:r>
        <w:rPr>
          <w:rFonts w:eastAsia="楷体_GB2312" w:cs="MingLiU_HKSCS"/>
          <w:lang w:val="zh-CN"/>
        </w:rPr>
        <w:t>仅是根据</w:t>
      </w:r>
      <w:r>
        <w:rPr>
          <w:rFonts w:eastAsia="楷体_GB2312" w:cs="MingLiU_HKSCS" w:hint="eastAsia"/>
          <w:lang w:val="zh-CN"/>
        </w:rPr>
        <w:t>甲</w:t>
      </w:r>
      <w:r>
        <w:rPr>
          <w:rFonts w:eastAsia="楷体_GB2312" w:cs="MingLiU_HKSCS"/>
          <w:lang w:val="zh-CN"/>
        </w:rPr>
        <w:t>拟定的条件对样品进行测试，并将原始结果反馈课题组，由</w:t>
      </w:r>
      <w:r>
        <w:rPr>
          <w:rFonts w:eastAsia="楷体_GB2312" w:cs="MingLiU_HKSCS" w:hint="eastAsia"/>
          <w:lang w:val="zh-CN"/>
        </w:rPr>
        <w:t>甲</w:t>
      </w:r>
      <w:r>
        <w:rPr>
          <w:rFonts w:eastAsia="楷体_GB2312" w:cs="MingLiU_HKSCS"/>
          <w:lang w:val="zh-CN"/>
        </w:rPr>
        <w:t>对测试结果进行分析。为证明其主张，催化剂公司提交实验报告、课题组会议纪要和测试报告等证据。</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rsidP="00144708">
      <w:pPr>
        <w:spacing w:line="360" w:lineRule="auto"/>
      </w:pPr>
      <w:r>
        <w:rPr>
          <w:rFonts w:eastAsia="楷体_GB2312" w:cs="MingLiU_HKSCS"/>
          <w:lang w:val="zh-CN"/>
        </w:rPr>
        <w:t>一项发明创造从构思到方案完善，至最终形成适合于知识产权保护的技术方案，往往需要很多人的配合，其中既需要实验室小型试验，又可能需要中试，有些情况下还需要在工业化装置上予以测试；既需要主要负责技术构思及方案设计的技术人员，又需要将设计方案付诸具体实施的操作工，还需要对产品进行测试的仪器操作工。如果所有参与发明创造的人，无论角色如何、分工是什么</w:t>
      </w:r>
      <w:r>
        <w:rPr>
          <w:rFonts w:eastAsia="楷体_GB2312" w:cs="MingLiU_HKSCS"/>
          <w:lang w:val="zh-CN"/>
        </w:rPr>
        <w:t>,</w:t>
      </w:r>
      <w:r>
        <w:rPr>
          <w:rFonts w:eastAsia="楷体_GB2312" w:cs="MingLiU_HKSCS"/>
          <w:lang w:val="zh-CN"/>
        </w:rPr>
        <w:t>都能作为发明人或者设计人的话，从技术贡献角度对发明人或设计人给予精神奖励的初衷将失去意义，同时也无助于鼓励真正对发明创造付出智力劳动的人的积极性。这正是专利法不将那些仅仅做辅助性工作的人作为发明人或设计人对待的原因。该案中，</w:t>
      </w:r>
      <w:r>
        <w:rPr>
          <w:rFonts w:eastAsia="楷体_GB2312" w:cs="MingLiU_HKSCS" w:hint="eastAsia"/>
          <w:lang w:val="zh-CN"/>
        </w:rPr>
        <w:t>乙</w:t>
      </w:r>
      <w:r>
        <w:rPr>
          <w:rFonts w:eastAsia="楷体_GB2312" w:cs="MingLiU_HKSCS"/>
          <w:lang w:val="zh-CN"/>
        </w:rPr>
        <w:t>和</w:t>
      </w:r>
      <w:r>
        <w:rPr>
          <w:rFonts w:eastAsia="楷体_GB2312" w:cs="MingLiU_HKSCS" w:hint="eastAsia"/>
          <w:lang w:val="zh-CN"/>
        </w:rPr>
        <w:t>丙</w:t>
      </w:r>
      <w:r>
        <w:rPr>
          <w:rFonts w:eastAsia="楷体_GB2312" w:cs="MingLiU_HKSCS"/>
          <w:lang w:val="zh-CN"/>
        </w:rPr>
        <w:t>虽然都参与了催化剂的合成，但二人对催化剂的配方完善的技术性贡献却完全不同。前者显然对发明创造贡献了更多的智力，而后者仅是日常的机械劳动，将前者作为发明人而将后者作为从事辅助性工作的人对待并无不妥。另外，</w:t>
      </w:r>
      <w:r>
        <w:rPr>
          <w:rFonts w:eastAsia="楷体_GB2312" w:cs="MingLiU_HKSCS" w:hint="eastAsia"/>
          <w:lang w:val="zh-CN"/>
        </w:rPr>
        <w:t>丁</w:t>
      </w:r>
      <w:r>
        <w:rPr>
          <w:rFonts w:eastAsia="楷体_GB2312" w:cs="MingLiU_HKSCS"/>
          <w:lang w:val="zh-CN"/>
        </w:rPr>
        <w:t>对样品的测试虽然对催化剂的开发不可或缺，但其也仅仅是根据设定的条件进行机械的重复劳动，对测试结果的分析与利用完全依靠</w:t>
      </w:r>
      <w:r>
        <w:rPr>
          <w:rFonts w:eastAsia="楷体_GB2312" w:cs="MingLiU_HKSCS" w:hint="eastAsia"/>
          <w:lang w:val="zh-CN"/>
        </w:rPr>
        <w:t>甲</w:t>
      </w:r>
      <w:r>
        <w:rPr>
          <w:rFonts w:eastAsia="楷体_GB2312" w:cs="MingLiU_HKSCS"/>
          <w:lang w:val="zh-CN"/>
        </w:rPr>
        <w:t>而非</w:t>
      </w:r>
      <w:r>
        <w:rPr>
          <w:rFonts w:eastAsia="楷体_GB2312" w:cs="MingLiU_HKSCS" w:hint="eastAsia"/>
          <w:lang w:val="zh-CN"/>
        </w:rPr>
        <w:t>丁</w:t>
      </w:r>
      <w:r>
        <w:rPr>
          <w:rFonts w:eastAsia="楷体_GB2312" w:cs="MingLiU_HKSCS"/>
          <w:lang w:val="zh-CN"/>
        </w:rPr>
        <w:t>，因此，</w:t>
      </w:r>
      <w:r>
        <w:rPr>
          <w:rFonts w:eastAsia="楷体_GB2312" w:cs="MingLiU_HKSCS" w:hint="eastAsia"/>
          <w:lang w:val="zh-CN"/>
        </w:rPr>
        <w:t>丁</w:t>
      </w:r>
      <w:r>
        <w:rPr>
          <w:rFonts w:eastAsia="楷体_GB2312" w:cs="MingLiU_HKSCS"/>
          <w:lang w:val="zh-CN"/>
        </w:rPr>
        <w:t>的工作对于涉案专利来说也仅仅是辅助性工作。</w:t>
      </w:r>
    </w:p>
    <w:p w:rsidR="00800760" w:rsidRDefault="00235733">
      <w:pPr>
        <w:pStyle w:val="2"/>
        <w:spacing w:before="91"/>
        <w:ind w:firstLineChars="0" w:firstLine="0"/>
        <w:rPr>
          <w:rFonts w:ascii="Times New Roman" w:hAnsi="Times New Roman"/>
        </w:rPr>
      </w:pPr>
      <w:bookmarkStart w:id="7213" w:name="_Toc27504"/>
      <w:bookmarkStart w:id="7214" w:name="_Toc5668"/>
      <w:bookmarkStart w:id="7215" w:name="_Toc11864"/>
      <w:bookmarkStart w:id="7216" w:name="_Toc17063"/>
      <w:bookmarkStart w:id="7217" w:name="_Toc2699"/>
      <w:bookmarkStart w:id="7218" w:name="_Toc28053"/>
      <w:bookmarkStart w:id="7219" w:name="_Toc4326"/>
      <w:bookmarkStart w:id="7220" w:name="_Toc18868"/>
      <w:bookmarkStart w:id="7221" w:name="_Toc23446"/>
      <w:bookmarkStart w:id="7222" w:name="_Toc21907"/>
      <w:bookmarkStart w:id="7223" w:name="_Toc14534"/>
      <w:bookmarkStart w:id="7224" w:name="_Toc648"/>
      <w:bookmarkStart w:id="7225" w:name="_Toc20723"/>
      <w:bookmarkStart w:id="7226" w:name="_Toc15662"/>
      <w:bookmarkStart w:id="7227" w:name="_Toc20286"/>
      <w:bookmarkStart w:id="7228" w:name="_Toc1791"/>
      <w:bookmarkStart w:id="7229" w:name="_Toc22406"/>
      <w:bookmarkStart w:id="7230" w:name="_Toc18293"/>
      <w:bookmarkStart w:id="7231" w:name="_Toc10834"/>
      <w:bookmarkStart w:id="7232" w:name="_Toc26542"/>
      <w:bookmarkStart w:id="7233" w:name="_Toc22837"/>
      <w:bookmarkStart w:id="7234" w:name="_Toc7854"/>
      <w:bookmarkStart w:id="7235" w:name="_Toc29404"/>
      <w:bookmarkStart w:id="7236" w:name="_Toc16223"/>
      <w:bookmarkStart w:id="7237" w:name="_Toc4889"/>
      <w:bookmarkStart w:id="7238" w:name="_Toc203"/>
      <w:bookmarkStart w:id="7239" w:name="_Toc229114499"/>
      <w:bookmarkStart w:id="7240" w:name="_Toc8944"/>
      <w:bookmarkStart w:id="7241" w:name="_Toc12452"/>
      <w:bookmarkStart w:id="7242" w:name="_Toc23800"/>
      <w:bookmarkStart w:id="7243" w:name="_Toc1685"/>
      <w:bookmarkStart w:id="7244" w:name="_Toc2612"/>
      <w:bookmarkStart w:id="7245" w:name="_Toc18191"/>
      <w:bookmarkStart w:id="7246" w:name="_Toc27852"/>
      <w:bookmarkStart w:id="7247" w:name="_Toc19824"/>
      <w:bookmarkStart w:id="7248" w:name="_Toc7712"/>
      <w:bookmarkStart w:id="7249" w:name="_Toc4152"/>
      <w:bookmarkStart w:id="7250" w:name="_Toc15368"/>
      <w:bookmarkStart w:id="7251" w:name="_Toc10035"/>
      <w:bookmarkStart w:id="7252" w:name="_Toc9616"/>
      <w:bookmarkStart w:id="7253" w:name="_Toc2138"/>
      <w:bookmarkStart w:id="7254" w:name="_Toc31894"/>
      <w:bookmarkStart w:id="7255" w:name="_Toc863"/>
      <w:bookmarkStart w:id="7256" w:name="_Toc229225595"/>
      <w:r>
        <w:rPr>
          <w:rFonts w:ascii="Times New Roman" w:hAnsi="Times New Roman"/>
        </w:rPr>
        <w:t>第三节</w:t>
      </w:r>
      <w:r>
        <w:rPr>
          <w:rFonts w:ascii="Times New Roman" w:hAnsi="Times New Roman" w:hint="eastAsia"/>
        </w:rPr>
        <w:t xml:space="preserve">　</w:t>
      </w:r>
      <w:r>
        <w:rPr>
          <w:rFonts w:ascii="Times New Roman" w:hAnsi="Times New Roman"/>
        </w:rPr>
        <w:t>判断发明人或设计人资格的注意事项</w:t>
      </w:r>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p>
    <w:p w:rsidR="00800760" w:rsidRDefault="00235733">
      <w:pPr>
        <w:pStyle w:val="3"/>
        <w:spacing w:before="240"/>
        <w:ind w:firstLine="444"/>
        <w:rPr>
          <w:rFonts w:ascii="Times New Roman" w:hAnsi="Times New Roman"/>
        </w:rPr>
      </w:pPr>
      <w:bookmarkStart w:id="7257" w:name="_Toc5354"/>
      <w:bookmarkStart w:id="7258" w:name="_Toc17601"/>
      <w:bookmarkStart w:id="7259" w:name="_Toc25368"/>
      <w:bookmarkStart w:id="7260" w:name="_Toc18541"/>
      <w:bookmarkStart w:id="7261" w:name="_Toc27194"/>
      <w:bookmarkStart w:id="7262" w:name="_Toc28872"/>
      <w:bookmarkStart w:id="7263" w:name="_Toc27349"/>
      <w:bookmarkStart w:id="7264" w:name="_Toc229114500"/>
      <w:bookmarkStart w:id="7265" w:name="_Toc523"/>
      <w:bookmarkStart w:id="7266" w:name="_Toc22275"/>
      <w:bookmarkStart w:id="7267" w:name="_Toc229225596"/>
      <w:r>
        <w:rPr>
          <w:rFonts w:ascii="Times New Roman" w:hAnsi="Times New Roman"/>
        </w:rPr>
        <w:t>一、发明人或设计人署名权的性质</w:t>
      </w:r>
      <w:bookmarkEnd w:id="7257"/>
      <w:bookmarkEnd w:id="7258"/>
      <w:bookmarkEnd w:id="7259"/>
      <w:bookmarkEnd w:id="7260"/>
      <w:bookmarkEnd w:id="7261"/>
      <w:bookmarkEnd w:id="7262"/>
      <w:bookmarkEnd w:id="7263"/>
      <w:bookmarkEnd w:id="7264"/>
      <w:bookmarkEnd w:id="7265"/>
      <w:bookmarkEnd w:id="7266"/>
      <w:bookmarkEnd w:id="7267"/>
    </w:p>
    <w:p w:rsidR="00800760" w:rsidRDefault="00235733">
      <w:pPr>
        <w:ind w:firstLine="436"/>
        <w:jc w:val="both"/>
        <w:rPr>
          <w:rFonts w:cs="宋体"/>
          <w:spacing w:val="4"/>
        </w:rPr>
      </w:pPr>
      <w:r>
        <w:rPr>
          <w:rFonts w:cs="宋体"/>
          <w:spacing w:val="4"/>
        </w:rPr>
        <w:t>发明人或设计人署名权属于一种依附于发明人或设计人之自然人身份的精神权利，是法律规定对于发明人或设计人就发明创造的作出给予的精神层面的肯定和奖励。其具有以下特征：</w:t>
      </w:r>
    </w:p>
    <w:p w:rsidR="00800760" w:rsidRDefault="00235733">
      <w:pPr>
        <w:ind w:firstLine="436"/>
        <w:jc w:val="both"/>
        <w:rPr>
          <w:rFonts w:cs="宋体"/>
          <w:spacing w:val="4"/>
        </w:rPr>
      </w:pPr>
      <w:r>
        <w:rPr>
          <w:rFonts w:cs="宋体"/>
          <w:spacing w:val="4"/>
        </w:rPr>
        <w:t xml:space="preserve">1. </w:t>
      </w:r>
      <w:r>
        <w:rPr>
          <w:rFonts w:cs="宋体"/>
          <w:spacing w:val="4"/>
        </w:rPr>
        <w:t>专有性，也称排他性。署名权只能由发明人或设计人本人享有，未对发明创造的实质性特点作出创造性贡献的其他任何人都不能享有。</w:t>
      </w:r>
    </w:p>
    <w:p w:rsidR="00800760" w:rsidRDefault="00235733">
      <w:pPr>
        <w:ind w:firstLine="436"/>
        <w:jc w:val="both"/>
        <w:rPr>
          <w:rFonts w:cs="宋体"/>
        </w:rPr>
      </w:pPr>
      <w:r>
        <w:rPr>
          <w:rFonts w:cs="宋体"/>
          <w:spacing w:val="4"/>
        </w:rPr>
        <w:t xml:space="preserve">2. </w:t>
      </w:r>
      <w:r>
        <w:rPr>
          <w:rFonts w:cs="宋体"/>
          <w:spacing w:val="4"/>
        </w:rPr>
        <w:t>不可让与性。署名权与发明人或设计人本身不可分离，与专利权或专利申请权归属的变化无关，既不依协议的规定而发生变化，也不能被继承。</w:t>
      </w:r>
    </w:p>
    <w:p w:rsidR="00800760" w:rsidRDefault="00235733">
      <w:pPr>
        <w:pStyle w:val="af6"/>
        <w:spacing w:before="120"/>
        <w:ind w:firstLine="420"/>
        <w:rPr>
          <w:rFonts w:ascii="Times New Roman" w:hAnsi="Times New Roman"/>
        </w:rPr>
      </w:pPr>
      <w:r>
        <w:rPr>
          <w:rFonts w:ascii="Times New Roman" w:hAnsi="Times New Roman" w:hint="eastAsia"/>
        </w:rPr>
        <w:t>【案例</w:t>
      </w:r>
      <w:r>
        <w:rPr>
          <w:rFonts w:ascii="Times New Roman" w:hAnsi="Times New Roman" w:hint="eastAsia"/>
        </w:rPr>
        <w:t>4</w:t>
      </w:r>
      <w:r>
        <w:rPr>
          <w:rFonts w:ascii="Times New Roman" w:hAnsi="Times New Roman"/>
        </w:rPr>
        <w:t>-3-1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某案中，</w:t>
      </w:r>
      <w:r>
        <w:rPr>
          <w:rFonts w:eastAsia="楷体_GB2312" w:cs="MingLiU_HKSCS" w:hint="eastAsia"/>
          <w:lang w:val="zh-CN"/>
        </w:rPr>
        <w:t>甲</w:t>
      </w:r>
      <w:r>
        <w:rPr>
          <w:rFonts w:eastAsia="楷体_GB2312" w:cs="MingLiU_HKSCS"/>
          <w:lang w:val="zh-CN"/>
        </w:rPr>
        <w:t>称：</w:t>
      </w:r>
      <w:r>
        <w:rPr>
          <w:rFonts w:eastAsia="楷体_GB2312" w:cs="MingLiU_HKSCS" w:hint="eastAsia"/>
          <w:lang w:val="zh-CN"/>
        </w:rPr>
        <w:t>乙</w:t>
      </w:r>
      <w:r>
        <w:rPr>
          <w:rFonts w:eastAsia="楷体_GB2312" w:cs="MingLiU_HKSCS"/>
          <w:lang w:val="zh-CN"/>
        </w:rPr>
        <w:t>为</w:t>
      </w:r>
      <w:r>
        <w:rPr>
          <w:rFonts w:eastAsia="楷体_GB2312" w:cs="MingLiU_HKSCS"/>
          <w:lang w:val="zh-CN"/>
        </w:rPr>
        <w:t>A</w:t>
      </w:r>
      <w:r>
        <w:rPr>
          <w:rFonts w:eastAsia="楷体_GB2312" w:cs="MingLiU_HKSCS"/>
          <w:lang w:val="zh-CN"/>
        </w:rPr>
        <w:t>公司所属实用新型专利授权时署名的发明人，后经</w:t>
      </w:r>
      <w:r>
        <w:rPr>
          <w:rFonts w:eastAsia="楷体_GB2312" w:cs="MingLiU_HKSCS" w:hint="eastAsia"/>
          <w:lang w:val="zh-CN"/>
        </w:rPr>
        <w:t>甲</w:t>
      </w:r>
      <w:r>
        <w:rPr>
          <w:rFonts w:eastAsia="楷体_GB2312" w:cs="MingLiU_HKSCS"/>
          <w:lang w:val="zh-CN"/>
        </w:rPr>
        <w:t>与</w:t>
      </w:r>
      <w:r>
        <w:rPr>
          <w:rFonts w:eastAsia="楷体_GB2312" w:cs="MingLiU_HKSCS"/>
          <w:lang w:val="zh-CN"/>
        </w:rPr>
        <w:t>A</w:t>
      </w:r>
      <w:r>
        <w:rPr>
          <w:rFonts w:eastAsia="楷体_GB2312" w:cs="MingLiU_HKSCS"/>
          <w:lang w:val="zh-CN"/>
        </w:rPr>
        <w:t>公司交涉，</w:t>
      </w:r>
      <w:r>
        <w:rPr>
          <w:rFonts w:eastAsia="楷体_GB2312" w:cs="MingLiU_HKSCS"/>
          <w:lang w:val="zh-CN"/>
        </w:rPr>
        <w:t>A</w:t>
      </w:r>
      <w:r>
        <w:rPr>
          <w:rFonts w:eastAsia="楷体_GB2312" w:cs="MingLiU_HKSCS"/>
          <w:lang w:val="zh-CN"/>
        </w:rPr>
        <w:t>公司将其发明人变更为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以及案外人</w:t>
      </w:r>
      <w:r>
        <w:rPr>
          <w:rFonts w:eastAsia="楷体_GB2312" w:cs="MingLiU_HKSCS" w:hint="eastAsia"/>
          <w:lang w:val="zh-CN"/>
        </w:rPr>
        <w:t>丙</w:t>
      </w:r>
      <w:r>
        <w:rPr>
          <w:rFonts w:eastAsia="楷体_GB2312" w:cs="MingLiU_HKSCS"/>
          <w:lang w:val="zh-CN"/>
        </w:rPr>
        <w:t>；但涉案专利是由</w:t>
      </w:r>
      <w:r>
        <w:rPr>
          <w:rFonts w:eastAsia="楷体_GB2312" w:cs="MingLiU_HKSCS" w:hint="eastAsia"/>
          <w:lang w:val="zh-CN"/>
        </w:rPr>
        <w:t>甲</w:t>
      </w:r>
      <w:r>
        <w:rPr>
          <w:rFonts w:eastAsia="楷体_GB2312" w:cs="MingLiU_HKSCS"/>
          <w:lang w:val="zh-CN"/>
        </w:rPr>
        <w:t>独自完成，而非由</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和</w:t>
      </w:r>
      <w:r>
        <w:rPr>
          <w:rFonts w:eastAsia="楷体_GB2312" w:cs="MingLiU_HKSCS" w:hint="eastAsia"/>
          <w:lang w:val="zh-CN"/>
        </w:rPr>
        <w:t>丙</w:t>
      </w:r>
      <w:r>
        <w:rPr>
          <w:rFonts w:eastAsia="楷体_GB2312" w:cs="MingLiU_HKSCS"/>
          <w:lang w:val="zh-CN"/>
        </w:rPr>
        <w:t>共同完成的；</w:t>
      </w:r>
      <w:r>
        <w:rPr>
          <w:rFonts w:eastAsia="楷体_GB2312" w:cs="MingLiU_HKSCS" w:hint="eastAsia"/>
          <w:lang w:val="zh-CN"/>
        </w:rPr>
        <w:t>甲</w:t>
      </w:r>
      <w:r>
        <w:rPr>
          <w:rFonts w:eastAsia="楷体_GB2312" w:cs="MingLiU_HKSCS"/>
          <w:lang w:val="zh-CN"/>
        </w:rPr>
        <w:t>认为</w:t>
      </w:r>
      <w:r>
        <w:rPr>
          <w:rFonts w:eastAsia="楷体_GB2312" w:cs="MingLiU_HKSCS"/>
          <w:lang w:val="zh-CN"/>
        </w:rPr>
        <w:t>A</w:t>
      </w:r>
      <w:r>
        <w:rPr>
          <w:rFonts w:eastAsia="楷体_GB2312" w:cs="MingLiU_HKSCS"/>
          <w:lang w:val="zh-CN"/>
        </w:rPr>
        <w:t>公司将发明人变更为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和</w:t>
      </w:r>
      <w:r>
        <w:rPr>
          <w:rFonts w:eastAsia="楷体_GB2312" w:cs="MingLiU_HKSCS" w:hint="eastAsia"/>
          <w:lang w:val="zh-CN"/>
        </w:rPr>
        <w:t>丙</w:t>
      </w:r>
      <w:r>
        <w:rPr>
          <w:rFonts w:eastAsia="楷体_GB2312" w:cs="MingLiU_HKSCS"/>
          <w:lang w:val="zh-CN"/>
        </w:rPr>
        <w:t>，侵犯了其作为涉案专利唯一发明人的署名权利，请求相关部门确认其为涉案专利的唯一发明人，</w:t>
      </w:r>
      <w:r>
        <w:rPr>
          <w:rFonts w:eastAsia="楷体_GB2312" w:cs="MingLiU_HKSCS" w:hint="eastAsia"/>
          <w:lang w:val="zh-CN"/>
        </w:rPr>
        <w:t>乙</w:t>
      </w:r>
      <w:r>
        <w:rPr>
          <w:rFonts w:eastAsia="楷体_GB2312" w:cs="MingLiU_HKSCS"/>
          <w:lang w:val="zh-CN"/>
        </w:rPr>
        <w:t>不具有涉案专利发明人资格。</w:t>
      </w:r>
      <w:r>
        <w:rPr>
          <w:rFonts w:eastAsia="楷体_GB2312" w:cs="MingLiU_HKSCS" w:hint="eastAsia"/>
          <w:lang w:val="zh-CN"/>
        </w:rPr>
        <w:t>甲</w:t>
      </w:r>
      <w:r>
        <w:rPr>
          <w:rFonts w:eastAsia="楷体_GB2312" w:cs="MingLiU_HKSCS"/>
          <w:lang w:val="zh-CN"/>
        </w:rPr>
        <w:t>用以支持其主张的重要证据有：</w:t>
      </w:r>
      <w:r>
        <w:rPr>
          <w:rFonts w:eastAsia="楷体_GB2312" w:cs="MingLiU_HKSCS" w:hint="eastAsia"/>
          <w:lang w:val="zh-CN"/>
        </w:rPr>
        <w:t>乙</w:t>
      </w:r>
      <w:r>
        <w:rPr>
          <w:rFonts w:eastAsia="楷体_GB2312" w:cs="MingLiU_HKSCS"/>
          <w:lang w:val="zh-CN"/>
        </w:rPr>
        <w:t>以</w:t>
      </w:r>
      <w:r>
        <w:rPr>
          <w:rFonts w:eastAsia="楷体_GB2312" w:cs="MingLiU_HKSCS"/>
          <w:lang w:val="zh-CN"/>
        </w:rPr>
        <w:t>A</w:t>
      </w:r>
      <w:r>
        <w:rPr>
          <w:rFonts w:eastAsia="楷体_GB2312" w:cs="MingLiU_HKSCS"/>
          <w:lang w:val="zh-CN"/>
        </w:rPr>
        <w:t>公司总经理名义向</w:t>
      </w:r>
      <w:r>
        <w:rPr>
          <w:rFonts w:eastAsia="楷体_GB2312" w:cs="MingLiU_HKSCS" w:hint="eastAsia"/>
          <w:lang w:val="zh-CN"/>
        </w:rPr>
        <w:t>甲</w:t>
      </w:r>
      <w:r>
        <w:rPr>
          <w:rFonts w:eastAsia="楷体_GB2312" w:cs="MingLiU_HKSCS"/>
          <w:lang w:val="zh-CN"/>
        </w:rPr>
        <w:t>出具的承诺书一份，其中载明多功能小型履带式拖拉机项目设计署名权应为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甲</w:t>
      </w:r>
      <w:r>
        <w:rPr>
          <w:rFonts w:eastAsia="楷体_GB2312" w:cs="MingLiU_HKSCS"/>
          <w:lang w:val="zh-CN"/>
        </w:rPr>
        <w:t>与案外人</w:t>
      </w:r>
      <w:r>
        <w:rPr>
          <w:rFonts w:eastAsia="楷体_GB2312" w:cs="MingLiU_HKSCS" w:hint="eastAsia"/>
          <w:lang w:val="zh-CN"/>
        </w:rPr>
        <w:t>B</w:t>
      </w:r>
      <w:r>
        <w:rPr>
          <w:rFonts w:eastAsia="楷体_GB2312" w:cs="MingLiU_HKSCS"/>
          <w:lang w:val="zh-CN"/>
        </w:rPr>
        <w:t>机械厂签订的补充协议一份，该协议载明</w:t>
      </w:r>
      <w:r>
        <w:rPr>
          <w:rFonts w:eastAsia="楷体_GB2312" w:cs="MingLiU_HKSCS" w:hint="eastAsia"/>
          <w:lang w:val="zh-CN"/>
        </w:rPr>
        <w:t>甲</w:t>
      </w:r>
      <w:r>
        <w:rPr>
          <w:rFonts w:eastAsia="楷体_GB2312" w:cs="MingLiU_HKSCS"/>
          <w:lang w:val="zh-CN"/>
        </w:rPr>
        <w:t>同意将</w:t>
      </w:r>
      <w:r>
        <w:rPr>
          <w:rFonts w:eastAsia="楷体_GB2312" w:cs="MingLiU_HKSCS" w:hint="eastAsia"/>
          <w:lang w:val="zh-CN"/>
        </w:rPr>
        <w:t>B</w:t>
      </w:r>
      <w:r>
        <w:rPr>
          <w:rFonts w:eastAsia="楷体_GB2312" w:cs="MingLiU_HKSCS"/>
          <w:lang w:val="zh-CN"/>
        </w:rPr>
        <w:t>机械厂开发试制的小履带拖拉机项目的知识产权及经营权转入</w:t>
      </w:r>
      <w:r>
        <w:rPr>
          <w:rFonts w:eastAsia="楷体_GB2312" w:cs="MingLiU_HKSCS"/>
          <w:lang w:val="zh-CN"/>
        </w:rPr>
        <w:t>A</w:t>
      </w:r>
      <w:r>
        <w:rPr>
          <w:rFonts w:eastAsia="楷体_GB2312" w:cs="MingLiU_HKSCS"/>
          <w:lang w:val="zh-CN"/>
        </w:rPr>
        <w:t>公司。相关部门认为：</w:t>
      </w:r>
      <w:r>
        <w:rPr>
          <w:rFonts w:eastAsia="楷体_GB2312" w:cs="MingLiU_HKSCS" w:hint="eastAsia"/>
          <w:lang w:val="zh-CN"/>
        </w:rPr>
        <w:t>甲</w:t>
      </w:r>
      <w:r>
        <w:rPr>
          <w:rFonts w:eastAsia="楷体_GB2312" w:cs="MingLiU_HKSCS"/>
          <w:lang w:val="zh-CN"/>
        </w:rPr>
        <w:t>依据其与</w:t>
      </w:r>
      <w:r>
        <w:rPr>
          <w:rFonts w:eastAsia="楷体_GB2312" w:cs="MingLiU_HKSCS" w:hint="eastAsia"/>
          <w:lang w:val="zh-CN"/>
        </w:rPr>
        <w:t>B</w:t>
      </w:r>
      <w:r>
        <w:rPr>
          <w:rFonts w:eastAsia="楷体_GB2312" w:cs="MingLiU_HKSCS"/>
          <w:lang w:val="zh-CN"/>
        </w:rPr>
        <w:t>机械厂签订的协议书、</w:t>
      </w:r>
      <w:r>
        <w:rPr>
          <w:rFonts w:eastAsia="楷体_GB2312" w:cs="MingLiU_HKSCS"/>
          <w:lang w:val="zh-CN"/>
        </w:rPr>
        <w:t>A</w:t>
      </w:r>
      <w:r>
        <w:rPr>
          <w:rFonts w:eastAsia="楷体_GB2312" w:cs="MingLiU_HKSCS"/>
          <w:lang w:val="zh-CN"/>
        </w:rPr>
        <w:t>公司</w:t>
      </w:r>
      <w:r>
        <w:rPr>
          <w:rFonts w:eastAsia="楷体_GB2312" w:cs="MingLiU_HKSCS"/>
          <w:lang w:val="zh-CN"/>
        </w:rPr>
        <w:t>(</w:t>
      </w:r>
      <w:r>
        <w:rPr>
          <w:rFonts w:eastAsia="楷体_GB2312" w:cs="MingLiU_HKSCS" w:hint="eastAsia"/>
          <w:lang w:val="zh-CN"/>
        </w:rPr>
        <w:t>乙</w:t>
      </w:r>
      <w:r>
        <w:rPr>
          <w:rFonts w:eastAsia="楷体_GB2312" w:cs="MingLiU_HKSCS"/>
          <w:lang w:val="zh-CN"/>
        </w:rPr>
        <w:t>以</w:t>
      </w:r>
      <w:r>
        <w:rPr>
          <w:rFonts w:eastAsia="楷体_GB2312" w:cs="MingLiU_HKSCS"/>
          <w:lang w:val="zh-CN"/>
        </w:rPr>
        <w:t>A</w:t>
      </w:r>
      <w:r>
        <w:rPr>
          <w:rFonts w:eastAsia="楷体_GB2312" w:cs="MingLiU_HKSCS"/>
          <w:lang w:val="zh-CN"/>
        </w:rPr>
        <w:t>公司的名义</w:t>
      </w:r>
      <w:r>
        <w:rPr>
          <w:rFonts w:eastAsia="楷体_GB2312" w:cs="MingLiU_HKSCS"/>
          <w:lang w:val="zh-CN"/>
        </w:rPr>
        <w:t>)</w:t>
      </w:r>
      <w:r>
        <w:rPr>
          <w:rFonts w:eastAsia="楷体_GB2312" w:cs="MingLiU_HKSCS"/>
          <w:lang w:val="zh-CN"/>
        </w:rPr>
        <w:t>出具的承诺书主张其是涉案专利的唯一发明人，于法无据。虽然</w:t>
      </w:r>
      <w:r>
        <w:rPr>
          <w:rFonts w:eastAsia="楷体_GB2312" w:cs="MingLiU_HKSCS" w:hint="eastAsia"/>
          <w:lang w:val="zh-CN"/>
        </w:rPr>
        <w:t>甲</w:t>
      </w:r>
      <w:r>
        <w:rPr>
          <w:rFonts w:eastAsia="楷体_GB2312" w:cs="MingLiU_HKSCS"/>
          <w:lang w:val="zh-CN"/>
        </w:rPr>
        <w:t>提交的其他证据证明其参与了涉案专利部分技术内容的设计，但不是涉案专利的全部内容。因此，</w:t>
      </w:r>
      <w:r>
        <w:rPr>
          <w:rFonts w:eastAsia="楷体_GB2312" w:cs="MingLiU_HKSCS" w:hint="eastAsia"/>
          <w:lang w:val="zh-CN"/>
        </w:rPr>
        <w:t>甲</w:t>
      </w:r>
      <w:r>
        <w:rPr>
          <w:rFonts w:eastAsia="楷体_GB2312" w:cs="MingLiU_HKSCS"/>
          <w:lang w:val="zh-CN"/>
        </w:rPr>
        <w:t>主张其是涉案专利的唯一发明人缺乏事实依据。</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发明人的署名权具有人身权的性质。有权在专利文件上署以发明人的人应当是对发明创造作出创造性贡献的人。究竟谁实际参与发明创造的作出、承担何种分工并起到何种作用是已经发生的事实，在专利文件上署以其名是对过去发生事实的一种客观描述，它不因时间的推移发生变化，也不因事后当事人之间的约定而发生转移。</w:t>
      </w:r>
    </w:p>
    <w:p w:rsidR="00800760" w:rsidRDefault="00235733">
      <w:pPr>
        <w:spacing w:line="360" w:lineRule="auto"/>
        <w:rPr>
          <w:rFonts w:eastAsia="楷体" w:cs="楷体"/>
        </w:rPr>
      </w:pPr>
      <w:bookmarkStart w:id="7268" w:name="bookmark199"/>
      <w:bookmarkEnd w:id="7268"/>
      <w:r>
        <w:rPr>
          <w:rFonts w:eastAsia="楷体_GB2312" w:cs="MingLiU_HKSCS"/>
          <w:lang w:val="zh-CN"/>
        </w:rPr>
        <w:t>该案中，</w:t>
      </w:r>
      <w:r>
        <w:rPr>
          <w:rFonts w:eastAsia="楷体_GB2312" w:cs="MingLiU_HKSCS" w:hint="eastAsia"/>
          <w:lang w:val="zh-CN"/>
        </w:rPr>
        <w:t>甲</w:t>
      </w:r>
      <w:r>
        <w:rPr>
          <w:rFonts w:eastAsia="楷体_GB2312" w:cs="MingLiU_HKSCS"/>
          <w:lang w:val="zh-CN"/>
        </w:rPr>
        <w:t>虽然参与了涉案专利在开发阶段的一部分工作，但要想证明其为唯一的发明人，必须用充分的证据证明</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未参与该项工作，推翻专利文件中已经记载</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为发明人的法律事实。为证明这一主张，</w:t>
      </w:r>
      <w:r>
        <w:rPr>
          <w:rFonts w:eastAsia="楷体_GB2312" w:cs="MingLiU_HKSCS" w:hint="eastAsia"/>
          <w:lang w:val="zh-CN"/>
        </w:rPr>
        <w:t>甲</w:t>
      </w:r>
      <w:r>
        <w:rPr>
          <w:rFonts w:eastAsia="楷体_GB2312" w:cs="MingLiU_HKSCS"/>
          <w:lang w:val="zh-CN"/>
        </w:rPr>
        <w:t>提供的证据仅是</w:t>
      </w:r>
      <w:r>
        <w:rPr>
          <w:rFonts w:eastAsia="楷体_GB2312" w:cs="MingLiU_HKSCS"/>
          <w:lang w:val="zh-CN"/>
        </w:rPr>
        <w:t>A</w:t>
      </w:r>
      <w:r>
        <w:rPr>
          <w:rFonts w:eastAsia="楷体_GB2312" w:cs="MingLiU_HKSCS"/>
          <w:lang w:val="zh-CN"/>
        </w:rPr>
        <w:t>公司出具的承诺书、其与案外人</w:t>
      </w:r>
      <w:r>
        <w:rPr>
          <w:rFonts w:eastAsia="楷体_GB2312" w:cs="MingLiU_HKSCS" w:hint="eastAsia"/>
          <w:lang w:val="zh-CN"/>
        </w:rPr>
        <w:t>B</w:t>
      </w:r>
      <w:r>
        <w:rPr>
          <w:rFonts w:eastAsia="楷体_GB2312" w:cs="MingLiU_HKSCS"/>
          <w:lang w:val="zh-CN"/>
        </w:rPr>
        <w:t>机械厂签订的协议。但是，根据署名权依附于自然人身份的这一性质，即使</w:t>
      </w:r>
      <w:r>
        <w:rPr>
          <w:rFonts w:eastAsia="楷体_GB2312" w:cs="MingLiU_HKSCS" w:hint="eastAsia"/>
          <w:lang w:val="zh-CN"/>
        </w:rPr>
        <w:t>乙</w:t>
      </w:r>
      <w:r>
        <w:rPr>
          <w:rFonts w:eastAsia="楷体_GB2312" w:cs="MingLiU_HKSCS"/>
          <w:lang w:val="zh-CN"/>
        </w:rPr>
        <w:t>或</w:t>
      </w:r>
      <w:r>
        <w:rPr>
          <w:rFonts w:eastAsia="楷体_GB2312" w:cs="MingLiU_HKSCS"/>
          <w:lang w:val="zh-CN"/>
        </w:rPr>
        <w:t>A</w:t>
      </w:r>
      <w:r>
        <w:rPr>
          <w:rFonts w:eastAsia="楷体_GB2312" w:cs="MingLiU_HKSCS"/>
          <w:lang w:val="zh-CN"/>
        </w:rPr>
        <w:t>公司承诺</w:t>
      </w:r>
      <w:r>
        <w:rPr>
          <w:rFonts w:eastAsia="楷体_GB2312" w:cs="MingLiU_HKSCS" w:hint="eastAsia"/>
          <w:lang w:val="zh-CN"/>
        </w:rPr>
        <w:t>甲</w:t>
      </w:r>
      <w:r>
        <w:rPr>
          <w:rFonts w:eastAsia="楷体_GB2312" w:cs="MingLiU_HKSCS"/>
          <w:lang w:val="zh-CN"/>
        </w:rPr>
        <w:t>是涉案专利的唯一发明人，也无法排除其他人</w:t>
      </w:r>
      <w:r>
        <w:rPr>
          <w:rFonts w:eastAsia="楷体_GB2312" w:cs="MingLiU_HKSCS"/>
          <w:lang w:val="zh-CN"/>
        </w:rPr>
        <w:t>(</w:t>
      </w:r>
      <w:r>
        <w:rPr>
          <w:rFonts w:eastAsia="楷体_GB2312" w:cs="MingLiU_HKSCS"/>
          <w:lang w:val="zh-CN"/>
        </w:rPr>
        <w:t>例如</w:t>
      </w:r>
      <w:r>
        <w:rPr>
          <w:rFonts w:eastAsia="楷体_GB2312" w:cs="MingLiU_HKSCS" w:hint="eastAsia"/>
          <w:lang w:val="zh-CN"/>
        </w:rPr>
        <w:t>丙</w:t>
      </w:r>
      <w:r>
        <w:rPr>
          <w:rFonts w:eastAsia="楷体_GB2312" w:cs="MingLiU_HKSCS"/>
          <w:lang w:val="zh-CN"/>
        </w:rPr>
        <w:t>)</w:t>
      </w:r>
      <w:r>
        <w:rPr>
          <w:rFonts w:eastAsia="楷体_GB2312" w:cs="MingLiU_HKSCS"/>
          <w:lang w:val="zh-CN"/>
        </w:rPr>
        <w:t>在涉案专利中的署名权；而且，具有利害关系的当事人之间所作出的对第三人不利的承诺本身属于无权处分的范畴，</w:t>
      </w:r>
      <w:r>
        <w:rPr>
          <w:rFonts w:eastAsia="楷体_GB2312" w:cs="MingLiU_HKSCS" w:hint="eastAsia"/>
          <w:lang w:val="zh-CN"/>
        </w:rPr>
        <w:t>甲</w:t>
      </w:r>
      <w:r>
        <w:rPr>
          <w:rFonts w:eastAsia="楷体_GB2312" w:cs="MingLiU_HKSCS"/>
          <w:lang w:val="zh-CN"/>
        </w:rPr>
        <w:t>之外的对涉案专利作出创造性贡献的其他人</w:t>
      </w:r>
      <w:r>
        <w:rPr>
          <w:rFonts w:eastAsia="楷体_GB2312" w:cs="MingLiU_HKSCS"/>
          <w:lang w:val="zh-CN"/>
        </w:rPr>
        <w:t>(</w:t>
      </w:r>
      <w:r>
        <w:rPr>
          <w:rFonts w:eastAsia="楷体_GB2312" w:cs="MingLiU_HKSCS" w:hint="eastAsia"/>
          <w:lang w:val="zh-CN"/>
        </w:rPr>
        <w:t>丙</w:t>
      </w:r>
      <w:r>
        <w:rPr>
          <w:rFonts w:eastAsia="楷体_GB2312" w:cs="MingLiU_HKSCS"/>
          <w:lang w:val="zh-CN"/>
        </w:rPr>
        <w:t>)</w:t>
      </w:r>
      <w:r>
        <w:rPr>
          <w:rFonts w:eastAsia="楷体_GB2312" w:cs="MingLiU_HKSCS"/>
          <w:lang w:val="zh-CN"/>
        </w:rPr>
        <w:t>的署名权不会因该承诺而失去。另外，</w:t>
      </w:r>
      <w:r>
        <w:rPr>
          <w:rFonts w:eastAsia="楷体_GB2312" w:cs="MingLiU_HKSCS" w:hint="eastAsia"/>
          <w:lang w:val="zh-CN"/>
        </w:rPr>
        <w:t>甲</w:t>
      </w:r>
      <w:r>
        <w:rPr>
          <w:rFonts w:eastAsia="楷体_GB2312" w:cs="MingLiU_HKSCS"/>
          <w:lang w:val="zh-CN"/>
        </w:rPr>
        <w:t>与</w:t>
      </w:r>
      <w:r>
        <w:rPr>
          <w:rFonts w:eastAsia="楷体_GB2312" w:cs="MingLiU_HKSCS" w:hint="eastAsia"/>
          <w:lang w:val="zh-CN"/>
        </w:rPr>
        <w:t>B</w:t>
      </w:r>
      <w:r>
        <w:rPr>
          <w:rFonts w:eastAsia="楷体_GB2312" w:cs="MingLiU_HKSCS"/>
          <w:lang w:val="zh-CN"/>
        </w:rPr>
        <w:t>机械厂之间的协议仅仅表明</w:t>
      </w:r>
      <w:r>
        <w:rPr>
          <w:rFonts w:eastAsia="楷体_GB2312" w:cs="MingLiU_HKSCS" w:hint="eastAsia"/>
          <w:lang w:val="zh-CN"/>
        </w:rPr>
        <w:t>甲</w:t>
      </w:r>
      <w:r>
        <w:rPr>
          <w:rFonts w:eastAsia="楷体_GB2312" w:cs="MingLiU_HKSCS"/>
          <w:lang w:val="zh-CN"/>
        </w:rPr>
        <w:t>有权代表</w:t>
      </w:r>
      <w:r>
        <w:rPr>
          <w:rFonts w:eastAsia="楷体_GB2312" w:cs="MingLiU_HKSCS" w:hint="eastAsia"/>
          <w:lang w:val="zh-CN"/>
        </w:rPr>
        <w:t>B</w:t>
      </w:r>
      <w:r>
        <w:rPr>
          <w:rFonts w:eastAsia="楷体_GB2312" w:cs="MingLiU_HKSCS"/>
          <w:lang w:val="zh-CN"/>
        </w:rPr>
        <w:t>机械厂转让专利权，并不能说明其就是所述实用新型专利的唯一发明人。</w:t>
      </w:r>
    </w:p>
    <w:p w:rsidR="00800760" w:rsidRDefault="00235733">
      <w:pPr>
        <w:pStyle w:val="af6"/>
        <w:spacing w:before="120"/>
        <w:ind w:firstLine="420"/>
      </w:pPr>
      <w:r>
        <w:rPr>
          <w:rFonts w:hint="eastAsia"/>
        </w:rPr>
        <w:t>【案例4</w:t>
      </w:r>
      <w:r>
        <w:t>-3-2</w:t>
      </w:r>
      <w:r>
        <w:rPr>
          <w:rFonts w:hint="eastAsia"/>
        </w:rPr>
        <w:t>】</w:t>
      </w:r>
    </w:p>
    <w:p w:rsidR="00800760" w:rsidRDefault="00235733">
      <w:pPr>
        <w:spacing w:line="360" w:lineRule="auto"/>
        <w:rPr>
          <w:rFonts w:eastAsia="楷体" w:cs="楷体"/>
        </w:rPr>
      </w:pP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原为</w:t>
      </w:r>
      <w:r>
        <w:rPr>
          <w:rFonts w:eastAsia="楷体_GB2312" w:cs="MingLiU_HKSCS"/>
          <w:lang w:val="zh-CN"/>
        </w:rPr>
        <w:t>A</w:t>
      </w:r>
      <w:r>
        <w:rPr>
          <w:rFonts w:eastAsia="楷体_GB2312" w:cs="MingLiU_HKSCS"/>
          <w:lang w:val="zh-CN"/>
        </w:rPr>
        <w:t>公司的技术研发人员。</w:t>
      </w:r>
      <w:r>
        <w:rPr>
          <w:rFonts w:eastAsia="楷体_GB2312" w:cs="MingLiU_HKSCS"/>
          <w:lang w:val="zh-CN"/>
        </w:rPr>
        <w:t>B</w:t>
      </w:r>
      <w:r>
        <w:rPr>
          <w:rFonts w:eastAsia="楷体_GB2312" w:cs="MingLiU_HKSCS"/>
          <w:lang w:val="zh-CN"/>
        </w:rPr>
        <w:t>公司申请涉案专利，将本公司职工</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列为发明人。后</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离开</w:t>
      </w:r>
      <w:r>
        <w:rPr>
          <w:rFonts w:eastAsia="楷体_GB2312" w:cs="MingLiU_HKSCS"/>
          <w:lang w:val="zh-CN"/>
        </w:rPr>
        <w:t>A</w:t>
      </w:r>
      <w:r>
        <w:rPr>
          <w:rFonts w:eastAsia="楷体_GB2312" w:cs="MingLiU_HKSCS"/>
          <w:lang w:val="zh-CN"/>
        </w:rPr>
        <w:t>公司，前往</w:t>
      </w:r>
      <w:r>
        <w:rPr>
          <w:rFonts w:eastAsia="楷体_GB2312" w:cs="MingLiU_HKSCS"/>
          <w:lang w:val="zh-CN"/>
        </w:rPr>
        <w:t>B</w:t>
      </w:r>
      <w:r>
        <w:rPr>
          <w:rFonts w:eastAsia="楷体_GB2312" w:cs="MingLiU_HKSCS"/>
          <w:lang w:val="zh-CN"/>
        </w:rPr>
        <w:t>公司工作。</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和</w:t>
      </w:r>
      <w:r>
        <w:rPr>
          <w:rFonts w:eastAsia="楷体_GB2312" w:cs="MingLiU_HKSCS"/>
          <w:lang w:val="zh-CN"/>
        </w:rPr>
        <w:t>B</w:t>
      </w:r>
      <w:r>
        <w:rPr>
          <w:rFonts w:eastAsia="楷体_GB2312" w:cs="MingLiU_HKSCS"/>
          <w:lang w:val="zh-CN"/>
        </w:rPr>
        <w:t>公司签订了《关于转让专利设计人的合同》</w:t>
      </w:r>
      <w:r>
        <w:rPr>
          <w:rFonts w:eastAsia="楷体_GB2312" w:cs="MingLiU_HKSCS"/>
          <w:lang w:val="zh-CN"/>
        </w:rPr>
        <w:t>,</w:t>
      </w:r>
      <w:r>
        <w:rPr>
          <w:rFonts w:eastAsia="楷体_GB2312" w:cs="MingLiU_HKSCS"/>
          <w:lang w:val="zh-CN"/>
        </w:rPr>
        <w:t>合同中约定：对于</w:t>
      </w:r>
      <w:r>
        <w:rPr>
          <w:rFonts w:eastAsia="楷体_GB2312" w:cs="MingLiU_HKSCS"/>
          <w:lang w:val="zh-CN"/>
        </w:rPr>
        <w:t>B</w:t>
      </w:r>
      <w:r>
        <w:rPr>
          <w:rFonts w:eastAsia="楷体_GB2312" w:cs="MingLiU_HKSCS"/>
          <w:lang w:val="zh-CN"/>
        </w:rPr>
        <w:t>公司已申请的上述专利，确认</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完成了该专利的总体设计，但因他们提出辞职，</w:t>
      </w:r>
      <w:r>
        <w:rPr>
          <w:rFonts w:eastAsia="楷体_GB2312" w:cs="MingLiU_HKSCS"/>
          <w:lang w:val="zh-CN"/>
        </w:rPr>
        <w:t>B</w:t>
      </w:r>
      <w:r>
        <w:rPr>
          <w:rFonts w:eastAsia="楷体_GB2312" w:cs="MingLiU_HKSCS"/>
          <w:lang w:val="zh-CN"/>
        </w:rPr>
        <w:t>公司决定将该专利的发明人由</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变更为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w:t>
      </w:r>
      <w:r>
        <w:rPr>
          <w:rFonts w:eastAsia="楷体_GB2312" w:cs="MingLiU_HKSCS"/>
          <w:lang w:val="zh-CN"/>
        </w:rPr>
        <w:t>B</w:t>
      </w:r>
      <w:r>
        <w:rPr>
          <w:rFonts w:eastAsia="楷体_GB2312" w:cs="MingLiU_HKSCS"/>
          <w:lang w:val="zh-CN"/>
        </w:rPr>
        <w:t>公司一次性向</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每人支付</w:t>
      </w:r>
      <w:r>
        <w:rPr>
          <w:rFonts w:eastAsia="楷体_GB2312" w:cs="MingLiU_HKSCS"/>
          <w:lang w:val="zh-CN"/>
        </w:rPr>
        <w:t>5000</w:t>
      </w:r>
      <w:r>
        <w:rPr>
          <w:rFonts w:eastAsia="楷体_GB2312" w:cs="MingLiU_HKSCS"/>
          <w:lang w:val="zh-CN"/>
        </w:rPr>
        <w:t>元报酬。后该专利获得授权，授权公告文本上公布的设计人是</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w:t>
      </w:r>
      <w:r>
        <w:rPr>
          <w:rFonts w:eastAsia="楷体_GB2312" w:cs="MingLiU_HKSCS"/>
          <w:lang w:val="zh-CN"/>
        </w:rPr>
        <w:t>A</w:t>
      </w:r>
      <w:r>
        <w:rPr>
          <w:rFonts w:eastAsia="楷体_GB2312" w:cs="MingLiU_HKSCS"/>
          <w:lang w:val="zh-CN"/>
        </w:rPr>
        <w:t>公司认为，根据国家知识产权局的公告公布的发明人，</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在离开</w:t>
      </w:r>
      <w:r>
        <w:rPr>
          <w:rFonts w:eastAsia="楷体_GB2312" w:cs="MingLiU_HKSCS"/>
          <w:lang w:val="zh-CN"/>
        </w:rPr>
        <w:t>A</w:t>
      </w:r>
      <w:r>
        <w:rPr>
          <w:rFonts w:eastAsia="楷体_GB2312" w:cs="MingLiU_HKSCS"/>
          <w:lang w:val="zh-CN"/>
        </w:rPr>
        <w:t>公司不到</w:t>
      </w:r>
      <w:r>
        <w:rPr>
          <w:rFonts w:eastAsia="楷体_GB2312" w:cs="MingLiU_HKSCS"/>
          <w:lang w:val="zh-CN"/>
        </w:rPr>
        <w:t>1</w:t>
      </w:r>
      <w:r>
        <w:rPr>
          <w:rFonts w:eastAsia="楷体_GB2312" w:cs="MingLiU_HKSCS"/>
          <w:lang w:val="zh-CN"/>
        </w:rPr>
        <w:t>年就成为</w:t>
      </w:r>
      <w:r>
        <w:rPr>
          <w:rFonts w:eastAsia="楷体_GB2312" w:cs="MingLiU_HKSCS"/>
          <w:lang w:val="zh-CN"/>
        </w:rPr>
        <w:t>B</w:t>
      </w:r>
      <w:r>
        <w:rPr>
          <w:rFonts w:eastAsia="楷体_GB2312" w:cs="MingLiU_HKSCS"/>
          <w:lang w:val="zh-CN"/>
        </w:rPr>
        <w:t>公司涉案专利的发明人，因此该专利应为</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在</w:t>
      </w:r>
      <w:r>
        <w:rPr>
          <w:rFonts w:eastAsia="楷体_GB2312" w:cs="MingLiU_HKSCS"/>
          <w:lang w:val="zh-CN"/>
        </w:rPr>
        <w:t>A</w:t>
      </w:r>
      <w:r>
        <w:rPr>
          <w:rFonts w:eastAsia="楷体_GB2312" w:cs="MingLiU_HKSCS"/>
          <w:lang w:val="zh-CN"/>
        </w:rPr>
        <w:t>公司的职务发明，该专利权应归</w:t>
      </w:r>
      <w:r>
        <w:rPr>
          <w:rFonts w:eastAsia="楷体_GB2312" w:cs="MingLiU_HKSCS"/>
          <w:lang w:val="zh-CN"/>
        </w:rPr>
        <w:t>A</w:t>
      </w:r>
      <w:r>
        <w:rPr>
          <w:rFonts w:eastAsia="楷体_GB2312" w:cs="MingLiU_HKSCS"/>
          <w:lang w:val="zh-CN"/>
        </w:rPr>
        <w:t>公司所有。</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虽然该案中主要争议焦点在于专利权属，但</w:t>
      </w:r>
      <w:r>
        <w:rPr>
          <w:rFonts w:eastAsia="楷体_GB2312" w:cs="MingLiU_HKSCS"/>
          <w:lang w:val="zh-CN"/>
        </w:rPr>
        <w:t>A</w:t>
      </w:r>
      <w:r>
        <w:rPr>
          <w:rFonts w:eastAsia="楷体_GB2312" w:cs="MingLiU_HKSCS"/>
          <w:lang w:val="zh-CN"/>
        </w:rPr>
        <w:t>公司之所以可以主张涉案专利的专利权，根源在于其上载明的发明人</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原为</w:t>
      </w:r>
      <w:r>
        <w:rPr>
          <w:rFonts w:eastAsia="楷体_GB2312" w:cs="MingLiU_HKSCS"/>
          <w:lang w:val="zh-CN"/>
        </w:rPr>
        <w:t>A</w:t>
      </w:r>
      <w:r>
        <w:rPr>
          <w:rFonts w:eastAsia="楷体_GB2312" w:cs="MingLiU_HKSCS"/>
          <w:lang w:val="zh-CN"/>
        </w:rPr>
        <w:t>公司的员工。因此，问题的核心在于，</w:t>
      </w:r>
      <w:r>
        <w:rPr>
          <w:rFonts w:eastAsia="楷体_GB2312" w:cs="MingLiU_HKSCS"/>
          <w:lang w:val="zh-CN"/>
        </w:rPr>
        <w:t>B</w:t>
      </w:r>
      <w:r>
        <w:rPr>
          <w:rFonts w:eastAsia="楷体_GB2312" w:cs="MingLiU_HKSCS"/>
          <w:lang w:val="zh-CN"/>
        </w:rPr>
        <w:t>公司基于《关于转让专利设计人的合同》</w:t>
      </w:r>
      <w:r>
        <w:rPr>
          <w:rFonts w:eastAsia="楷体_GB2312" w:cs="MingLiU_HKSCS"/>
          <w:lang w:val="zh-CN"/>
        </w:rPr>
        <w:t>,</w:t>
      </w:r>
      <w:r>
        <w:rPr>
          <w:rFonts w:eastAsia="楷体_GB2312" w:cs="MingLiU_HKSCS"/>
          <w:lang w:val="zh-CN"/>
        </w:rPr>
        <w:t>约定将涉案专利的发明人变更为</w:t>
      </w:r>
      <w:r>
        <w:rPr>
          <w:rFonts w:eastAsia="楷体_GB2312" w:cs="MingLiU_HKSCS" w:hint="eastAsia"/>
          <w:lang w:val="zh-CN"/>
        </w:rPr>
        <w:t>甲</w:t>
      </w:r>
      <w:r>
        <w:rPr>
          <w:rFonts w:eastAsia="楷体_GB2312" w:cs="MingLiU_HKSCS"/>
          <w:lang w:val="zh-CN"/>
        </w:rPr>
        <w:t>和</w:t>
      </w:r>
      <w:r>
        <w:rPr>
          <w:rFonts w:eastAsia="楷体_GB2312" w:cs="MingLiU_HKSCS" w:hint="eastAsia"/>
          <w:lang w:val="zh-CN"/>
        </w:rPr>
        <w:t>乙</w:t>
      </w:r>
      <w:r>
        <w:rPr>
          <w:rFonts w:eastAsia="楷体_GB2312" w:cs="MingLiU_HKSCS"/>
          <w:lang w:val="zh-CN"/>
        </w:rPr>
        <w:t>。发明人的署名权属于人身权和精神权，依附于对发明创造的实质性特点作出创造性贡献的自然人，不能通过协议的方式转让。《关于转让专利设计人的合同》中约定将发明人由</w:t>
      </w:r>
      <w:r>
        <w:rPr>
          <w:rFonts w:eastAsia="楷体_GB2312" w:cs="MingLiU_HKSCS" w:hint="eastAsia"/>
          <w:lang w:val="zh-CN"/>
        </w:rPr>
        <w:t>丙</w:t>
      </w:r>
      <w:r>
        <w:rPr>
          <w:rFonts w:eastAsia="楷体_GB2312" w:cs="MingLiU_HKSCS"/>
          <w:lang w:val="zh-CN"/>
        </w:rPr>
        <w:t>、</w:t>
      </w:r>
      <w:r>
        <w:rPr>
          <w:rFonts w:eastAsia="楷体_GB2312" w:cs="MingLiU_HKSCS" w:hint="eastAsia"/>
          <w:lang w:val="zh-CN"/>
        </w:rPr>
        <w:t>丁</w:t>
      </w:r>
      <w:r>
        <w:rPr>
          <w:rFonts w:eastAsia="楷体_GB2312" w:cs="MingLiU_HKSCS"/>
          <w:lang w:val="zh-CN"/>
        </w:rPr>
        <w:t>变更为</w:t>
      </w:r>
      <w:r>
        <w:rPr>
          <w:rFonts w:eastAsia="楷体_GB2312" w:cs="MingLiU_HKSCS" w:hint="eastAsia"/>
          <w:lang w:val="zh-CN"/>
        </w:rPr>
        <w:t>甲</w:t>
      </w:r>
      <w:r>
        <w:rPr>
          <w:rFonts w:eastAsia="楷体_GB2312" w:cs="MingLiU_HKSCS"/>
          <w:lang w:val="zh-CN"/>
        </w:rPr>
        <w:t>、</w:t>
      </w:r>
      <w:r>
        <w:rPr>
          <w:rFonts w:eastAsia="楷体_GB2312" w:cs="MingLiU_HKSCS" w:hint="eastAsia"/>
          <w:lang w:val="zh-CN"/>
        </w:rPr>
        <w:t>乙</w:t>
      </w:r>
      <w:r>
        <w:rPr>
          <w:rFonts w:eastAsia="楷体_GB2312" w:cs="MingLiU_HKSCS"/>
          <w:lang w:val="zh-CN"/>
        </w:rPr>
        <w:t>这一行为没有法律依据。</w:t>
      </w:r>
    </w:p>
    <w:p w:rsidR="00800760" w:rsidRDefault="00235733">
      <w:pPr>
        <w:pStyle w:val="3"/>
        <w:spacing w:before="240"/>
        <w:ind w:firstLine="444"/>
        <w:rPr>
          <w:rFonts w:ascii="Times New Roman" w:hAnsi="Times New Roman"/>
        </w:rPr>
      </w:pPr>
      <w:bookmarkStart w:id="7269" w:name="_Toc10720"/>
      <w:bookmarkStart w:id="7270" w:name="_Toc22790"/>
      <w:bookmarkStart w:id="7271" w:name="_Toc32416"/>
      <w:bookmarkStart w:id="7272" w:name="_Toc11949"/>
      <w:bookmarkStart w:id="7273" w:name="_Toc28899"/>
      <w:bookmarkStart w:id="7274" w:name="_Toc8739"/>
      <w:bookmarkStart w:id="7275" w:name="_Toc22951"/>
      <w:bookmarkStart w:id="7276" w:name="_Toc14244"/>
      <w:bookmarkStart w:id="7277" w:name="_Toc7901"/>
      <w:bookmarkStart w:id="7278" w:name="_Toc229114501"/>
      <w:bookmarkStart w:id="7279" w:name="_Toc229225597"/>
      <w:r>
        <w:rPr>
          <w:rFonts w:ascii="Times New Roman" w:hAnsi="Times New Roman"/>
        </w:rPr>
        <w:t>二、发明人或设计人署名权纠纷中的举证</w:t>
      </w:r>
      <w:bookmarkEnd w:id="7269"/>
      <w:bookmarkEnd w:id="7270"/>
      <w:bookmarkEnd w:id="7271"/>
      <w:bookmarkEnd w:id="7272"/>
      <w:bookmarkEnd w:id="7273"/>
      <w:bookmarkEnd w:id="7274"/>
      <w:bookmarkEnd w:id="7275"/>
      <w:bookmarkEnd w:id="7276"/>
      <w:bookmarkEnd w:id="7277"/>
      <w:bookmarkEnd w:id="7278"/>
      <w:bookmarkEnd w:id="7279"/>
    </w:p>
    <w:p w:rsidR="00800760" w:rsidRDefault="00235733">
      <w:r>
        <w:t>未将真正的发明人或设计人写入专利文件或专利申请文件中，或者将不是发明人或设计人的人写入专利文件或专利申请文件中，都是对发明人或设计人署名权的侵犯。</w:t>
      </w:r>
    </w:p>
    <w:p w:rsidR="00800760" w:rsidRDefault="00235733">
      <w:r>
        <w:t>主张自己是发明人或设计人的，被请求人可以是专利申请人或专利权人，也可以是专利申请文件或专利文件中载明的发明人或设计人；主张专利文件或专利申请文件中载明的发明人或设计人非真正的发明人或设计人的，被请求人应当是被控不具备发明人或设计人资格的人。</w:t>
      </w:r>
    </w:p>
    <w:p w:rsidR="00800760" w:rsidRDefault="00235733">
      <w:r>
        <w:t>请求人主张自己为发明人或设计人，或者主张在专利申请文件或专利文件中的发明人或设计人不具备发明人或设计人资格的，应当提供相应的证据。主张自己为发明人、设计人的，应当举证证明自己对发明创造的实质性特点作出了创造性贡献；主张专利申请文件或专利文件中载明的发明人或设计人非真正的发明人或设计人的，应当举证证明该自然人未参与发明创造的完成或者未对发明创造的实质性特点作出创造性贡献。请求人举证不能的，应当承担对自己不利的后果。</w:t>
      </w:r>
    </w:p>
    <w:p w:rsidR="00800760" w:rsidRDefault="00235733">
      <w:pPr>
        <w:pStyle w:val="af6"/>
        <w:spacing w:before="120"/>
        <w:ind w:firstLine="420"/>
      </w:pPr>
      <w:r>
        <w:rPr>
          <w:rFonts w:hint="eastAsia"/>
        </w:rPr>
        <w:t>【案例4</w:t>
      </w:r>
      <w:r>
        <w:t>-3-3</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与</w:t>
      </w:r>
      <w:r>
        <w:rPr>
          <w:rFonts w:eastAsia="楷体_GB2312" w:cs="MingLiU_HKSCS" w:hint="eastAsia"/>
          <w:lang w:val="zh-CN"/>
        </w:rPr>
        <w:t>乙</w:t>
      </w:r>
      <w:r>
        <w:rPr>
          <w:rFonts w:eastAsia="楷体_GB2312" w:cs="MingLiU_HKSCS"/>
          <w:lang w:val="zh-CN"/>
        </w:rPr>
        <w:t>就谁是涉案专利的设计人产生纠纷，</w:t>
      </w:r>
      <w:r>
        <w:rPr>
          <w:rFonts w:eastAsia="楷体_GB2312" w:cs="MingLiU_HKSCS" w:hint="eastAsia"/>
          <w:lang w:val="zh-CN"/>
        </w:rPr>
        <w:t>甲</w:t>
      </w:r>
      <w:r>
        <w:rPr>
          <w:rFonts w:eastAsia="楷体_GB2312" w:cs="MingLiU_HKSCS"/>
          <w:lang w:val="zh-CN"/>
        </w:rPr>
        <w:t>请求确认其是涉案专利的唯一设计人。相关部门认为，为了证明该主张，</w:t>
      </w:r>
      <w:r>
        <w:rPr>
          <w:rFonts w:eastAsia="楷体_GB2312" w:cs="MingLiU_HKSCS" w:hint="eastAsia"/>
          <w:lang w:val="zh-CN"/>
        </w:rPr>
        <w:t>甲</w:t>
      </w:r>
      <w:r>
        <w:rPr>
          <w:rFonts w:eastAsia="楷体_GB2312" w:cs="MingLiU_HKSCS"/>
          <w:lang w:val="zh-CN"/>
        </w:rPr>
        <w:t>需要就以下两个问题进行举证：一是其对涉案专利作出了创造性的贡献，二是</w:t>
      </w:r>
      <w:r>
        <w:rPr>
          <w:rFonts w:eastAsia="楷体_GB2312" w:cs="MingLiU_HKSCS" w:hint="eastAsia"/>
          <w:lang w:val="zh-CN"/>
        </w:rPr>
        <w:t>乙</w:t>
      </w:r>
      <w:r>
        <w:rPr>
          <w:rFonts w:eastAsia="楷体_GB2312" w:cs="MingLiU_HKSCS"/>
          <w:lang w:val="zh-CN"/>
        </w:rPr>
        <w:t>对涉案专利没有创造性贡献。关于</w:t>
      </w:r>
      <w:r>
        <w:rPr>
          <w:rFonts w:eastAsia="楷体_GB2312" w:cs="MingLiU_HKSCS" w:hint="eastAsia"/>
          <w:lang w:val="zh-CN"/>
        </w:rPr>
        <w:t>甲</w:t>
      </w:r>
      <w:r>
        <w:rPr>
          <w:rFonts w:eastAsia="楷体_GB2312" w:cs="MingLiU_HKSCS"/>
          <w:lang w:val="zh-CN"/>
        </w:rPr>
        <w:t>对涉案专利的研制及设计是否作出了创造性贡献的问题，经查，双方合作之初，由</w:t>
      </w:r>
      <w:r>
        <w:rPr>
          <w:rFonts w:eastAsia="楷体_GB2312" w:cs="MingLiU_HKSCS" w:hint="eastAsia"/>
          <w:lang w:val="zh-CN"/>
        </w:rPr>
        <w:t>甲</w:t>
      </w:r>
      <w:r>
        <w:rPr>
          <w:rFonts w:eastAsia="楷体_GB2312" w:cs="MingLiU_HKSCS"/>
          <w:lang w:val="zh-CN"/>
        </w:rPr>
        <w:t>负责提供的技术尚不能生产出《合作协议》所约定的产品，需要进行研发设计后，才能将各种部件组合成成品，将</w:t>
      </w:r>
      <w:r>
        <w:rPr>
          <w:rFonts w:eastAsia="楷体_GB2312" w:cs="MingLiU_HKSCS" w:hint="eastAsia"/>
          <w:lang w:val="zh-CN"/>
        </w:rPr>
        <w:t>甲</w:t>
      </w:r>
      <w:r>
        <w:rPr>
          <w:rFonts w:eastAsia="楷体_GB2312" w:cs="MingLiU_HKSCS"/>
          <w:lang w:val="zh-CN"/>
        </w:rPr>
        <w:t>提供的样品变为商品。从</w:t>
      </w:r>
      <w:r>
        <w:rPr>
          <w:rFonts w:eastAsia="楷体_GB2312" w:cs="MingLiU_HKSCS" w:hint="eastAsia"/>
          <w:lang w:val="zh-CN"/>
        </w:rPr>
        <w:t>甲</w:t>
      </w:r>
      <w:r>
        <w:rPr>
          <w:rFonts w:eastAsia="楷体_GB2312" w:cs="MingLiU_HKSCS"/>
          <w:lang w:val="zh-CN"/>
        </w:rPr>
        <w:t>提交的证据研判，</w:t>
      </w:r>
      <w:r>
        <w:rPr>
          <w:rFonts w:eastAsia="楷体_GB2312" w:cs="MingLiU_HKSCS" w:hint="eastAsia"/>
          <w:lang w:val="zh-CN"/>
        </w:rPr>
        <w:t>甲</w:t>
      </w:r>
      <w:r>
        <w:rPr>
          <w:rFonts w:eastAsia="楷体_GB2312" w:cs="MingLiU_HKSCS"/>
          <w:lang w:val="zh-CN"/>
        </w:rPr>
        <w:t>确实在研发上做了创造性工作，有资格成为涉案专利的设计人。对于其是涉案专利唯一设计人的主张，</w:t>
      </w:r>
      <w:r>
        <w:rPr>
          <w:rFonts w:eastAsia="楷体_GB2312" w:cs="MingLiU_HKSCS" w:hint="eastAsia"/>
          <w:lang w:val="zh-CN"/>
        </w:rPr>
        <w:t>甲</w:t>
      </w:r>
      <w:r>
        <w:rPr>
          <w:rFonts w:eastAsia="楷体_GB2312" w:cs="MingLiU_HKSCS"/>
          <w:lang w:val="zh-CN"/>
        </w:rPr>
        <w:t>也应当承担法定举证义务。但</w:t>
      </w:r>
      <w:r>
        <w:rPr>
          <w:rFonts w:eastAsia="楷体_GB2312" w:cs="MingLiU_HKSCS" w:hint="eastAsia"/>
          <w:lang w:val="zh-CN"/>
        </w:rPr>
        <w:t>甲</w:t>
      </w:r>
      <w:r>
        <w:rPr>
          <w:rFonts w:eastAsia="楷体_GB2312" w:cs="MingLiU_HKSCS"/>
          <w:lang w:val="zh-CN"/>
        </w:rPr>
        <w:t>并未对此举证。相反，其出示了一个</w:t>
      </w:r>
      <w:r>
        <w:rPr>
          <w:rFonts w:eastAsia="楷体_GB2312" w:cs="MingLiU_HKSCS" w:hint="eastAsia"/>
          <w:lang w:val="zh-CN"/>
        </w:rPr>
        <w:t>乙</w:t>
      </w:r>
      <w:r>
        <w:rPr>
          <w:rFonts w:eastAsia="楷体_GB2312" w:cs="MingLiU_HKSCS"/>
          <w:lang w:val="zh-CN"/>
        </w:rPr>
        <w:t>曾经制作的类似样品，说明</w:t>
      </w:r>
      <w:r>
        <w:rPr>
          <w:rFonts w:eastAsia="楷体_GB2312" w:cs="MingLiU_HKSCS" w:hint="eastAsia"/>
          <w:lang w:val="zh-CN"/>
        </w:rPr>
        <w:t>乙</w:t>
      </w:r>
      <w:r>
        <w:rPr>
          <w:rFonts w:eastAsia="楷体_GB2312" w:cs="MingLiU_HKSCS"/>
          <w:lang w:val="zh-CN"/>
        </w:rPr>
        <w:t>为产品的外形进行过设计和构思，因此不能否定</w:t>
      </w:r>
      <w:r>
        <w:rPr>
          <w:rFonts w:eastAsia="楷体_GB2312" w:cs="MingLiU_HKSCS" w:hint="eastAsia"/>
          <w:lang w:val="zh-CN"/>
        </w:rPr>
        <w:t>乙</w:t>
      </w:r>
      <w:r>
        <w:rPr>
          <w:rFonts w:eastAsia="楷体_GB2312" w:cs="MingLiU_HKSCS"/>
          <w:lang w:val="zh-CN"/>
        </w:rPr>
        <w:t>参与了涉案专利的设计工作。</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 w:cs="楷体"/>
        </w:rPr>
      </w:pPr>
      <w:r>
        <w:rPr>
          <w:rFonts w:eastAsia="楷体_GB2312" w:cs="MingLiU_HKSCS"/>
          <w:lang w:val="zh-CN"/>
        </w:rPr>
        <w:t>该案主要涉及证明己方是设计人或者证明对方不是设计人的举证方式。根据谁主张谁举证的原则，</w:t>
      </w:r>
      <w:r>
        <w:rPr>
          <w:rFonts w:eastAsia="楷体_GB2312" w:cs="MingLiU_HKSCS" w:hint="eastAsia"/>
          <w:lang w:val="zh-CN"/>
        </w:rPr>
        <w:t>甲</w:t>
      </w:r>
      <w:r>
        <w:rPr>
          <w:rFonts w:eastAsia="楷体_GB2312" w:cs="MingLiU_HKSCS"/>
          <w:lang w:val="zh-CN"/>
        </w:rPr>
        <w:t>应当对其主张的</w:t>
      </w:r>
      <w:r>
        <w:rPr>
          <w:rFonts w:eastAsia="楷体_GB2312" w:cs="MingLiU_HKSCS"/>
          <w:lang w:val="zh-CN"/>
        </w:rPr>
        <w:t>“</w:t>
      </w:r>
      <w:r>
        <w:rPr>
          <w:rFonts w:eastAsia="楷体_GB2312" w:cs="MingLiU_HKSCS"/>
          <w:lang w:val="zh-CN"/>
        </w:rPr>
        <w:t>唯一</w:t>
      </w:r>
      <w:r>
        <w:rPr>
          <w:rFonts w:eastAsia="楷体_GB2312" w:cs="MingLiU_HKSCS"/>
          <w:lang w:val="zh-CN"/>
        </w:rPr>
        <w:t>”</w:t>
      </w:r>
      <w:r>
        <w:rPr>
          <w:rFonts w:eastAsia="楷体_GB2312" w:cs="MingLiU_HKSCS"/>
          <w:lang w:val="zh-CN"/>
        </w:rPr>
        <w:t>性承担法定举证义务，其不仅要证明自己在涉案专利的开发中作出了创造性贡献，还要证明</w:t>
      </w:r>
      <w:r>
        <w:rPr>
          <w:rFonts w:eastAsia="楷体_GB2312" w:cs="MingLiU_HKSCS" w:hint="eastAsia"/>
          <w:lang w:val="zh-CN"/>
        </w:rPr>
        <w:t>乙</w:t>
      </w:r>
      <w:r>
        <w:rPr>
          <w:rFonts w:eastAsia="楷体_GB2312" w:cs="MingLiU_HKSCS"/>
          <w:lang w:val="zh-CN"/>
        </w:rPr>
        <w:t>没有对涉案专利的开发作出创造性贡献。</w:t>
      </w:r>
    </w:p>
    <w:p w:rsidR="00800760" w:rsidRDefault="00235733">
      <w:pPr>
        <w:spacing w:line="240" w:lineRule="auto"/>
        <w:ind w:firstLineChars="0" w:firstLine="0"/>
        <w:rPr>
          <w:rFonts w:eastAsia="黑体" w:cs="Arial"/>
          <w:spacing w:val="6"/>
          <w:sz w:val="30"/>
          <w:szCs w:val="30"/>
        </w:rPr>
      </w:pPr>
      <w:r>
        <w:br w:type="page"/>
      </w:r>
    </w:p>
    <w:p w:rsidR="00800760" w:rsidRDefault="00235733">
      <w:pPr>
        <w:pStyle w:val="1"/>
      </w:pPr>
      <w:bookmarkStart w:id="7280" w:name="_Toc229114502"/>
      <w:bookmarkStart w:id="7281" w:name="_Toc229225598"/>
      <w:r>
        <w:t>第五章</w:t>
      </w:r>
      <w:r>
        <w:rPr>
          <w:rFonts w:hint="eastAsia"/>
        </w:rPr>
        <w:t xml:space="preserve">　</w:t>
      </w:r>
      <w:r>
        <w:t>奖酬纠纷的行政调解</w:t>
      </w:r>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7280"/>
      <w:bookmarkEnd w:id="7281"/>
    </w:p>
    <w:p w:rsidR="00800760" w:rsidRDefault="00235733">
      <w:pPr>
        <w:ind w:firstLine="436"/>
        <w:jc w:val="both"/>
        <w:rPr>
          <w:rFonts w:cs="宋体"/>
          <w:spacing w:val="4"/>
        </w:rPr>
      </w:pPr>
      <w:r>
        <w:rPr>
          <w:rFonts w:cs="宋体"/>
          <w:spacing w:val="4"/>
        </w:rPr>
        <w:t>被授予专利权的单位应当对职务发明创造的发明人或设计人给予奖励；发明创造专利实施后，根据其推广应用的范围和取得的经济效益，被授予专利权的单位应当对发明人或设计人给予合理的报酬。</w:t>
      </w:r>
    </w:p>
    <w:p w:rsidR="00800760" w:rsidRDefault="00235733">
      <w:pPr>
        <w:ind w:firstLine="436"/>
        <w:jc w:val="both"/>
        <w:rPr>
          <w:rFonts w:cs="宋体"/>
          <w:spacing w:val="4"/>
        </w:rPr>
      </w:pPr>
      <w:r>
        <w:rPr>
          <w:rFonts w:cs="宋体" w:hint="eastAsia"/>
          <w:spacing w:val="4"/>
        </w:rPr>
        <w:t>职务发明创造的发明人、设计人的奖励和报酬纠纷，当事人可以请求管理专利工作的部门进行调解</w:t>
      </w:r>
      <w:r>
        <w:rPr>
          <w:rFonts w:cs="宋体"/>
          <w:spacing w:val="4"/>
        </w:rPr>
        <w:t>。</w:t>
      </w:r>
    </w:p>
    <w:p w:rsidR="00800760" w:rsidRDefault="00800760">
      <w:pPr>
        <w:pStyle w:val="a5"/>
        <w:spacing w:line="244" w:lineRule="auto"/>
      </w:pPr>
    </w:p>
    <w:p w:rsidR="00800760" w:rsidRDefault="00235733">
      <w:pPr>
        <w:pStyle w:val="2"/>
        <w:spacing w:before="0" w:after="0"/>
        <w:ind w:firstLineChars="0" w:firstLine="0"/>
        <w:rPr>
          <w:rFonts w:ascii="Times New Roman" w:hAnsi="Times New Roman"/>
        </w:rPr>
      </w:pPr>
      <w:bookmarkStart w:id="7282" w:name="_Toc26013"/>
      <w:bookmarkStart w:id="7283" w:name="_Toc21097"/>
      <w:bookmarkStart w:id="7284" w:name="_Toc31819"/>
      <w:bookmarkStart w:id="7285" w:name="_Toc12137"/>
      <w:bookmarkStart w:id="7286" w:name="_Toc6988"/>
      <w:bookmarkStart w:id="7287" w:name="_Toc27544"/>
      <w:bookmarkStart w:id="7288" w:name="_Toc26736"/>
      <w:bookmarkStart w:id="7289" w:name="_Toc30483"/>
      <w:bookmarkStart w:id="7290" w:name="_Toc3983"/>
      <w:bookmarkStart w:id="7291" w:name="_Toc27716"/>
      <w:bookmarkStart w:id="7292" w:name="_Toc17435"/>
      <w:bookmarkStart w:id="7293" w:name="_Toc30101"/>
      <w:bookmarkStart w:id="7294" w:name="_Toc8033"/>
      <w:bookmarkStart w:id="7295" w:name="_Toc16389"/>
      <w:bookmarkStart w:id="7296" w:name="_Toc19755"/>
      <w:bookmarkStart w:id="7297" w:name="_Toc10278"/>
      <w:bookmarkStart w:id="7298" w:name="_Toc27394"/>
      <w:bookmarkStart w:id="7299" w:name="_Toc9005"/>
      <w:bookmarkStart w:id="7300" w:name="_Toc6715"/>
      <w:bookmarkStart w:id="7301" w:name="_Toc24206"/>
      <w:bookmarkStart w:id="7302" w:name="_Toc1163"/>
      <w:bookmarkStart w:id="7303" w:name="_Toc9061"/>
      <w:bookmarkStart w:id="7304" w:name="_Toc21524"/>
      <w:bookmarkStart w:id="7305" w:name="_Toc14762"/>
      <w:bookmarkStart w:id="7306" w:name="_Toc29915"/>
      <w:bookmarkStart w:id="7307" w:name="_Toc25332"/>
      <w:bookmarkStart w:id="7308" w:name="_Toc7487"/>
      <w:bookmarkStart w:id="7309" w:name="_Toc21647"/>
      <w:bookmarkStart w:id="7310" w:name="_Toc3541"/>
      <w:bookmarkStart w:id="7311" w:name="_Toc22905"/>
      <w:bookmarkStart w:id="7312" w:name="_Toc25671"/>
      <w:bookmarkStart w:id="7313" w:name="_Toc3848"/>
      <w:bookmarkStart w:id="7314" w:name="_Toc11967"/>
      <w:bookmarkStart w:id="7315" w:name="_Toc19468"/>
      <w:bookmarkStart w:id="7316" w:name="_Toc229114503"/>
      <w:bookmarkStart w:id="7317" w:name="_Toc28888"/>
      <w:bookmarkStart w:id="7318" w:name="_Toc98"/>
      <w:bookmarkStart w:id="7319" w:name="_Toc5481"/>
      <w:bookmarkStart w:id="7320" w:name="_Toc4115"/>
      <w:bookmarkStart w:id="7321" w:name="_Toc9763"/>
      <w:bookmarkStart w:id="7322" w:name="_Toc9093"/>
      <w:bookmarkStart w:id="7323" w:name="_Toc5677"/>
      <w:bookmarkStart w:id="7324" w:name="_Toc10326"/>
      <w:bookmarkStart w:id="7325" w:name="_Toc229225599"/>
      <w:r>
        <w:rPr>
          <w:rFonts w:ascii="Times New Roman" w:hAnsi="Times New Roman"/>
        </w:rPr>
        <w:t>第一节</w:t>
      </w:r>
      <w:r>
        <w:rPr>
          <w:rFonts w:ascii="Times New Roman" w:hAnsi="Times New Roman" w:hint="eastAsia"/>
        </w:rPr>
        <w:t xml:space="preserve">　</w:t>
      </w:r>
      <w:r>
        <w:rPr>
          <w:rFonts w:ascii="Times New Roman" w:hAnsi="Times New Roman"/>
        </w:rPr>
        <w:t>基本概念</w:t>
      </w:r>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p>
    <w:p w:rsidR="00800760" w:rsidRDefault="00235733">
      <w:pPr>
        <w:pStyle w:val="3"/>
        <w:spacing w:before="240"/>
        <w:ind w:firstLine="444"/>
        <w:rPr>
          <w:rFonts w:ascii="Times New Roman" w:hAnsi="Times New Roman"/>
        </w:rPr>
      </w:pPr>
      <w:bookmarkStart w:id="7326" w:name="_Toc23030"/>
      <w:bookmarkStart w:id="7327" w:name="_Toc4358"/>
      <w:bookmarkStart w:id="7328" w:name="_Toc11900"/>
      <w:bookmarkStart w:id="7329" w:name="_Toc22556"/>
      <w:bookmarkStart w:id="7330" w:name="_Toc229114504"/>
      <w:bookmarkStart w:id="7331" w:name="_Toc12514"/>
      <w:bookmarkStart w:id="7332" w:name="_Toc902"/>
      <w:bookmarkStart w:id="7333" w:name="_Toc13973"/>
      <w:bookmarkStart w:id="7334" w:name="_Toc1250"/>
      <w:bookmarkStart w:id="7335" w:name="_Toc32123"/>
      <w:bookmarkStart w:id="7336" w:name="_Toc229225600"/>
      <w:r>
        <w:rPr>
          <w:rFonts w:ascii="Times New Roman" w:hAnsi="Times New Roman"/>
        </w:rPr>
        <w:t>一、奖励和报酬</w:t>
      </w:r>
      <w:bookmarkEnd w:id="7326"/>
      <w:bookmarkEnd w:id="7327"/>
      <w:bookmarkEnd w:id="7328"/>
      <w:bookmarkEnd w:id="7329"/>
      <w:bookmarkEnd w:id="7330"/>
      <w:bookmarkEnd w:id="7331"/>
      <w:bookmarkEnd w:id="7332"/>
      <w:bookmarkEnd w:id="7333"/>
      <w:bookmarkEnd w:id="7334"/>
      <w:bookmarkEnd w:id="7335"/>
      <w:bookmarkEnd w:id="7336"/>
    </w:p>
    <w:p w:rsidR="00800760" w:rsidRDefault="00235733">
      <w:pPr>
        <w:ind w:firstLine="436"/>
        <w:jc w:val="both"/>
        <w:rPr>
          <w:rFonts w:cs="宋体"/>
          <w:spacing w:val="4"/>
        </w:rPr>
      </w:pPr>
      <w:r>
        <w:rPr>
          <w:rFonts w:cs="宋体"/>
          <w:spacing w:val="4"/>
        </w:rPr>
        <w:t>奖励是指给予发明人或设计人金钱或物品奖励，以对其进行勉励。奖励可以表现为货币形式的奖金或物品形式的奖品，也可以是期权或股权等方式，通常表现为奖金。</w:t>
      </w:r>
    </w:p>
    <w:p w:rsidR="00800760" w:rsidRDefault="00235733">
      <w:pPr>
        <w:ind w:firstLine="436"/>
        <w:jc w:val="both"/>
        <w:rPr>
          <w:rFonts w:cs="宋体"/>
          <w:spacing w:val="4"/>
        </w:rPr>
      </w:pPr>
      <w:r>
        <w:rPr>
          <w:rFonts w:cs="宋体"/>
          <w:spacing w:val="4"/>
        </w:rPr>
        <w:t>报酬是作为报偿付给发明人或设计人的金钱或实物等。报酬通常表现为货币形式的金钱，即一定比例的营业利润提成，也可以是期权或股权等方式。</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5-1</w:t>
      </w:r>
      <w:r>
        <w:rPr>
          <w:rFonts w:ascii="Times New Roman" w:hAnsi="Times New Roman"/>
          <w:lang w:val="en-US"/>
        </w:rPr>
        <w:t>-1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某案中，发明人要求所在单位支付职务发明人奖励和报酬。所在单位主张，发给发明人的季度奖金和年度奖金中，已包含了给予职务发明人的奖励和报酬，并提交了原告工资通知单、员工评价表等证据。</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给予发明人的奖励和报酬应当是单位对发明人作出的创造性贡献另行支付的金钱或实物等，与发明人获得的工资收入、奖金等通常收入不同，除非单位对工资收入、奖金的具体分割有明确规定，且其中包括对于发明人就职务发明创造给予的奖励和报酬，否则通常不认为二者是包含关系，不能认定奖金中必然包括了职务发明人的奖励和报酬。该案中，是否已向发明人支付职务发明人的奖励和报酬，应由发明人所在单位承担举证责任。尽管单位所提交的工资单等证据能够说明单位向发明人支付过季度和年度奖金，但并未说明季度和年度奖金中已经包括了给予职务发明人的奖励和报酬，因此其主张不能成立。</w:t>
      </w:r>
    </w:p>
    <w:p w:rsidR="00800760" w:rsidRDefault="00235733">
      <w:pPr>
        <w:pStyle w:val="3"/>
        <w:spacing w:before="240"/>
        <w:ind w:firstLine="444"/>
        <w:rPr>
          <w:rFonts w:ascii="Times New Roman" w:hAnsi="Times New Roman"/>
        </w:rPr>
      </w:pPr>
      <w:bookmarkStart w:id="7337" w:name="bookmark201"/>
      <w:bookmarkStart w:id="7338" w:name="_Toc21718"/>
      <w:bookmarkStart w:id="7339" w:name="_Toc24394"/>
      <w:bookmarkStart w:id="7340" w:name="_Toc14878"/>
      <w:bookmarkStart w:id="7341" w:name="_Toc12629"/>
      <w:bookmarkStart w:id="7342" w:name="_Toc7994"/>
      <w:bookmarkStart w:id="7343" w:name="_Toc8069"/>
      <w:bookmarkStart w:id="7344" w:name="_Toc229114505"/>
      <w:bookmarkStart w:id="7345" w:name="_Toc5065"/>
      <w:bookmarkStart w:id="7346" w:name="_Toc3207"/>
      <w:bookmarkStart w:id="7347" w:name="_Toc6408"/>
      <w:bookmarkStart w:id="7348" w:name="_Toc229225601"/>
      <w:bookmarkEnd w:id="7337"/>
      <w:r>
        <w:rPr>
          <w:rFonts w:ascii="Times New Roman" w:hAnsi="Times New Roman"/>
        </w:rPr>
        <w:t>二、被授予专利权的单位</w:t>
      </w:r>
      <w:bookmarkEnd w:id="7338"/>
      <w:bookmarkEnd w:id="7339"/>
      <w:bookmarkEnd w:id="7340"/>
      <w:bookmarkEnd w:id="7341"/>
      <w:bookmarkEnd w:id="7342"/>
      <w:bookmarkEnd w:id="7343"/>
      <w:bookmarkEnd w:id="7344"/>
      <w:bookmarkEnd w:id="7345"/>
      <w:bookmarkEnd w:id="7346"/>
      <w:bookmarkEnd w:id="7347"/>
      <w:bookmarkEnd w:id="7348"/>
    </w:p>
    <w:p w:rsidR="00800760" w:rsidRDefault="00235733">
      <w:pPr>
        <w:ind w:firstLine="436"/>
        <w:jc w:val="both"/>
        <w:rPr>
          <w:rFonts w:cs="宋体"/>
          <w:spacing w:val="4"/>
        </w:rPr>
      </w:pPr>
      <w:r>
        <w:rPr>
          <w:rFonts w:cs="宋体"/>
          <w:spacing w:val="4"/>
        </w:rPr>
        <w:t>向职务发明人或设计人支付奖励和报酬的主体是被授予专利权的单位。</w:t>
      </w:r>
    </w:p>
    <w:p w:rsidR="00800760" w:rsidRDefault="00235733">
      <w:pPr>
        <w:ind w:firstLine="436"/>
        <w:jc w:val="both"/>
        <w:rPr>
          <w:rFonts w:cs="宋体"/>
          <w:spacing w:val="4"/>
        </w:rPr>
      </w:pPr>
      <w:r>
        <w:rPr>
          <w:rFonts w:cs="宋体"/>
          <w:spacing w:val="4"/>
        </w:rPr>
        <w:t>被授予专利权的单位是指中国境内的单位，包括法人单位和非法人单位，具体可以是国有企事业单位、民营企业、外商投资企业。</w:t>
      </w:r>
      <w:r>
        <w:rPr>
          <w:rFonts w:cs="宋体" w:hint="eastAsia"/>
          <w:spacing w:val="4"/>
        </w:rPr>
        <w:t>所称</w:t>
      </w:r>
      <w:r>
        <w:rPr>
          <w:rFonts w:cs="宋体"/>
          <w:spacing w:val="4"/>
        </w:rPr>
        <w:t>单位不限于发明人或设计人正式工作的单位，还包括临时工作的单位。</w:t>
      </w:r>
    </w:p>
    <w:p w:rsidR="00800760" w:rsidRDefault="00235733">
      <w:pPr>
        <w:ind w:firstLine="436"/>
        <w:jc w:val="both"/>
        <w:rPr>
          <w:rFonts w:cs="宋体"/>
          <w:spacing w:val="4"/>
        </w:rPr>
      </w:pPr>
      <w:r>
        <w:rPr>
          <w:rFonts w:cs="宋体"/>
          <w:spacing w:val="4"/>
        </w:rPr>
        <w:t>将在国外完成的发明创造向中国申请专利并在中国获得专利授权的单位，不负有《专利法》第十</w:t>
      </w:r>
      <w:r>
        <w:rPr>
          <w:rFonts w:cs="宋体" w:hint="eastAsia"/>
          <w:spacing w:val="4"/>
        </w:rPr>
        <w:t>五</w:t>
      </w:r>
      <w:r>
        <w:rPr>
          <w:rFonts w:cs="宋体"/>
          <w:spacing w:val="4"/>
        </w:rPr>
        <w:t>条规定的支付奖励和报酬的义务。</w:t>
      </w:r>
    </w:p>
    <w:p w:rsidR="00800760" w:rsidRDefault="00235733">
      <w:pPr>
        <w:ind w:firstLine="436"/>
        <w:jc w:val="both"/>
        <w:rPr>
          <w:rFonts w:cs="宋体"/>
          <w:spacing w:val="4"/>
        </w:rPr>
      </w:pPr>
      <w:r>
        <w:rPr>
          <w:rFonts w:cs="宋体"/>
          <w:spacing w:val="4"/>
        </w:rPr>
        <w:t>单位将员工完成或参与完成的职务发明创造按照技术转让合同、委托开发合同或合作开发合同的约定移转给受让方，并由受让方获得专利权的，该单位视为被授予专利权的单位，有义务向发明人或设计人支付奖励。</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5-</w:t>
      </w:r>
      <w:r>
        <w:rPr>
          <w:rFonts w:ascii="Times New Roman" w:hAnsi="Times New Roman"/>
          <w:lang w:val="en-US"/>
        </w:rPr>
        <w:t>1-</w:t>
      </w:r>
      <w:r>
        <w:rPr>
          <w:rFonts w:ascii="Times New Roman" w:hAnsi="Times New Roman"/>
        </w:rPr>
        <w:t>2</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某案中，职务发明人要求所在单位支付职务发明人的奖励、报酬。所在单位认为，其为民营企业，没有向职务发明人支付奖励和报酬的义务。</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支付奖励和报酬的义务主体是被授予专利权的单位，不仅包括国有企事业单位，也包括民营企业，这是各类市场主体平等参与竞争应遵循的一致规则。根据《专利法》及《专利法实施细则》的规定，该案中，民营企业同样负有向职务发明人支付奖励、报酬的义务，所在单位以其为民营企业为由拒绝向职务发明人支付奖励与报酬的主张缺乏法律依据，不应得到支持。</w:t>
      </w:r>
    </w:p>
    <w:p w:rsidR="00800760" w:rsidRDefault="00235733">
      <w:pPr>
        <w:pStyle w:val="3"/>
        <w:spacing w:before="240"/>
        <w:ind w:firstLine="444"/>
        <w:rPr>
          <w:rFonts w:ascii="Times New Roman" w:hAnsi="Times New Roman"/>
        </w:rPr>
      </w:pPr>
      <w:bookmarkStart w:id="7349" w:name="_Toc20619"/>
      <w:bookmarkStart w:id="7350" w:name="_Toc27669"/>
      <w:bookmarkStart w:id="7351" w:name="_Toc229114506"/>
      <w:bookmarkStart w:id="7352" w:name="_Toc1734"/>
      <w:bookmarkStart w:id="7353" w:name="_Toc6947"/>
      <w:bookmarkStart w:id="7354" w:name="_Toc22504"/>
      <w:bookmarkStart w:id="7355" w:name="_Toc3649"/>
      <w:bookmarkStart w:id="7356" w:name="_Toc30325"/>
      <w:bookmarkStart w:id="7357" w:name="_Toc11618"/>
      <w:bookmarkStart w:id="7358" w:name="_Toc22523"/>
      <w:bookmarkStart w:id="7359" w:name="_Toc229225602"/>
      <w:r>
        <w:rPr>
          <w:rFonts w:ascii="Times New Roman" w:hAnsi="Times New Roman"/>
        </w:rPr>
        <w:t>三、职务发明人或设计人</w:t>
      </w:r>
      <w:bookmarkEnd w:id="7349"/>
      <w:bookmarkEnd w:id="7350"/>
      <w:bookmarkEnd w:id="7351"/>
      <w:bookmarkEnd w:id="7352"/>
      <w:bookmarkEnd w:id="7353"/>
      <w:bookmarkEnd w:id="7354"/>
      <w:bookmarkEnd w:id="7355"/>
      <w:bookmarkEnd w:id="7356"/>
      <w:bookmarkEnd w:id="7357"/>
      <w:bookmarkEnd w:id="7358"/>
      <w:bookmarkEnd w:id="7359"/>
    </w:p>
    <w:p w:rsidR="00800760" w:rsidRDefault="00235733">
      <w:pPr>
        <w:ind w:firstLine="436"/>
        <w:jc w:val="both"/>
        <w:rPr>
          <w:rFonts w:cs="宋体"/>
          <w:spacing w:val="4"/>
        </w:rPr>
      </w:pPr>
      <w:r>
        <w:rPr>
          <w:rFonts w:cs="宋体"/>
          <w:spacing w:val="4"/>
        </w:rPr>
        <w:t>有权获得奖励和报酬的人是职务发明创造的发明人或设计人。</w:t>
      </w:r>
    </w:p>
    <w:p w:rsidR="00800760" w:rsidRDefault="00235733">
      <w:pPr>
        <w:ind w:firstLine="436"/>
        <w:jc w:val="both"/>
        <w:rPr>
          <w:rFonts w:cs="宋体"/>
          <w:spacing w:val="4"/>
        </w:rPr>
      </w:pPr>
      <w:r>
        <w:rPr>
          <w:rFonts w:cs="宋体"/>
          <w:spacing w:val="4"/>
        </w:rPr>
        <w:t>适格的发明人或设计人应同时符合以下两个条件：</w:t>
      </w:r>
      <w:r>
        <w:rPr>
          <w:rFonts w:cs="宋体"/>
          <w:spacing w:val="4"/>
        </w:rPr>
        <w:t>(1)</w:t>
      </w:r>
      <w:r>
        <w:rPr>
          <w:rFonts w:cs="宋体"/>
          <w:spacing w:val="4"/>
        </w:rPr>
        <w:t>是所在单位的工作人员或临时工作人员，包括从其他单位借调、聘请来的人员和劳务派遣人员；</w:t>
      </w:r>
      <w:r>
        <w:rPr>
          <w:rFonts w:cs="宋体"/>
          <w:spacing w:val="4"/>
        </w:rPr>
        <w:t>(2)</w:t>
      </w:r>
      <w:r>
        <w:rPr>
          <w:rFonts w:cs="宋体"/>
          <w:spacing w:val="4"/>
        </w:rPr>
        <w:t>要对职务发明创造的实质性特点作出创造性贡献。在完成发明创造过程中，只负责组织工作的人、为物质技术条件的利用提供方便的人或者从事其他辅助工作的人，不是发明人或设计人。</w:t>
      </w:r>
    </w:p>
    <w:p w:rsidR="00800760" w:rsidRDefault="00235733">
      <w:pPr>
        <w:spacing w:before="68" w:line="301" w:lineRule="auto"/>
        <w:ind w:right="86" w:firstLine="436"/>
        <w:jc w:val="both"/>
        <w:rPr>
          <w:rFonts w:cs="宋体"/>
          <w:spacing w:val="4"/>
        </w:rPr>
      </w:pPr>
      <w:r>
        <w:rPr>
          <w:rFonts w:eastAsiaTheme="minorEastAsia" w:cstheme="minorEastAsia"/>
          <w:spacing w:val="4"/>
          <w:szCs w:val="21"/>
        </w:rPr>
        <w:t>尽管作为单位员工就职于某一单位，但其完成的发明创造不属于职务发明创造的</w:t>
      </w:r>
      <w:r>
        <w:rPr>
          <w:rFonts w:eastAsiaTheme="minorEastAsia" w:cstheme="minorEastAsia" w:hint="eastAsia"/>
          <w:spacing w:val="4"/>
          <w:szCs w:val="21"/>
        </w:rPr>
        <w:t>，发</w:t>
      </w:r>
      <w:r>
        <w:rPr>
          <w:rFonts w:eastAsiaTheme="minorEastAsia" w:cstheme="minorEastAsia"/>
          <w:spacing w:val="4"/>
          <w:szCs w:val="21"/>
        </w:rPr>
        <w:t>明人或设计人不应当被认为是职务发明人或设计人。利用本单位的物质技术条件所完成的发明创造，单位与发明人或设计人订有合同，约定申请专利的权利和专利权属于发明人或设计人，由发明人或设计人返还研发资金或者支付使用费的，该发明创造不属于职务发明创造，发明人或设计人不属于职务发明人或设计人。</w:t>
      </w:r>
    </w:p>
    <w:p w:rsidR="00800760" w:rsidRDefault="00235733">
      <w:pPr>
        <w:ind w:firstLine="436"/>
        <w:jc w:val="both"/>
        <w:rPr>
          <w:rFonts w:cs="宋体"/>
          <w:spacing w:val="4"/>
        </w:rPr>
      </w:pPr>
      <w:r>
        <w:rPr>
          <w:rFonts w:cs="宋体"/>
          <w:spacing w:val="4"/>
        </w:rPr>
        <w:t>除有相反证据外，在专利文件中写明的发明人或设计人通常应视为职务发明创造的发明人或设计人，推定其对发明创造的实质性特点作出了创造性贡献，有权获得奖励和报酬。发明人或设计人经过合法变更的，应当以变更后的发明人或设计人作为有权获得奖励和报酬的主体。</w:t>
      </w:r>
    </w:p>
    <w:p w:rsidR="00800760" w:rsidRDefault="00235733">
      <w:pPr>
        <w:ind w:firstLine="436"/>
        <w:jc w:val="both"/>
        <w:rPr>
          <w:rFonts w:cs="宋体"/>
          <w:spacing w:val="4"/>
        </w:rPr>
      </w:pPr>
      <w:r>
        <w:rPr>
          <w:rFonts w:cs="宋体"/>
          <w:spacing w:val="4"/>
        </w:rPr>
        <w:t>职务发明人或设计人与原单位解除或者终止劳动关系或者人事关系后，除与原单位另有约定外，其从原单位获得奖励和报酬的权利不受影响；职务发明人或设计人死亡的，其获得奖金和报酬的权利由其继承人继承。</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5-</w:t>
      </w:r>
      <w:r>
        <w:rPr>
          <w:rFonts w:ascii="Times New Roman" w:hAnsi="Times New Roman"/>
          <w:lang w:val="en-US"/>
        </w:rPr>
        <w:t>1-</w:t>
      </w:r>
      <w:r>
        <w:rPr>
          <w:rFonts w:ascii="Times New Roman" w:hAnsi="Times New Roman"/>
        </w:rPr>
        <w:t>3</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某案中，请求人要求所在公司支付职务发明人奖励和报酬。该公司主张请求人不属于发明人。经查，请求人在该公司工作时负责研发部的管理工作并从事技术研发，其间该公司提交了</w:t>
      </w:r>
      <w:r>
        <w:rPr>
          <w:rFonts w:eastAsia="楷体_GB2312" w:cs="MingLiU_HKSCS"/>
          <w:lang w:val="zh-CN"/>
        </w:rPr>
        <w:t>11</w:t>
      </w:r>
      <w:r>
        <w:rPr>
          <w:rFonts w:eastAsia="楷体_GB2312" w:cs="MingLiU_HKSCS"/>
          <w:lang w:val="zh-CN"/>
        </w:rPr>
        <w:t>项专利申请并获得授权，发明人一栏的署名均为请求人。该公司未能提交其他证据证明请求人不属于发明人。</w:t>
      </w:r>
    </w:p>
    <w:p w:rsidR="00800760" w:rsidRDefault="00235733">
      <w:pPr>
        <w:keepNext/>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 w:cs="楷体"/>
        </w:rPr>
      </w:pPr>
      <w:r>
        <w:rPr>
          <w:rFonts w:eastAsia="楷体_GB2312" w:cs="MingLiU_HKSCS"/>
          <w:lang w:val="zh-CN"/>
        </w:rPr>
        <w:t>除有相反证据证明外，专利文件上列明的发明人均是专利法意义上的发明人，有权获得职务发明创造的奖励和报酬。该案中，请求人以专利授权文件证明其发明人身份，尽到了初步举证义务。请求人所在公司不认可请求人为这</w:t>
      </w:r>
      <w:r>
        <w:rPr>
          <w:rFonts w:eastAsia="楷体_GB2312" w:cs="MingLiU_HKSCS"/>
          <w:lang w:val="zh-CN"/>
        </w:rPr>
        <w:t>11</w:t>
      </w:r>
      <w:r>
        <w:rPr>
          <w:rFonts w:eastAsia="楷体_GB2312" w:cs="MingLiU_HKSCS"/>
          <w:lang w:val="zh-CN"/>
        </w:rPr>
        <w:t>项专利技术的发明人，应对其主张负举证责任。由于该公司提出的现有证据并不充分，故其提出的请求人不是涉案专利技术发明人的主张事实依据不足，不能成立。</w:t>
      </w:r>
    </w:p>
    <w:p w:rsidR="00800760" w:rsidRDefault="00235733">
      <w:pPr>
        <w:pStyle w:val="3"/>
        <w:spacing w:before="240"/>
        <w:ind w:firstLine="444"/>
        <w:rPr>
          <w:rFonts w:ascii="Times New Roman" w:hAnsi="Times New Roman"/>
        </w:rPr>
      </w:pPr>
      <w:bookmarkStart w:id="7360" w:name="_Toc30125"/>
      <w:bookmarkStart w:id="7361" w:name="_Toc229114507"/>
      <w:bookmarkStart w:id="7362" w:name="_Toc28175"/>
      <w:bookmarkStart w:id="7363" w:name="_Toc27854"/>
      <w:bookmarkStart w:id="7364" w:name="_Toc20449"/>
      <w:bookmarkStart w:id="7365" w:name="_Toc28783"/>
      <w:bookmarkStart w:id="7366" w:name="_Toc27571"/>
      <w:bookmarkStart w:id="7367" w:name="_Toc7324"/>
      <w:bookmarkStart w:id="7368" w:name="_Toc797"/>
      <w:bookmarkStart w:id="7369" w:name="_Toc2028"/>
      <w:bookmarkStart w:id="7370" w:name="_Toc229225603"/>
      <w:r>
        <w:rPr>
          <w:rFonts w:ascii="Times New Roman" w:hAnsi="Times New Roman"/>
        </w:rPr>
        <w:t>四、约定优先原则</w:t>
      </w:r>
      <w:bookmarkEnd w:id="7360"/>
      <w:bookmarkEnd w:id="7361"/>
      <w:bookmarkEnd w:id="7362"/>
      <w:bookmarkEnd w:id="7363"/>
      <w:bookmarkEnd w:id="7364"/>
      <w:bookmarkEnd w:id="7365"/>
      <w:bookmarkEnd w:id="7366"/>
      <w:bookmarkEnd w:id="7367"/>
      <w:bookmarkEnd w:id="7368"/>
      <w:bookmarkEnd w:id="7369"/>
      <w:bookmarkEnd w:id="7370"/>
    </w:p>
    <w:p w:rsidR="00800760" w:rsidRDefault="00235733">
      <w:pPr>
        <w:ind w:firstLine="436"/>
        <w:jc w:val="both"/>
        <w:rPr>
          <w:rFonts w:cs="宋体"/>
          <w:spacing w:val="4"/>
        </w:rPr>
      </w:pPr>
      <w:r>
        <w:rPr>
          <w:rFonts w:cs="宋体"/>
          <w:spacing w:val="4"/>
        </w:rPr>
        <w:t>职务发明人或设计人与所在单位事先约定奖励和报酬的数额、支付方式以及支付时间的，单位应当按照约定支付奖励和报酬。单位与发明人或设计人之间没有约定或约定不明时，按照《专利法》</w:t>
      </w:r>
      <w:r>
        <w:rPr>
          <w:rFonts w:cs="宋体" w:hint="eastAsia"/>
          <w:spacing w:val="4"/>
        </w:rPr>
        <w:t>、</w:t>
      </w:r>
      <w:r>
        <w:rPr>
          <w:rFonts w:cs="宋体"/>
          <w:spacing w:val="4"/>
        </w:rPr>
        <w:t>《专利法实施细则》以及其他相关法律、法规的规定支付奖励和报酬。</w:t>
      </w:r>
    </w:p>
    <w:p w:rsidR="00800760" w:rsidRDefault="00235733">
      <w:pPr>
        <w:ind w:firstLineChars="0" w:firstLine="436"/>
        <w:jc w:val="both"/>
        <w:rPr>
          <w:rFonts w:cs="宋体"/>
          <w:spacing w:val="4"/>
        </w:rPr>
      </w:pPr>
      <w:r>
        <w:rPr>
          <w:rFonts w:cs="宋体"/>
          <w:spacing w:val="4"/>
        </w:rPr>
        <w:t>单位与发明人或设计人之间的这种约定可以采用单独订立合同的形式，也可以作为劳动合同的一部分。这种约定可以在项目研发之前作出，也可以在发明创造完成后作出。</w:t>
      </w:r>
    </w:p>
    <w:p w:rsidR="00800760" w:rsidRDefault="00235733">
      <w:pPr>
        <w:ind w:firstLine="436"/>
        <w:jc w:val="both"/>
        <w:rPr>
          <w:rFonts w:cs="宋体"/>
          <w:spacing w:val="4"/>
        </w:rPr>
      </w:pPr>
      <w:r>
        <w:rPr>
          <w:rFonts w:cs="宋体"/>
          <w:spacing w:val="4"/>
        </w:rPr>
        <w:t>单位在规章制度中规定有关奖励和报酬事项的，其性质相当于有关奖励、报酬的格式合同。单位在与员工签订劳动合同时，对于该部分内容，应当明确告知员工。未明确告知且规定的奖励和报酬低于法定标准的，该部分内容对该员工不具有约束力。</w:t>
      </w:r>
    </w:p>
    <w:p w:rsidR="00800760" w:rsidRDefault="00235733">
      <w:pPr>
        <w:ind w:firstLine="436"/>
        <w:jc w:val="both"/>
        <w:rPr>
          <w:rFonts w:cs="宋体"/>
          <w:spacing w:val="4"/>
        </w:rPr>
      </w:pPr>
      <w:r>
        <w:rPr>
          <w:rFonts w:cs="宋体"/>
          <w:spacing w:val="4"/>
        </w:rPr>
        <w:t>单位与职务发明人或设计人之间的奖励、报酬约定应当合法、有效。单位与员工的约定或者其规章制度的规定不合理地限制或剥夺发明人或设计人根据《专利法》和《专利法实施细则》享有的获得奖励、报酬的权利的，不得作为确定奖励和报酬的依据。</w:t>
      </w:r>
    </w:p>
    <w:p w:rsidR="00800760" w:rsidRDefault="00235733">
      <w:pPr>
        <w:ind w:firstLine="436"/>
        <w:jc w:val="both"/>
        <w:rPr>
          <w:rFonts w:cs="宋体"/>
          <w:spacing w:val="4"/>
        </w:rPr>
      </w:pPr>
      <w:r>
        <w:rPr>
          <w:rFonts w:cs="宋体"/>
          <w:spacing w:val="4"/>
        </w:rPr>
        <w:t>按照约定优先原则，奖励、报酬的形式可以多种多样。除了采取货币形式之外，还可以采取股票、期权等其他物质形式，只要</w:t>
      </w:r>
      <w:r>
        <w:rPr>
          <w:rFonts w:cs="宋体" w:hint="eastAsia"/>
          <w:spacing w:val="4"/>
        </w:rPr>
        <w:t>符合</w:t>
      </w:r>
      <w:r>
        <w:rPr>
          <w:rFonts w:cs="宋体"/>
          <w:spacing w:val="4"/>
        </w:rPr>
        <w:t>《专利法》和《专利法实施细则》规定的合理的原则要求即可。</w:t>
      </w:r>
    </w:p>
    <w:p w:rsidR="00800760" w:rsidRDefault="00235733">
      <w:pPr>
        <w:ind w:firstLine="436"/>
        <w:jc w:val="both"/>
        <w:rPr>
          <w:rFonts w:cs="宋体"/>
          <w:spacing w:val="4"/>
        </w:rPr>
      </w:pPr>
      <w:r>
        <w:rPr>
          <w:rFonts w:cs="宋体"/>
          <w:spacing w:val="4"/>
        </w:rPr>
        <w:t>约定的奖励和报酬采用货币形式予以支付的，约定的数额可以比法定标准高，也可以比法定标准低。单位可以自主地根据自身的行业特性、生产研发状况、知识产权战略发展需求等制定相应的具体标准。</w:t>
      </w:r>
    </w:p>
    <w:p w:rsidR="00800760" w:rsidRDefault="00235733">
      <w:pPr>
        <w:pStyle w:val="af6"/>
        <w:spacing w:before="120"/>
        <w:ind w:firstLine="420"/>
      </w:pPr>
      <w:r>
        <w:rPr>
          <w:rFonts w:hint="eastAsia"/>
        </w:rPr>
        <w:t>【案例</w:t>
      </w:r>
      <w:r>
        <w:t>5-1-4</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某案中，请求人要求所在单位支付职务发明人奖励和报酬。该单位根据其制定的《企业职工奖惩条例》主张，请求人就其第一项职务发明专利获得一次报酬后，将无权就其后的专利获得奖励和报酬。经查，该单位《企业职工奖惩条例》第五条规定：</w:t>
      </w:r>
      <w:r>
        <w:rPr>
          <w:rFonts w:eastAsia="楷体_GB2312" w:cs="MingLiU_HKSCS"/>
          <w:lang w:val="zh-CN"/>
        </w:rPr>
        <w:t>“</w:t>
      </w:r>
      <w:r>
        <w:rPr>
          <w:rFonts w:eastAsia="楷体_GB2312" w:cs="MingLiU_HKSCS"/>
          <w:lang w:val="zh-CN"/>
        </w:rPr>
        <w:t>取得多项成果的员工仅享受一次报酬申请的权利；除此之外任何员工不得向公司提出其他任何形式的报酬请求。</w:t>
      </w:r>
      <w:r>
        <w:rPr>
          <w:rFonts w:eastAsia="楷体_GB2312" w:cs="MingLiU_HKSCS"/>
          <w:lang w:val="zh-CN"/>
        </w:rPr>
        <w:t>”</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单位可以与员工约定职务发明创造的奖励和报酬，但是该约定应当以避免不合理地限制或剥夺员工获得奖励和报酬的权利为限。对职务发明人或设计人给予适当的奖励，目的在于充分调动单位与员工的创新积极性，鼓励更多的发明创造。该案中，根据该单位《企业职工奖惩条例》的规定，无论员工作出多少职务发明创造，也仅能享受获得一次报酬的权利，这实际上是对发明人或设计人获得奖励和报酬的权利的不合理限制，明显与《专利法》第十</w:t>
      </w:r>
      <w:r>
        <w:rPr>
          <w:rFonts w:eastAsia="楷体_GB2312" w:cs="MingLiU_HKSCS" w:hint="eastAsia"/>
          <w:lang w:val="zh-CN"/>
        </w:rPr>
        <w:t>五</w:t>
      </w:r>
      <w:r>
        <w:rPr>
          <w:rFonts w:eastAsia="楷体_GB2312" w:cs="MingLiU_HKSCS"/>
          <w:lang w:val="zh-CN"/>
        </w:rPr>
        <w:t>条规定的初衷不相吻合，因此是无效的。</w:t>
      </w:r>
    </w:p>
    <w:p w:rsidR="00800760" w:rsidRDefault="00235733">
      <w:pPr>
        <w:pStyle w:val="af6"/>
        <w:spacing w:before="120"/>
        <w:ind w:firstLine="420"/>
      </w:pPr>
      <w:r>
        <w:rPr>
          <w:rFonts w:hint="eastAsia"/>
        </w:rPr>
        <w:t>【案例</w:t>
      </w:r>
      <w:r>
        <w:t>5-1-5</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某案中，请求人要求某大学就其作为发明人的发明专利支付奖励</w:t>
      </w:r>
      <w:r>
        <w:rPr>
          <w:rFonts w:eastAsia="楷体_GB2312" w:cs="MingLiU_HKSCS"/>
          <w:lang w:val="zh-CN"/>
        </w:rPr>
        <w:t>8000</w:t>
      </w:r>
      <w:r>
        <w:rPr>
          <w:rFonts w:eastAsia="楷体_GB2312" w:cs="MingLiU_HKSCS"/>
          <w:lang w:val="zh-CN"/>
        </w:rPr>
        <w:t>元。经查</w:t>
      </w:r>
      <w:bookmarkStart w:id="7371" w:name="bookmark202"/>
      <w:bookmarkEnd w:id="7371"/>
      <w:r>
        <w:rPr>
          <w:rFonts w:eastAsia="楷体_GB2312" w:cs="MingLiU_HKSCS"/>
          <w:lang w:val="zh-CN"/>
        </w:rPr>
        <w:t>明，就职务发明的奖励标准，该校与请求人并未作出约定。该校正式发布的《</w:t>
      </w:r>
      <w:r>
        <w:rPr>
          <w:rFonts w:eastAsia="楷体_GB2312" w:cs="MingLiU_HKSCS"/>
          <w:lang w:val="zh-CN"/>
        </w:rPr>
        <w:t>××</w:t>
      </w:r>
      <w:r>
        <w:rPr>
          <w:rFonts w:eastAsia="楷体_GB2312" w:cs="MingLiU_HKSCS"/>
          <w:lang w:val="zh-CN"/>
        </w:rPr>
        <w:t>大学专利管理办法》虽然明确了该校应当对职务发明的发明人给予奖励，但并未就具体奖励标准作出规定。另外，该校正式发布的《</w:t>
      </w:r>
      <w:r>
        <w:rPr>
          <w:rFonts w:eastAsia="楷体_GB2312" w:cs="MingLiU_HKSCS"/>
          <w:lang w:val="zh-CN"/>
        </w:rPr>
        <w:t>××</w:t>
      </w:r>
      <w:r>
        <w:rPr>
          <w:rFonts w:eastAsia="楷体_GB2312" w:cs="MingLiU_HKSCS"/>
          <w:lang w:val="zh-CN"/>
        </w:rPr>
        <w:t>大学校内津贴分配方案》中明确规定：基于发明专利的科研分值为</w:t>
      </w:r>
      <w:r>
        <w:rPr>
          <w:rFonts w:eastAsia="楷体_GB2312" w:cs="MingLiU_HKSCS"/>
          <w:lang w:val="zh-CN"/>
        </w:rPr>
        <w:t>50</w:t>
      </w:r>
      <w:r>
        <w:rPr>
          <w:rFonts w:eastAsia="楷体_GB2312" w:cs="MingLiU_HKSCS"/>
          <w:lang w:val="zh-CN"/>
        </w:rPr>
        <w:t>分，科研工作量的奖励标准为每月每分</w:t>
      </w:r>
      <w:r>
        <w:rPr>
          <w:rFonts w:eastAsia="楷体_GB2312" w:cs="MingLiU_HKSCS"/>
          <w:lang w:val="zh-CN"/>
        </w:rPr>
        <w:t>10</w:t>
      </w:r>
      <w:r>
        <w:rPr>
          <w:rFonts w:eastAsia="楷体_GB2312" w:cs="MingLiU_HKSCS"/>
          <w:lang w:val="zh-CN"/>
        </w:rPr>
        <w:t>元，学校按</w:t>
      </w:r>
      <w:r>
        <w:rPr>
          <w:rFonts w:eastAsia="楷体_GB2312" w:cs="MingLiU_HKSCS"/>
          <w:lang w:val="zh-CN"/>
        </w:rPr>
        <w:t>10</w:t>
      </w:r>
      <w:r>
        <w:rPr>
          <w:rFonts w:eastAsia="楷体_GB2312" w:cs="MingLiU_HKSCS"/>
          <w:lang w:val="zh-CN"/>
        </w:rPr>
        <w:t>个月发放。管理专利工作的部门参照《</w:t>
      </w:r>
      <w:r>
        <w:rPr>
          <w:rFonts w:eastAsia="楷体_GB2312" w:cs="MingLiU_HKSCS"/>
          <w:lang w:val="zh-CN"/>
        </w:rPr>
        <w:t>××</w:t>
      </w:r>
      <w:r>
        <w:rPr>
          <w:rFonts w:eastAsia="楷体_GB2312" w:cs="MingLiU_HKSCS"/>
          <w:lang w:val="zh-CN"/>
        </w:rPr>
        <w:t>大学校内津贴分配方案》</w:t>
      </w:r>
      <w:r>
        <w:rPr>
          <w:rFonts w:eastAsia="楷体_GB2312" w:cs="MingLiU_HKSCS"/>
          <w:lang w:val="zh-CN"/>
        </w:rPr>
        <w:t>,</w:t>
      </w:r>
      <w:r>
        <w:rPr>
          <w:rFonts w:eastAsia="楷体_GB2312" w:cs="MingLiU_HKSCS"/>
          <w:lang w:val="zh-CN"/>
        </w:rPr>
        <w:t>结合《专利法实施细则》第</w:t>
      </w:r>
      <w:r>
        <w:rPr>
          <w:rFonts w:eastAsia="楷体_GB2312" w:cs="MingLiU_HKSCS" w:hint="eastAsia"/>
          <w:lang w:val="zh-CN"/>
        </w:rPr>
        <w:t>九十三</w:t>
      </w:r>
      <w:r>
        <w:rPr>
          <w:rFonts w:eastAsia="楷体_GB2312" w:cs="MingLiU_HKSCS"/>
          <w:lang w:val="zh-CN"/>
        </w:rPr>
        <w:t>条所规定的一项发明专利的奖金最低不少于</w:t>
      </w:r>
      <w:r>
        <w:rPr>
          <w:rFonts w:eastAsia="楷体_GB2312" w:cs="MingLiU_HKSCS"/>
          <w:lang w:val="zh-CN"/>
        </w:rPr>
        <w:t>4000</w:t>
      </w:r>
      <w:r>
        <w:rPr>
          <w:rFonts w:eastAsia="楷体_GB2312" w:cs="MingLiU_HKSCS"/>
          <w:lang w:val="zh-CN"/>
        </w:rPr>
        <w:t>元的规定，确定该案发明专利的奖励标准为</w:t>
      </w:r>
      <w:r>
        <w:rPr>
          <w:rFonts w:eastAsia="楷体_GB2312" w:cs="MingLiU_HKSCS"/>
          <w:lang w:val="zh-CN"/>
        </w:rPr>
        <w:t>5000</w:t>
      </w:r>
      <w:r>
        <w:rPr>
          <w:rFonts w:eastAsia="楷体_GB2312" w:cs="MingLiU_HKSCS"/>
          <w:lang w:val="zh-CN"/>
        </w:rPr>
        <w:t>元。</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职务发明人或设计人与单位就职务发明创造奖励、报酬作出约定的，应当按照约定处理；单位发布的规章制度有规定的，所述规章制度具有相同效力。该案中的《</w:t>
      </w:r>
      <w:r>
        <w:rPr>
          <w:rFonts w:eastAsia="楷体_GB2312" w:cs="MingLiU_HKSCS"/>
          <w:lang w:val="zh-CN"/>
        </w:rPr>
        <w:t>××</w:t>
      </w:r>
      <w:r>
        <w:rPr>
          <w:rFonts w:eastAsia="楷体_GB2312" w:cs="MingLiU_HKSCS"/>
          <w:lang w:val="zh-CN"/>
        </w:rPr>
        <w:t>大学校内津贴分配方案》实质上已就奖励、报酬数额与发放方式作出了规定，且标准不低于《专利法》和《专利法实施细则》规定的标准，应当作为确定发明人奖励的依据。</w:t>
      </w:r>
    </w:p>
    <w:p w:rsidR="00800760" w:rsidRDefault="00235733">
      <w:pPr>
        <w:pStyle w:val="2"/>
        <w:spacing w:before="320"/>
        <w:ind w:firstLineChars="0" w:firstLine="0"/>
        <w:rPr>
          <w:rFonts w:ascii="Times New Roman" w:hAnsi="Times New Roman"/>
        </w:rPr>
      </w:pPr>
      <w:bookmarkStart w:id="7372" w:name="_Toc7550"/>
      <w:bookmarkStart w:id="7373" w:name="_Toc31889"/>
      <w:bookmarkStart w:id="7374" w:name="_Toc17583"/>
      <w:bookmarkStart w:id="7375" w:name="_Toc15795"/>
      <w:bookmarkStart w:id="7376" w:name="_Toc6051"/>
      <w:bookmarkStart w:id="7377" w:name="_Toc20972"/>
      <w:bookmarkStart w:id="7378" w:name="_Toc21103"/>
      <w:bookmarkStart w:id="7379" w:name="_Toc256"/>
      <w:bookmarkStart w:id="7380" w:name="_Toc19623"/>
      <w:bookmarkStart w:id="7381" w:name="_Toc23287"/>
      <w:bookmarkStart w:id="7382" w:name="_Toc16478"/>
      <w:bookmarkStart w:id="7383" w:name="_Toc384"/>
      <w:bookmarkStart w:id="7384" w:name="_Toc20847"/>
      <w:bookmarkStart w:id="7385" w:name="_Toc6962"/>
      <w:bookmarkStart w:id="7386" w:name="_Toc30342"/>
      <w:bookmarkStart w:id="7387" w:name="_Toc28145"/>
      <w:bookmarkStart w:id="7388" w:name="_Toc23091"/>
      <w:bookmarkStart w:id="7389" w:name="_Toc26586"/>
      <w:bookmarkStart w:id="7390" w:name="_Toc18388"/>
      <w:bookmarkStart w:id="7391" w:name="_Toc21106"/>
      <w:bookmarkStart w:id="7392" w:name="_Toc30760"/>
      <w:bookmarkStart w:id="7393" w:name="_Toc3611"/>
      <w:bookmarkStart w:id="7394" w:name="_Toc5145"/>
      <w:bookmarkStart w:id="7395" w:name="_Toc15164"/>
      <w:bookmarkStart w:id="7396" w:name="_Toc10141"/>
      <w:bookmarkStart w:id="7397" w:name="_Toc28083"/>
      <w:bookmarkStart w:id="7398" w:name="_Toc30214"/>
      <w:bookmarkStart w:id="7399" w:name="_Toc10759"/>
      <w:bookmarkStart w:id="7400" w:name="_Toc22196"/>
      <w:bookmarkStart w:id="7401" w:name="_Toc229114508"/>
      <w:bookmarkStart w:id="7402" w:name="_Toc5960"/>
      <w:bookmarkStart w:id="7403" w:name="_Toc23895"/>
      <w:bookmarkStart w:id="7404" w:name="_Toc24904"/>
      <w:bookmarkStart w:id="7405" w:name="_Toc5855"/>
      <w:bookmarkStart w:id="7406" w:name="_Toc19040"/>
      <w:bookmarkStart w:id="7407" w:name="_Toc18392"/>
      <w:bookmarkStart w:id="7408" w:name="_Toc864"/>
      <w:bookmarkStart w:id="7409" w:name="_Toc7148"/>
      <w:bookmarkStart w:id="7410" w:name="_Toc1439"/>
      <w:bookmarkStart w:id="7411" w:name="_Toc28604"/>
      <w:bookmarkStart w:id="7412" w:name="_Toc8091"/>
      <w:bookmarkStart w:id="7413" w:name="_Toc4263"/>
      <w:bookmarkStart w:id="7414" w:name="_Toc967"/>
      <w:bookmarkStart w:id="7415" w:name="_Toc229225604"/>
      <w:r>
        <w:rPr>
          <w:rFonts w:ascii="Times New Roman" w:hAnsi="Times New Roman"/>
        </w:rPr>
        <w:t>第二节</w:t>
      </w:r>
      <w:r>
        <w:rPr>
          <w:rFonts w:ascii="Times New Roman" w:hAnsi="Times New Roman" w:hint="eastAsia"/>
        </w:rPr>
        <w:t xml:space="preserve">　</w:t>
      </w:r>
      <w:r>
        <w:rPr>
          <w:rFonts w:ascii="Times New Roman" w:hAnsi="Times New Roman"/>
        </w:rPr>
        <w:t>奖励纠纷的行政调解</w:t>
      </w:r>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p>
    <w:p w:rsidR="00800760" w:rsidRDefault="00235733">
      <w:pPr>
        <w:ind w:firstLine="436"/>
        <w:jc w:val="both"/>
        <w:rPr>
          <w:rFonts w:cs="宋体"/>
          <w:spacing w:val="4"/>
        </w:rPr>
      </w:pPr>
      <w:r>
        <w:rPr>
          <w:rFonts w:cs="宋体"/>
          <w:spacing w:val="4"/>
        </w:rPr>
        <w:t>发明人或设计人就职务发明创造奖励纠纷向管理专利工作的部门提出调解请求的，管理专利工作的部门应当审查发明人或设计人是否满足应当给予奖励的条件。满足奖励条件的，管理专利工作的部门应当审查发明人或设计人与被请求人是否就职务发明奖励存在约定。如果双方有约定，根据约定确定支付奖励的数额与方式；如果没有约定，根据法定标准确定支付奖励的数额与方式。</w:t>
      </w:r>
    </w:p>
    <w:p w:rsidR="00800760" w:rsidRDefault="00235733">
      <w:pPr>
        <w:ind w:firstLine="436"/>
        <w:jc w:val="both"/>
        <w:rPr>
          <w:rFonts w:cs="宋体"/>
          <w:spacing w:val="4"/>
        </w:rPr>
      </w:pPr>
      <w:r>
        <w:rPr>
          <w:rFonts w:cs="宋体"/>
          <w:spacing w:val="4"/>
        </w:rPr>
        <w:t>除与职务发明人另有约定的以外，单位应当在公告授予专利权之日起三个月内发放奖金。单位对于请求人的发明人或设计人资格有争议的，应当先按照有关规定确定职务发明创造的发明人或设计人。经审查，如果请求人不具有职务发明人或设计人资格，管理专利工作的部门应当对调解请求不予受理；如果请求人具有职务发明人或设计人资格，则按照相关规定确定奖励的数额和方式。</w:t>
      </w:r>
    </w:p>
    <w:p w:rsidR="00800760" w:rsidRDefault="00235733">
      <w:pPr>
        <w:pStyle w:val="3"/>
        <w:spacing w:before="240"/>
        <w:ind w:firstLine="444"/>
        <w:rPr>
          <w:rFonts w:ascii="Times New Roman" w:hAnsi="Times New Roman"/>
        </w:rPr>
      </w:pPr>
      <w:bookmarkStart w:id="7416" w:name="_Toc10564"/>
      <w:bookmarkStart w:id="7417" w:name="_Toc11237"/>
      <w:bookmarkStart w:id="7418" w:name="_Toc25043"/>
      <w:bookmarkStart w:id="7419" w:name="_Toc26346"/>
      <w:bookmarkStart w:id="7420" w:name="_Toc229114509"/>
      <w:bookmarkStart w:id="7421" w:name="_Toc13313"/>
      <w:bookmarkStart w:id="7422" w:name="_Toc10373"/>
      <w:bookmarkStart w:id="7423" w:name="_Toc30143"/>
      <w:bookmarkStart w:id="7424" w:name="_Toc29559"/>
      <w:bookmarkStart w:id="7425" w:name="_Toc19478"/>
      <w:bookmarkStart w:id="7426" w:name="_Toc229225605"/>
      <w:r>
        <w:rPr>
          <w:rFonts w:ascii="Times New Roman" w:hAnsi="Times New Roman"/>
        </w:rPr>
        <w:t>一、获得奖励的条件</w:t>
      </w:r>
      <w:bookmarkEnd w:id="7416"/>
      <w:bookmarkEnd w:id="7417"/>
      <w:bookmarkEnd w:id="7418"/>
      <w:bookmarkEnd w:id="7419"/>
      <w:bookmarkEnd w:id="7420"/>
      <w:bookmarkEnd w:id="7421"/>
      <w:bookmarkEnd w:id="7422"/>
      <w:bookmarkEnd w:id="7423"/>
      <w:bookmarkEnd w:id="7424"/>
      <w:bookmarkEnd w:id="7425"/>
      <w:bookmarkEnd w:id="7426"/>
    </w:p>
    <w:p w:rsidR="00800760" w:rsidRDefault="00235733">
      <w:pPr>
        <w:spacing w:before="251" w:line="219" w:lineRule="auto"/>
        <w:ind w:firstLineChars="205" w:firstLine="418"/>
        <w:rPr>
          <w:rFonts w:cs="宋体"/>
        </w:rPr>
      </w:pPr>
      <w:r>
        <w:rPr>
          <w:rFonts w:cs="宋体"/>
          <w:spacing w:val="-3"/>
        </w:rPr>
        <w:t>发明人或设计人获得奖励应当符合以下条件：</w:t>
      </w:r>
    </w:p>
    <w:p w:rsidR="00800760" w:rsidRDefault="00235733">
      <w:pPr>
        <w:numPr>
          <w:ilvl w:val="255"/>
          <w:numId w:val="0"/>
        </w:numPr>
        <w:spacing w:before="120" w:line="321" w:lineRule="auto"/>
        <w:ind w:leftChars="200" w:left="420" w:right="20"/>
        <w:rPr>
          <w:rFonts w:cs="宋体"/>
          <w:spacing w:val="13"/>
        </w:rPr>
      </w:pPr>
      <w:r>
        <w:rPr>
          <w:rFonts w:cs="宋体" w:hint="eastAsia"/>
          <w:lang w:val="en-US"/>
        </w:rPr>
        <w:t xml:space="preserve">1. </w:t>
      </w:r>
      <w:r>
        <w:rPr>
          <w:rFonts w:cs="宋体"/>
        </w:rPr>
        <w:t>其完成或参与完成的发明创造属于职务发明创造，申请专利的权利归单位所有。</w:t>
      </w:r>
    </w:p>
    <w:p w:rsidR="00800760" w:rsidRDefault="00235733">
      <w:pPr>
        <w:ind w:firstLine="424"/>
        <w:jc w:val="both"/>
        <w:rPr>
          <w:rFonts w:cs="宋体"/>
          <w:spacing w:val="4"/>
        </w:rPr>
      </w:pPr>
      <w:r>
        <w:rPr>
          <w:rFonts w:cs="宋体"/>
          <w:spacing w:val="1"/>
        </w:rPr>
        <w:t xml:space="preserve">2. </w:t>
      </w:r>
      <w:r>
        <w:rPr>
          <w:rFonts w:cs="宋体"/>
          <w:spacing w:val="1"/>
        </w:rPr>
        <w:t>单位就该发明创造在中国获得了专利权。</w:t>
      </w:r>
    </w:p>
    <w:p w:rsidR="00800760" w:rsidRDefault="00235733">
      <w:pPr>
        <w:ind w:firstLine="436"/>
        <w:jc w:val="both"/>
        <w:rPr>
          <w:rFonts w:cs="宋体"/>
          <w:spacing w:val="4"/>
        </w:rPr>
      </w:pPr>
      <w:r>
        <w:rPr>
          <w:rFonts w:cs="宋体"/>
          <w:spacing w:val="4"/>
        </w:rPr>
        <w:t xml:space="preserve">3. </w:t>
      </w:r>
      <w:r>
        <w:rPr>
          <w:rFonts w:cs="宋体"/>
          <w:spacing w:val="4"/>
        </w:rPr>
        <w:t>被授予的专利权未被宣告无效。</w:t>
      </w:r>
    </w:p>
    <w:p w:rsidR="00800760" w:rsidRDefault="00235733">
      <w:pPr>
        <w:ind w:firstLine="436"/>
        <w:jc w:val="both"/>
        <w:rPr>
          <w:rFonts w:cs="宋体"/>
          <w:spacing w:val="4"/>
        </w:rPr>
      </w:pPr>
      <w:r>
        <w:rPr>
          <w:rFonts w:cs="宋体"/>
          <w:spacing w:val="4"/>
        </w:rPr>
        <w:t>利用本单位的物质技术条件所完成的发明创造，单位与发明人或设计人订有合同，约定申请专利的权利和专利权属于发明人或设计人，由发明人或设计人返还研发资金或者支付使用费的，发明人或设计人不属于职务发明人或设计人，无权获得奖励。</w:t>
      </w:r>
    </w:p>
    <w:p w:rsidR="00800760" w:rsidRDefault="00235733">
      <w:pPr>
        <w:ind w:firstLine="436"/>
        <w:jc w:val="both"/>
        <w:rPr>
          <w:rFonts w:cs="宋体"/>
          <w:spacing w:val="4"/>
        </w:rPr>
      </w:pPr>
      <w:r>
        <w:rPr>
          <w:rFonts w:cs="宋体"/>
          <w:spacing w:val="4"/>
        </w:rPr>
        <w:t>单位明确表示放弃有关职务发明创造的权益，由发明人或设计人申请并获得专利权的，发明人或设计人无权获得奖励。</w:t>
      </w:r>
    </w:p>
    <w:p w:rsidR="00800760" w:rsidRDefault="00235733">
      <w:pPr>
        <w:ind w:firstLine="436"/>
        <w:jc w:val="both"/>
        <w:rPr>
          <w:rFonts w:cs="宋体"/>
          <w:spacing w:val="4"/>
        </w:rPr>
      </w:pPr>
      <w:r>
        <w:rPr>
          <w:rFonts w:cs="宋体"/>
          <w:spacing w:val="4"/>
        </w:rPr>
        <w:t>被授予的专利权在单位支付奖励前被依法宣告无效的，单位不再负有支付奖励的义务。支付奖励后专利权被依法宣告无效的，职务发明人或设计人可以不予返还奖励。</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5-</w:t>
      </w:r>
      <w:r>
        <w:rPr>
          <w:rFonts w:ascii="Times New Roman" w:hAnsi="Times New Roman"/>
          <w:lang w:val="en-US"/>
        </w:rPr>
        <w:t>2-1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某案中，</w:t>
      </w:r>
      <w:r>
        <w:rPr>
          <w:rFonts w:eastAsia="楷体_GB2312" w:cs="MingLiU_HKSCS"/>
          <w:lang w:val="zh-CN"/>
        </w:rPr>
        <w:t>A</w:t>
      </w:r>
      <w:r>
        <w:rPr>
          <w:rFonts w:eastAsia="楷体_GB2312" w:cs="MingLiU_HKSCS"/>
          <w:lang w:val="zh-CN"/>
        </w:rPr>
        <w:t>公司委托</w:t>
      </w:r>
      <w:r>
        <w:rPr>
          <w:rFonts w:eastAsia="楷体_GB2312" w:cs="MingLiU_HKSCS"/>
          <w:lang w:val="zh-CN"/>
        </w:rPr>
        <w:t>B</w:t>
      </w:r>
      <w:r>
        <w:rPr>
          <w:rFonts w:eastAsia="楷体_GB2312" w:cs="MingLiU_HKSCS"/>
          <w:lang w:val="zh-CN"/>
        </w:rPr>
        <w:t>公司研究开发一个项目，委托合同约定：项目研发成果包括专利申请权归</w:t>
      </w:r>
      <w:r>
        <w:rPr>
          <w:rFonts w:eastAsia="楷体_GB2312" w:cs="MingLiU_HKSCS"/>
          <w:lang w:val="zh-CN"/>
        </w:rPr>
        <w:t>A</w:t>
      </w:r>
      <w:r>
        <w:rPr>
          <w:rFonts w:eastAsia="楷体_GB2312" w:cs="MingLiU_HKSCS"/>
          <w:lang w:val="zh-CN"/>
        </w:rPr>
        <w:t>公司所有。</w:t>
      </w:r>
      <w:r>
        <w:rPr>
          <w:rFonts w:eastAsia="楷体_GB2312" w:cs="MingLiU_HKSCS"/>
          <w:lang w:val="zh-CN"/>
        </w:rPr>
        <w:t>B</w:t>
      </w:r>
      <w:r>
        <w:rPr>
          <w:rFonts w:eastAsia="楷体_GB2312" w:cs="MingLiU_HKSCS"/>
          <w:lang w:val="zh-CN"/>
        </w:rPr>
        <w:t>公司安排其员工</w:t>
      </w:r>
      <w:r>
        <w:rPr>
          <w:rFonts w:eastAsia="楷体_GB2312" w:cs="MingLiU_HKSCS" w:hint="eastAsia"/>
          <w:lang w:val="zh-CN"/>
        </w:rPr>
        <w:t>甲</w:t>
      </w:r>
      <w:r>
        <w:rPr>
          <w:rFonts w:eastAsia="楷体_GB2312" w:cs="MingLiU_HKSCS"/>
          <w:lang w:val="zh-CN"/>
        </w:rPr>
        <w:t>研发该项目。研发成果移交</w:t>
      </w:r>
      <w:r>
        <w:rPr>
          <w:rFonts w:eastAsia="楷体_GB2312" w:cs="MingLiU_HKSCS"/>
          <w:lang w:val="zh-CN"/>
        </w:rPr>
        <w:t>A</w:t>
      </w:r>
      <w:r>
        <w:rPr>
          <w:rFonts w:eastAsia="楷体_GB2312" w:cs="MingLiU_HKSCS"/>
          <w:lang w:val="zh-CN"/>
        </w:rPr>
        <w:t>公司后，</w:t>
      </w:r>
      <w:r>
        <w:rPr>
          <w:rFonts w:eastAsia="楷体_GB2312" w:cs="MingLiU_HKSCS"/>
          <w:lang w:val="zh-CN"/>
        </w:rPr>
        <w:t>A</w:t>
      </w:r>
      <w:r>
        <w:rPr>
          <w:rFonts w:eastAsia="楷体_GB2312" w:cs="MingLiU_HKSCS"/>
          <w:lang w:val="zh-CN"/>
        </w:rPr>
        <w:t>公司就研发成果申请了发明专利并获得授权。后</w:t>
      </w:r>
      <w:r>
        <w:rPr>
          <w:rFonts w:eastAsia="楷体_GB2312" w:cs="MingLiU_HKSCS" w:hint="eastAsia"/>
          <w:lang w:val="zh-CN"/>
        </w:rPr>
        <w:t>甲</w:t>
      </w:r>
      <w:r>
        <w:rPr>
          <w:rFonts w:eastAsia="楷体_GB2312" w:cs="MingLiU_HKSCS"/>
          <w:lang w:val="zh-CN"/>
        </w:rPr>
        <w:t>辞职，向管理专利工作的部门提出职务发明奖励调解请求，将</w:t>
      </w:r>
      <w:r>
        <w:rPr>
          <w:rFonts w:eastAsia="楷体_GB2312" w:cs="MingLiU_HKSCS"/>
          <w:lang w:val="zh-CN"/>
        </w:rPr>
        <w:t>A</w:t>
      </w:r>
      <w:r>
        <w:rPr>
          <w:rFonts w:eastAsia="楷体_GB2312" w:cs="MingLiU_HKSCS"/>
          <w:lang w:val="zh-CN"/>
        </w:rPr>
        <w:t>公司和</w:t>
      </w:r>
      <w:r>
        <w:rPr>
          <w:rFonts w:eastAsia="楷体_GB2312" w:cs="MingLiU_HKSCS"/>
          <w:lang w:val="zh-CN"/>
        </w:rPr>
        <w:t>B</w:t>
      </w:r>
      <w:r>
        <w:rPr>
          <w:rFonts w:eastAsia="楷体_GB2312" w:cs="MingLiU_HKSCS"/>
          <w:lang w:val="zh-CN"/>
        </w:rPr>
        <w:t>公司列为被请求人，要求其支付奖励。</w:t>
      </w:r>
      <w:r>
        <w:rPr>
          <w:rFonts w:eastAsia="楷体_GB2312" w:cs="MingLiU_HKSCS"/>
          <w:lang w:val="zh-CN"/>
        </w:rPr>
        <w:t>A</w:t>
      </w:r>
      <w:r>
        <w:rPr>
          <w:rFonts w:eastAsia="楷体_GB2312" w:cs="MingLiU_HKSCS" w:hint="eastAsia"/>
          <w:lang w:val="zh-CN"/>
        </w:rPr>
        <w:t>公司主张，甲</w:t>
      </w:r>
      <w:r>
        <w:rPr>
          <w:rFonts w:eastAsia="楷体_GB2312" w:cs="MingLiU_HKSCS"/>
          <w:lang w:val="zh-CN"/>
        </w:rPr>
        <w:t>并非其单位员工，向其主张职务发明奖励没有法律依据。</w:t>
      </w:r>
      <w:r>
        <w:rPr>
          <w:rFonts w:eastAsia="楷体_GB2312" w:cs="MingLiU_HKSCS"/>
          <w:lang w:val="zh-CN"/>
        </w:rPr>
        <w:t>B</w:t>
      </w:r>
      <w:r>
        <w:rPr>
          <w:rFonts w:eastAsia="楷体_GB2312" w:cs="MingLiU_HKSCS"/>
          <w:lang w:val="zh-CN"/>
        </w:rPr>
        <w:t>公司主张，自己并非被授予专利权的专利权人，员工</w:t>
      </w:r>
      <w:r>
        <w:rPr>
          <w:rFonts w:eastAsia="楷体_GB2312" w:cs="MingLiU_HKSCS" w:hint="eastAsia"/>
          <w:lang w:val="zh-CN"/>
        </w:rPr>
        <w:t>甲</w:t>
      </w:r>
      <w:r>
        <w:rPr>
          <w:rFonts w:eastAsia="楷体_GB2312" w:cs="MingLiU_HKSCS"/>
          <w:lang w:val="zh-CN"/>
        </w:rPr>
        <w:t>无权向</w:t>
      </w:r>
      <w:r>
        <w:rPr>
          <w:rFonts w:eastAsia="楷体_GB2312" w:cs="MingLiU_HKSCS"/>
          <w:lang w:val="zh-CN"/>
        </w:rPr>
        <w:t>B</w:t>
      </w:r>
      <w:r>
        <w:rPr>
          <w:rFonts w:eastAsia="楷体_GB2312" w:cs="MingLiU_HKSCS"/>
          <w:lang w:val="zh-CN"/>
        </w:rPr>
        <w:t>公司主张职务发明奖励。</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根据《专利法》的规定，支付奖励的主体是被授予专利权的单位，有权获得奖励的主体是本单位作为职务发明人或设计人的员工。该案中，</w:t>
      </w:r>
      <w:r>
        <w:rPr>
          <w:rFonts w:eastAsia="楷体_GB2312" w:cs="MingLiU_HKSCS" w:hint="eastAsia"/>
          <w:lang w:val="zh-CN"/>
        </w:rPr>
        <w:t>甲</w:t>
      </w:r>
      <w:r>
        <w:rPr>
          <w:rFonts w:eastAsia="楷体_GB2312" w:cs="MingLiU_HKSCS"/>
          <w:lang w:val="zh-CN"/>
        </w:rPr>
        <w:t>与</w:t>
      </w:r>
      <w:r>
        <w:rPr>
          <w:rFonts w:eastAsia="楷体_GB2312" w:cs="MingLiU_HKSCS"/>
          <w:lang w:val="zh-CN"/>
        </w:rPr>
        <w:t>A</w:t>
      </w:r>
      <w:r>
        <w:rPr>
          <w:rFonts w:eastAsia="楷体_GB2312" w:cs="MingLiU_HKSCS"/>
          <w:lang w:val="zh-CN"/>
        </w:rPr>
        <w:t>公司之间不存在民事法律关系，与</w:t>
      </w:r>
      <w:r>
        <w:rPr>
          <w:rFonts w:eastAsia="楷体_GB2312" w:cs="MingLiU_HKSCS"/>
          <w:lang w:val="zh-CN"/>
        </w:rPr>
        <w:t>B</w:t>
      </w:r>
      <w:r>
        <w:rPr>
          <w:rFonts w:eastAsia="楷体_GB2312" w:cs="MingLiU_HKSCS"/>
          <w:lang w:val="zh-CN"/>
        </w:rPr>
        <w:t>公司存在劳动合同关系，因此，</w:t>
      </w:r>
      <w:r>
        <w:rPr>
          <w:rFonts w:eastAsia="楷体_GB2312" w:cs="MingLiU_HKSCS" w:hint="eastAsia"/>
          <w:lang w:val="zh-CN"/>
        </w:rPr>
        <w:t>甲</w:t>
      </w:r>
      <w:r>
        <w:rPr>
          <w:rFonts w:eastAsia="楷体_GB2312" w:cs="MingLiU_HKSCS"/>
          <w:lang w:val="zh-CN"/>
        </w:rPr>
        <w:t>只能向</w:t>
      </w:r>
      <w:r>
        <w:rPr>
          <w:rFonts w:eastAsia="楷体_GB2312" w:cs="MingLiU_HKSCS"/>
          <w:lang w:val="zh-CN"/>
        </w:rPr>
        <w:t>B</w:t>
      </w:r>
      <w:r>
        <w:rPr>
          <w:rFonts w:eastAsia="楷体_GB2312" w:cs="MingLiU_HKSCS"/>
          <w:lang w:val="zh-CN"/>
        </w:rPr>
        <w:t>公司主张支付奖励请求。但是，</w:t>
      </w:r>
      <w:r>
        <w:rPr>
          <w:rFonts w:eastAsia="楷体_GB2312" w:cs="MingLiU_HKSCS"/>
          <w:lang w:val="zh-CN"/>
        </w:rPr>
        <w:t>B</w:t>
      </w:r>
      <w:r>
        <w:rPr>
          <w:rFonts w:eastAsia="楷体_GB2312" w:cs="MingLiU_HKSCS"/>
          <w:lang w:val="zh-CN"/>
        </w:rPr>
        <w:t>公司并没有获得专利授权，其只是根据委托开发合同完成了研发项目。对此，有人认为，专利被授权后，受托方因不享有专利权而不涉及职务发明创造奖励和报酬支付；委托方虽享有专利权，但发明人、设计人不是委托方的职工，故亦不涉及职务发明创造奖励和报酬支付。这种处理方式不利于维护职务发明人和设计人的合法权益，不利于激励职务发明人和设计人的创新积极性，有悖于《专利法》第十</w:t>
      </w:r>
      <w:r>
        <w:rPr>
          <w:rFonts w:eastAsia="楷体_GB2312" w:cs="MingLiU_HKSCS" w:hint="eastAsia"/>
          <w:lang w:val="zh-CN"/>
        </w:rPr>
        <w:t>五</w:t>
      </w:r>
      <w:r>
        <w:rPr>
          <w:rFonts w:eastAsia="楷体_GB2312" w:cs="MingLiU_HKSCS"/>
          <w:lang w:val="zh-CN"/>
        </w:rPr>
        <w:t>条的立法精神。对于这种情形，合理的解释是，由于《专利法》没有明确规定职务发明人或设计人的奖励和报酬应当如何支付，因此在处理这种纠纷时，有必要寻求其他的法律依据。例如，当时《合同法》第三百二十六条中规定，职务技术成果的使用权、转让权属于法人或者其他组织的，法人或者其他组织应当从使用和转让该项职务技术成果所取得的收益中提取一定比例，对完成该项职务技术成果的个人给予奖励或者报酬。该案中，职务发明创造归属于</w:t>
      </w:r>
      <w:r>
        <w:rPr>
          <w:rFonts w:eastAsia="楷体_GB2312" w:cs="MingLiU_HKSCS"/>
          <w:lang w:val="zh-CN"/>
        </w:rPr>
        <w:t>B</w:t>
      </w:r>
      <w:r>
        <w:rPr>
          <w:rFonts w:eastAsia="楷体_GB2312" w:cs="MingLiU_HKSCS"/>
          <w:lang w:val="zh-CN"/>
        </w:rPr>
        <w:t>公司所有，并由</w:t>
      </w:r>
      <w:r>
        <w:rPr>
          <w:rFonts w:eastAsia="楷体_GB2312" w:cs="MingLiU_HKSCS"/>
          <w:lang w:val="zh-CN"/>
        </w:rPr>
        <w:t>B</w:t>
      </w:r>
      <w:r>
        <w:rPr>
          <w:rFonts w:eastAsia="楷体_GB2312" w:cs="MingLiU_HKSCS"/>
          <w:lang w:val="zh-CN"/>
        </w:rPr>
        <w:t>公司根据合同约定转让给</w:t>
      </w:r>
      <w:r>
        <w:rPr>
          <w:rFonts w:eastAsia="楷体_GB2312" w:cs="MingLiU_HKSCS"/>
          <w:lang w:val="zh-CN"/>
        </w:rPr>
        <w:t>A</w:t>
      </w:r>
      <w:r>
        <w:rPr>
          <w:rFonts w:eastAsia="楷体_GB2312" w:cs="MingLiU_HKSCS"/>
          <w:lang w:val="zh-CN"/>
        </w:rPr>
        <w:t>公司。</w:t>
      </w:r>
      <w:r>
        <w:rPr>
          <w:rFonts w:eastAsia="楷体_GB2312" w:cs="MingLiU_HKSCS"/>
          <w:lang w:val="zh-CN"/>
        </w:rPr>
        <w:t>B</w:t>
      </w:r>
      <w:r>
        <w:rPr>
          <w:rFonts w:eastAsia="楷体_GB2312" w:cs="MingLiU_HKSCS"/>
          <w:lang w:val="zh-CN"/>
        </w:rPr>
        <w:t>公司因为该项技术成果的转让获得了收益，应当从收益中提取一定比例作为职务发明人或设计人的奖励。</w:t>
      </w:r>
    </w:p>
    <w:p w:rsidR="00800760" w:rsidRDefault="00235733">
      <w:pPr>
        <w:pStyle w:val="3"/>
        <w:spacing w:before="240"/>
        <w:ind w:firstLine="444"/>
        <w:rPr>
          <w:rFonts w:ascii="Times New Roman" w:hAnsi="Times New Roman"/>
        </w:rPr>
      </w:pPr>
      <w:bookmarkStart w:id="7427" w:name="_Toc13939"/>
      <w:bookmarkStart w:id="7428" w:name="_Toc17035"/>
      <w:bookmarkStart w:id="7429" w:name="_Toc27630"/>
      <w:bookmarkStart w:id="7430" w:name="_Toc2598"/>
      <w:bookmarkStart w:id="7431" w:name="_Toc26888"/>
      <w:bookmarkStart w:id="7432" w:name="_Toc28969"/>
      <w:bookmarkStart w:id="7433" w:name="_Toc988"/>
      <w:bookmarkStart w:id="7434" w:name="_Toc29827"/>
      <w:bookmarkStart w:id="7435" w:name="_Toc10111"/>
      <w:bookmarkStart w:id="7436" w:name="_Toc18052"/>
      <w:bookmarkStart w:id="7437" w:name="_Toc20966"/>
      <w:bookmarkStart w:id="7438" w:name="_Toc7845"/>
      <w:bookmarkStart w:id="7439" w:name="_Toc21331"/>
      <w:bookmarkStart w:id="7440" w:name="_Toc3331"/>
      <w:bookmarkStart w:id="7441" w:name="_Toc16944"/>
      <w:bookmarkStart w:id="7442" w:name="_Toc3129"/>
      <w:bookmarkStart w:id="7443" w:name="_Toc30634"/>
      <w:bookmarkStart w:id="7444" w:name="_Toc3775"/>
      <w:bookmarkStart w:id="7445" w:name="_Toc21549"/>
      <w:bookmarkStart w:id="7446" w:name="_Toc1645"/>
      <w:bookmarkStart w:id="7447" w:name="_Toc28228"/>
      <w:bookmarkStart w:id="7448" w:name="_Toc692"/>
      <w:bookmarkStart w:id="7449" w:name="_Toc5685"/>
      <w:bookmarkStart w:id="7450" w:name="_Toc14062"/>
      <w:bookmarkStart w:id="7451" w:name="_Toc26997"/>
      <w:bookmarkStart w:id="7452" w:name="_Toc13647"/>
      <w:bookmarkStart w:id="7453" w:name="_Toc8099"/>
      <w:bookmarkStart w:id="7454" w:name="_Toc23085"/>
      <w:bookmarkStart w:id="7455" w:name="_Toc4305"/>
      <w:bookmarkStart w:id="7456" w:name="_Toc11195"/>
      <w:bookmarkStart w:id="7457" w:name="_Toc12614"/>
      <w:bookmarkStart w:id="7458" w:name="_Toc7645"/>
      <w:bookmarkStart w:id="7459" w:name="_Toc22735"/>
      <w:bookmarkStart w:id="7460" w:name="_Toc6357"/>
      <w:bookmarkStart w:id="7461" w:name="_Toc30980"/>
      <w:bookmarkStart w:id="7462" w:name="_Toc229114510"/>
      <w:bookmarkStart w:id="7463" w:name="_Toc4709"/>
      <w:bookmarkStart w:id="7464" w:name="_Toc26056"/>
      <w:bookmarkStart w:id="7465" w:name="_Toc31948"/>
      <w:bookmarkStart w:id="7466" w:name="_Toc10357"/>
      <w:bookmarkStart w:id="7467" w:name="_Toc26129"/>
      <w:bookmarkStart w:id="7468" w:name="_Toc10055"/>
      <w:bookmarkStart w:id="7469" w:name="_Toc8133"/>
      <w:bookmarkStart w:id="7470" w:name="_Toc229225606"/>
      <w:r>
        <w:rPr>
          <w:rFonts w:ascii="Times New Roman" w:hAnsi="Times New Roman"/>
        </w:rPr>
        <w:t>二、奖励的方式和数额</w:t>
      </w:r>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一</w:t>
      </w:r>
      <w:r>
        <w:rPr>
          <w:rFonts w:ascii="Times New Roman" w:hAnsi="Times New Roman"/>
        </w:rPr>
        <w:t>)</w:t>
      </w:r>
      <w:r>
        <w:rPr>
          <w:rFonts w:ascii="Times New Roman" w:hAnsi="Times New Roman"/>
        </w:rPr>
        <w:t>约定标准</w:t>
      </w:r>
    </w:p>
    <w:p w:rsidR="00800760" w:rsidRDefault="00235733">
      <w:pPr>
        <w:ind w:firstLine="436"/>
        <w:jc w:val="both"/>
        <w:rPr>
          <w:rFonts w:cs="宋体"/>
          <w:spacing w:val="4"/>
        </w:rPr>
      </w:pPr>
      <w:r>
        <w:rPr>
          <w:rFonts w:cs="宋体"/>
          <w:spacing w:val="4"/>
        </w:rPr>
        <w:t>发明人或设计人获得奖励的具体方式和数额可以由发明人或设计人与所在单位通过合同或其他适当的形式约定，如在单位制定的各项规章制度中有所规定。有约定的，奖励的具体方式和数额根据约定来确定。约定的数额应当合理。</w:t>
      </w:r>
    </w:p>
    <w:p w:rsidR="00800760" w:rsidRDefault="00235733">
      <w:pPr>
        <w:ind w:firstLine="436"/>
        <w:jc w:val="both"/>
        <w:rPr>
          <w:rFonts w:cs="宋体"/>
          <w:spacing w:val="4"/>
        </w:rPr>
      </w:pPr>
      <w:r>
        <w:rPr>
          <w:rFonts w:cs="宋体"/>
          <w:spacing w:val="4"/>
        </w:rPr>
        <w:t>如果发明创造的完成归功于发明人或设计人提出的建议，所在单位采纳该建议后才得以完成该发明的，所在单位应当从优给予奖励。这种建议应当对发明、实用新型专利技术方案的实质性内容带来了创造性贡献，或者给外观设计带来了明显区别于现有设计的美感，尤其是带来了独特的视觉效果，对完成发明创造具有积极意义或作用。从优发给奖金是指比约定标准要高，具体可以由单位根据所述发明创造对单位生产经营的影响、单位的经济情况等因素决定。</w:t>
      </w:r>
    </w:p>
    <w:p w:rsidR="00800760" w:rsidRDefault="00235733">
      <w:pPr>
        <w:pStyle w:val="4"/>
        <w:spacing w:before="240"/>
        <w:ind w:firstLineChars="0" w:firstLine="356"/>
        <w:rPr>
          <w:rFonts w:ascii="Times New Roman" w:eastAsia="楷体" w:hAnsi="Times New Roman" w:cs="楷体"/>
        </w:rPr>
      </w:pPr>
      <w:r>
        <w:rPr>
          <w:rFonts w:ascii="Times New Roman" w:eastAsia="楷体" w:hAnsi="Times New Roman" w:cs="楷体"/>
          <w:spacing w:val="-16"/>
        </w:rPr>
        <w:t>(</w:t>
      </w:r>
      <w:r>
        <w:rPr>
          <w:rFonts w:ascii="Times New Roman" w:hAnsi="Times New Roman" w:cs="黑体"/>
          <w:spacing w:val="-16"/>
        </w:rPr>
        <w:t>二</w:t>
      </w:r>
      <w:r>
        <w:rPr>
          <w:rFonts w:ascii="Times New Roman" w:hAnsi="Times New Roman" w:cs="黑体"/>
          <w:spacing w:val="-16"/>
        </w:rPr>
        <w:t>)</w:t>
      </w:r>
      <w:r>
        <w:rPr>
          <w:rFonts w:ascii="Times New Roman" w:hAnsi="Times New Roman" w:cs="黑体"/>
          <w:spacing w:val="-1"/>
        </w:rPr>
        <w:t>法定标准</w:t>
      </w:r>
    </w:p>
    <w:p w:rsidR="00800760" w:rsidRDefault="00235733">
      <w:pPr>
        <w:ind w:firstLine="436"/>
        <w:jc w:val="both"/>
        <w:rPr>
          <w:rFonts w:cs="宋体"/>
          <w:spacing w:val="4"/>
        </w:rPr>
      </w:pPr>
      <w:r>
        <w:rPr>
          <w:rFonts w:cs="宋体"/>
          <w:spacing w:val="4"/>
        </w:rPr>
        <w:t>被授予专利权的单位未与发明人或设计人约定奖励的具体数额和方式的，应当按照法定方式和标准对发明人或设计人进行奖励。根据《专利法实施细则》第</w:t>
      </w:r>
      <w:r>
        <w:rPr>
          <w:rFonts w:cs="宋体" w:hint="eastAsia"/>
          <w:spacing w:val="4"/>
        </w:rPr>
        <w:t>九十三</w:t>
      </w:r>
      <w:r>
        <w:rPr>
          <w:rFonts w:cs="宋体"/>
          <w:spacing w:val="4"/>
        </w:rPr>
        <w:t>条的规定，法定方式为奖金，一项发明专利的奖金最低不少于</w:t>
      </w:r>
      <w:r>
        <w:rPr>
          <w:rFonts w:cs="宋体"/>
          <w:spacing w:val="4"/>
        </w:rPr>
        <w:t>4000</w:t>
      </w:r>
      <w:r>
        <w:rPr>
          <w:rFonts w:cs="宋体"/>
          <w:spacing w:val="4"/>
        </w:rPr>
        <w:t>元，一项实用新型专利或者外观设计专利的奖金最低不少于</w:t>
      </w:r>
      <w:r>
        <w:rPr>
          <w:rFonts w:cs="宋体"/>
          <w:spacing w:val="4"/>
        </w:rPr>
        <w:t>1500</w:t>
      </w:r>
      <w:r>
        <w:rPr>
          <w:rFonts w:cs="宋体"/>
          <w:spacing w:val="4"/>
        </w:rPr>
        <w:t>元。</w:t>
      </w:r>
    </w:p>
    <w:p w:rsidR="00800760" w:rsidRDefault="00235733">
      <w:pPr>
        <w:ind w:firstLine="436"/>
        <w:jc w:val="both"/>
        <w:rPr>
          <w:rFonts w:cs="宋体"/>
          <w:spacing w:val="4"/>
        </w:rPr>
      </w:pPr>
      <w:r>
        <w:rPr>
          <w:rFonts w:cs="宋体"/>
          <w:spacing w:val="4"/>
        </w:rPr>
        <w:t>在适用法定标准时，如果发明创造的完成主要源于发明人或设计人提出的建议，而该建议的采纳又被认为对发明创造的实质性内容作出了创造性贡献，则发给该发明人或设计人的奖金应适当高于上述法定标准。</w:t>
      </w:r>
    </w:p>
    <w:p w:rsidR="00800760" w:rsidRDefault="00235733">
      <w:pPr>
        <w:pStyle w:val="af6"/>
        <w:spacing w:before="120"/>
        <w:ind w:firstLine="420"/>
      </w:pPr>
      <w:r>
        <w:rPr>
          <w:rFonts w:hint="eastAsia"/>
        </w:rPr>
        <w:t>【案例</w:t>
      </w:r>
      <w:r>
        <w:t>5-2-2</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2011</w:t>
      </w:r>
      <w:r>
        <w:rPr>
          <w:rFonts w:eastAsia="楷体_GB2312" w:cs="MingLiU_HKSCS"/>
          <w:lang w:val="zh-CN"/>
        </w:rPr>
        <w:t>年底，</w:t>
      </w:r>
      <w:r>
        <w:rPr>
          <w:rFonts w:eastAsia="楷体_GB2312" w:cs="MingLiU_HKSCS" w:hint="eastAsia"/>
          <w:lang w:val="zh-CN"/>
        </w:rPr>
        <w:t>甲</w:t>
      </w:r>
      <w:r>
        <w:rPr>
          <w:rFonts w:eastAsia="楷体_GB2312" w:cs="MingLiU_HKSCS"/>
          <w:lang w:val="zh-CN"/>
        </w:rPr>
        <w:t>进入某汽车公司工作，与汽车公司签订的劳动合同书未约定职务发明奖励和报酬事项。</w:t>
      </w:r>
      <w:r>
        <w:rPr>
          <w:rFonts w:eastAsia="楷体_GB2312" w:cs="MingLiU_HKSCS"/>
          <w:lang w:val="zh-CN"/>
        </w:rPr>
        <w:t>2012</w:t>
      </w:r>
      <w:r>
        <w:rPr>
          <w:rFonts w:eastAsia="楷体_GB2312" w:cs="MingLiU_HKSCS"/>
          <w:lang w:val="zh-CN"/>
        </w:rPr>
        <w:t>年底，汽车公司任命</w:t>
      </w:r>
      <w:r>
        <w:rPr>
          <w:rFonts w:eastAsia="楷体_GB2312" w:cs="MingLiU_HKSCS" w:hint="eastAsia"/>
          <w:lang w:val="zh-CN"/>
        </w:rPr>
        <w:t>甲</w:t>
      </w:r>
      <w:r>
        <w:rPr>
          <w:rFonts w:eastAsia="楷体_GB2312" w:cs="MingLiU_HKSCS"/>
          <w:lang w:val="zh-CN"/>
        </w:rPr>
        <w:t>为技术部部长。</w:t>
      </w:r>
      <w:r>
        <w:rPr>
          <w:rFonts w:eastAsia="楷体_GB2312" w:cs="MingLiU_HKSCS"/>
          <w:lang w:val="zh-CN"/>
        </w:rPr>
        <w:t>2013</w:t>
      </w:r>
      <w:r>
        <w:rPr>
          <w:rFonts w:eastAsia="楷体_GB2312" w:cs="MingLiU_HKSCS"/>
          <w:lang w:val="zh-CN"/>
        </w:rPr>
        <w:t>年至</w:t>
      </w:r>
      <w:r>
        <w:rPr>
          <w:rFonts w:eastAsia="楷体_GB2312" w:cs="MingLiU_HKSCS"/>
          <w:lang w:val="zh-CN"/>
        </w:rPr>
        <w:t>2015</w:t>
      </w:r>
      <w:r>
        <w:rPr>
          <w:rFonts w:eastAsia="楷体_GB2312" w:cs="MingLiU_HKSCS"/>
          <w:lang w:val="zh-CN"/>
        </w:rPr>
        <w:t>年期间，汽车公司向国家知识产权局申请了一系列专利。上述专利文件均记载：发明人</w:t>
      </w:r>
      <w:r>
        <w:rPr>
          <w:rFonts w:eastAsia="楷体_GB2312" w:cs="MingLiU_HKSCS" w:hint="eastAsia"/>
          <w:lang w:val="zh-CN"/>
        </w:rPr>
        <w:t>甲</w:t>
      </w:r>
      <w:r>
        <w:rPr>
          <w:rFonts w:eastAsia="楷体_GB2312" w:cs="MingLiU_HKSCS"/>
          <w:lang w:val="zh-CN"/>
        </w:rPr>
        <w:t>，专利权人汽车公司。</w:t>
      </w:r>
      <w:r>
        <w:rPr>
          <w:rFonts w:eastAsia="楷体_GB2312" w:cs="MingLiU_HKSCS" w:hint="eastAsia"/>
          <w:lang w:val="zh-CN"/>
        </w:rPr>
        <w:t>甲</w:t>
      </w:r>
      <w:r>
        <w:rPr>
          <w:rFonts w:eastAsia="楷体_GB2312" w:cs="MingLiU_HKSCS"/>
          <w:lang w:val="zh-CN"/>
        </w:rPr>
        <w:t>2016</w:t>
      </w:r>
      <w:r>
        <w:rPr>
          <w:rFonts w:eastAsia="楷体_GB2312" w:cs="MingLiU_HKSCS"/>
          <w:lang w:val="zh-CN"/>
        </w:rPr>
        <w:t>年向汽车公司要求支付其涉案专利的奖励和报酬。汽车公司提交证据认为部分专利来源于对外委托设计成果。</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rsidP="00144708">
      <w:pPr>
        <w:spacing w:line="360" w:lineRule="auto"/>
      </w:pPr>
      <w:r>
        <w:rPr>
          <w:rFonts w:eastAsia="楷体_GB2312" w:cs="MingLiU_HKSCS" w:hint="eastAsia"/>
          <w:lang w:val="zh-CN"/>
        </w:rPr>
        <w:t>甲</w:t>
      </w:r>
      <w:r>
        <w:rPr>
          <w:rFonts w:eastAsia="楷体_GB2312" w:cs="MingLiU_HKSCS"/>
          <w:lang w:val="zh-CN"/>
        </w:rPr>
        <w:t>系涉案专利的发明人或设计人，且在专利申请期间，</w:t>
      </w:r>
      <w:r>
        <w:rPr>
          <w:rFonts w:eastAsia="楷体_GB2312" w:cs="MingLiU_HKSCS" w:hint="eastAsia"/>
          <w:lang w:val="zh-CN"/>
        </w:rPr>
        <w:t>甲</w:t>
      </w:r>
      <w:r>
        <w:rPr>
          <w:rFonts w:eastAsia="楷体_GB2312" w:cs="MingLiU_HKSCS"/>
          <w:lang w:val="zh-CN"/>
        </w:rPr>
        <w:t>系汽车公司的</w:t>
      </w:r>
      <w:bookmarkStart w:id="7471" w:name="bookmark203"/>
      <w:bookmarkEnd w:id="7471"/>
      <w:r>
        <w:rPr>
          <w:rFonts w:eastAsia="楷体_GB2312" w:cs="MingLiU_HKSCS"/>
          <w:lang w:val="zh-CN"/>
        </w:rPr>
        <w:t>技术部长，其有权依据法律规定或约定主张职务发明创造的奖励及报酬。虽然汽车公司提交的证据表明部分专利可能来源于对外委托设计的成果，但涉案专利均系汽车公司作为专利申请人申请，在专利申请期间</w:t>
      </w:r>
      <w:r>
        <w:rPr>
          <w:rFonts w:eastAsia="楷体_GB2312" w:cs="MingLiU_HKSCS" w:hint="eastAsia"/>
          <w:lang w:val="zh-CN"/>
        </w:rPr>
        <w:t>甲</w:t>
      </w:r>
      <w:r>
        <w:rPr>
          <w:rFonts w:eastAsia="楷体_GB2312" w:cs="MingLiU_HKSCS"/>
          <w:lang w:val="zh-CN"/>
        </w:rPr>
        <w:t>担任其公司的技术部长，参与项目的部分研发过程。虽然</w:t>
      </w:r>
      <w:r>
        <w:rPr>
          <w:rFonts w:eastAsia="楷体_GB2312" w:cs="MingLiU_HKSCS" w:hint="eastAsia"/>
          <w:lang w:val="zh-CN"/>
        </w:rPr>
        <w:t>甲</w:t>
      </w:r>
      <w:r>
        <w:rPr>
          <w:rFonts w:eastAsia="楷体_GB2312" w:cs="MingLiU_HKSCS"/>
          <w:lang w:val="zh-CN"/>
        </w:rPr>
        <w:t>可能并未参与相关专利发明研发的全过程，但将</w:t>
      </w:r>
      <w:r>
        <w:rPr>
          <w:rFonts w:eastAsia="楷体_GB2312" w:cs="MingLiU_HKSCS" w:hint="eastAsia"/>
          <w:lang w:val="zh-CN"/>
        </w:rPr>
        <w:t>甲</w:t>
      </w:r>
      <w:r>
        <w:rPr>
          <w:rFonts w:eastAsia="楷体_GB2312" w:cs="MingLiU_HKSCS"/>
          <w:lang w:val="zh-CN"/>
        </w:rPr>
        <w:t>作为发明人或设计人进行专利申请是汽车公司对自身权利处分的结果；国家知识产权局的专利权利证书具有公示公信的效力。在汽车公司未提供证据证明其进行专利申请</w:t>
      </w:r>
      <w:r>
        <w:rPr>
          <w:rFonts w:eastAsia="楷体_GB2312" w:cs="MingLiU_HKSCS" w:hint="eastAsia"/>
          <w:lang w:val="zh-CN"/>
        </w:rPr>
        <w:t>时著录项目“发明人”栏填写</w:t>
      </w:r>
      <w:r>
        <w:rPr>
          <w:rFonts w:eastAsia="楷体_GB2312" w:cs="MingLiU_HKSCS"/>
          <w:lang w:val="zh-CN"/>
        </w:rPr>
        <w:t>有误或者</w:t>
      </w:r>
      <w:r>
        <w:rPr>
          <w:rFonts w:eastAsia="楷体_GB2312" w:cs="MingLiU_HKSCS" w:hint="eastAsia"/>
          <w:lang w:val="zh-CN"/>
        </w:rPr>
        <w:t>甲</w:t>
      </w:r>
      <w:r>
        <w:rPr>
          <w:rFonts w:eastAsia="楷体_GB2312" w:cs="MingLiU_HKSCS"/>
          <w:lang w:val="zh-CN"/>
        </w:rPr>
        <w:t>未</w:t>
      </w:r>
      <w:r>
        <w:rPr>
          <w:rFonts w:eastAsia="楷体_GB2312" w:cs="MingLiU_HKSCS" w:hint="eastAsia"/>
          <w:lang w:val="zh-CN"/>
        </w:rPr>
        <w:t>对发明创造的实质性特点做出创造性贡献</w:t>
      </w:r>
      <w:r>
        <w:rPr>
          <w:rFonts w:eastAsia="楷体_GB2312" w:cs="MingLiU_HKSCS"/>
          <w:lang w:val="zh-CN"/>
        </w:rPr>
        <w:t>的情况下，应以专利权利证书登记的发明人或设计人为准。该汽车公司应当根据《专利法》第十</w:t>
      </w:r>
      <w:r>
        <w:rPr>
          <w:rFonts w:eastAsia="楷体_GB2312" w:cs="MingLiU_HKSCS" w:hint="eastAsia"/>
          <w:lang w:val="zh-CN"/>
        </w:rPr>
        <w:t>五</w:t>
      </w:r>
      <w:r>
        <w:rPr>
          <w:rFonts w:eastAsia="楷体_GB2312" w:cs="MingLiU_HKSCS"/>
          <w:lang w:val="zh-CN"/>
        </w:rPr>
        <w:t>条以及《专利法实施细则》的相关规定，发给</w:t>
      </w:r>
      <w:r>
        <w:rPr>
          <w:rFonts w:eastAsia="楷体_GB2312" w:cs="MingLiU_HKSCS" w:hint="eastAsia"/>
          <w:lang w:val="zh-CN"/>
        </w:rPr>
        <w:t>甲</w:t>
      </w:r>
      <w:r>
        <w:rPr>
          <w:rFonts w:eastAsia="楷体_GB2312" w:cs="MingLiU_HKSCS"/>
          <w:lang w:val="zh-CN"/>
        </w:rPr>
        <w:t>发明人或设计人奖金。</w:t>
      </w:r>
    </w:p>
    <w:p w:rsidR="00800760" w:rsidRDefault="00235733">
      <w:pPr>
        <w:pStyle w:val="2"/>
        <w:spacing w:before="91"/>
        <w:ind w:firstLineChars="0" w:firstLine="0"/>
        <w:rPr>
          <w:rFonts w:ascii="Times New Roman" w:hAnsi="Times New Roman"/>
        </w:rPr>
      </w:pPr>
      <w:bookmarkStart w:id="7472" w:name="_Toc28848"/>
      <w:bookmarkStart w:id="7473" w:name="_Toc24971"/>
      <w:bookmarkStart w:id="7474" w:name="_Toc9173"/>
      <w:bookmarkStart w:id="7475" w:name="_Toc22554"/>
      <w:bookmarkStart w:id="7476" w:name="_Toc8774"/>
      <w:bookmarkStart w:id="7477" w:name="_Toc5001"/>
      <w:bookmarkStart w:id="7478" w:name="_Toc2127"/>
      <w:bookmarkStart w:id="7479" w:name="_Toc15007"/>
      <w:bookmarkStart w:id="7480" w:name="_Toc31031"/>
      <w:bookmarkStart w:id="7481" w:name="_Toc9866"/>
      <w:bookmarkStart w:id="7482" w:name="_Toc2847"/>
      <w:bookmarkStart w:id="7483" w:name="_Toc8842"/>
      <w:bookmarkStart w:id="7484" w:name="_Toc25883"/>
      <w:bookmarkStart w:id="7485" w:name="_Toc332"/>
      <w:bookmarkStart w:id="7486" w:name="_Toc19163"/>
      <w:bookmarkStart w:id="7487" w:name="_Toc25802"/>
      <w:bookmarkStart w:id="7488" w:name="_Toc15223"/>
      <w:bookmarkStart w:id="7489" w:name="_Toc20896"/>
      <w:bookmarkStart w:id="7490" w:name="_Toc16669"/>
      <w:bookmarkStart w:id="7491" w:name="_Toc18732"/>
      <w:bookmarkStart w:id="7492" w:name="_Toc19487"/>
      <w:bookmarkStart w:id="7493" w:name="_Toc28614"/>
      <w:bookmarkStart w:id="7494" w:name="_Toc1978"/>
      <w:bookmarkStart w:id="7495" w:name="_Toc15959"/>
      <w:bookmarkStart w:id="7496" w:name="_Toc4552"/>
      <w:bookmarkStart w:id="7497" w:name="_Toc27179"/>
      <w:bookmarkStart w:id="7498" w:name="_Toc20264"/>
      <w:bookmarkStart w:id="7499" w:name="_Toc3327"/>
      <w:bookmarkStart w:id="7500" w:name="_Toc30944"/>
      <w:bookmarkStart w:id="7501" w:name="_Toc32222"/>
      <w:bookmarkStart w:id="7502" w:name="_Toc14967"/>
      <w:bookmarkStart w:id="7503" w:name="_Toc24513"/>
      <w:bookmarkStart w:id="7504" w:name="_Toc28196"/>
      <w:bookmarkStart w:id="7505" w:name="_Toc12696"/>
      <w:bookmarkStart w:id="7506" w:name="_Toc23031"/>
      <w:bookmarkStart w:id="7507" w:name="_Toc13750"/>
      <w:bookmarkStart w:id="7508" w:name="_Toc18125"/>
      <w:bookmarkStart w:id="7509" w:name="_Toc22583"/>
      <w:bookmarkStart w:id="7510" w:name="_Toc2811"/>
      <w:bookmarkStart w:id="7511" w:name="_Toc229114511"/>
      <w:bookmarkStart w:id="7512" w:name="_Toc3061"/>
      <w:bookmarkStart w:id="7513" w:name="_Toc29772"/>
      <w:bookmarkStart w:id="7514" w:name="_Toc8966"/>
      <w:bookmarkStart w:id="7515" w:name="_Toc229225607"/>
      <w:r>
        <w:rPr>
          <w:rFonts w:ascii="Times New Roman" w:hAnsi="Times New Roman"/>
        </w:rPr>
        <w:t>第三节</w:t>
      </w:r>
      <w:r>
        <w:rPr>
          <w:rFonts w:ascii="Times New Roman" w:hAnsi="Times New Roman" w:hint="eastAsia"/>
        </w:rPr>
        <w:t xml:space="preserve">　</w:t>
      </w:r>
      <w:r>
        <w:rPr>
          <w:rFonts w:ascii="Times New Roman" w:hAnsi="Times New Roman"/>
        </w:rPr>
        <w:t>报酬纠纷的行政调解</w:t>
      </w:r>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p>
    <w:p w:rsidR="00800760" w:rsidRDefault="00235733">
      <w:pPr>
        <w:ind w:firstLine="436"/>
        <w:jc w:val="both"/>
        <w:rPr>
          <w:rFonts w:cs="宋体"/>
          <w:spacing w:val="4"/>
        </w:rPr>
      </w:pPr>
      <w:r>
        <w:rPr>
          <w:rFonts w:cs="宋体"/>
          <w:spacing w:val="4"/>
        </w:rPr>
        <w:t>单位、发明人或设计人就职务发明创造报酬纠纷向管理专利工作的部门提出调解请求的，管理专利工作的部门应当审查发明人或设计人是否满足应当给予报酬的条件。满足条件的，管理专利工作的部门应当审查发明人或设计人与单位是否就职务发明创造报酬存在约定。如果双方有约定，根据约定确定支付报酬的数额与方式；如果没有约定，根据法定标准确定支付报酬的数额与方式。</w:t>
      </w:r>
    </w:p>
    <w:p w:rsidR="00800760" w:rsidRDefault="00235733">
      <w:pPr>
        <w:ind w:firstLine="436"/>
        <w:jc w:val="both"/>
        <w:rPr>
          <w:rFonts w:cs="宋体"/>
          <w:spacing w:val="4"/>
        </w:rPr>
      </w:pPr>
      <w:r>
        <w:rPr>
          <w:rFonts w:cs="宋体"/>
          <w:spacing w:val="4"/>
        </w:rPr>
        <w:t>除与职务发明人或设计人另有约定的以外，单位许可他人实施或者转让专利的，应当在许可费、转让费到账后</w:t>
      </w:r>
      <w:r>
        <w:rPr>
          <w:rFonts w:cs="宋体"/>
          <w:spacing w:val="4"/>
        </w:rPr>
        <w:t>3</w:t>
      </w:r>
      <w:r>
        <w:rPr>
          <w:rFonts w:cs="宋体"/>
          <w:spacing w:val="4"/>
        </w:rPr>
        <w:t>个月内支付报酬；单位自行实施专利且以现金形式逐年支付报酬的，应当在每个会计年度结束后</w:t>
      </w:r>
      <w:r>
        <w:rPr>
          <w:rFonts w:cs="宋体"/>
          <w:spacing w:val="4"/>
        </w:rPr>
        <w:t>3</w:t>
      </w:r>
      <w:r>
        <w:rPr>
          <w:rFonts w:cs="宋体"/>
          <w:spacing w:val="4"/>
        </w:rPr>
        <w:t>个月内支付报酬。以股权形式支付报酬的，应当按法律、法规和单位规章制度的规定予以分红。单位应当在自行实施专利权之日或者许可合同、转让合同生效之日起的合理期限内，将自行实施、许可他人实施或者转让专利权等有关情况通报给相关的职务发明人或设计人。</w:t>
      </w:r>
    </w:p>
    <w:p w:rsidR="00800760" w:rsidRDefault="00235733">
      <w:pPr>
        <w:pStyle w:val="3"/>
        <w:spacing w:before="240"/>
        <w:ind w:firstLine="444"/>
        <w:rPr>
          <w:rFonts w:ascii="Times New Roman" w:hAnsi="Times New Roman"/>
        </w:rPr>
      </w:pPr>
      <w:bookmarkStart w:id="7516" w:name="_Toc32436"/>
      <w:bookmarkStart w:id="7517" w:name="_Toc27007"/>
      <w:bookmarkStart w:id="7518" w:name="_Toc13523"/>
      <w:bookmarkStart w:id="7519" w:name="_Toc31149"/>
      <w:bookmarkStart w:id="7520" w:name="_Toc12355"/>
      <w:bookmarkStart w:id="7521" w:name="_Toc24016"/>
      <w:bookmarkStart w:id="7522" w:name="_Toc27932"/>
      <w:bookmarkStart w:id="7523" w:name="_Toc9630"/>
      <w:bookmarkStart w:id="7524" w:name="_Toc15853"/>
      <w:bookmarkStart w:id="7525" w:name="_Toc24070"/>
      <w:bookmarkStart w:id="7526" w:name="_Toc30095"/>
      <w:bookmarkStart w:id="7527" w:name="_Toc10633"/>
      <w:bookmarkStart w:id="7528" w:name="_Toc20649"/>
      <w:bookmarkStart w:id="7529" w:name="_Toc3893"/>
      <w:bookmarkStart w:id="7530" w:name="_Toc14081"/>
      <w:bookmarkStart w:id="7531" w:name="_Toc5925"/>
      <w:bookmarkStart w:id="7532" w:name="_Toc19349"/>
      <w:bookmarkStart w:id="7533" w:name="_Toc23182"/>
      <w:bookmarkStart w:id="7534" w:name="_Toc4450"/>
      <w:bookmarkStart w:id="7535" w:name="_Toc12563"/>
      <w:bookmarkStart w:id="7536" w:name="_Toc18172"/>
      <w:bookmarkStart w:id="7537" w:name="_Toc15931"/>
      <w:bookmarkStart w:id="7538" w:name="_Toc23367"/>
      <w:bookmarkStart w:id="7539" w:name="_Toc23038"/>
      <w:bookmarkStart w:id="7540" w:name="_Toc32664"/>
      <w:bookmarkStart w:id="7541" w:name="_Toc1122"/>
      <w:bookmarkStart w:id="7542" w:name="_Toc21216"/>
      <w:bookmarkStart w:id="7543" w:name="_Toc20989"/>
      <w:bookmarkStart w:id="7544" w:name="_Toc31531"/>
      <w:bookmarkStart w:id="7545" w:name="_Toc25899"/>
      <w:bookmarkStart w:id="7546" w:name="_Toc19467"/>
      <w:bookmarkStart w:id="7547" w:name="_Toc29144"/>
      <w:bookmarkStart w:id="7548" w:name="_Toc24141"/>
      <w:bookmarkStart w:id="7549" w:name="_Toc26873"/>
      <w:bookmarkStart w:id="7550" w:name="_Toc27540"/>
      <w:bookmarkStart w:id="7551" w:name="_Toc22800"/>
      <w:bookmarkStart w:id="7552" w:name="_Toc18556"/>
      <w:bookmarkStart w:id="7553" w:name="_Toc11529"/>
      <w:bookmarkStart w:id="7554" w:name="_Toc229114512"/>
      <w:bookmarkStart w:id="7555" w:name="_Toc32046"/>
      <w:bookmarkStart w:id="7556" w:name="_Toc4541"/>
      <w:bookmarkStart w:id="7557" w:name="_Toc8837"/>
      <w:bookmarkStart w:id="7558" w:name="_Toc17462"/>
      <w:bookmarkStart w:id="7559" w:name="_Toc229225608"/>
      <w:r>
        <w:rPr>
          <w:rFonts w:ascii="Times New Roman" w:hAnsi="Times New Roman"/>
        </w:rPr>
        <w:t>一、支付报酬的条件</w:t>
      </w:r>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p>
    <w:p w:rsidR="00800760" w:rsidRDefault="00235733">
      <w:pPr>
        <w:ind w:firstLine="436"/>
        <w:jc w:val="both"/>
        <w:rPr>
          <w:rFonts w:cs="宋体"/>
          <w:spacing w:val="4"/>
        </w:rPr>
      </w:pPr>
      <w:r>
        <w:rPr>
          <w:rFonts w:cs="宋体"/>
          <w:spacing w:val="4"/>
        </w:rPr>
        <w:t>同时满足以下条件的，单位应当向职务发明人或设计人支付报酬：</w:t>
      </w:r>
    </w:p>
    <w:p w:rsidR="00800760" w:rsidRDefault="00235733">
      <w:pPr>
        <w:ind w:firstLine="436"/>
        <w:jc w:val="both"/>
        <w:rPr>
          <w:rFonts w:cs="宋体"/>
          <w:spacing w:val="4"/>
        </w:rPr>
      </w:pPr>
      <w:r>
        <w:rPr>
          <w:rFonts w:cs="宋体"/>
          <w:spacing w:val="4"/>
        </w:rPr>
        <w:t xml:space="preserve">1. </w:t>
      </w:r>
      <w:r>
        <w:rPr>
          <w:rFonts w:cs="宋体"/>
          <w:spacing w:val="4"/>
        </w:rPr>
        <w:t>发明创造被授予专利权且在纠纷发生时专利权处于有效状态。</w:t>
      </w:r>
    </w:p>
    <w:p w:rsidR="00800760" w:rsidRDefault="00235733">
      <w:pPr>
        <w:ind w:firstLine="436"/>
        <w:jc w:val="both"/>
        <w:rPr>
          <w:rFonts w:cs="宋体"/>
          <w:spacing w:val="4"/>
        </w:rPr>
      </w:pPr>
      <w:r>
        <w:rPr>
          <w:rFonts w:cs="宋体"/>
          <w:spacing w:val="4"/>
        </w:rPr>
        <w:t xml:space="preserve">2. </w:t>
      </w:r>
      <w:r>
        <w:rPr>
          <w:rFonts w:cs="宋体"/>
          <w:spacing w:val="4"/>
        </w:rPr>
        <w:t>专利已被转让、</w:t>
      </w:r>
      <w:r>
        <w:rPr>
          <w:rFonts w:cs="宋体" w:hint="eastAsia"/>
          <w:spacing w:val="4"/>
        </w:rPr>
        <w:t>自行</w:t>
      </w:r>
      <w:r>
        <w:rPr>
          <w:rFonts w:cs="宋体"/>
          <w:spacing w:val="4"/>
        </w:rPr>
        <w:t>实施</w:t>
      </w:r>
      <w:r>
        <w:rPr>
          <w:rFonts w:cs="宋体" w:hint="eastAsia"/>
          <w:spacing w:val="4"/>
        </w:rPr>
        <w:t>、与他人合作实施</w:t>
      </w:r>
      <w:r>
        <w:rPr>
          <w:rFonts w:cs="宋体"/>
          <w:spacing w:val="4"/>
        </w:rPr>
        <w:t>或许可</w:t>
      </w:r>
      <w:r>
        <w:rPr>
          <w:rFonts w:cs="宋体" w:hint="eastAsia"/>
          <w:spacing w:val="4"/>
        </w:rPr>
        <w:t>他人</w:t>
      </w:r>
      <w:r>
        <w:rPr>
          <w:rFonts w:cs="宋体"/>
          <w:spacing w:val="4"/>
        </w:rPr>
        <w:t>实施。</w:t>
      </w:r>
    </w:p>
    <w:p w:rsidR="00800760" w:rsidRDefault="00235733">
      <w:pPr>
        <w:ind w:firstLine="436"/>
        <w:jc w:val="both"/>
        <w:rPr>
          <w:rFonts w:cs="宋体"/>
          <w:spacing w:val="4"/>
        </w:rPr>
      </w:pPr>
      <w:r>
        <w:rPr>
          <w:rFonts w:cs="宋体"/>
          <w:spacing w:val="4"/>
        </w:rPr>
        <w:t xml:space="preserve">3. </w:t>
      </w:r>
      <w:r>
        <w:rPr>
          <w:rFonts w:cs="宋体"/>
          <w:spacing w:val="4"/>
        </w:rPr>
        <w:t>单位因专利转让、</w:t>
      </w:r>
      <w:r>
        <w:rPr>
          <w:rFonts w:cs="宋体" w:hint="eastAsia"/>
          <w:spacing w:val="4"/>
        </w:rPr>
        <w:t>自行</w:t>
      </w:r>
      <w:r>
        <w:rPr>
          <w:rFonts w:cs="宋体"/>
          <w:spacing w:val="4"/>
        </w:rPr>
        <w:t>实施</w:t>
      </w:r>
      <w:r>
        <w:rPr>
          <w:rFonts w:cs="宋体" w:hint="eastAsia"/>
          <w:spacing w:val="4"/>
        </w:rPr>
        <w:t>、与他人合作实施</w:t>
      </w:r>
      <w:r>
        <w:rPr>
          <w:rFonts w:cs="宋体"/>
          <w:spacing w:val="4"/>
        </w:rPr>
        <w:t>或许可</w:t>
      </w:r>
      <w:r>
        <w:rPr>
          <w:rFonts w:cs="宋体" w:hint="eastAsia"/>
          <w:spacing w:val="4"/>
        </w:rPr>
        <w:t>他人</w:t>
      </w:r>
      <w:r>
        <w:rPr>
          <w:rFonts w:cs="宋体"/>
          <w:spacing w:val="4"/>
        </w:rPr>
        <w:t>实施获得了转让费、许可使用费等经济效益。</w:t>
      </w:r>
    </w:p>
    <w:p w:rsidR="00800760" w:rsidRDefault="00235733">
      <w:pPr>
        <w:ind w:firstLine="436"/>
        <w:jc w:val="both"/>
        <w:rPr>
          <w:rFonts w:cs="宋体"/>
          <w:spacing w:val="4"/>
        </w:rPr>
      </w:pPr>
      <w:r>
        <w:rPr>
          <w:rFonts w:cs="宋体"/>
          <w:spacing w:val="4"/>
        </w:rPr>
        <w:t>“</w:t>
      </w:r>
      <w:r>
        <w:rPr>
          <w:rFonts w:cs="宋体"/>
          <w:spacing w:val="4"/>
        </w:rPr>
        <w:t>实施</w:t>
      </w:r>
      <w:r>
        <w:rPr>
          <w:rFonts w:cs="宋体"/>
          <w:spacing w:val="4"/>
        </w:rPr>
        <w:t>”</w:t>
      </w:r>
      <w:r>
        <w:rPr>
          <w:rFonts w:cs="宋体"/>
          <w:spacing w:val="4"/>
        </w:rPr>
        <w:t>是指《专利法》第十一条规定的实施，即为生产经营目的制造、使用、许诺销售、销售、进口发明或实用新型专利产品，或者使用专利方法以及使用、许诺销售、销售、进口依照该专利方法直接获得的产品，或者为生产经营目的制造、许诺</w:t>
      </w:r>
      <w:bookmarkStart w:id="7560" w:name="bookmark204"/>
      <w:bookmarkEnd w:id="7560"/>
      <w:r>
        <w:rPr>
          <w:rFonts w:cs="宋体"/>
          <w:spacing w:val="4"/>
        </w:rPr>
        <w:t>销售、销售、进口外观设计专利产品。判断专利权人</w:t>
      </w:r>
      <w:r>
        <w:rPr>
          <w:rFonts w:cs="宋体"/>
          <w:spacing w:val="4"/>
        </w:rPr>
        <w:t>(</w:t>
      </w:r>
      <w:r>
        <w:rPr>
          <w:rFonts w:cs="宋体"/>
          <w:spacing w:val="4"/>
        </w:rPr>
        <w:t>即单位</w:t>
      </w:r>
      <w:r>
        <w:rPr>
          <w:rFonts w:cs="宋体"/>
          <w:spacing w:val="4"/>
        </w:rPr>
        <w:t>)</w:t>
      </w:r>
      <w:r>
        <w:rPr>
          <w:rFonts w:cs="宋体"/>
          <w:spacing w:val="4"/>
        </w:rPr>
        <w:t>是否实施了发明或实用新型专利，应以其制造、使用的产品或使用的方法是否落入了专利权利要求的保护范围为准；判断专利权人是否实施了外观设计专利，应以其制造的产品的外观设计是否与专利外观设计相同或实质相同为准。具体的判断标准应当与专利侵权判断标准一致。在专利技术方案的基础上进行一些</w:t>
      </w:r>
      <w:r>
        <w:rPr>
          <w:rFonts w:cs="宋体" w:hint="eastAsia"/>
          <w:spacing w:val="4"/>
        </w:rPr>
        <w:t>非实质性的</w:t>
      </w:r>
      <w:r>
        <w:rPr>
          <w:rFonts w:cs="宋体"/>
          <w:spacing w:val="4"/>
        </w:rPr>
        <w:t>改进，如果改进后的技术方案</w:t>
      </w:r>
      <w:r>
        <w:rPr>
          <w:rFonts w:cs="宋体" w:hint="eastAsia"/>
          <w:spacing w:val="4"/>
        </w:rPr>
        <w:t>被判定构成等同侵权</w:t>
      </w:r>
      <w:r>
        <w:rPr>
          <w:rFonts w:cs="宋体"/>
          <w:spacing w:val="4"/>
        </w:rPr>
        <w:t>，仍应认定为实施该专利。</w:t>
      </w:r>
    </w:p>
    <w:p w:rsidR="00800760" w:rsidRDefault="00235733">
      <w:pPr>
        <w:ind w:firstLine="436"/>
        <w:jc w:val="both"/>
        <w:rPr>
          <w:rFonts w:cs="宋体"/>
          <w:spacing w:val="4"/>
        </w:rPr>
      </w:pPr>
      <w:r>
        <w:rPr>
          <w:rFonts w:cs="宋体"/>
          <w:spacing w:val="4"/>
        </w:rPr>
        <w:t>专利权人许可他人实施或者将专利权转让给他人的，应当视为专利权人</w:t>
      </w:r>
      <w:r>
        <w:rPr>
          <w:rFonts w:cs="宋体"/>
          <w:spacing w:val="4"/>
        </w:rPr>
        <w:t>(</w:t>
      </w:r>
      <w:r>
        <w:rPr>
          <w:rFonts w:cs="宋体"/>
          <w:spacing w:val="4"/>
        </w:rPr>
        <w:t>即单位</w:t>
      </w:r>
      <w:r>
        <w:rPr>
          <w:rFonts w:cs="宋体"/>
          <w:spacing w:val="4"/>
        </w:rPr>
        <w:t>)</w:t>
      </w:r>
      <w:r>
        <w:rPr>
          <w:rFonts w:cs="宋体"/>
          <w:spacing w:val="4"/>
        </w:rPr>
        <w:t>实施了该专利，无论被许可方或者受让方是否实际实施。发明人或设计人有权从专利权人获得的许可费或转让费中提取一定比例的数额作为报酬。职务发明人或设计人只能向所在单位主张报酬，不能直接向专利被许可方或受让方主张报酬。</w:t>
      </w:r>
    </w:p>
    <w:p w:rsidR="00800760" w:rsidRDefault="00235733">
      <w:pPr>
        <w:ind w:firstLine="436"/>
        <w:jc w:val="both"/>
        <w:rPr>
          <w:rFonts w:cs="宋体"/>
          <w:spacing w:val="4"/>
        </w:rPr>
      </w:pPr>
      <w:r>
        <w:rPr>
          <w:rFonts w:cs="宋体"/>
          <w:spacing w:val="4"/>
        </w:rPr>
        <w:t>他人为生产经营目的非法实施专利，同样属于专利实施行为。专利权人起诉他人侵权获得的侵权赔偿减去合理的诉讼成本后，应当按照约定或法律规定向发明人或设计人支付报酬。</w:t>
      </w:r>
    </w:p>
    <w:p w:rsidR="00800760" w:rsidRDefault="00235733">
      <w:pPr>
        <w:ind w:firstLine="436"/>
        <w:jc w:val="both"/>
        <w:rPr>
          <w:rFonts w:cs="宋体"/>
          <w:spacing w:val="4"/>
        </w:rPr>
      </w:pPr>
      <w:r>
        <w:rPr>
          <w:rFonts w:cs="宋体"/>
          <w:spacing w:val="4"/>
        </w:rPr>
        <w:t>利用本单位的物质技术条件所完成的发明创造，单位与发明人订有合同，约定申请专利的权利和专利权属于发明人或设计人，由发明人或设计人返还研发资金或者支付使用费的，不属于职务发明创造，单位不负有向发明人或设计人支付报酬的义务。</w:t>
      </w:r>
    </w:p>
    <w:p w:rsidR="00800760" w:rsidRDefault="00235733">
      <w:pPr>
        <w:ind w:firstLine="436"/>
        <w:jc w:val="both"/>
        <w:rPr>
          <w:rFonts w:cs="宋体"/>
          <w:spacing w:val="4"/>
        </w:rPr>
      </w:pPr>
      <w:r>
        <w:rPr>
          <w:rFonts w:cs="宋体"/>
          <w:spacing w:val="4"/>
        </w:rPr>
        <w:t>单位明确表示放弃有关职务发明创造的权益，由发明人或设计人申请并获得专利权的，不负有向发明人或设计人支付报酬的义务。</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5-</w:t>
      </w:r>
      <w:r>
        <w:rPr>
          <w:rFonts w:ascii="Times New Roman" w:hAnsi="Times New Roman"/>
          <w:lang w:val="en-US"/>
        </w:rPr>
        <w:t>3-1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某发明专利报酬纠纷案中，请求人要求所在公司支付职务发明人报酬。该公司认为，涉案专利</w:t>
      </w:r>
      <w:r>
        <w:rPr>
          <w:rFonts w:eastAsia="楷体_GB2312" w:cs="MingLiU_HKSCS"/>
          <w:lang w:val="zh-CN"/>
        </w:rPr>
        <w:t>“</w:t>
      </w:r>
      <w:r>
        <w:rPr>
          <w:rFonts w:eastAsia="楷体_GB2312" w:cs="MingLiU_HKSCS"/>
          <w:lang w:val="zh-CN"/>
        </w:rPr>
        <w:t>一种摩托车用高能点火系统</w:t>
      </w:r>
      <w:r>
        <w:rPr>
          <w:rFonts w:eastAsia="楷体_GB2312" w:cs="MingLiU_HKSCS"/>
          <w:lang w:val="zh-CN"/>
        </w:rPr>
        <w:t>”</w:t>
      </w:r>
      <w:r>
        <w:rPr>
          <w:rFonts w:eastAsia="楷体_GB2312" w:cs="MingLiU_HKSCS"/>
          <w:lang w:val="zh-CN"/>
        </w:rPr>
        <w:t>只是个理想化的名称，其核心为磁电机和点火器，点火线圈和火花塞只是摩托车点火系统的常规部件，不涉及技术创新。而磁电机和点火器均非该公司生产，该公司只是按市场价采购了零部件磁电机和点火器后，安装于涉案摩托车上，安装程序及方式均为固有程序，不涉及专利权利要求书中所述的技术特征，故公司并未实施涉案专利。另外，该公司还以涉案专利</w:t>
      </w:r>
      <w:r>
        <w:rPr>
          <w:rFonts w:eastAsia="楷体_GB2312" w:cs="MingLiU_HKSCS"/>
          <w:lang w:val="zh-CN"/>
        </w:rPr>
        <w:t>“</w:t>
      </w:r>
      <w:r>
        <w:rPr>
          <w:rFonts w:eastAsia="楷体_GB2312" w:cs="MingLiU_HKSCS"/>
          <w:lang w:val="zh-CN"/>
        </w:rPr>
        <w:t>存在重大技术瑕疵</w:t>
      </w:r>
      <w:r>
        <w:rPr>
          <w:rFonts w:eastAsia="楷体_GB2312" w:cs="MingLiU_HKSCS"/>
          <w:lang w:val="zh-CN"/>
        </w:rPr>
        <w:t>”</w:t>
      </w:r>
      <w:r>
        <w:rPr>
          <w:rFonts w:eastAsia="楷体_GB2312" w:cs="MingLiU_HKSCS"/>
          <w:lang w:val="zh-CN"/>
        </w:rPr>
        <w:t>为由，主张</w:t>
      </w:r>
      <w:r>
        <w:rPr>
          <w:rFonts w:eastAsia="楷体_GB2312" w:cs="MingLiU_HKSCS"/>
          <w:lang w:val="zh-CN"/>
        </w:rPr>
        <w:t>“</w:t>
      </w:r>
      <w:r>
        <w:rPr>
          <w:rFonts w:eastAsia="楷体_GB2312" w:cs="MingLiU_HKSCS"/>
          <w:lang w:val="zh-CN"/>
        </w:rPr>
        <w:t>专利产品生产者实际未按涉案专利的权利要求实施</w:t>
      </w:r>
      <w:r>
        <w:rPr>
          <w:rFonts w:eastAsia="楷体_GB2312" w:cs="MingLiU_HKSCS"/>
          <w:lang w:val="zh-CN"/>
        </w:rPr>
        <w:t>”</w:t>
      </w:r>
      <w:r>
        <w:rPr>
          <w:rFonts w:eastAsia="楷体_GB2312" w:cs="MingLiU_HKSCS"/>
          <w:lang w:val="zh-CN"/>
        </w:rPr>
        <w:t>。</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发明专利权的保护范围以其权利要求的内容为准，判断是否实施了该专利也应以实施的技术方案是否落入权利要求的保护范围为准。如果单位实施的技术方案落入了职务发明专利的保护范围，则应当认为单位实施了该专利。该案中，根据权利要求书</w:t>
      </w:r>
      <w:bookmarkStart w:id="7561" w:name="bookmark205"/>
      <w:bookmarkEnd w:id="7561"/>
      <w:r>
        <w:rPr>
          <w:rFonts w:eastAsia="楷体_GB2312" w:cs="MingLiU_HKSCS"/>
          <w:lang w:val="zh-CN"/>
        </w:rPr>
        <w:t>的记载，涉案专利的独立权利要求为：顺序电连接的磁电机、点火器、点火线圈与火花塞，其特征是将磁电机点火绕阻串联或并联后并联在点火器的两个不接地的输入端上。故涉案专利并非仅包括磁电机和点火器，而应指由上述四项组成要素联接成的整体。公司按照专利技术所述方式将磁电机、点火器与点火线圈、火花塞联接成高能点火系统后安装于摩托车的行为涉及制造、使用涉案专利产品，属于实施专利的行为。涉案专利存在技术缺陷的事实仅证明单位实施专利过程中曾因技术的不完善而影响效益，不能证明其未实施涉案专利。</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5-</w:t>
      </w:r>
      <w:r>
        <w:rPr>
          <w:rFonts w:ascii="Times New Roman" w:hAnsi="Times New Roman"/>
          <w:lang w:val="en-US"/>
        </w:rPr>
        <w:t>3-2</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某案中，单位主张其未曾实施过涉案专利。请求人提交由单位生产的产品包装盒作为证据。包装盒上标注了涉案专利的专利号和所在单位的公司名称等字样。</w:t>
      </w:r>
    </w:p>
    <w:p w:rsidR="00800760" w:rsidRDefault="00235733">
      <w:pPr>
        <w:keepNext/>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单位在产品上标注专利号和单位名称，其性质应当属于当事人对事实的一种自认，即该单位承认其在制造所述产品时使用了所标注专利号指代的专利技术。除非产品制造单位提供相反证据证明其在制造所述产品时未使用所标注的专利，否则应当认为单位实施了该专利，免除发明人或设计人举证证明单位存在具体实施行为的义务。该案中，涉案产品包装盒可以初步证明涉案专利已被实施的事实。在被请求人未提出相反证据证明其实际上并未实施该专利的情况下，应认定其已经实施了该专利。</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hint="eastAsia"/>
        </w:rPr>
        <w:t>5</w:t>
      </w:r>
      <w:r>
        <w:rPr>
          <w:rFonts w:ascii="Times New Roman" w:hAnsi="Times New Roman"/>
        </w:rPr>
        <w:t>-</w:t>
      </w:r>
      <w:r>
        <w:rPr>
          <w:rFonts w:ascii="Times New Roman" w:hAnsi="Times New Roman"/>
          <w:lang w:val="en-US"/>
        </w:rPr>
        <w:t>3-3</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某案中，请求人为一项发明专利的发明人，其要求所在单位支付职务发明人报酬。该单位辩称其未实施涉案专利，不应向发明人支付报酬。经查明，虽然该单位未自行实施，但该专利已经由其许可他人实施。</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pStyle w:val="a5"/>
        <w:spacing w:line="310" w:lineRule="auto"/>
      </w:pPr>
      <w:r>
        <w:rPr>
          <w:rFonts w:eastAsia="楷体_GB2312" w:cs="MingLiU_HKSCS"/>
          <w:lang w:val="zh-CN"/>
        </w:rPr>
        <w:t>职务发明专利的实施既包括专利权人自行实施，也包括专利权人许可他人实施。专利权人许可他人实施专利的，单位作为专利权人通过专利获得了经济效益，应当给予发明人合理的报酬。按照《专利法实施细则》</w:t>
      </w:r>
      <w:r>
        <w:rPr>
          <w:rFonts w:eastAsia="楷体_GB2312" w:cs="MingLiU_HKSCS" w:hint="eastAsia"/>
          <w:lang w:val="zh-CN"/>
        </w:rPr>
        <w:t>第九十四条</w:t>
      </w:r>
      <w:r>
        <w:rPr>
          <w:rFonts w:eastAsia="楷体_GB2312" w:cs="MingLiU_HKSCS"/>
          <w:lang w:val="zh-CN"/>
        </w:rPr>
        <w:t>的规定，没有约定的，</w:t>
      </w:r>
      <w:r>
        <w:rPr>
          <w:rFonts w:eastAsia="楷体_GB2312" w:cs="MingLiU_HKSCS" w:hint="eastAsia"/>
          <w:lang w:val="zh-CN"/>
        </w:rPr>
        <w:t>应当依照《中华人民共和国促进科技成果转化法》的规定，给予发明人或者设计人合理的报酬</w:t>
      </w:r>
      <w:r>
        <w:rPr>
          <w:rFonts w:eastAsia="楷体_GB2312" w:cs="MingLiU_HKSCS"/>
          <w:lang w:val="zh-CN"/>
        </w:rPr>
        <w:t>。该案中单位已经许可他人实施，故其主张涉案专利未被实施，与事实不符。</w:t>
      </w:r>
    </w:p>
    <w:p w:rsidR="00800760" w:rsidRDefault="00235733">
      <w:pPr>
        <w:pStyle w:val="af6"/>
        <w:spacing w:before="120"/>
        <w:ind w:firstLineChars="0" w:firstLine="420"/>
        <w:rPr>
          <w:rFonts w:ascii="Times New Roman" w:hAnsi="Times New Roman"/>
        </w:rPr>
      </w:pPr>
      <w:bookmarkStart w:id="7562" w:name="bookmark206"/>
      <w:bookmarkEnd w:id="7562"/>
      <w:r>
        <w:rPr>
          <w:rFonts w:ascii="Times New Roman" w:hAnsi="Times New Roman" w:hint="eastAsia"/>
        </w:rPr>
        <w:t>【案例</w:t>
      </w:r>
      <w:r>
        <w:rPr>
          <w:rFonts w:ascii="Times New Roman" w:hAnsi="Times New Roman" w:hint="eastAsia"/>
        </w:rPr>
        <w:t>5</w:t>
      </w:r>
      <w:r>
        <w:rPr>
          <w:rFonts w:ascii="Times New Roman" w:hAnsi="Times New Roman"/>
        </w:rPr>
        <w:t>-</w:t>
      </w:r>
      <w:r>
        <w:rPr>
          <w:rFonts w:ascii="Times New Roman" w:hAnsi="Times New Roman"/>
          <w:lang w:val="en-US"/>
        </w:rPr>
        <w:t>3-4</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某案中，请求人原为</w:t>
      </w:r>
      <w:r>
        <w:rPr>
          <w:rFonts w:eastAsia="楷体_GB2312" w:cs="MingLiU_HKSCS"/>
          <w:lang w:val="zh-CN"/>
        </w:rPr>
        <w:t>A</w:t>
      </w:r>
      <w:r>
        <w:rPr>
          <w:rFonts w:eastAsia="楷体_GB2312" w:cs="MingLiU_HKSCS"/>
          <w:lang w:val="zh-CN"/>
        </w:rPr>
        <w:t>公司的技术人员，现已离职。请求人称</w:t>
      </w:r>
      <w:r>
        <w:rPr>
          <w:rFonts w:eastAsia="楷体_GB2312" w:cs="MingLiU_HKSCS"/>
          <w:lang w:val="zh-CN"/>
        </w:rPr>
        <w:t>A</w:t>
      </w:r>
      <w:r>
        <w:rPr>
          <w:rFonts w:eastAsia="楷体_GB2312" w:cs="MingLiU_HKSCS"/>
          <w:lang w:val="zh-CN"/>
        </w:rPr>
        <w:t>公司已实施的某重大项目采用了其在职期间所作出的发明专利技术方案，依据法律规定，要求公司按照该项目的实施收益支付其发明人报酬。经查明，</w:t>
      </w:r>
      <w:r>
        <w:rPr>
          <w:rFonts w:eastAsia="楷体_GB2312" w:cs="MingLiU_HKSCS"/>
          <w:lang w:val="zh-CN"/>
        </w:rPr>
        <w:t>A</w:t>
      </w:r>
      <w:r>
        <w:rPr>
          <w:rFonts w:eastAsia="楷体_GB2312" w:cs="MingLiU_HKSCS"/>
          <w:lang w:val="zh-CN"/>
        </w:rPr>
        <w:t>公司涉案项目所实施的技术方案与涉案专利并不相同，具体包括：二者所涉及技术主题不同、工艺处理对象不同、涉案项目采用的关键设备未包含涉案专利的所有技术特征。</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针对职务发明人报酬纠纷，首先需要确定单位是否实施了涉案专利。如果没有实施专利，则单位并未通过专利获得经济效益，不应负有支付报酬的义务。判断单位是否实施了涉案专利，要以单位所实施的技术是否落入涉案专利权保护范围内为基准。如果其既未字面落入，也未以等同方式落入涉案专利权保护范围，则不能认为单位实施了涉案专利。该案中，</w:t>
      </w:r>
      <w:r>
        <w:rPr>
          <w:rFonts w:eastAsia="楷体_GB2312" w:cs="MingLiU_HKSCS"/>
          <w:lang w:val="zh-CN"/>
        </w:rPr>
        <w:t>A</w:t>
      </w:r>
      <w:r>
        <w:rPr>
          <w:rFonts w:eastAsia="楷体_GB2312" w:cs="MingLiU_HKSCS"/>
          <w:lang w:val="zh-CN"/>
        </w:rPr>
        <w:t>公司提供的证据表明其所实施的项目未覆盖涉案专利权利要求的全部特征。这一举证已经证明，</w:t>
      </w:r>
      <w:r>
        <w:rPr>
          <w:rFonts w:eastAsia="楷体_GB2312" w:cs="MingLiU_HKSCS"/>
          <w:lang w:val="zh-CN"/>
        </w:rPr>
        <w:t>A</w:t>
      </w:r>
      <w:r>
        <w:rPr>
          <w:rFonts w:eastAsia="楷体_GB2312" w:cs="MingLiU_HKSCS"/>
          <w:lang w:val="zh-CN"/>
        </w:rPr>
        <w:t>公司未实施涉案专利，请求人要求就涉案专利获得职务发明人报酬，缺少事实依据，不应得到支持。</w:t>
      </w:r>
    </w:p>
    <w:p w:rsidR="00800760" w:rsidRDefault="00235733">
      <w:pPr>
        <w:pStyle w:val="3"/>
        <w:spacing w:before="240"/>
        <w:ind w:firstLine="444"/>
        <w:rPr>
          <w:rFonts w:ascii="Times New Roman" w:hAnsi="Times New Roman"/>
        </w:rPr>
      </w:pPr>
      <w:bookmarkStart w:id="7563" w:name="_Toc15102"/>
      <w:bookmarkStart w:id="7564" w:name="_Toc5266"/>
      <w:bookmarkStart w:id="7565" w:name="_Toc30695"/>
      <w:bookmarkStart w:id="7566" w:name="_Toc19451"/>
      <w:bookmarkStart w:id="7567" w:name="_Toc20188"/>
      <w:bookmarkStart w:id="7568" w:name="_Toc7222"/>
      <w:bookmarkStart w:id="7569" w:name="_Toc2374"/>
      <w:bookmarkStart w:id="7570" w:name="_Toc5742"/>
      <w:bookmarkStart w:id="7571" w:name="_Toc13361"/>
      <w:bookmarkStart w:id="7572" w:name="_Toc28347"/>
      <w:bookmarkStart w:id="7573" w:name="_Toc3370"/>
      <w:bookmarkStart w:id="7574" w:name="_Toc24502"/>
      <w:bookmarkStart w:id="7575" w:name="_Toc4640"/>
      <w:bookmarkStart w:id="7576" w:name="_Toc25764"/>
      <w:bookmarkStart w:id="7577" w:name="_Toc16780"/>
      <w:bookmarkStart w:id="7578" w:name="_Toc20488"/>
      <w:bookmarkStart w:id="7579" w:name="_Toc5151"/>
      <w:bookmarkStart w:id="7580" w:name="_Toc28026"/>
      <w:bookmarkStart w:id="7581" w:name="_Toc32103"/>
      <w:bookmarkStart w:id="7582" w:name="_Toc20079"/>
      <w:bookmarkStart w:id="7583" w:name="_Toc30348"/>
      <w:bookmarkStart w:id="7584" w:name="_Toc27104"/>
      <w:bookmarkStart w:id="7585" w:name="_Toc15561"/>
      <w:bookmarkStart w:id="7586" w:name="_Toc25940"/>
      <w:bookmarkStart w:id="7587" w:name="_Toc17030"/>
      <w:bookmarkStart w:id="7588" w:name="_Toc16290"/>
      <w:bookmarkStart w:id="7589" w:name="_Toc32037"/>
      <w:bookmarkStart w:id="7590" w:name="_Toc19581"/>
      <w:bookmarkStart w:id="7591" w:name="_Toc21478"/>
      <w:bookmarkStart w:id="7592" w:name="_Toc8726"/>
      <w:bookmarkStart w:id="7593" w:name="_Toc12814"/>
      <w:bookmarkStart w:id="7594" w:name="_Toc8386"/>
      <w:bookmarkStart w:id="7595" w:name="_Toc15544"/>
      <w:bookmarkStart w:id="7596" w:name="_Toc10907"/>
      <w:bookmarkStart w:id="7597" w:name="_Toc31476"/>
      <w:bookmarkStart w:id="7598" w:name="_Toc30186"/>
      <w:bookmarkStart w:id="7599" w:name="_Toc17361"/>
      <w:bookmarkStart w:id="7600" w:name="_Toc18025"/>
      <w:bookmarkStart w:id="7601" w:name="_Toc5386"/>
      <w:bookmarkStart w:id="7602" w:name="_Toc18617"/>
      <w:bookmarkStart w:id="7603" w:name="_Toc229114513"/>
      <w:bookmarkStart w:id="7604" w:name="_Toc20141"/>
      <w:bookmarkStart w:id="7605" w:name="_Toc6934"/>
      <w:bookmarkStart w:id="7606" w:name="_Toc229225609"/>
      <w:r>
        <w:rPr>
          <w:rFonts w:ascii="Times New Roman" w:hAnsi="Times New Roman"/>
        </w:rPr>
        <w:t>二、支付报酬的数额</w:t>
      </w:r>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一</w:t>
      </w:r>
      <w:r>
        <w:rPr>
          <w:rFonts w:ascii="Times New Roman" w:hAnsi="Times New Roman"/>
        </w:rPr>
        <w:t>)</w:t>
      </w:r>
      <w:r>
        <w:rPr>
          <w:rFonts w:ascii="Times New Roman" w:hAnsi="Times New Roman"/>
        </w:rPr>
        <w:t>约定标准</w:t>
      </w:r>
    </w:p>
    <w:p w:rsidR="00800760" w:rsidRDefault="00235733">
      <w:pPr>
        <w:ind w:firstLine="436"/>
        <w:jc w:val="both"/>
        <w:rPr>
          <w:rFonts w:cs="宋体"/>
          <w:spacing w:val="4"/>
        </w:rPr>
      </w:pPr>
      <w:r>
        <w:rPr>
          <w:rFonts w:cs="宋体"/>
          <w:spacing w:val="4"/>
        </w:rPr>
        <w:t>发明人或设计人获得报酬的具体数额和方式可以由发明人或设计人与所在单位通过合同或其他适当的形式约定，如在单位制定的规章制度中规定。有约定的，应当根据约定来确定报酬的数额和支付方式。约定的报酬数额应当合理。</w:t>
      </w:r>
    </w:p>
    <w:p w:rsidR="00800760" w:rsidRDefault="00235733">
      <w:pPr>
        <w:ind w:firstLine="436"/>
        <w:jc w:val="both"/>
        <w:rPr>
          <w:rFonts w:cs="宋体"/>
          <w:spacing w:val="4"/>
        </w:rPr>
      </w:pPr>
      <w:r>
        <w:rPr>
          <w:rFonts w:cs="宋体"/>
          <w:spacing w:val="4"/>
        </w:rPr>
        <w:t>单位与员工没有就职务发明创造报酬签订协议或者单位未在其规章制度中规定该事项的，可以在事后补充签订协议。补充签订的协议同样应当优先适用。</w:t>
      </w:r>
    </w:p>
    <w:p w:rsidR="00800760" w:rsidRDefault="00235733">
      <w:pPr>
        <w:ind w:firstLine="436"/>
        <w:jc w:val="both"/>
        <w:rPr>
          <w:rFonts w:cs="宋体"/>
        </w:rPr>
      </w:pPr>
      <w:r>
        <w:rPr>
          <w:rFonts w:cs="宋体"/>
          <w:spacing w:val="4"/>
        </w:rPr>
        <w:t>约定报酬的数额是否合理，应当考虑单位通过职务发明创造获得的经济效益和职务发明人或设计人对职务发明创造完成的贡献程度等因素</w:t>
      </w:r>
      <w:r>
        <w:rPr>
          <w:rFonts w:cs="宋体"/>
          <w:spacing w:val="-2"/>
        </w:rPr>
        <w:t>。</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二</w:t>
      </w:r>
      <w:r>
        <w:rPr>
          <w:rFonts w:ascii="Times New Roman" w:hAnsi="Times New Roman"/>
        </w:rPr>
        <w:t>)</w:t>
      </w:r>
      <w:r>
        <w:rPr>
          <w:rFonts w:ascii="Times New Roman" w:hAnsi="Times New Roman"/>
        </w:rPr>
        <w:t>法定标准</w:t>
      </w:r>
    </w:p>
    <w:p w:rsidR="00800760" w:rsidRDefault="00235733">
      <w:pPr>
        <w:ind w:firstLine="436"/>
        <w:jc w:val="both"/>
        <w:rPr>
          <w:rFonts w:cs="宋体"/>
          <w:spacing w:val="4"/>
        </w:rPr>
      </w:pPr>
      <w:r>
        <w:rPr>
          <w:rFonts w:cs="宋体"/>
          <w:spacing w:val="4"/>
        </w:rPr>
        <w:t>如果被授予专利权的单位未与发明人或设计人约定支付报酬的方式和数额的，报酬的数额应当适用法定标准。根据《专利法实施细则》第</w:t>
      </w:r>
      <w:r>
        <w:rPr>
          <w:rFonts w:cs="宋体" w:hint="eastAsia"/>
          <w:spacing w:val="4"/>
        </w:rPr>
        <w:t>九十四</w:t>
      </w:r>
      <w:r>
        <w:rPr>
          <w:rFonts w:cs="宋体"/>
          <w:spacing w:val="4"/>
        </w:rPr>
        <w:t>条的规定，</w:t>
      </w:r>
      <w:r>
        <w:rPr>
          <w:rFonts w:cs="宋体" w:hint="eastAsia"/>
          <w:spacing w:val="4"/>
        </w:rPr>
        <w:t>被授予专利权的单位未与发明人、设计人约定也未在其依法制定的规章制度中规定专利法第十五条规定的报酬的方式和数额的，应当依照《中华人民共和国促进科技成果转化法》的规定，给予发明人或者设计人合理的报酬。</w:t>
      </w:r>
    </w:p>
    <w:p w:rsidR="00800760" w:rsidRDefault="00235733">
      <w:pPr>
        <w:ind w:firstLine="436"/>
        <w:jc w:val="both"/>
        <w:rPr>
          <w:rFonts w:cs="宋体"/>
          <w:spacing w:val="4"/>
        </w:rPr>
      </w:pPr>
      <w:r>
        <w:rPr>
          <w:rFonts w:cs="宋体" w:hint="eastAsia"/>
          <w:spacing w:val="4"/>
        </w:rPr>
        <w:t>《中华人民共和国促进科技成果转化法》第四十五条规定：“科技成果完成单位未规定、也未与科技人员约定奖励和报酬的方式和数额的，按照下列标准对完成、转化职务科技成果做出重要贡献的人员给予奖励和报酬：（一）将该项职务科技成果转让、许可给他人实施的，从该项科技成果转让净收入或者许可净收入中提取不低于百分之五十的比例；（二）利用该项职务科技成果作价投资的，从该项科技成果形成的股份或者出资比例中提取不低于百分之五十的比例；（三）将该项职务科技成果自行实施或者与他人合作实施的，应当在实施转化成功投产后连续三至五年，每年从实施该项科技成果的营业利润中提取不低于百分之五的比例。</w:t>
      </w:r>
    </w:p>
    <w:p w:rsidR="00800760" w:rsidRDefault="00235733">
      <w:pPr>
        <w:ind w:firstLine="436"/>
        <w:jc w:val="both"/>
        <w:rPr>
          <w:rFonts w:cs="宋体"/>
          <w:spacing w:val="4"/>
        </w:rPr>
      </w:pPr>
      <w:r>
        <w:rPr>
          <w:rFonts w:cs="宋体" w:hint="eastAsia"/>
          <w:spacing w:val="4"/>
        </w:rPr>
        <w:t>国家设立的研究开发机构、高等院校规定或者与科技人员约定奖励和报酬的方式和数额应当符合前款第一项至第三项规定的标准。</w:t>
      </w:r>
    </w:p>
    <w:p w:rsidR="00800760" w:rsidRDefault="00235733">
      <w:pPr>
        <w:ind w:firstLine="436"/>
        <w:jc w:val="both"/>
        <w:rPr>
          <w:rFonts w:cs="宋体"/>
          <w:spacing w:val="4"/>
        </w:rPr>
      </w:pPr>
      <w:r>
        <w:rPr>
          <w:rFonts w:cs="宋体" w:hint="eastAsia"/>
          <w:spacing w:val="4"/>
        </w:rPr>
        <w:t>国有企业、事业单位依照本法规定对完成、转化职务科技成果做出重要贡献的人员给予奖励和报酬的支出计入当年本单位工资总额，但不受当年本单位工资总额限制、不纳入本单位工资总额基数。”</w:t>
      </w:r>
    </w:p>
    <w:p w:rsidR="00800760" w:rsidRDefault="00235733">
      <w:pPr>
        <w:ind w:firstLine="436"/>
        <w:jc w:val="both"/>
        <w:rPr>
          <w:rFonts w:cs="宋体"/>
          <w:spacing w:val="4"/>
        </w:rPr>
      </w:pPr>
      <w:r>
        <w:rPr>
          <w:rFonts w:cs="宋体" w:hint="eastAsia"/>
          <w:spacing w:val="4"/>
        </w:rPr>
        <w:t>依据</w:t>
      </w:r>
      <w:r>
        <w:rPr>
          <w:rFonts w:cs="宋体"/>
          <w:spacing w:val="4"/>
        </w:rPr>
        <w:t>国务院国有资产监督管理委员会印发</w:t>
      </w:r>
      <w:r>
        <w:rPr>
          <w:rFonts w:cs="宋体" w:hint="eastAsia"/>
          <w:spacing w:val="4"/>
        </w:rPr>
        <w:t>的</w:t>
      </w:r>
      <w:r>
        <w:rPr>
          <w:rFonts w:cs="宋体"/>
          <w:spacing w:val="4"/>
        </w:rPr>
        <w:t>《中央科技型企业实施分红激励工作指引》</w:t>
      </w:r>
      <w:r>
        <w:rPr>
          <w:rFonts w:cs="宋体" w:hint="eastAsia"/>
          <w:spacing w:val="4"/>
        </w:rPr>
        <w:t>中规定，</w:t>
      </w:r>
      <w:r>
        <w:rPr>
          <w:rFonts w:cs="宋体"/>
          <w:spacing w:val="4"/>
        </w:rPr>
        <w:t>转让、许可净收入是指企业取得的科技成果转让、许可收入扣除相关税费和企业为该项科技成果投入的全部研发费用及维护、维权费用后的金额。</w:t>
      </w:r>
    </w:p>
    <w:p w:rsidR="00800760" w:rsidRDefault="00235733">
      <w:pPr>
        <w:ind w:firstLine="436"/>
        <w:jc w:val="both"/>
        <w:rPr>
          <w:rFonts w:cs="宋体"/>
          <w:spacing w:val="4"/>
        </w:rPr>
      </w:pPr>
      <w:r>
        <w:rPr>
          <w:rFonts w:cs="宋体"/>
          <w:spacing w:val="4"/>
        </w:rPr>
        <w:t>发明人或设计人获得报酬的数额应当与专利对营业利润的贡献正相关。</w:t>
      </w:r>
      <w:bookmarkStart w:id="7607" w:name="bookmark207"/>
      <w:bookmarkEnd w:id="7607"/>
    </w:p>
    <w:p w:rsidR="00800760" w:rsidRDefault="00235733">
      <w:pPr>
        <w:ind w:firstLineChars="0" w:firstLine="436"/>
        <w:jc w:val="both"/>
        <w:rPr>
          <w:rFonts w:cs="宋体"/>
          <w:spacing w:val="4"/>
        </w:rPr>
      </w:pPr>
      <w:r>
        <w:rPr>
          <w:rFonts w:cs="宋体" w:hint="eastAsia"/>
          <w:spacing w:val="4"/>
        </w:rPr>
        <w:t>所称</w:t>
      </w:r>
      <w:r>
        <w:rPr>
          <w:rFonts w:cs="宋体"/>
          <w:spacing w:val="4"/>
        </w:rPr>
        <w:t>营业利润是指所在单位在一定时间内实施专利后获得的营业收入相对于未实施专利时的营业收入增加的利润，减去相应比例的营业费用、管理费用以及财务费用后所剩余的数额。这里的营业利润相当于会计学上的税后利润。如果其他条件不变，实施专利后获得的营业利润减少，则不应当向发明人或设计人支付报酬。</w:t>
      </w:r>
    </w:p>
    <w:p w:rsidR="00800760" w:rsidRDefault="00235733">
      <w:pPr>
        <w:ind w:firstLine="436"/>
        <w:jc w:val="both"/>
        <w:rPr>
          <w:rFonts w:cs="宋体"/>
          <w:spacing w:val="4"/>
        </w:rPr>
      </w:pPr>
      <w:r>
        <w:rPr>
          <w:rFonts w:cs="宋体"/>
          <w:spacing w:val="4"/>
        </w:rPr>
        <w:t>在核算报酬数额时，应当考虑每项职务发明对整个产品或者工艺经济效益的贡献，以及每位职务发明人对每项职务发明的贡献等因素。因单位经营策略或者发展模式的需要而低价、无偿转让或者许可他人实施职务发明专利或者相关知识产权时，应当参照相关技术的市场价格，合理确定对职务发明人的报酬数额。</w:t>
      </w:r>
    </w:p>
    <w:p w:rsidR="00800760" w:rsidRDefault="00235733">
      <w:pPr>
        <w:ind w:firstLine="436"/>
        <w:jc w:val="both"/>
        <w:rPr>
          <w:rFonts w:cs="宋体"/>
          <w:spacing w:val="4"/>
        </w:rPr>
      </w:pPr>
      <w:r>
        <w:rPr>
          <w:rFonts w:cs="宋体"/>
          <w:spacing w:val="4"/>
        </w:rPr>
        <w:t>在报酬纠纷的行政调解中，报酬的提成比例可以根据专利对营业利润的贡献来确定，但一般不应低于法定标准。</w:t>
      </w:r>
    </w:p>
    <w:p w:rsidR="00800760" w:rsidRDefault="00235733">
      <w:pPr>
        <w:pStyle w:val="af6"/>
        <w:spacing w:before="120"/>
        <w:ind w:firstLine="420"/>
      </w:pPr>
      <w:r>
        <w:rPr>
          <w:rFonts w:hint="eastAsia"/>
        </w:rPr>
        <w:t>【案例5</w:t>
      </w:r>
      <w:r>
        <w:t>-3-5</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某案中，请求人主张将使用了涉案专利的产品与未使用涉案专利的产品的价差作为涉案专利为整车所带来的利润。单位则以其近</w:t>
      </w:r>
      <w:r>
        <w:rPr>
          <w:rFonts w:eastAsia="楷体_GB2312" w:cs="MingLiU_HKSCS"/>
          <w:lang w:val="zh-CN"/>
        </w:rPr>
        <w:t>3</w:t>
      </w:r>
      <w:r>
        <w:rPr>
          <w:rFonts w:eastAsia="楷体_GB2312" w:cs="MingLiU_HKSCS"/>
          <w:lang w:val="zh-CN"/>
        </w:rPr>
        <w:t>年生产销售涉案产品税后利润为负数为由，主张其不应向请求人支付报酬。相关部门认为，不同摩托车价差受多方面因素的综合影响制约，除了涉案专利的影响外，还可能包括多种专利的组合应用、不同的功能配置、消费者对产品的偏好、产品在不同时期的价格策略、广告投入等因素。在无法通过审计评估确定涉案专利摩托车及点火系统利润的情况下，应当以产品本身的利润率为基础，再参考其技术的先进性及对整车价值的提升而酌情确定职务发明专利报酬。单位提交的会计师事务所审计报告不能直接、完整反映涉案产品的税后利润，同时，单位未提供其他确切的证据证明其关于税后利润的主张，故不确认涉案专利摩托车税后利润为负。</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在确定营业利润时，应当合理确定职务发明创造专利对利润增长的贡献。由于市场营销等产品以外的因素引起的利润下滑，不应当成为发明人或设计人不应获得报酬的理由。该案中，没有</w:t>
      </w:r>
      <w:r>
        <w:rPr>
          <w:rFonts w:eastAsia="楷体_GB2312" w:cs="MingLiU_HKSCS" w:hint="eastAsia"/>
          <w:lang w:val="zh-CN"/>
        </w:rPr>
        <w:t>充足的</w:t>
      </w:r>
      <w:r>
        <w:rPr>
          <w:rFonts w:eastAsia="楷体_GB2312" w:cs="MingLiU_HKSCS"/>
          <w:lang w:val="zh-CN"/>
        </w:rPr>
        <w:t>证据证明实施涉案专利后营业利润为负数，相反，相比未采用专利技术的产品，采用专利技术的产品无论在销售价格还是销售数量上，均能体现出专利技术的影响，因此可以作为专利对营业利润增长有贡献的依据。</w:t>
      </w:r>
    </w:p>
    <w:p w:rsidR="00800760" w:rsidRDefault="00235733">
      <w:pPr>
        <w:pStyle w:val="af6"/>
        <w:spacing w:before="120"/>
        <w:ind w:firstLine="420"/>
      </w:pPr>
      <w:r>
        <w:rPr>
          <w:rFonts w:hint="eastAsia"/>
        </w:rPr>
        <w:t>【案例5</w:t>
      </w:r>
      <w:r>
        <w:t>-3-6</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某案中，</w:t>
      </w:r>
      <w:r>
        <w:rPr>
          <w:rFonts w:eastAsia="楷体_GB2312" w:cs="MingLiU_HKSCS" w:hint="eastAsia"/>
          <w:lang w:val="zh-CN"/>
        </w:rPr>
        <w:t>某单位与他人合作实施其已获授权的发明</w:t>
      </w:r>
      <w:r>
        <w:rPr>
          <w:rFonts w:eastAsia="楷体_GB2312" w:cs="MingLiU_HKSCS"/>
          <w:lang w:val="zh-CN"/>
        </w:rPr>
        <w:t>专利</w:t>
      </w:r>
      <w:r>
        <w:rPr>
          <w:rFonts w:eastAsia="楷体_GB2312" w:cs="MingLiU_HKSCS" w:hint="eastAsia"/>
          <w:lang w:val="zh-CN"/>
        </w:rPr>
        <w:t>技术，成功转化投产后已连续生产</w:t>
      </w:r>
      <w:r>
        <w:rPr>
          <w:rFonts w:eastAsia="楷体_GB2312" w:cs="MingLiU_HKSCS"/>
          <w:lang w:val="zh-CN"/>
        </w:rPr>
        <w:t>3</w:t>
      </w:r>
      <w:r>
        <w:rPr>
          <w:rFonts w:eastAsia="楷体_GB2312" w:cs="MingLiU_HKSCS"/>
          <w:lang w:val="zh-CN"/>
        </w:rPr>
        <w:t>年。关于应付报酬比例，请求人根据《</w:t>
      </w:r>
      <w:r>
        <w:rPr>
          <w:rFonts w:eastAsia="楷体_GB2312" w:cs="MingLiU_HKSCS"/>
          <w:lang w:val="zh-CN"/>
        </w:rPr>
        <w:t>××</w:t>
      </w:r>
      <w:r>
        <w:rPr>
          <w:rFonts w:eastAsia="楷体_GB2312" w:cs="MingLiU_HKSCS"/>
          <w:lang w:val="zh-CN"/>
        </w:rPr>
        <w:t>市专利促进与保护条例》的规定主张按照</w:t>
      </w:r>
      <w:r>
        <w:rPr>
          <w:rFonts w:eastAsia="楷体_GB2312" w:cs="MingLiU_HKSCS" w:hint="eastAsia"/>
          <w:lang w:val="zh-CN"/>
        </w:rPr>
        <w:t>营业利润的</w:t>
      </w:r>
      <w:r>
        <w:rPr>
          <w:rFonts w:eastAsia="楷体_GB2312" w:cs="MingLiU_HKSCS"/>
          <w:lang w:val="zh-CN"/>
        </w:rPr>
        <w:t>10%</w:t>
      </w:r>
      <w:r>
        <w:rPr>
          <w:rFonts w:eastAsia="楷体_GB2312" w:cs="MingLiU_HKSCS"/>
          <w:lang w:val="zh-CN"/>
        </w:rPr>
        <w:t>计算。单位则认为应当按照《专利法实施细则》第</w:t>
      </w:r>
      <w:r>
        <w:rPr>
          <w:rFonts w:eastAsia="楷体_GB2312" w:cs="MingLiU_HKSCS" w:hint="eastAsia"/>
          <w:lang w:val="zh-CN"/>
        </w:rPr>
        <w:t>九十四</w:t>
      </w:r>
      <w:r>
        <w:rPr>
          <w:rFonts w:eastAsia="楷体_GB2312" w:cs="MingLiU_HKSCS"/>
          <w:lang w:val="zh-CN"/>
        </w:rPr>
        <w:t>条的规定，</w:t>
      </w:r>
      <w:r>
        <w:rPr>
          <w:rFonts w:eastAsia="楷体_GB2312" w:cs="MingLiU_HKSCS" w:hint="eastAsia"/>
          <w:lang w:val="zh-CN"/>
        </w:rPr>
        <w:t>依照《中华人民共和国促进科技成果转化法》</w:t>
      </w:r>
      <w:r>
        <w:rPr>
          <w:rFonts w:eastAsia="楷体_GB2312" w:cs="MingLiU_HKSCS"/>
          <w:lang w:val="zh-CN"/>
        </w:rPr>
        <w:t>规定的</w:t>
      </w:r>
      <w:r>
        <w:rPr>
          <w:rFonts w:eastAsia="楷体_GB2312" w:cs="MingLiU_HKSCS"/>
          <w:lang w:val="zh-CN"/>
        </w:rPr>
        <w:t>5%</w:t>
      </w:r>
      <w:r>
        <w:rPr>
          <w:rFonts w:eastAsia="楷体_GB2312" w:cs="MingLiU_HKSCS"/>
          <w:lang w:val="zh-CN"/>
        </w:rPr>
        <w:t>计算。根据《</w:t>
      </w:r>
      <w:r>
        <w:rPr>
          <w:rFonts w:eastAsia="楷体_GB2312" w:cs="MingLiU_HKSCS"/>
          <w:lang w:val="zh-CN"/>
        </w:rPr>
        <w:t>××</w:t>
      </w:r>
      <w:r>
        <w:rPr>
          <w:rFonts w:eastAsia="楷体_GB2312" w:cs="MingLiU_HKSCS"/>
          <w:lang w:val="zh-CN"/>
        </w:rPr>
        <w:t>市专利促进与保护条例》的规定，实施</w:t>
      </w:r>
      <w:r>
        <w:rPr>
          <w:rFonts w:eastAsia="楷体_GB2312" w:cs="MingLiU_HKSCS" w:hint="eastAsia"/>
          <w:lang w:val="zh-CN"/>
        </w:rPr>
        <w:t>发明或者</w:t>
      </w:r>
      <w:r>
        <w:rPr>
          <w:rFonts w:eastAsia="楷体_GB2312" w:cs="MingLiU_HKSCS"/>
          <w:lang w:val="zh-CN"/>
        </w:rPr>
        <w:t>实用新型专利的报酬提取比例不得低于</w:t>
      </w:r>
      <w:r>
        <w:rPr>
          <w:rFonts w:eastAsia="楷体_GB2312" w:cs="MingLiU_HKSCS" w:hint="eastAsia"/>
          <w:lang w:val="zh-CN"/>
        </w:rPr>
        <w:t>营业利润</w:t>
      </w:r>
      <w:r>
        <w:rPr>
          <w:rFonts w:eastAsia="楷体_GB2312" w:cs="MingLiU_HKSCS"/>
          <w:lang w:val="zh-CN"/>
        </w:rPr>
        <w:t>的</w:t>
      </w:r>
      <w:r>
        <w:rPr>
          <w:rFonts w:eastAsia="楷体_GB2312" w:cs="MingLiU_HKSCS"/>
          <w:lang w:val="zh-CN"/>
        </w:rPr>
        <w:t>8%</w:t>
      </w:r>
      <w:r>
        <w:rPr>
          <w:rFonts w:eastAsia="楷体_GB2312" w:cs="MingLiU_HKSCS"/>
          <w:lang w:val="zh-CN"/>
        </w:rPr>
        <w:t>。</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 w:cs="楷体"/>
        </w:rPr>
      </w:pPr>
      <w:r>
        <w:rPr>
          <w:rFonts w:eastAsia="楷体_GB2312" w:cs="MingLiU_HKSCS"/>
          <w:lang w:val="zh-CN"/>
        </w:rPr>
        <w:t>该案的争议点在于确定报酬数额的依据。一般情况下，当地方性法规对职务发明人提取报酬比例标准有规定时，如果其不低于《专利法实施细则》中规定的标准，从保护发明人利益出发，应当优先适用地方标准。该案发生在</w:t>
      </w:r>
      <w:r>
        <w:rPr>
          <w:rFonts w:eastAsia="楷体_GB2312" w:cs="MingLiU_HKSCS"/>
          <w:lang w:val="zh-CN"/>
        </w:rPr>
        <w:t>××</w:t>
      </w:r>
      <w:r>
        <w:rPr>
          <w:rFonts w:eastAsia="楷体_GB2312" w:cs="MingLiU_HKSCS"/>
          <w:lang w:val="zh-CN"/>
        </w:rPr>
        <w:t>市，根据《</w:t>
      </w:r>
      <w:r>
        <w:rPr>
          <w:rFonts w:eastAsia="楷体_GB2312" w:cs="MingLiU_HKSCS"/>
          <w:lang w:val="zh-CN"/>
        </w:rPr>
        <w:t>××</w:t>
      </w:r>
      <w:r>
        <w:rPr>
          <w:rFonts w:eastAsia="楷体_GB2312" w:cs="MingLiU_HKSCS"/>
          <w:lang w:val="zh-CN"/>
        </w:rPr>
        <w:t>市专利促进与保护条例》的规定，实施</w:t>
      </w:r>
      <w:r>
        <w:rPr>
          <w:rFonts w:eastAsia="楷体_GB2312" w:cs="MingLiU_HKSCS" w:hint="eastAsia"/>
          <w:lang w:val="zh-CN"/>
        </w:rPr>
        <w:t>发明或者</w:t>
      </w:r>
      <w:r>
        <w:rPr>
          <w:rFonts w:eastAsia="楷体_GB2312" w:cs="MingLiU_HKSCS"/>
          <w:lang w:val="zh-CN"/>
        </w:rPr>
        <w:t>实用新型专利的报酬提取比例不得低于</w:t>
      </w:r>
      <w:r>
        <w:rPr>
          <w:rFonts w:eastAsia="楷体_GB2312" w:cs="MingLiU_HKSCS" w:hint="eastAsia"/>
          <w:lang w:val="zh-CN"/>
        </w:rPr>
        <w:t>营业利润</w:t>
      </w:r>
      <w:r>
        <w:rPr>
          <w:rFonts w:eastAsia="楷体_GB2312" w:cs="MingLiU_HKSCS"/>
          <w:lang w:val="zh-CN"/>
        </w:rPr>
        <w:t>的</w:t>
      </w:r>
      <w:r>
        <w:rPr>
          <w:rFonts w:eastAsia="楷体_GB2312" w:cs="MingLiU_HKSCS"/>
          <w:lang w:val="zh-CN"/>
        </w:rPr>
        <w:t>8%</w:t>
      </w:r>
      <w:r>
        <w:rPr>
          <w:rFonts w:eastAsia="楷体_GB2312" w:cs="MingLiU_HKSCS"/>
          <w:lang w:val="zh-CN"/>
        </w:rPr>
        <w:t>。这与《专利法实施细则》的规定亦不抵触，应当优先适用，即按照不低于</w:t>
      </w:r>
      <w:r>
        <w:rPr>
          <w:rFonts w:eastAsia="楷体_GB2312" w:cs="MingLiU_HKSCS"/>
          <w:lang w:val="zh-CN"/>
        </w:rPr>
        <w:t>8%</w:t>
      </w:r>
      <w:r>
        <w:rPr>
          <w:rFonts w:eastAsia="楷体_GB2312" w:cs="MingLiU_HKSCS"/>
          <w:lang w:val="zh-CN"/>
        </w:rPr>
        <w:t>的比例计算报酬。</w:t>
      </w:r>
    </w:p>
    <w:p w:rsidR="00800760" w:rsidRDefault="00235733">
      <w:pPr>
        <w:pStyle w:val="af6"/>
        <w:spacing w:before="120"/>
        <w:ind w:firstLine="420"/>
      </w:pPr>
      <w:r>
        <w:rPr>
          <w:rFonts w:hint="eastAsia"/>
        </w:rPr>
        <w:t>【案例5</w:t>
      </w:r>
      <w:r>
        <w:t>-3-7</w:t>
      </w:r>
      <w:r>
        <w:rPr>
          <w:rFonts w:hint="eastAsia"/>
        </w:rPr>
        <w:t>】</w:t>
      </w:r>
    </w:p>
    <w:p w:rsidR="00800760" w:rsidRDefault="00235733">
      <w:pPr>
        <w:spacing w:line="360" w:lineRule="auto"/>
        <w:rPr>
          <w:rFonts w:eastAsia="楷体" w:cs="楷体"/>
        </w:rPr>
      </w:pPr>
      <w:r>
        <w:rPr>
          <w:rFonts w:eastAsia="楷体_GB2312" w:cs="MingLiU_HKSCS" w:hint="eastAsia"/>
          <w:lang w:val="zh-CN"/>
        </w:rPr>
        <w:t>甲</w:t>
      </w:r>
      <w:r>
        <w:rPr>
          <w:rFonts w:eastAsia="楷体_GB2312" w:cs="MingLiU_HKSCS"/>
          <w:lang w:val="zh-CN"/>
        </w:rPr>
        <w:t>原系某化工公司员工。</w:t>
      </w:r>
      <w:r>
        <w:rPr>
          <w:rFonts w:eastAsia="楷体_GB2312" w:cs="MingLiU_HKSCS"/>
          <w:lang w:val="zh-CN"/>
        </w:rPr>
        <w:t>1999</w:t>
      </w:r>
      <w:r>
        <w:rPr>
          <w:rFonts w:eastAsia="楷体_GB2312" w:cs="MingLiU_HKSCS"/>
          <w:lang w:val="zh-CN"/>
        </w:rPr>
        <w:t>年</w:t>
      </w:r>
      <w:r>
        <w:rPr>
          <w:rFonts w:eastAsia="楷体_GB2312" w:cs="MingLiU_HKSCS"/>
          <w:lang w:val="zh-CN"/>
        </w:rPr>
        <w:t>5</w:t>
      </w:r>
      <w:r>
        <w:rPr>
          <w:rFonts w:eastAsia="楷体_GB2312" w:cs="MingLiU_HKSCS"/>
          <w:lang w:val="zh-CN"/>
        </w:rPr>
        <w:t>月</w:t>
      </w:r>
      <w:r>
        <w:rPr>
          <w:rFonts w:eastAsia="楷体_GB2312" w:cs="MingLiU_HKSCS"/>
          <w:lang w:val="zh-CN"/>
        </w:rPr>
        <w:t>14</w:t>
      </w:r>
      <w:r>
        <w:rPr>
          <w:rFonts w:eastAsia="楷体_GB2312" w:cs="MingLiU_HKSCS"/>
          <w:lang w:val="zh-CN"/>
        </w:rPr>
        <w:t>日，化工公司和</w:t>
      </w:r>
      <w:r>
        <w:rPr>
          <w:rFonts w:eastAsia="楷体_GB2312" w:cs="MingLiU_HKSCS" w:hint="eastAsia"/>
          <w:lang w:val="zh-CN"/>
        </w:rPr>
        <w:t>甲</w:t>
      </w:r>
      <w:r>
        <w:rPr>
          <w:rFonts w:eastAsia="楷体_GB2312" w:cs="MingLiU_HKSCS"/>
          <w:lang w:val="zh-CN"/>
        </w:rPr>
        <w:t>所在的该公司研发部签订《</w:t>
      </w:r>
      <w:r>
        <w:rPr>
          <w:rFonts w:eastAsia="楷体_GB2312" w:cs="MingLiU_HKSCS"/>
          <w:lang w:val="zh-CN"/>
        </w:rPr>
        <w:t>×××</w:t>
      </w:r>
      <w:r>
        <w:rPr>
          <w:rFonts w:eastAsia="楷体_GB2312" w:cs="MingLiU_HKSCS"/>
          <w:lang w:val="zh-CN"/>
        </w:rPr>
        <w:t>中试合成技术开发项目合同书》</w:t>
      </w:r>
      <w:r>
        <w:rPr>
          <w:rFonts w:eastAsia="楷体_GB2312" w:cs="MingLiU_HKSCS" w:hint="eastAsia"/>
          <w:lang w:val="zh-CN"/>
        </w:rPr>
        <w:t>，</w:t>
      </w:r>
      <w:r>
        <w:rPr>
          <w:rFonts w:eastAsia="楷体_GB2312" w:cs="MingLiU_HKSCS"/>
          <w:lang w:val="zh-CN"/>
        </w:rPr>
        <w:t>约定由研发部进行</w:t>
      </w:r>
      <w:r>
        <w:rPr>
          <w:rFonts w:eastAsia="楷体_GB2312" w:cs="MingLiU_HKSCS"/>
          <w:lang w:val="zh-CN"/>
        </w:rPr>
        <w:t>×××</w:t>
      </w:r>
      <w:r>
        <w:rPr>
          <w:rFonts w:eastAsia="楷体_GB2312" w:cs="MingLiU_HKSCS"/>
          <w:lang w:val="zh-CN"/>
        </w:rPr>
        <w:t>中试合成技术开发。</w:t>
      </w:r>
      <w:r>
        <w:rPr>
          <w:rFonts w:eastAsia="楷体_GB2312" w:cs="MingLiU_HKSCS"/>
          <w:lang w:val="zh-CN"/>
        </w:rPr>
        <w:t>2000</w:t>
      </w:r>
      <w:r>
        <w:rPr>
          <w:rFonts w:eastAsia="楷体_GB2312" w:cs="MingLiU_HKSCS"/>
          <w:lang w:val="zh-CN"/>
        </w:rPr>
        <w:t>年</w:t>
      </w:r>
      <w:r>
        <w:rPr>
          <w:rFonts w:eastAsia="楷体_GB2312" w:cs="MingLiU_HKSCS"/>
          <w:lang w:val="zh-CN"/>
        </w:rPr>
        <w:t>12</w:t>
      </w:r>
      <w:r>
        <w:rPr>
          <w:rFonts w:eastAsia="楷体_GB2312" w:cs="MingLiU_HKSCS"/>
          <w:lang w:val="zh-CN"/>
        </w:rPr>
        <w:t>月，以</w:t>
      </w:r>
      <w:r>
        <w:rPr>
          <w:rFonts w:eastAsia="楷体_GB2312" w:cs="MingLiU_HKSCS" w:hint="eastAsia"/>
          <w:lang w:val="zh-CN"/>
        </w:rPr>
        <w:t>甲</w:t>
      </w:r>
      <w:r>
        <w:rPr>
          <w:rFonts w:eastAsia="楷体_GB2312" w:cs="MingLiU_HKSCS"/>
          <w:lang w:val="zh-CN"/>
        </w:rPr>
        <w:t>为</w:t>
      </w:r>
      <w:r>
        <w:rPr>
          <w:rFonts w:eastAsia="楷体_GB2312" w:cs="MingLiU_HKSCS" w:hint="eastAsia"/>
          <w:lang w:val="zh-CN"/>
        </w:rPr>
        <w:t>核心研发人员</w:t>
      </w:r>
      <w:r>
        <w:rPr>
          <w:rFonts w:eastAsia="楷体_GB2312" w:cs="MingLiU_HKSCS"/>
          <w:lang w:val="zh-CN"/>
        </w:rPr>
        <w:t>的课题组向化工公司提交了《</w:t>
      </w:r>
      <w:r>
        <w:rPr>
          <w:rFonts w:eastAsia="楷体_GB2312" w:cs="MingLiU_HKSCS"/>
          <w:lang w:val="zh-CN"/>
        </w:rPr>
        <w:t>×××</w:t>
      </w:r>
      <w:r>
        <w:rPr>
          <w:rFonts w:eastAsia="楷体_GB2312" w:cs="MingLiU_HKSCS"/>
          <w:lang w:val="zh-CN"/>
        </w:rPr>
        <w:t>合成工艺研究总结报告》。</w:t>
      </w:r>
      <w:r>
        <w:rPr>
          <w:rFonts w:eastAsia="楷体_GB2312" w:cs="MingLiU_HKSCS"/>
          <w:lang w:val="zh-CN"/>
        </w:rPr>
        <w:t>2004</w:t>
      </w:r>
      <w:r>
        <w:rPr>
          <w:rFonts w:eastAsia="楷体_GB2312" w:cs="MingLiU_HKSCS"/>
          <w:lang w:val="zh-CN"/>
        </w:rPr>
        <w:t>年</w:t>
      </w:r>
      <w:r>
        <w:rPr>
          <w:rFonts w:eastAsia="楷体_GB2312" w:cs="MingLiU_HKSCS"/>
          <w:lang w:val="zh-CN"/>
        </w:rPr>
        <w:t>2</w:t>
      </w:r>
      <w:r>
        <w:rPr>
          <w:rFonts w:eastAsia="楷体_GB2312" w:cs="MingLiU_HKSCS"/>
          <w:lang w:val="zh-CN"/>
        </w:rPr>
        <w:t>月</w:t>
      </w:r>
      <w:r>
        <w:rPr>
          <w:rFonts w:eastAsia="楷体_GB2312" w:cs="MingLiU_HKSCS"/>
          <w:lang w:val="zh-CN"/>
        </w:rPr>
        <w:t>4</w:t>
      </w:r>
      <w:r>
        <w:rPr>
          <w:rFonts w:eastAsia="楷体_GB2312" w:cs="MingLiU_HKSCS"/>
          <w:lang w:val="zh-CN"/>
        </w:rPr>
        <w:t>日，化工公司因</w:t>
      </w:r>
      <w:r>
        <w:rPr>
          <w:rFonts w:eastAsia="楷体_GB2312" w:cs="MingLiU_HKSCS" w:hint="eastAsia"/>
          <w:lang w:val="zh-CN"/>
        </w:rPr>
        <w:t>甲</w:t>
      </w:r>
      <w:r>
        <w:rPr>
          <w:rFonts w:eastAsia="楷体_GB2312" w:cs="MingLiU_HKSCS"/>
          <w:lang w:val="zh-CN"/>
        </w:rPr>
        <w:t>在</w:t>
      </w:r>
      <w:r>
        <w:rPr>
          <w:rFonts w:eastAsia="楷体_GB2312" w:cs="MingLiU_HKSCS"/>
          <w:lang w:val="zh-CN"/>
        </w:rPr>
        <w:t>×××</w:t>
      </w:r>
      <w:r>
        <w:rPr>
          <w:rFonts w:eastAsia="楷体_GB2312" w:cs="MingLiU_HKSCS"/>
          <w:lang w:val="zh-CN"/>
        </w:rPr>
        <w:t>项目开发中的突出贡献向</w:t>
      </w:r>
      <w:r>
        <w:rPr>
          <w:rFonts w:eastAsia="楷体_GB2312" w:cs="MingLiU_HKSCS" w:hint="eastAsia"/>
          <w:lang w:val="zh-CN"/>
        </w:rPr>
        <w:t>甲</w:t>
      </w:r>
      <w:r>
        <w:rPr>
          <w:rFonts w:eastAsia="楷体_GB2312" w:cs="MingLiU_HKSCS"/>
          <w:lang w:val="zh-CN"/>
        </w:rPr>
        <w:t>支付</w:t>
      </w:r>
      <w:r>
        <w:rPr>
          <w:rFonts w:eastAsia="楷体_GB2312" w:cs="MingLiU_HKSCS"/>
          <w:lang w:val="zh-CN"/>
        </w:rPr>
        <w:t>2003</w:t>
      </w:r>
      <w:r>
        <w:rPr>
          <w:rFonts w:eastAsia="楷体_GB2312" w:cs="MingLiU_HKSCS"/>
          <w:lang w:val="zh-CN"/>
        </w:rPr>
        <w:t>年度</w:t>
      </w:r>
      <w:r>
        <w:rPr>
          <w:rFonts w:eastAsia="楷体_GB2312" w:cs="MingLiU_HKSCS"/>
          <w:lang w:val="zh-CN"/>
        </w:rPr>
        <w:t>1-12</w:t>
      </w:r>
      <w:r>
        <w:rPr>
          <w:rFonts w:eastAsia="楷体_GB2312" w:cs="MingLiU_HKSCS"/>
          <w:lang w:val="zh-CN"/>
        </w:rPr>
        <w:t>月绩效奖励</w:t>
      </w:r>
      <w:r>
        <w:rPr>
          <w:rFonts w:eastAsia="楷体_GB2312" w:cs="MingLiU_HKSCS"/>
          <w:lang w:val="zh-CN"/>
        </w:rPr>
        <w:t>10</w:t>
      </w:r>
      <w:r>
        <w:rPr>
          <w:rFonts w:eastAsia="楷体_GB2312" w:cs="MingLiU_HKSCS"/>
          <w:lang w:val="zh-CN"/>
        </w:rPr>
        <w:t>万元。</w:t>
      </w:r>
      <w:r>
        <w:rPr>
          <w:rFonts w:eastAsia="楷体_GB2312" w:cs="MingLiU_HKSCS"/>
          <w:lang w:val="zh-CN"/>
        </w:rPr>
        <w:t>2004</w:t>
      </w:r>
      <w:r>
        <w:rPr>
          <w:rFonts w:eastAsia="楷体_GB2312" w:cs="MingLiU_HKSCS"/>
          <w:lang w:val="zh-CN"/>
        </w:rPr>
        <w:t>年</w:t>
      </w:r>
      <w:r>
        <w:rPr>
          <w:rFonts w:eastAsia="楷体_GB2312" w:cs="MingLiU_HKSCS"/>
          <w:lang w:val="zh-CN"/>
        </w:rPr>
        <w:t>5</w:t>
      </w:r>
      <w:r>
        <w:rPr>
          <w:rFonts w:eastAsia="楷体_GB2312" w:cs="MingLiU_HKSCS"/>
          <w:lang w:val="zh-CN"/>
        </w:rPr>
        <w:t>月</w:t>
      </w:r>
      <w:r>
        <w:rPr>
          <w:rFonts w:eastAsia="楷体_GB2312" w:cs="MingLiU_HKSCS"/>
          <w:lang w:val="zh-CN"/>
        </w:rPr>
        <w:t>11</w:t>
      </w:r>
      <w:r>
        <w:rPr>
          <w:rFonts w:eastAsia="楷体_GB2312" w:cs="MingLiU_HKSCS"/>
          <w:lang w:val="zh-CN"/>
        </w:rPr>
        <w:t>日，上级主管单位下发《关于对某化工公司资产重组方案的批复》</w:t>
      </w:r>
      <w:r>
        <w:rPr>
          <w:rFonts w:eastAsia="楷体_GB2312" w:cs="MingLiU_HKSCS" w:hint="eastAsia"/>
          <w:lang w:val="zh-CN"/>
        </w:rPr>
        <w:t>，</w:t>
      </w:r>
      <w:r>
        <w:rPr>
          <w:rFonts w:eastAsia="楷体_GB2312" w:cs="MingLiU_HKSCS"/>
          <w:lang w:val="zh-CN"/>
        </w:rPr>
        <w:t>同意对化工公司的经营及技术团队实施股权奖励，奖励股权合计</w:t>
      </w:r>
      <w:r>
        <w:rPr>
          <w:rFonts w:eastAsia="楷体_GB2312" w:cs="MingLiU_HKSCS"/>
          <w:lang w:val="zh-CN"/>
        </w:rPr>
        <w:t>8.631%</w:t>
      </w:r>
      <w:r>
        <w:rPr>
          <w:rFonts w:eastAsia="楷体_GB2312" w:cs="MingLiU_HKSCS"/>
          <w:lang w:val="zh-CN"/>
        </w:rPr>
        <w:t>。</w:t>
      </w:r>
      <w:r>
        <w:rPr>
          <w:rFonts w:eastAsia="楷体_GB2312" w:cs="MingLiU_HKSCS"/>
          <w:lang w:val="zh-CN"/>
        </w:rPr>
        <w:t>2004</w:t>
      </w:r>
      <w:r>
        <w:rPr>
          <w:rFonts w:eastAsia="楷体_GB2312" w:cs="MingLiU_HKSCS" w:hint="eastAsia"/>
          <w:lang w:val="zh-CN"/>
        </w:rPr>
        <w:t>年至</w:t>
      </w:r>
      <w:r>
        <w:rPr>
          <w:rFonts w:eastAsia="楷体_GB2312" w:cs="MingLiU_HKSCS"/>
          <w:lang w:val="zh-CN"/>
        </w:rPr>
        <w:t>2006</w:t>
      </w:r>
      <w:r>
        <w:rPr>
          <w:rFonts w:eastAsia="楷体_GB2312" w:cs="MingLiU_HKSCS"/>
          <w:lang w:val="zh-CN"/>
        </w:rPr>
        <w:t>年，化工公司根据上述批复对该公司经营和技术团队实施股权激励，奖励和转让的主要对象为</w:t>
      </w:r>
      <w:r>
        <w:rPr>
          <w:rFonts w:eastAsia="楷体_GB2312" w:cs="MingLiU_HKSCS"/>
          <w:lang w:val="zh-CN"/>
        </w:rPr>
        <w:t>“</w:t>
      </w:r>
      <w:r>
        <w:rPr>
          <w:rFonts w:eastAsia="楷体_GB2312" w:cs="MingLiU_HKSCS"/>
          <w:lang w:val="zh-CN"/>
        </w:rPr>
        <w:t>对</w:t>
      </w:r>
      <w:r>
        <w:rPr>
          <w:rFonts w:eastAsia="楷体_GB2312" w:cs="MingLiU_HKSCS"/>
          <w:lang w:val="zh-CN"/>
        </w:rPr>
        <w:t>×××</w:t>
      </w:r>
      <w:r>
        <w:rPr>
          <w:rFonts w:eastAsia="楷体_GB2312" w:cs="MingLiU_HKSCS"/>
          <w:lang w:val="zh-CN"/>
        </w:rPr>
        <w:t>的工业化生产技术</w:t>
      </w:r>
      <w:r>
        <w:rPr>
          <w:rFonts w:eastAsia="楷体_GB2312" w:cs="MingLiU_HKSCS"/>
          <w:lang w:val="zh-CN"/>
        </w:rPr>
        <w:t>(</w:t>
      </w:r>
      <w:r>
        <w:rPr>
          <w:rFonts w:eastAsia="楷体_GB2312" w:cs="MingLiU_HKSCS"/>
          <w:lang w:val="zh-CN"/>
        </w:rPr>
        <w:t>即该案争议专利技术</w:t>
      </w:r>
      <w:r>
        <w:rPr>
          <w:rFonts w:eastAsia="楷体_GB2312" w:cs="MingLiU_HKSCS"/>
          <w:lang w:val="zh-CN"/>
        </w:rPr>
        <w:t>)</w:t>
      </w:r>
      <w:r>
        <w:rPr>
          <w:rFonts w:eastAsia="楷体_GB2312" w:cs="MingLiU_HKSCS"/>
          <w:lang w:val="zh-CN"/>
        </w:rPr>
        <w:t>无形资产作出贡献的经营及技术团队</w:t>
      </w:r>
      <w:r>
        <w:rPr>
          <w:rFonts w:eastAsia="楷体_GB2312" w:cs="MingLiU_HKSCS"/>
          <w:lang w:val="zh-CN"/>
        </w:rPr>
        <w:t>”</w:t>
      </w:r>
      <w:r>
        <w:rPr>
          <w:rFonts w:eastAsia="楷体_GB2312" w:cs="MingLiU_HKSCS"/>
          <w:lang w:val="zh-CN"/>
        </w:rPr>
        <w:t>。在实施股权激励后，</w:t>
      </w:r>
      <w:r>
        <w:rPr>
          <w:rFonts w:eastAsia="楷体_GB2312" w:cs="MingLiU_HKSCS" w:hint="eastAsia"/>
          <w:lang w:val="zh-CN"/>
        </w:rPr>
        <w:t>甲</w:t>
      </w:r>
      <w:r>
        <w:rPr>
          <w:rFonts w:eastAsia="楷体_GB2312" w:cs="MingLiU_HKSCS"/>
          <w:lang w:val="zh-CN"/>
        </w:rPr>
        <w:t>因为对技术研发的特殊贡献获得了化工公司</w:t>
      </w:r>
      <w:r>
        <w:rPr>
          <w:rFonts w:eastAsia="楷体_GB2312" w:cs="MingLiU_HKSCS"/>
          <w:lang w:val="zh-CN"/>
        </w:rPr>
        <w:t>1%</w:t>
      </w:r>
      <w:r>
        <w:rPr>
          <w:rFonts w:eastAsia="楷体_GB2312" w:cs="MingLiU_HKSCS"/>
          <w:lang w:val="zh-CN"/>
        </w:rPr>
        <w:t>的股权，其中出售的股权为</w:t>
      </w:r>
      <w:r>
        <w:rPr>
          <w:rFonts w:eastAsia="楷体_GB2312" w:cs="MingLiU_HKSCS"/>
          <w:lang w:val="zh-CN"/>
        </w:rPr>
        <w:t>0.315%</w:t>
      </w:r>
      <w:r>
        <w:rPr>
          <w:rFonts w:eastAsia="楷体_GB2312" w:cs="MingLiU_HKSCS" w:hint="eastAsia"/>
          <w:lang w:val="zh-CN"/>
        </w:rPr>
        <w:t>，</w:t>
      </w:r>
      <w:r>
        <w:rPr>
          <w:rFonts w:eastAsia="楷体_GB2312" w:cs="MingLiU_HKSCS"/>
          <w:lang w:val="zh-CN"/>
        </w:rPr>
        <w:t>免费赠送的股权为</w:t>
      </w:r>
      <w:r>
        <w:rPr>
          <w:rFonts w:eastAsia="楷体_GB2312" w:cs="MingLiU_HKSCS"/>
          <w:lang w:val="zh-CN"/>
        </w:rPr>
        <w:t>0.685%</w:t>
      </w:r>
      <w:r>
        <w:rPr>
          <w:rFonts w:eastAsia="楷体_GB2312" w:cs="MingLiU_HKSCS"/>
          <w:lang w:val="zh-CN"/>
        </w:rPr>
        <w:t>。</w:t>
      </w:r>
      <w:r>
        <w:rPr>
          <w:rFonts w:eastAsia="楷体_GB2312" w:cs="MingLiU_HKSCS"/>
          <w:lang w:val="zh-CN"/>
        </w:rPr>
        <w:t>2006</w:t>
      </w:r>
      <w:r>
        <w:rPr>
          <w:rFonts w:eastAsia="楷体_GB2312" w:cs="MingLiU_HKSCS"/>
          <w:lang w:val="zh-CN"/>
        </w:rPr>
        <w:t>年</w:t>
      </w:r>
      <w:r>
        <w:rPr>
          <w:rFonts w:eastAsia="楷体_GB2312" w:cs="MingLiU_HKSCS"/>
          <w:lang w:val="zh-CN"/>
        </w:rPr>
        <w:t>9</w:t>
      </w:r>
      <w:r>
        <w:rPr>
          <w:rFonts w:eastAsia="楷体_GB2312" w:cs="MingLiU_HKSCS"/>
          <w:lang w:val="zh-CN"/>
        </w:rPr>
        <w:t>月</w:t>
      </w:r>
      <w:r>
        <w:rPr>
          <w:rFonts w:eastAsia="楷体_GB2312" w:cs="MingLiU_HKSCS"/>
          <w:lang w:val="zh-CN"/>
        </w:rPr>
        <w:t>22</w:t>
      </w:r>
      <w:r>
        <w:rPr>
          <w:rFonts w:eastAsia="楷体_GB2312" w:cs="MingLiU_HKSCS"/>
          <w:lang w:val="zh-CN"/>
        </w:rPr>
        <w:t>日，化工公司向国家知识产权局申请名称为</w:t>
      </w:r>
      <w:r>
        <w:rPr>
          <w:rFonts w:eastAsia="楷体_GB2312" w:cs="MingLiU_HKSCS"/>
          <w:lang w:val="zh-CN"/>
        </w:rPr>
        <w:t>“</w:t>
      </w:r>
      <w:r>
        <w:rPr>
          <w:rFonts w:eastAsia="楷体_GB2312" w:cs="MingLiU_HKSCS"/>
          <w:lang w:val="zh-CN"/>
        </w:rPr>
        <w:t>一种新型除草剂的合成方法</w:t>
      </w:r>
      <w:r>
        <w:rPr>
          <w:rFonts w:eastAsia="楷体_GB2312" w:cs="MingLiU_HKSCS"/>
          <w:lang w:val="zh-CN"/>
        </w:rPr>
        <w:t>”</w:t>
      </w:r>
      <w:r>
        <w:rPr>
          <w:rFonts w:eastAsia="楷体_GB2312" w:cs="MingLiU_HKSCS"/>
          <w:lang w:val="zh-CN"/>
        </w:rPr>
        <w:t>的发明专利，该合成方法于</w:t>
      </w:r>
      <w:r>
        <w:rPr>
          <w:rFonts w:eastAsia="楷体_GB2312" w:cs="MingLiU_HKSCS"/>
          <w:lang w:val="zh-CN"/>
        </w:rPr>
        <w:t>2008</w:t>
      </w:r>
      <w:r>
        <w:rPr>
          <w:rFonts w:eastAsia="楷体_GB2312" w:cs="MingLiU_HKSCS"/>
          <w:lang w:val="zh-CN"/>
        </w:rPr>
        <w:t>年</w:t>
      </w:r>
      <w:r>
        <w:rPr>
          <w:rFonts w:eastAsia="楷体_GB2312" w:cs="MingLiU_HKSCS"/>
          <w:lang w:val="zh-CN"/>
        </w:rPr>
        <w:t>12</w:t>
      </w:r>
      <w:r>
        <w:rPr>
          <w:rFonts w:eastAsia="楷体_GB2312" w:cs="MingLiU_HKSCS"/>
          <w:lang w:val="zh-CN"/>
        </w:rPr>
        <w:t>月</w:t>
      </w:r>
      <w:r>
        <w:rPr>
          <w:rFonts w:eastAsia="楷体_GB2312" w:cs="MingLiU_HKSCS"/>
          <w:lang w:val="zh-CN"/>
        </w:rPr>
        <w:t>17</w:t>
      </w:r>
      <w:r>
        <w:rPr>
          <w:rFonts w:eastAsia="楷体_GB2312" w:cs="MingLiU_HKSCS"/>
          <w:lang w:val="zh-CN"/>
        </w:rPr>
        <w:t>日通过授权公告，专利号为</w:t>
      </w:r>
      <w:r>
        <w:rPr>
          <w:rFonts w:eastAsia="楷体_GB2312" w:cs="MingLiU_HKSCS"/>
          <w:lang w:val="zh-CN"/>
        </w:rPr>
        <w:t>ZL20061××××××.×,</w:t>
      </w:r>
      <w:r>
        <w:rPr>
          <w:rFonts w:eastAsia="楷体_GB2312" w:cs="MingLiU_HKSCS"/>
          <w:lang w:val="zh-CN"/>
        </w:rPr>
        <w:t>发明人为</w:t>
      </w:r>
      <w:r>
        <w:rPr>
          <w:rFonts w:eastAsia="楷体_GB2312" w:cs="MingLiU_HKSCS" w:hint="eastAsia"/>
          <w:lang w:val="zh-CN"/>
        </w:rPr>
        <w:t>甲</w:t>
      </w:r>
      <w:r>
        <w:rPr>
          <w:rFonts w:eastAsia="楷体_GB2312" w:cs="MingLiU_HKSCS"/>
          <w:lang w:val="zh-CN"/>
        </w:rPr>
        <w:t>，专利权人为该化工公司。该涉案专利</w:t>
      </w:r>
      <w:r>
        <w:rPr>
          <w:rFonts w:eastAsia="楷体_GB2312" w:cs="MingLiU_HKSCS" w:hint="eastAsia"/>
          <w:lang w:val="zh-CN"/>
        </w:rPr>
        <w:t>与</w:t>
      </w:r>
      <w:r>
        <w:rPr>
          <w:rFonts w:eastAsia="楷体_GB2312" w:cs="MingLiU_HKSCS"/>
          <w:lang w:val="zh-CN"/>
        </w:rPr>
        <w:t>《</w:t>
      </w:r>
      <w:r>
        <w:rPr>
          <w:rFonts w:eastAsia="楷体_GB2312" w:cs="MingLiU_HKSCS"/>
          <w:lang w:val="zh-CN"/>
        </w:rPr>
        <w:t>×××</w:t>
      </w:r>
      <w:r>
        <w:rPr>
          <w:rFonts w:eastAsia="楷体_GB2312" w:cs="MingLiU_HKSCS"/>
          <w:lang w:val="zh-CN"/>
        </w:rPr>
        <w:t>合成工艺研究总结报告》</w:t>
      </w:r>
      <w:r>
        <w:rPr>
          <w:rFonts w:eastAsia="楷体_GB2312" w:cs="MingLiU_HKSCS" w:hint="eastAsia"/>
          <w:lang w:val="zh-CN"/>
        </w:rPr>
        <w:t>中</w:t>
      </w:r>
      <w:r>
        <w:rPr>
          <w:rFonts w:eastAsia="楷体_GB2312" w:cs="MingLiU_HKSCS"/>
          <w:lang w:val="zh-CN"/>
        </w:rPr>
        <w:t>提出的工艺技术具有高度一致性，涉案专利属于该工艺技术的一部分。</w:t>
      </w:r>
      <w:r>
        <w:rPr>
          <w:rFonts w:eastAsia="楷体_GB2312" w:cs="MingLiU_HKSCS" w:hint="eastAsia"/>
          <w:lang w:val="zh-CN"/>
        </w:rPr>
        <w:t>甲</w:t>
      </w:r>
      <w:r>
        <w:rPr>
          <w:rFonts w:eastAsia="楷体_GB2312" w:cs="MingLiU_HKSCS"/>
          <w:lang w:val="zh-CN"/>
        </w:rPr>
        <w:t>请求化工公司支付其专利实施报酬</w:t>
      </w:r>
      <w:r>
        <w:rPr>
          <w:rFonts w:eastAsia="楷体_GB2312" w:cs="MingLiU_HKSCS"/>
          <w:lang w:val="zh-CN"/>
        </w:rPr>
        <w:t>1090.5</w:t>
      </w:r>
      <w:r>
        <w:rPr>
          <w:rFonts w:eastAsia="楷体_GB2312" w:cs="MingLiU_HKSCS"/>
          <w:lang w:val="zh-CN"/>
        </w:rPr>
        <w:t>万元。</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bookmarkStart w:id="7608" w:name="bookmark208"/>
      <w:bookmarkEnd w:id="7608"/>
      <w:r>
        <w:rPr>
          <w:rFonts w:eastAsia="楷体_GB2312" w:cs="MingLiU_HKSCS"/>
          <w:lang w:val="zh-CN"/>
        </w:rPr>
        <w:t>对于职务发明，被授予专利权的单位在发明专利实施后应当对发明人给予合理的报酬。如果单位和发明人对专利实施后的报酬无约定，即使单位在专利申请前已向发明人发放过奖金、股权等奖励，在专利实施后，单位仍然应向发明人支付专利实施报酬。该案中，无论是化工公司于</w:t>
      </w:r>
      <w:r>
        <w:rPr>
          <w:rFonts w:eastAsia="楷体_GB2312" w:cs="MingLiU_HKSCS"/>
          <w:lang w:val="zh-CN"/>
        </w:rPr>
        <w:t>2004</w:t>
      </w:r>
      <w:r>
        <w:rPr>
          <w:rFonts w:eastAsia="楷体_GB2312" w:cs="MingLiU_HKSCS"/>
          <w:lang w:val="zh-CN"/>
        </w:rPr>
        <w:t>年</w:t>
      </w:r>
      <w:r>
        <w:rPr>
          <w:rFonts w:eastAsia="楷体_GB2312" w:cs="MingLiU_HKSCS"/>
          <w:lang w:val="zh-CN"/>
        </w:rPr>
        <w:t>2</w:t>
      </w:r>
      <w:r>
        <w:rPr>
          <w:rFonts w:eastAsia="楷体_GB2312" w:cs="MingLiU_HKSCS"/>
          <w:lang w:val="zh-CN"/>
        </w:rPr>
        <w:t>月</w:t>
      </w:r>
      <w:r>
        <w:rPr>
          <w:rFonts w:eastAsia="楷体_GB2312" w:cs="MingLiU_HKSCS"/>
          <w:lang w:val="zh-CN"/>
        </w:rPr>
        <w:t>4</w:t>
      </w:r>
      <w:r>
        <w:rPr>
          <w:rFonts w:eastAsia="楷体_GB2312" w:cs="MingLiU_HKSCS"/>
          <w:lang w:val="zh-CN"/>
        </w:rPr>
        <w:t>日因</w:t>
      </w:r>
      <w:r>
        <w:rPr>
          <w:rFonts w:eastAsia="楷体_GB2312" w:cs="MingLiU_HKSCS" w:hint="eastAsia"/>
          <w:lang w:val="zh-CN"/>
        </w:rPr>
        <w:t>甲</w:t>
      </w:r>
      <w:r>
        <w:rPr>
          <w:rFonts w:eastAsia="楷体_GB2312" w:cs="MingLiU_HKSCS"/>
          <w:lang w:val="zh-CN"/>
        </w:rPr>
        <w:t>在</w:t>
      </w:r>
      <w:r>
        <w:rPr>
          <w:rFonts w:eastAsia="楷体_GB2312" w:cs="MingLiU_HKSCS"/>
          <w:lang w:val="zh-CN"/>
        </w:rPr>
        <w:t>×××</w:t>
      </w:r>
      <w:r>
        <w:rPr>
          <w:rFonts w:eastAsia="楷体_GB2312" w:cs="MingLiU_HKSCS"/>
          <w:lang w:val="zh-CN"/>
        </w:rPr>
        <w:t>项目开发中的突出贡献给予其</w:t>
      </w:r>
      <w:r>
        <w:rPr>
          <w:rFonts w:eastAsia="楷体_GB2312" w:cs="MingLiU_HKSCS"/>
          <w:lang w:val="zh-CN"/>
        </w:rPr>
        <w:t>2003</w:t>
      </w:r>
      <w:r>
        <w:rPr>
          <w:rFonts w:eastAsia="楷体_GB2312" w:cs="MingLiU_HKSCS"/>
          <w:lang w:val="zh-CN"/>
        </w:rPr>
        <w:t>年度</w:t>
      </w:r>
      <w:r>
        <w:rPr>
          <w:rFonts w:eastAsia="楷体_GB2312" w:cs="MingLiU_HKSCS"/>
          <w:lang w:val="zh-CN"/>
        </w:rPr>
        <w:t>1-12</w:t>
      </w:r>
      <w:r>
        <w:rPr>
          <w:rFonts w:eastAsia="楷体_GB2312" w:cs="MingLiU_HKSCS"/>
          <w:lang w:val="zh-CN"/>
        </w:rPr>
        <w:t>月绩效奖励</w:t>
      </w:r>
      <w:r>
        <w:rPr>
          <w:rFonts w:eastAsia="楷体_GB2312" w:cs="MingLiU_HKSCS"/>
          <w:lang w:val="zh-CN"/>
        </w:rPr>
        <w:t>10</w:t>
      </w:r>
      <w:r>
        <w:rPr>
          <w:rFonts w:eastAsia="楷体_GB2312" w:cs="MingLiU_HKSCS"/>
          <w:lang w:val="zh-CN"/>
        </w:rPr>
        <w:t>万元，还是化工公司于</w:t>
      </w:r>
      <w:r>
        <w:rPr>
          <w:rFonts w:eastAsia="楷体_GB2312" w:cs="MingLiU_HKSCS"/>
          <w:lang w:val="zh-CN"/>
        </w:rPr>
        <w:t>2004</w:t>
      </w:r>
      <w:r>
        <w:rPr>
          <w:rFonts w:eastAsia="楷体_GB2312" w:cs="MingLiU_HKSCS"/>
          <w:lang w:val="zh-CN"/>
        </w:rPr>
        <w:t>年根据上级主管单位的批复，对化工公司经营及技术团队实施股权奖励，给予</w:t>
      </w:r>
      <w:r>
        <w:rPr>
          <w:rFonts w:eastAsia="楷体_GB2312" w:cs="MingLiU_HKSCS" w:hint="eastAsia"/>
          <w:lang w:val="zh-CN"/>
        </w:rPr>
        <w:t>甲</w:t>
      </w:r>
      <w:r>
        <w:rPr>
          <w:rFonts w:eastAsia="楷体_GB2312" w:cs="MingLiU_HKSCS"/>
          <w:lang w:val="zh-CN"/>
        </w:rPr>
        <w:t>1%</w:t>
      </w:r>
      <w:r>
        <w:rPr>
          <w:rFonts w:eastAsia="楷体_GB2312" w:cs="MingLiU_HKSCS"/>
          <w:lang w:val="zh-CN"/>
        </w:rPr>
        <w:t>的公司股权，均发生在涉案专利获得授权之前，上述奖励不属于化工公司基于专利法的相关规定对</w:t>
      </w:r>
      <w:r>
        <w:rPr>
          <w:rFonts w:eastAsia="楷体_GB2312" w:cs="MingLiU_HKSCS" w:hint="eastAsia"/>
          <w:lang w:val="zh-CN"/>
        </w:rPr>
        <w:t>甲</w:t>
      </w:r>
      <w:r>
        <w:rPr>
          <w:rFonts w:eastAsia="楷体_GB2312" w:cs="MingLiU_HKSCS"/>
          <w:lang w:val="zh-CN"/>
        </w:rPr>
        <w:t>主张的涉案专利的报酬。</w:t>
      </w:r>
    </w:p>
    <w:p w:rsidR="00800760" w:rsidRDefault="00235733">
      <w:pPr>
        <w:spacing w:line="360" w:lineRule="auto"/>
        <w:rPr>
          <w:rFonts w:eastAsia="楷体_GB2312" w:cs="MingLiU_HKSCS"/>
          <w:lang w:val="zh-CN"/>
        </w:rPr>
      </w:pPr>
      <w:r>
        <w:rPr>
          <w:rFonts w:eastAsia="楷体_GB2312" w:cs="MingLiU_HKSCS"/>
          <w:lang w:val="zh-CN"/>
        </w:rPr>
        <w:t>根据法律规定，职务发明创造的发明人或者设计人依法享有专利奖励请求权和专利实施报酬请求权。法律、法规允许当事人对奖励和报酬的方式和数额进行约定，其目的在于以更灵活的手段更充分地保障职务发明创造者的合法权益，鼓励和激励科技人员创新的积极性，促进科技成果的转化。因此，给予职务发明人或设计人以奖励系发明人或设计人所在的被授予专利权的单位的法定义务，这种义务具有强制性。虽然用人单位对于奖励的方式和数额拥有一定的自主权，但是《专利法》及《专利法实施细则》均不允许用人单位以任何理由免除履行或者变相免除履行该义务。虽然该案中某化工公司在涉案专利申请前曾与发明人签订过技术研发合同，公司内部也制定了相关技术管理办法，但无论是双方签订的研发合同，还是技术管理办法，对涉案技术获得专利授权后的实施报酬并没有明确的约定或者规定，故该化工公司认为在专利申请前，其已经就同一技术向发明人发放了奖金、股权等奖励，无须再另行支付专利实施报酬的抗辩理由不能成立，其应当综合考虑涉案专利的创造性高度、</w:t>
      </w:r>
      <w:r>
        <w:rPr>
          <w:rFonts w:eastAsia="楷体_GB2312" w:cs="MingLiU_HKSCS" w:hint="eastAsia"/>
          <w:lang w:val="zh-CN"/>
        </w:rPr>
        <w:t>甲</w:t>
      </w:r>
      <w:r>
        <w:rPr>
          <w:rFonts w:eastAsia="楷体_GB2312" w:cs="MingLiU_HKSCS"/>
          <w:lang w:val="zh-CN"/>
        </w:rPr>
        <w:t>对涉案专利所作的贡献以及涉案专利实施所产生的营业利润等情况，向</w:t>
      </w:r>
      <w:r>
        <w:rPr>
          <w:rFonts w:eastAsia="楷体_GB2312" w:cs="MingLiU_HKSCS" w:hint="eastAsia"/>
          <w:lang w:val="zh-CN"/>
        </w:rPr>
        <w:t>甲</w:t>
      </w:r>
      <w:r>
        <w:rPr>
          <w:rFonts w:eastAsia="楷体_GB2312" w:cs="MingLiU_HKSCS"/>
          <w:lang w:val="zh-CN"/>
        </w:rPr>
        <w:t>支付涉案专利实施报酬。</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三</w:t>
      </w:r>
      <w:r>
        <w:rPr>
          <w:rFonts w:ascii="Times New Roman" w:hAnsi="Times New Roman"/>
        </w:rPr>
        <w:t>)</w:t>
      </w:r>
      <w:r>
        <w:rPr>
          <w:rFonts w:ascii="Times New Roman" w:hAnsi="Times New Roman"/>
        </w:rPr>
        <w:t>许可与转让专利权报酬支付</w:t>
      </w:r>
    </w:p>
    <w:p w:rsidR="00800760" w:rsidRDefault="00235733">
      <w:pPr>
        <w:ind w:firstLine="436"/>
        <w:jc w:val="both"/>
        <w:rPr>
          <w:rFonts w:cs="宋体"/>
          <w:spacing w:val="4"/>
        </w:rPr>
      </w:pPr>
      <w:r>
        <w:rPr>
          <w:rFonts w:cs="宋体"/>
          <w:spacing w:val="4"/>
        </w:rPr>
        <w:t>单位许可其他单位或者个人实施其专利或者转让其专利，获得收益的，可以与职务发明人或设计人约定支付报酬的数额、比例与方式。单位应当按照约定支付报酬。没有约定的，应当</w:t>
      </w:r>
      <w:r>
        <w:rPr>
          <w:rFonts w:cs="宋体" w:hint="eastAsia"/>
          <w:spacing w:val="4"/>
        </w:rPr>
        <w:t>按照《中华人民共和国促进科技成果转化法》的规定，从该项专利技术转让净收入或者许可净收入中提取不低于百分之五十的比例，</w:t>
      </w:r>
      <w:r>
        <w:rPr>
          <w:rFonts w:cs="宋体"/>
          <w:spacing w:val="4"/>
        </w:rPr>
        <w:t>作为报酬给予发明人或设计人。</w:t>
      </w:r>
    </w:p>
    <w:p w:rsidR="00800760" w:rsidRDefault="00235733">
      <w:pPr>
        <w:ind w:firstLine="436"/>
        <w:jc w:val="both"/>
        <w:rPr>
          <w:rFonts w:cs="宋体"/>
          <w:spacing w:val="4"/>
        </w:rPr>
      </w:pPr>
      <w:r>
        <w:rPr>
          <w:rFonts w:cs="宋体"/>
          <w:spacing w:val="4"/>
        </w:rPr>
        <w:t>单位以专利权</w:t>
      </w:r>
      <w:r>
        <w:rPr>
          <w:rFonts w:cs="宋体" w:hint="eastAsia"/>
          <w:spacing w:val="4"/>
        </w:rPr>
        <w:t>作价</w:t>
      </w:r>
      <w:r>
        <w:rPr>
          <w:rFonts w:cs="宋体"/>
          <w:spacing w:val="4"/>
        </w:rPr>
        <w:t>出资的，</w:t>
      </w:r>
      <w:r>
        <w:rPr>
          <w:rFonts w:cs="宋体" w:hint="eastAsia"/>
          <w:spacing w:val="4"/>
        </w:rPr>
        <w:t>按照《中华人民共和国促进科技成果转化法》的规定，</w:t>
      </w:r>
      <w:r>
        <w:rPr>
          <w:rFonts w:cs="宋体"/>
          <w:spacing w:val="4"/>
        </w:rPr>
        <w:t>从该项</w:t>
      </w:r>
      <w:r>
        <w:rPr>
          <w:rFonts w:cs="宋体" w:hint="eastAsia"/>
          <w:spacing w:val="4"/>
        </w:rPr>
        <w:t>专利技术</w:t>
      </w:r>
      <w:r>
        <w:rPr>
          <w:rFonts w:cs="宋体"/>
          <w:spacing w:val="4"/>
        </w:rPr>
        <w:t>形成的股份或者出资比例中提取不低于百分之五十的比例</w:t>
      </w:r>
      <w:r>
        <w:rPr>
          <w:rFonts w:cs="宋体"/>
          <w:spacing w:val="4"/>
        </w:rPr>
        <w:t>,</w:t>
      </w:r>
      <w:r>
        <w:rPr>
          <w:rFonts w:cs="宋体"/>
          <w:spacing w:val="4"/>
        </w:rPr>
        <w:t>作为报酬给予发明人或设计人。</w:t>
      </w:r>
    </w:p>
    <w:p w:rsidR="00800760" w:rsidRDefault="00235733">
      <w:pPr>
        <w:ind w:firstLine="436"/>
        <w:jc w:val="both"/>
        <w:rPr>
          <w:rFonts w:cs="宋体"/>
          <w:spacing w:val="4"/>
        </w:rPr>
      </w:pPr>
      <w:r>
        <w:rPr>
          <w:rFonts w:cs="宋体"/>
          <w:spacing w:val="4"/>
        </w:rPr>
        <w:t>因单位经营策略或者发展模式的需要而低价、无偿转让或者许可他人实施职务发明创造专利的，应当参照相关技术的市场价格，合理确定对职务发明人或设计人的报酬。</w:t>
      </w:r>
    </w:p>
    <w:p w:rsidR="00800760" w:rsidRDefault="00235733">
      <w:pPr>
        <w:ind w:firstLine="436"/>
        <w:jc w:val="both"/>
        <w:rPr>
          <w:rFonts w:cs="宋体"/>
        </w:rPr>
      </w:pPr>
      <w:r>
        <w:rPr>
          <w:rFonts w:cs="宋体"/>
          <w:spacing w:val="4"/>
        </w:rPr>
        <w:t>被授予的专利权在单位支付报酬前被依法宣告无效的，单位不再负有支付报酬的义务。支付报酬后专利权被依法宣告无效的，职务发明人或设计人可以不予返还报酬。</w:t>
      </w:r>
    </w:p>
    <w:p w:rsidR="00800760" w:rsidRDefault="00235733">
      <w:pPr>
        <w:pStyle w:val="af6"/>
        <w:spacing w:before="120"/>
        <w:ind w:firstLine="420"/>
      </w:pPr>
      <w:bookmarkStart w:id="7609" w:name="bookmark209"/>
      <w:bookmarkEnd w:id="7609"/>
      <w:r>
        <w:rPr>
          <w:rFonts w:hint="eastAsia"/>
        </w:rPr>
        <w:t>【案例5</w:t>
      </w:r>
      <w:r>
        <w:t>-3-8</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某案中，请求人要求单位支付职务发明人报酬。单位将涉案专利许可给其作为大股东的另一公司使用，主张应当按照许可费的一定比例确定报酬。请求人认为许可费明显偏低，不予认可。</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rsidP="00144708">
      <w:pPr>
        <w:spacing w:line="360" w:lineRule="auto"/>
      </w:pPr>
      <w:r>
        <w:rPr>
          <w:rFonts w:eastAsia="楷体_GB2312" w:cs="MingLiU_HKSCS"/>
          <w:lang w:val="zh-CN"/>
        </w:rPr>
        <w:t>单位许可他人实施职务发明创造专利的，如果没有约定，</w:t>
      </w:r>
      <w:r>
        <w:rPr>
          <w:rFonts w:eastAsia="楷体_GB2312" w:cs="MingLiU_HKSCS" w:hint="eastAsia"/>
          <w:lang w:val="zh-CN"/>
        </w:rPr>
        <w:t>应按照</w:t>
      </w:r>
      <w:r>
        <w:rPr>
          <w:rFonts w:eastAsia="楷体_GB2312" w:cs="MingLiU_HKSCS"/>
          <w:lang w:val="zh-CN"/>
        </w:rPr>
        <w:t>《专利法实施细则》第</w:t>
      </w:r>
      <w:r>
        <w:rPr>
          <w:rFonts w:eastAsia="楷体_GB2312" w:cs="MingLiU_HKSCS" w:hint="eastAsia"/>
          <w:lang w:val="zh-CN"/>
        </w:rPr>
        <w:t>九十四</w:t>
      </w:r>
      <w:r>
        <w:rPr>
          <w:rFonts w:eastAsia="楷体_GB2312" w:cs="MingLiU_HKSCS"/>
          <w:lang w:val="zh-CN"/>
        </w:rPr>
        <w:t>条的</w:t>
      </w:r>
      <w:r>
        <w:rPr>
          <w:rFonts w:eastAsia="楷体_GB2312" w:cs="MingLiU_HKSCS" w:hint="eastAsia"/>
          <w:lang w:val="zh-CN"/>
        </w:rPr>
        <w:t>相关</w:t>
      </w:r>
      <w:r>
        <w:rPr>
          <w:rFonts w:eastAsia="楷体_GB2312" w:cs="MingLiU_HKSCS"/>
          <w:lang w:val="zh-CN"/>
        </w:rPr>
        <w:t>规定支付报酬</w:t>
      </w:r>
      <w:r>
        <w:rPr>
          <w:rFonts w:eastAsia="楷体_GB2312" w:cs="MingLiU_HKSCS" w:hint="eastAsia"/>
          <w:lang w:val="zh-CN"/>
        </w:rPr>
        <w:t>，其中所参照的《中华人民共和国促进科技成果转化法》中所规定的比例基础涉及许可净收入。</w:t>
      </w:r>
      <w:r>
        <w:rPr>
          <w:rFonts w:eastAsia="楷体_GB2312" w:cs="MingLiU_HKSCS"/>
          <w:lang w:val="zh-CN"/>
        </w:rPr>
        <w:t>许可净收入是指企业取得的科技成果许可收入扣除相关税费和企业为该项科技成果投入的全部研发费用及维护、维权费用后的金额</w:t>
      </w:r>
      <w:r>
        <w:rPr>
          <w:rFonts w:eastAsia="楷体_GB2312" w:cs="MingLiU_HKSCS" w:hint="eastAsia"/>
          <w:lang w:val="zh-CN"/>
        </w:rPr>
        <w:t>，该许可净收入与许可费密切正相关，</w:t>
      </w:r>
      <w:r>
        <w:rPr>
          <w:rFonts w:eastAsia="楷体_GB2312" w:cs="MingLiU_HKSCS"/>
          <w:lang w:val="zh-CN"/>
        </w:rPr>
        <w:t>但许可费应当为按照市场行情确定的许可费。该案中，由于许可人是被许可人的股东，二者之间存在直接投资关系，且代表许可人和被许可人签订专利实施许可合同的是同一个人，因此，在没有同类专利许可使用费作为参照的情况下</w:t>
      </w:r>
      <w:r>
        <w:rPr>
          <w:rFonts w:eastAsia="楷体_GB2312" w:cs="MingLiU_HKSCS" w:hint="eastAsia"/>
          <w:lang w:val="zh-CN"/>
        </w:rPr>
        <w:t>，</w:t>
      </w:r>
      <w:r>
        <w:rPr>
          <w:rFonts w:eastAsia="楷体_GB2312" w:cs="MingLiU_HKSCS"/>
          <w:lang w:val="zh-CN"/>
        </w:rPr>
        <w:t>仅以两个关联公司约定的专利许可使用费作为发明人报酬的计算依据并不客观。许可费明显偏低，损害了发明人的利益。由于双方当事人均未提供证据证明按照市场行情确定的许可费的具体数额，因此相关部门可以根据涉案专利产品的销售情况酌情确定合理的许可费，并在此基础上</w:t>
      </w:r>
      <w:r>
        <w:rPr>
          <w:rFonts w:eastAsia="楷体_GB2312" w:cs="MingLiU_HKSCS" w:hint="eastAsia"/>
          <w:lang w:val="zh-CN"/>
        </w:rPr>
        <w:t>计算许可净收入，从而</w:t>
      </w:r>
      <w:r>
        <w:rPr>
          <w:rFonts w:eastAsia="楷体_GB2312" w:cs="MingLiU_HKSCS"/>
          <w:lang w:val="zh-CN"/>
        </w:rPr>
        <w:t>确定应付报酬的金额。</w:t>
      </w:r>
    </w:p>
    <w:p w:rsidR="00800760" w:rsidRDefault="00235733">
      <w:pPr>
        <w:pStyle w:val="2"/>
        <w:spacing w:before="92"/>
        <w:ind w:firstLineChars="0" w:firstLine="0"/>
        <w:rPr>
          <w:rFonts w:ascii="Times New Roman" w:hAnsi="Times New Roman"/>
        </w:rPr>
      </w:pPr>
      <w:bookmarkStart w:id="7610" w:name="_Toc5363"/>
      <w:bookmarkStart w:id="7611" w:name="_Toc7512"/>
      <w:bookmarkStart w:id="7612" w:name="_Toc30295"/>
      <w:bookmarkStart w:id="7613" w:name="_Toc742"/>
      <w:bookmarkStart w:id="7614" w:name="_Toc31899"/>
      <w:bookmarkStart w:id="7615" w:name="_Toc4253"/>
      <w:bookmarkStart w:id="7616" w:name="_Toc6730"/>
      <w:bookmarkStart w:id="7617" w:name="_Toc5853"/>
      <w:bookmarkStart w:id="7618" w:name="_Toc9742"/>
      <w:bookmarkStart w:id="7619" w:name="_Toc32765"/>
      <w:bookmarkStart w:id="7620" w:name="_Toc8809"/>
      <w:bookmarkStart w:id="7621" w:name="_Toc8371"/>
      <w:bookmarkStart w:id="7622" w:name="_Toc32494"/>
      <w:bookmarkStart w:id="7623" w:name="_Toc18204"/>
      <w:bookmarkStart w:id="7624" w:name="_Toc19466"/>
      <w:bookmarkStart w:id="7625" w:name="_Toc31378"/>
      <w:bookmarkStart w:id="7626" w:name="_Toc2124"/>
      <w:bookmarkStart w:id="7627" w:name="_Toc13566"/>
      <w:bookmarkStart w:id="7628" w:name="_Toc14498"/>
      <w:bookmarkStart w:id="7629" w:name="_Toc18692"/>
      <w:bookmarkStart w:id="7630" w:name="_Toc125"/>
      <w:bookmarkStart w:id="7631" w:name="_Toc32499"/>
      <w:bookmarkStart w:id="7632" w:name="_Toc31023"/>
      <w:bookmarkStart w:id="7633" w:name="_Toc22010"/>
      <w:bookmarkStart w:id="7634" w:name="_Toc16919"/>
      <w:bookmarkStart w:id="7635" w:name="_Toc11261"/>
      <w:bookmarkStart w:id="7636" w:name="_Toc14059"/>
      <w:bookmarkStart w:id="7637" w:name="_Toc25593"/>
      <w:bookmarkStart w:id="7638" w:name="_Toc27893"/>
      <w:bookmarkStart w:id="7639" w:name="_Toc5096"/>
      <w:bookmarkStart w:id="7640" w:name="_Toc20180"/>
      <w:bookmarkStart w:id="7641" w:name="_Toc31136"/>
      <w:bookmarkStart w:id="7642" w:name="_Toc229114514"/>
      <w:bookmarkStart w:id="7643" w:name="_Toc11577"/>
      <w:bookmarkStart w:id="7644" w:name="_Toc9326"/>
      <w:bookmarkStart w:id="7645" w:name="_Toc27498"/>
      <w:bookmarkStart w:id="7646" w:name="_Toc25044"/>
      <w:bookmarkStart w:id="7647" w:name="_Toc10920"/>
      <w:bookmarkStart w:id="7648" w:name="_Toc14057"/>
      <w:bookmarkStart w:id="7649" w:name="_Toc15276"/>
      <w:bookmarkStart w:id="7650" w:name="_Toc32359"/>
      <w:bookmarkStart w:id="7651" w:name="_Toc9234"/>
      <w:bookmarkStart w:id="7652" w:name="_Toc1290"/>
      <w:bookmarkStart w:id="7653" w:name="_Toc229225610"/>
      <w:r>
        <w:rPr>
          <w:rFonts w:ascii="Times New Roman" w:hAnsi="Times New Roman"/>
        </w:rPr>
        <w:t>第四节</w:t>
      </w:r>
      <w:r>
        <w:rPr>
          <w:rFonts w:ascii="Times New Roman" w:hAnsi="Times New Roman" w:hint="eastAsia"/>
        </w:rPr>
        <w:t xml:space="preserve">　</w:t>
      </w:r>
      <w:r>
        <w:rPr>
          <w:rFonts w:ascii="Times New Roman" w:hAnsi="Times New Roman"/>
        </w:rPr>
        <w:t>多个发明人或设计人之间的奖酬纠纷的调解原则</w:t>
      </w:r>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p>
    <w:p w:rsidR="00800760" w:rsidRDefault="00235733">
      <w:pPr>
        <w:ind w:firstLine="436"/>
        <w:jc w:val="both"/>
        <w:rPr>
          <w:rFonts w:cs="宋体"/>
          <w:spacing w:val="4"/>
        </w:rPr>
      </w:pPr>
      <w:r>
        <w:rPr>
          <w:rFonts w:cs="宋体"/>
          <w:spacing w:val="4"/>
        </w:rPr>
        <w:t>职务发明人或设计人有</w:t>
      </w:r>
      <w:r>
        <w:rPr>
          <w:rFonts w:cs="宋体"/>
          <w:spacing w:val="4"/>
        </w:rPr>
        <w:t>2</w:t>
      </w:r>
      <w:r>
        <w:rPr>
          <w:rFonts w:cs="宋体"/>
          <w:spacing w:val="4"/>
        </w:rPr>
        <w:t>个或</w:t>
      </w:r>
      <w:r>
        <w:rPr>
          <w:rFonts w:cs="宋体"/>
          <w:spacing w:val="4"/>
        </w:rPr>
        <w:t>2</w:t>
      </w:r>
      <w:r>
        <w:rPr>
          <w:rFonts w:cs="宋体"/>
          <w:spacing w:val="4"/>
        </w:rPr>
        <w:t>个以上的，奖励和报酬应当按照各发明人或设计人的贡献大小在发明人或设计人之间分配。奖励或报酬视为发明人或设计人之间按份共有。对发明创造贡献大的，所占份额大；贡献小的，所占份额也小。</w:t>
      </w:r>
    </w:p>
    <w:p w:rsidR="00800760" w:rsidRDefault="00235733">
      <w:pPr>
        <w:ind w:firstLine="436"/>
        <w:jc w:val="both"/>
        <w:rPr>
          <w:rFonts w:cs="宋体"/>
          <w:spacing w:val="4"/>
        </w:rPr>
      </w:pPr>
      <w:r>
        <w:rPr>
          <w:rFonts w:cs="宋体"/>
          <w:spacing w:val="4"/>
        </w:rPr>
        <w:t>主张自己贡献大应当多分的发明人或设计人负有举证证明其贡献较其他发明人或设计人大的责任。如果主张应该多分的请求缺乏证据支持，则发明人或设计人的贡献应当视为同等大小，由全体发明人或设计人平均分配奖励、报酬。</w:t>
      </w:r>
    </w:p>
    <w:p w:rsidR="00800760" w:rsidRDefault="00235733">
      <w:pPr>
        <w:ind w:firstLine="436"/>
        <w:jc w:val="both"/>
        <w:rPr>
          <w:rFonts w:cs="宋体"/>
          <w:spacing w:val="4"/>
        </w:rPr>
      </w:pPr>
      <w:r>
        <w:rPr>
          <w:rFonts w:cs="宋体"/>
          <w:spacing w:val="4"/>
        </w:rPr>
        <w:t>对职务发明创造作出创造性贡献的大小与发明人或设计人在专利申请文件上的排名、在单位中的职位高低等没有必然联系。</w:t>
      </w:r>
    </w:p>
    <w:p w:rsidR="00800760" w:rsidRDefault="00235733">
      <w:pPr>
        <w:ind w:firstLine="436"/>
        <w:jc w:val="both"/>
        <w:rPr>
          <w:rFonts w:cs="宋体"/>
          <w:spacing w:val="4"/>
        </w:rPr>
      </w:pPr>
      <w:r>
        <w:rPr>
          <w:rFonts w:cs="宋体"/>
          <w:spacing w:val="4"/>
        </w:rPr>
        <w:t>发明人或设计人之间存在分配比例协议的，应当按照分配协议进行分配。</w:t>
      </w:r>
    </w:p>
    <w:p w:rsidR="00800760" w:rsidRDefault="00235733">
      <w:pPr>
        <w:ind w:firstLineChars="0" w:firstLine="436"/>
        <w:jc w:val="both"/>
        <w:rPr>
          <w:rFonts w:cs="宋体"/>
          <w:spacing w:val="4"/>
        </w:rPr>
      </w:pPr>
      <w:r>
        <w:rPr>
          <w:rFonts w:cs="宋体"/>
          <w:spacing w:val="4"/>
        </w:rPr>
        <w:t>部分发明人或设计人放弃获得奖励、报酬的权利，其他发明人或设计人有权获得全部奖励或报酬。</w:t>
      </w:r>
    </w:p>
    <w:p w:rsidR="00800760" w:rsidRDefault="00235733">
      <w:pPr>
        <w:pStyle w:val="af6"/>
        <w:spacing w:before="120"/>
        <w:ind w:firstLine="420"/>
      </w:pPr>
      <w:bookmarkStart w:id="7654" w:name="bookmark210"/>
      <w:bookmarkEnd w:id="7654"/>
      <w:r>
        <w:rPr>
          <w:rFonts w:hint="eastAsia"/>
        </w:rPr>
        <w:t>【案例5</w:t>
      </w:r>
      <w:r>
        <w:t>-4-1</w:t>
      </w:r>
      <w:r>
        <w:rPr>
          <w:rFonts w:hint="eastAsia"/>
        </w:rPr>
        <w:t>】</w:t>
      </w:r>
    </w:p>
    <w:p w:rsidR="00800760" w:rsidRDefault="00235733">
      <w:pPr>
        <w:spacing w:line="360" w:lineRule="auto"/>
        <w:rPr>
          <w:rFonts w:eastAsia="楷体_GB2312" w:cs="MingLiU_HKSCS"/>
          <w:lang w:val="zh-CN"/>
        </w:rPr>
      </w:pPr>
      <w:r>
        <w:rPr>
          <w:rFonts w:eastAsia="楷体_GB2312" w:cs="MingLiU_HKSCS"/>
          <w:lang w:val="zh-CN"/>
        </w:rPr>
        <w:t>某案中，请求人与另一员工作为共同发明人研发完成并获得了一项实用新型专利，并由所在公司实施。请求人要求该公司支付报酬，并与另一发明人平分。该公司认为，请求人在申请文件上的排名靠后，职务比另一发明人低，不应平分报酬。</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职务发明创造有多个发明人或设计人的，所得报酬应当按照各发明人或设计人的创造性贡献大小来确定报酬的份额。发明人或设计人之间就报酬分配达成协议的，应当视为证明贡献大小的证据。发明人或设计人</w:t>
      </w:r>
      <w:r>
        <w:rPr>
          <w:rFonts w:eastAsia="楷体_GB2312" w:cs="MingLiU_HKSCS" w:hint="eastAsia"/>
          <w:lang w:val="zh-CN"/>
        </w:rPr>
        <w:t>在专利申请文件中的</w:t>
      </w:r>
      <w:r>
        <w:rPr>
          <w:rFonts w:eastAsia="楷体_GB2312" w:cs="MingLiU_HKSCS"/>
          <w:lang w:val="zh-CN"/>
        </w:rPr>
        <w:t>排序、职位高低、由谁立项研发等不能直接反映各发明人或设计人在该专利研发、设计过程中所做的具体工作和业绩，不必然表明相应的贡献大小。在没有足够证据证明各发明人或设计人的贡献大小时，应依法推定各发明人或设计人具有相同的贡献，应当平分专利报酬。该案中，该公司没有证据证明请求人的贡献小，其依发明人</w:t>
      </w:r>
      <w:r>
        <w:rPr>
          <w:rFonts w:eastAsia="楷体_GB2312" w:cs="MingLiU_HKSCS" w:hint="eastAsia"/>
          <w:lang w:val="zh-CN"/>
        </w:rPr>
        <w:t>在专利申请文件中</w:t>
      </w:r>
      <w:r>
        <w:rPr>
          <w:rFonts w:eastAsia="楷体_GB2312" w:cs="MingLiU_HKSCS"/>
          <w:lang w:val="zh-CN"/>
        </w:rPr>
        <w:t>排名的前后</w:t>
      </w:r>
      <w:r>
        <w:rPr>
          <w:rFonts w:eastAsia="楷体_GB2312" w:cs="MingLiU_HKSCS" w:hint="eastAsia"/>
          <w:lang w:val="zh-CN"/>
        </w:rPr>
        <w:t>以及职务的高低</w:t>
      </w:r>
      <w:r>
        <w:rPr>
          <w:rFonts w:eastAsia="楷体_GB2312" w:cs="MingLiU_HKSCS"/>
          <w:lang w:val="zh-CN"/>
        </w:rPr>
        <w:t>等确定两位发明人对专利贡献的大小缺少法律依据。</w:t>
      </w:r>
    </w:p>
    <w:p w:rsidR="00800760" w:rsidRDefault="00235733">
      <w:r>
        <w:br w:type="page"/>
      </w:r>
    </w:p>
    <w:p w:rsidR="00800760" w:rsidRDefault="00235733">
      <w:pPr>
        <w:pStyle w:val="1"/>
      </w:pPr>
      <w:bookmarkStart w:id="7655" w:name="_Toc712"/>
      <w:bookmarkStart w:id="7656" w:name="_Toc14558"/>
      <w:bookmarkStart w:id="7657" w:name="_Toc4689"/>
      <w:bookmarkStart w:id="7658" w:name="_Toc25279"/>
      <w:bookmarkStart w:id="7659" w:name="_Toc31609"/>
      <w:bookmarkStart w:id="7660" w:name="_Toc29537"/>
      <w:bookmarkStart w:id="7661" w:name="_Toc2888"/>
      <w:bookmarkStart w:id="7662" w:name="_Toc27922"/>
      <w:bookmarkStart w:id="7663" w:name="_Toc14293"/>
      <w:bookmarkStart w:id="7664" w:name="_Toc30436"/>
      <w:bookmarkStart w:id="7665" w:name="_Toc29219"/>
      <w:bookmarkStart w:id="7666" w:name="_Toc9716"/>
      <w:bookmarkStart w:id="7667" w:name="_Toc7909"/>
      <w:bookmarkStart w:id="7668" w:name="_Toc17266"/>
      <w:bookmarkStart w:id="7669" w:name="_Toc1677"/>
      <w:bookmarkStart w:id="7670" w:name="_Toc2174"/>
      <w:bookmarkStart w:id="7671" w:name="_Toc23380"/>
      <w:bookmarkStart w:id="7672" w:name="_Toc31242"/>
      <w:bookmarkStart w:id="7673" w:name="_Toc16673"/>
      <w:bookmarkStart w:id="7674" w:name="_Toc23164"/>
      <w:bookmarkStart w:id="7675" w:name="_Toc24879"/>
      <w:bookmarkStart w:id="7676" w:name="_Toc5820"/>
      <w:bookmarkStart w:id="7677" w:name="_Toc29171"/>
      <w:bookmarkStart w:id="7678" w:name="_Toc32292"/>
      <w:bookmarkStart w:id="7679" w:name="_Toc16155"/>
      <w:bookmarkStart w:id="7680" w:name="_Toc19269"/>
      <w:bookmarkStart w:id="7681" w:name="_Toc30190"/>
      <w:bookmarkStart w:id="7682" w:name="_Toc11739"/>
      <w:bookmarkStart w:id="7683" w:name="_Toc16548"/>
      <w:bookmarkStart w:id="7684" w:name="_Toc20498"/>
      <w:bookmarkStart w:id="7685" w:name="_Toc64"/>
      <w:bookmarkStart w:id="7686" w:name="_Toc28712"/>
      <w:bookmarkStart w:id="7687" w:name="_Toc26170"/>
      <w:bookmarkStart w:id="7688" w:name="_Toc30318"/>
      <w:bookmarkStart w:id="7689" w:name="_Toc32073"/>
      <w:bookmarkStart w:id="7690" w:name="_Toc13760"/>
      <w:bookmarkStart w:id="7691" w:name="_Toc17770"/>
      <w:bookmarkStart w:id="7692" w:name="_Toc23450"/>
      <w:bookmarkStart w:id="7693" w:name="_Toc229114515"/>
      <w:bookmarkStart w:id="7694" w:name="_Toc30371"/>
      <w:bookmarkStart w:id="7695" w:name="_Toc26199"/>
      <w:bookmarkStart w:id="7696" w:name="_Toc24974"/>
      <w:bookmarkStart w:id="7697" w:name="_Toc22639"/>
      <w:bookmarkStart w:id="7698" w:name="_Toc27031"/>
      <w:bookmarkStart w:id="7699" w:name="_Toc17005"/>
      <w:bookmarkStart w:id="7700" w:name="_Toc229225611"/>
      <w:r>
        <w:t>第六章</w:t>
      </w:r>
      <w:r>
        <w:rPr>
          <w:rFonts w:hint="eastAsia"/>
        </w:rPr>
        <w:t xml:space="preserve">　</w:t>
      </w:r>
      <w:r>
        <w:t>发明专利临时保护期使用费纠纷的行政调解</w:t>
      </w:r>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p>
    <w:p w:rsidR="00800760" w:rsidRDefault="00235733">
      <w:pPr>
        <w:spacing w:before="69" w:line="308" w:lineRule="auto"/>
        <w:ind w:left="10" w:firstLine="436"/>
        <w:jc w:val="both"/>
        <w:rPr>
          <w:rFonts w:cs="宋体"/>
        </w:rPr>
      </w:pPr>
      <w:r>
        <w:rPr>
          <w:rFonts w:cs="宋体"/>
          <w:spacing w:val="4"/>
        </w:rPr>
        <w:t>发明专利申请从提交到授权经历三个效力完全不同的阶段：</w:t>
      </w:r>
      <w:r>
        <w:rPr>
          <w:rFonts w:cs="宋体"/>
          <w:spacing w:val="4"/>
        </w:rPr>
        <w:t>(1)</w:t>
      </w:r>
      <w:r>
        <w:rPr>
          <w:rFonts w:cs="宋体"/>
          <w:spacing w:val="4"/>
        </w:rPr>
        <w:t>申请日到公布日；</w:t>
      </w:r>
      <w:r>
        <w:rPr>
          <w:rFonts w:cs="宋体"/>
          <w:spacing w:val="4"/>
        </w:rPr>
        <w:t>(2)</w:t>
      </w:r>
      <w:r>
        <w:rPr>
          <w:rFonts w:cs="宋体"/>
          <w:spacing w:val="4"/>
        </w:rPr>
        <w:t>公布日到专利授权公告日；</w:t>
      </w:r>
      <w:r>
        <w:rPr>
          <w:rFonts w:cs="宋体"/>
          <w:spacing w:val="4"/>
        </w:rPr>
        <w:t>(3)</w:t>
      </w:r>
      <w:r>
        <w:rPr>
          <w:rFonts w:cs="宋体"/>
          <w:spacing w:val="4"/>
        </w:rPr>
        <w:t>专利授权公告后。第二个阶段又被称为</w:t>
      </w:r>
      <w:r>
        <w:rPr>
          <w:rFonts w:cs="宋体"/>
          <w:spacing w:val="4"/>
        </w:rPr>
        <w:t>“</w:t>
      </w:r>
      <w:r>
        <w:rPr>
          <w:rFonts w:cs="宋体"/>
          <w:spacing w:val="4"/>
        </w:rPr>
        <w:t>发明专利临时保护期</w:t>
      </w:r>
      <w:r>
        <w:rPr>
          <w:rFonts w:cs="宋体"/>
          <w:spacing w:val="4"/>
        </w:rPr>
        <w:t>”</w:t>
      </w:r>
      <w:r>
        <w:rPr>
          <w:rFonts w:cs="宋体"/>
          <w:spacing w:val="4"/>
        </w:rPr>
        <w:t>。</w:t>
      </w:r>
      <w:r>
        <w:rPr>
          <w:rFonts w:cs="宋体" w:hint="eastAsia"/>
          <w:spacing w:val="4"/>
        </w:rPr>
        <w:t>其中，涉及分案申请的，在确定其公布日时以原申请和分案申请中较早公布的日期为准。</w:t>
      </w:r>
    </w:p>
    <w:p w:rsidR="00800760" w:rsidRDefault="00235733">
      <w:pPr>
        <w:ind w:firstLine="436"/>
        <w:jc w:val="both"/>
        <w:rPr>
          <w:rFonts w:cs="宋体"/>
        </w:rPr>
      </w:pPr>
      <w:r>
        <w:rPr>
          <w:rFonts w:cs="宋体"/>
          <w:spacing w:val="4"/>
        </w:rPr>
        <w:t>发明专利申请授权后，专利权人有权要求在临时保护期内实施其发明的单位或者个人支付适当的费用。双方当事人就临时保护期使用费产生纠纷的，可以请求管理专利工作的部门进行调解。</w:t>
      </w:r>
    </w:p>
    <w:p w:rsidR="00800760" w:rsidRDefault="00235733">
      <w:pPr>
        <w:pStyle w:val="2"/>
        <w:spacing w:before="92"/>
        <w:ind w:firstLineChars="0" w:firstLine="0"/>
        <w:rPr>
          <w:rFonts w:ascii="Times New Roman" w:hAnsi="Times New Roman"/>
        </w:rPr>
      </w:pPr>
      <w:bookmarkStart w:id="7701" w:name="_Toc12857"/>
      <w:bookmarkStart w:id="7702" w:name="_Toc11926"/>
      <w:bookmarkStart w:id="7703" w:name="_Toc11084"/>
      <w:bookmarkStart w:id="7704" w:name="_Toc26712"/>
      <w:bookmarkStart w:id="7705" w:name="_Toc14503"/>
      <w:bookmarkStart w:id="7706" w:name="_Toc11779"/>
      <w:bookmarkStart w:id="7707" w:name="_Toc30341"/>
      <w:bookmarkStart w:id="7708" w:name="_Toc18295"/>
      <w:bookmarkStart w:id="7709" w:name="_Toc4866"/>
      <w:bookmarkStart w:id="7710" w:name="_Toc7029"/>
      <w:bookmarkStart w:id="7711" w:name="_Toc12053"/>
      <w:bookmarkStart w:id="7712" w:name="_Toc3457"/>
      <w:bookmarkStart w:id="7713" w:name="_Toc370"/>
      <w:bookmarkStart w:id="7714" w:name="_Toc27557"/>
      <w:bookmarkStart w:id="7715" w:name="_Toc5974"/>
      <w:bookmarkStart w:id="7716" w:name="_Toc24792"/>
      <w:bookmarkStart w:id="7717" w:name="_Toc28375"/>
      <w:bookmarkStart w:id="7718" w:name="_Toc18826"/>
      <w:bookmarkStart w:id="7719" w:name="_Toc9595"/>
      <w:bookmarkStart w:id="7720" w:name="_Toc18053"/>
      <w:bookmarkStart w:id="7721" w:name="_Toc15987"/>
      <w:bookmarkStart w:id="7722" w:name="_Toc27521"/>
      <w:bookmarkStart w:id="7723" w:name="_Toc30303"/>
      <w:bookmarkStart w:id="7724" w:name="_Toc13052"/>
      <w:bookmarkStart w:id="7725" w:name="_Toc2659"/>
      <w:bookmarkStart w:id="7726" w:name="_Toc13285"/>
      <w:bookmarkStart w:id="7727" w:name="_Toc18437"/>
      <w:bookmarkStart w:id="7728" w:name="_Toc5419"/>
      <w:bookmarkStart w:id="7729" w:name="_Toc31857"/>
      <w:bookmarkStart w:id="7730" w:name="_Toc16628"/>
      <w:bookmarkStart w:id="7731" w:name="_Toc16991"/>
      <w:bookmarkStart w:id="7732" w:name="_Toc2818"/>
      <w:bookmarkStart w:id="7733" w:name="_Toc3917"/>
      <w:bookmarkStart w:id="7734" w:name="_Toc8807"/>
      <w:bookmarkStart w:id="7735" w:name="_Toc19868"/>
      <w:bookmarkStart w:id="7736" w:name="_Toc30900"/>
      <w:bookmarkStart w:id="7737" w:name="_Toc7453"/>
      <w:bookmarkStart w:id="7738" w:name="_Toc26949"/>
      <w:bookmarkStart w:id="7739" w:name="_Toc3819"/>
      <w:bookmarkStart w:id="7740" w:name="_Toc19065"/>
      <w:bookmarkStart w:id="7741" w:name="_Toc10322"/>
      <w:bookmarkStart w:id="7742" w:name="_Toc14825"/>
      <w:bookmarkStart w:id="7743" w:name="_Toc229114516"/>
      <w:bookmarkStart w:id="7744" w:name="_Toc229225612"/>
      <w:r>
        <w:rPr>
          <w:rFonts w:ascii="Times New Roman" w:hAnsi="Times New Roman"/>
        </w:rPr>
        <w:t>第一节</w:t>
      </w:r>
      <w:r>
        <w:rPr>
          <w:rFonts w:ascii="Times New Roman" w:hAnsi="Times New Roman" w:hint="eastAsia"/>
        </w:rPr>
        <w:t xml:space="preserve">　</w:t>
      </w:r>
      <w:r>
        <w:rPr>
          <w:rFonts w:ascii="Times New Roman" w:hAnsi="Times New Roman"/>
        </w:rPr>
        <w:t>临时保护的构成条件</w:t>
      </w:r>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p>
    <w:p w:rsidR="00800760" w:rsidRDefault="00235733">
      <w:pPr>
        <w:ind w:firstLine="436"/>
        <w:jc w:val="both"/>
        <w:rPr>
          <w:rFonts w:cs="宋体"/>
          <w:spacing w:val="4"/>
        </w:rPr>
      </w:pPr>
      <w:r>
        <w:rPr>
          <w:rFonts w:cs="宋体"/>
          <w:spacing w:val="4"/>
        </w:rPr>
        <w:t>请求人</w:t>
      </w:r>
      <w:r>
        <w:rPr>
          <w:rFonts w:cs="宋体"/>
          <w:spacing w:val="4"/>
        </w:rPr>
        <w:t>(</w:t>
      </w:r>
      <w:r>
        <w:rPr>
          <w:rFonts w:cs="宋体"/>
          <w:spacing w:val="4"/>
        </w:rPr>
        <w:t>通常是专利权人或其利害关系人</w:t>
      </w:r>
      <w:r>
        <w:rPr>
          <w:rFonts w:cs="宋体"/>
          <w:spacing w:val="4"/>
        </w:rPr>
        <w:t>)</w:t>
      </w:r>
      <w:r>
        <w:rPr>
          <w:rFonts w:cs="宋体"/>
          <w:spacing w:val="4"/>
        </w:rPr>
        <w:t>向被请求人</w:t>
      </w:r>
      <w:r>
        <w:rPr>
          <w:rFonts w:cs="宋体"/>
          <w:spacing w:val="4"/>
        </w:rPr>
        <w:t>(</w:t>
      </w:r>
      <w:r>
        <w:rPr>
          <w:rFonts w:cs="宋体"/>
          <w:spacing w:val="4"/>
        </w:rPr>
        <w:t>涉嫌实施发明专利的单位或个人</w:t>
      </w:r>
      <w:r>
        <w:rPr>
          <w:rFonts w:cs="宋体"/>
          <w:spacing w:val="4"/>
        </w:rPr>
        <w:t>)</w:t>
      </w:r>
      <w:r>
        <w:rPr>
          <w:rFonts w:cs="宋体"/>
          <w:spacing w:val="4"/>
        </w:rPr>
        <w:t>主张发明专利临时保护期使用费，应当符合以下构成要件：</w:t>
      </w:r>
    </w:p>
    <w:p w:rsidR="00800760" w:rsidRDefault="00235733">
      <w:pPr>
        <w:ind w:firstLine="436"/>
        <w:jc w:val="both"/>
        <w:rPr>
          <w:rFonts w:cs="宋体"/>
          <w:spacing w:val="4"/>
        </w:rPr>
      </w:pPr>
      <w:r>
        <w:rPr>
          <w:rFonts w:cs="宋体"/>
          <w:spacing w:val="4"/>
        </w:rPr>
        <w:t xml:space="preserve">1. </w:t>
      </w:r>
      <w:r>
        <w:rPr>
          <w:rFonts w:cs="宋体"/>
          <w:spacing w:val="4"/>
        </w:rPr>
        <w:t>涉案专利应仅限于发明专利。</w:t>
      </w:r>
    </w:p>
    <w:p w:rsidR="00800760" w:rsidRDefault="00235733">
      <w:pPr>
        <w:ind w:firstLine="436"/>
        <w:jc w:val="both"/>
        <w:rPr>
          <w:rFonts w:cs="宋体"/>
          <w:spacing w:val="4"/>
        </w:rPr>
      </w:pPr>
      <w:r>
        <w:rPr>
          <w:rFonts w:cs="宋体"/>
          <w:spacing w:val="4"/>
        </w:rPr>
        <w:t xml:space="preserve">2. </w:t>
      </w:r>
      <w:r>
        <w:rPr>
          <w:rFonts w:cs="宋体"/>
          <w:spacing w:val="4"/>
        </w:rPr>
        <w:t>涉案专利被授予专利权，且请求人是在专利授权后提出调解请求。</w:t>
      </w:r>
    </w:p>
    <w:p w:rsidR="00800760" w:rsidRDefault="00235733">
      <w:pPr>
        <w:ind w:firstLine="436"/>
        <w:jc w:val="both"/>
        <w:rPr>
          <w:rFonts w:cs="宋体"/>
          <w:spacing w:val="4"/>
        </w:rPr>
      </w:pPr>
      <w:r>
        <w:rPr>
          <w:rFonts w:cs="宋体"/>
          <w:spacing w:val="4"/>
        </w:rPr>
        <w:t xml:space="preserve">3. </w:t>
      </w:r>
      <w:r>
        <w:rPr>
          <w:rFonts w:cs="宋体"/>
          <w:spacing w:val="4"/>
        </w:rPr>
        <w:t>被请求人实施专利的行为发生在临时保护期内。</w:t>
      </w:r>
    </w:p>
    <w:p w:rsidR="00800760" w:rsidRDefault="00235733">
      <w:pPr>
        <w:ind w:firstLine="436"/>
        <w:jc w:val="both"/>
        <w:rPr>
          <w:rFonts w:cs="宋体"/>
          <w:spacing w:val="4"/>
        </w:rPr>
      </w:pPr>
      <w:r>
        <w:rPr>
          <w:rFonts w:cs="宋体"/>
          <w:spacing w:val="4"/>
        </w:rPr>
        <w:t xml:space="preserve">4. </w:t>
      </w:r>
      <w:r>
        <w:rPr>
          <w:rFonts w:cs="宋体"/>
          <w:spacing w:val="4"/>
        </w:rPr>
        <w:t>被请求人的实施行为落入专利权保护范围。</w:t>
      </w:r>
    </w:p>
    <w:p w:rsidR="00800760" w:rsidRDefault="00235733">
      <w:pPr>
        <w:pStyle w:val="3"/>
        <w:spacing w:before="240"/>
        <w:ind w:firstLineChars="0" w:firstLine="444"/>
        <w:rPr>
          <w:rFonts w:ascii="Times New Roman" w:hAnsi="Times New Roman"/>
        </w:rPr>
      </w:pPr>
      <w:bookmarkStart w:id="7745" w:name="_Toc16069"/>
      <w:bookmarkStart w:id="7746" w:name="_Toc1975"/>
      <w:bookmarkStart w:id="7747" w:name="_Toc24399"/>
      <w:bookmarkStart w:id="7748" w:name="_Toc29873"/>
      <w:bookmarkStart w:id="7749" w:name="_Toc17418"/>
      <w:bookmarkStart w:id="7750" w:name="_Toc20591"/>
      <w:bookmarkStart w:id="7751" w:name="_Toc25540"/>
      <w:bookmarkStart w:id="7752" w:name="_Toc17100"/>
      <w:bookmarkStart w:id="7753" w:name="_Toc11081"/>
      <w:bookmarkStart w:id="7754" w:name="_Toc18398"/>
      <w:bookmarkStart w:id="7755" w:name="_Toc8082"/>
      <w:bookmarkStart w:id="7756" w:name="_Toc3389"/>
      <w:bookmarkStart w:id="7757" w:name="_Toc1644"/>
      <w:bookmarkStart w:id="7758" w:name="_Toc12543"/>
      <w:bookmarkStart w:id="7759" w:name="_Toc8510"/>
      <w:bookmarkStart w:id="7760" w:name="_Toc6517"/>
      <w:bookmarkStart w:id="7761" w:name="_Toc25121"/>
      <w:bookmarkStart w:id="7762" w:name="_Toc20853"/>
      <w:bookmarkStart w:id="7763" w:name="_Toc8553"/>
      <w:bookmarkStart w:id="7764" w:name="_Toc5233"/>
      <w:bookmarkStart w:id="7765" w:name="_Toc15285"/>
      <w:bookmarkStart w:id="7766" w:name="_Toc11238"/>
      <w:bookmarkStart w:id="7767" w:name="_Toc3432"/>
      <w:bookmarkStart w:id="7768" w:name="_Toc11752"/>
      <w:bookmarkStart w:id="7769" w:name="_Toc31289"/>
      <w:bookmarkStart w:id="7770" w:name="_Toc11368"/>
      <w:bookmarkStart w:id="7771" w:name="_Toc31160"/>
      <w:bookmarkStart w:id="7772" w:name="_Toc23127"/>
      <w:bookmarkStart w:id="7773" w:name="_Toc17826"/>
      <w:bookmarkStart w:id="7774" w:name="_Toc8052"/>
      <w:bookmarkStart w:id="7775" w:name="_Toc10112"/>
      <w:bookmarkStart w:id="7776" w:name="_Toc18631"/>
      <w:bookmarkStart w:id="7777" w:name="_Toc8298"/>
      <w:bookmarkStart w:id="7778" w:name="_Toc9934"/>
      <w:bookmarkStart w:id="7779" w:name="_Toc3905"/>
      <w:bookmarkStart w:id="7780" w:name="_Toc29780"/>
      <w:bookmarkStart w:id="7781" w:name="_Toc16008"/>
      <w:bookmarkStart w:id="7782" w:name="_Toc26510"/>
      <w:bookmarkStart w:id="7783" w:name="_Toc22842"/>
      <w:bookmarkStart w:id="7784" w:name="_Toc17002"/>
      <w:bookmarkStart w:id="7785" w:name="_Toc229114517"/>
      <w:bookmarkStart w:id="7786" w:name="_Toc12270"/>
      <w:bookmarkStart w:id="7787" w:name="_Toc658"/>
      <w:bookmarkStart w:id="7788" w:name="_Toc229225613"/>
      <w:r>
        <w:rPr>
          <w:rFonts w:ascii="Times New Roman" w:hAnsi="Times New Roman" w:hint="eastAsia"/>
        </w:rPr>
        <w:t>一、涉案专利仅限于发明专利</w:t>
      </w:r>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p>
    <w:p w:rsidR="00800760" w:rsidRDefault="00235733">
      <w:pPr>
        <w:ind w:firstLine="436"/>
        <w:jc w:val="both"/>
        <w:rPr>
          <w:rFonts w:cs="宋体"/>
          <w:spacing w:val="4"/>
        </w:rPr>
      </w:pPr>
      <w:r>
        <w:rPr>
          <w:rFonts w:cs="宋体"/>
          <w:spacing w:val="4"/>
        </w:rPr>
        <w:t>被请求支付临时保护期使用费的专利应当仅限于发明专利。请求人以实用新型专利或外观设计专利主张临时保护期使用费的，管理专利工作的部门不予支持。</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6-</w:t>
      </w:r>
      <w:r>
        <w:rPr>
          <w:rFonts w:ascii="Times New Roman" w:hAnsi="Times New Roman"/>
          <w:lang w:val="en-US"/>
        </w:rPr>
        <w:t>1-</w:t>
      </w:r>
      <w:r>
        <w:rPr>
          <w:rFonts w:ascii="Times New Roman" w:hAnsi="Times New Roman"/>
        </w:rPr>
        <w:t>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于</w:t>
      </w:r>
      <w:r>
        <w:rPr>
          <w:rFonts w:eastAsia="楷体_GB2312" w:cs="MingLiU_HKSCS"/>
          <w:lang w:val="zh-CN"/>
        </w:rPr>
        <w:t>2007</w:t>
      </w:r>
      <w:r>
        <w:rPr>
          <w:rFonts w:eastAsia="楷体_GB2312" w:cs="MingLiU_HKSCS"/>
          <w:lang w:val="zh-CN"/>
        </w:rPr>
        <w:t>年</w:t>
      </w:r>
      <w:r>
        <w:rPr>
          <w:rFonts w:eastAsia="楷体_GB2312" w:cs="MingLiU_HKSCS"/>
          <w:lang w:val="zh-CN"/>
        </w:rPr>
        <w:t>5</w:t>
      </w:r>
      <w:r>
        <w:rPr>
          <w:rFonts w:eastAsia="楷体_GB2312" w:cs="MingLiU_HKSCS"/>
          <w:lang w:val="zh-CN"/>
        </w:rPr>
        <w:t>月</w:t>
      </w:r>
      <w:r>
        <w:rPr>
          <w:rFonts w:eastAsia="楷体_GB2312" w:cs="MingLiU_HKSCS"/>
          <w:lang w:val="zh-CN"/>
        </w:rPr>
        <w:t>9</w:t>
      </w:r>
      <w:r>
        <w:rPr>
          <w:rFonts w:eastAsia="楷体_GB2312" w:cs="MingLiU_HKSCS"/>
          <w:lang w:val="zh-CN"/>
        </w:rPr>
        <w:t>日提交</w:t>
      </w:r>
      <w:r>
        <w:rPr>
          <w:rFonts w:eastAsia="楷体_GB2312" w:cs="MingLiU_HKSCS" w:hint="eastAsia"/>
          <w:lang w:val="zh-CN"/>
        </w:rPr>
        <w:t>了</w:t>
      </w:r>
      <w:r>
        <w:rPr>
          <w:rFonts w:eastAsia="楷体_GB2312" w:cs="MingLiU_HKSCS"/>
          <w:lang w:val="zh-CN"/>
        </w:rPr>
        <w:t>一项名称为</w:t>
      </w:r>
      <w:r>
        <w:rPr>
          <w:rFonts w:eastAsia="楷体_GB2312" w:cs="MingLiU_HKSCS"/>
          <w:lang w:val="zh-CN"/>
        </w:rPr>
        <w:t>“</w:t>
      </w:r>
      <w:r>
        <w:rPr>
          <w:rFonts w:eastAsia="楷体_GB2312" w:cs="MingLiU_HKSCS"/>
          <w:lang w:val="zh-CN"/>
        </w:rPr>
        <w:t>一种混凝土板桩</w:t>
      </w:r>
      <w:r>
        <w:rPr>
          <w:rFonts w:eastAsia="楷体_GB2312" w:cs="MingLiU_HKSCS"/>
          <w:lang w:val="zh-CN"/>
        </w:rPr>
        <w:t>”</w:t>
      </w:r>
      <w:r>
        <w:rPr>
          <w:rFonts w:eastAsia="楷体_GB2312" w:cs="MingLiU_HKSCS"/>
          <w:lang w:val="zh-CN"/>
        </w:rPr>
        <w:t>的实用新型专利申请，该申请于</w:t>
      </w:r>
      <w:r>
        <w:rPr>
          <w:rFonts w:eastAsia="楷体_GB2312" w:cs="MingLiU_HKSCS"/>
          <w:lang w:val="zh-CN"/>
        </w:rPr>
        <w:t>2008</w:t>
      </w:r>
      <w:r>
        <w:rPr>
          <w:rFonts w:eastAsia="楷体_GB2312" w:cs="MingLiU_HKSCS"/>
          <w:lang w:val="zh-CN"/>
        </w:rPr>
        <w:t>年</w:t>
      </w:r>
      <w:r>
        <w:rPr>
          <w:rFonts w:eastAsia="楷体_GB2312" w:cs="MingLiU_HKSCS"/>
          <w:lang w:val="zh-CN"/>
        </w:rPr>
        <w:t>1</w:t>
      </w:r>
      <w:r>
        <w:rPr>
          <w:rFonts w:eastAsia="楷体_GB2312" w:cs="MingLiU_HKSCS"/>
          <w:lang w:val="zh-CN"/>
        </w:rPr>
        <w:t>月</w:t>
      </w:r>
      <w:r>
        <w:rPr>
          <w:rFonts w:eastAsia="楷体_GB2312" w:cs="MingLiU_HKSCS"/>
          <w:lang w:val="zh-CN"/>
        </w:rPr>
        <w:t>3</w:t>
      </w:r>
      <w:r>
        <w:rPr>
          <w:rFonts w:eastAsia="楷体_GB2312" w:cs="MingLiU_HKSCS"/>
          <w:lang w:val="zh-CN"/>
        </w:rPr>
        <w:t>日授权公告。</w:t>
      </w:r>
      <w:r>
        <w:rPr>
          <w:rFonts w:eastAsia="楷体_GB2312" w:cs="MingLiU_HKSCS"/>
          <w:lang w:val="zh-CN"/>
        </w:rPr>
        <w:t>2007</w:t>
      </w:r>
      <w:r>
        <w:rPr>
          <w:rFonts w:eastAsia="楷体_GB2312" w:cs="MingLiU_HKSCS"/>
          <w:lang w:val="zh-CN"/>
        </w:rPr>
        <w:t>年</w:t>
      </w:r>
      <w:r>
        <w:rPr>
          <w:rFonts w:eastAsia="楷体_GB2312" w:cs="MingLiU_HKSCS"/>
          <w:lang w:val="zh-CN"/>
        </w:rPr>
        <w:t>9</w:t>
      </w:r>
      <w:r>
        <w:rPr>
          <w:rFonts w:eastAsia="楷体_GB2312" w:cs="MingLiU_HKSCS"/>
          <w:lang w:val="zh-CN"/>
        </w:rPr>
        <w:t>月</w:t>
      </w:r>
      <w:r>
        <w:rPr>
          <w:rFonts w:eastAsia="楷体_GB2312" w:cs="MingLiU_HKSCS"/>
          <w:lang w:val="zh-CN"/>
        </w:rPr>
        <w:t>16</w:t>
      </w:r>
      <w:r>
        <w:rPr>
          <w:rFonts w:eastAsia="楷体_GB2312" w:cs="MingLiU_HKSCS"/>
          <w:lang w:val="zh-CN"/>
        </w:rPr>
        <w:t>日，</w:t>
      </w:r>
      <w:r>
        <w:rPr>
          <w:rFonts w:eastAsia="楷体_GB2312" w:cs="MingLiU_HKSCS" w:hint="eastAsia"/>
          <w:lang w:val="zh-CN"/>
        </w:rPr>
        <w:t>甲</w:t>
      </w:r>
      <w:r>
        <w:rPr>
          <w:rFonts w:eastAsia="楷体_GB2312" w:cs="MingLiU_HKSCS"/>
          <w:lang w:val="zh-CN"/>
        </w:rPr>
        <w:t>发现同市某建筑公司工地使用的混凝土板桩与其专利申请的混凝土板桩产品完全相同。</w:t>
      </w:r>
      <w:r>
        <w:rPr>
          <w:rFonts w:eastAsia="楷体_GB2312" w:cs="MingLiU_HKSCS" w:hint="eastAsia"/>
          <w:lang w:val="zh-CN"/>
        </w:rPr>
        <w:t>甲</w:t>
      </w:r>
      <w:r>
        <w:rPr>
          <w:rFonts w:eastAsia="楷体_GB2312" w:cs="MingLiU_HKSCS"/>
          <w:lang w:val="zh-CN"/>
        </w:rPr>
        <w:t>向该建筑公司协商索要专利使用费未果，于</w:t>
      </w:r>
      <w:r>
        <w:rPr>
          <w:rFonts w:eastAsia="楷体_GB2312" w:cs="MingLiU_HKSCS"/>
          <w:lang w:val="zh-CN"/>
        </w:rPr>
        <w:t>2008</w:t>
      </w:r>
      <w:r>
        <w:rPr>
          <w:rFonts w:eastAsia="楷体_GB2312" w:cs="MingLiU_HKSCS"/>
          <w:lang w:val="zh-CN"/>
        </w:rPr>
        <w:t>年</w:t>
      </w:r>
      <w:r>
        <w:rPr>
          <w:rFonts w:eastAsia="楷体_GB2312" w:cs="MingLiU_HKSCS"/>
          <w:lang w:val="zh-CN"/>
        </w:rPr>
        <w:t>4</w:t>
      </w:r>
      <w:r>
        <w:rPr>
          <w:rFonts w:eastAsia="楷体_GB2312" w:cs="MingLiU_HKSCS"/>
          <w:lang w:val="zh-CN"/>
        </w:rPr>
        <w:t>月</w:t>
      </w:r>
      <w:r>
        <w:rPr>
          <w:rFonts w:eastAsia="楷体_GB2312" w:cs="MingLiU_HKSCS"/>
          <w:lang w:val="zh-CN"/>
        </w:rPr>
        <w:t>15</w:t>
      </w:r>
      <w:r>
        <w:rPr>
          <w:rFonts w:eastAsia="楷体_GB2312" w:cs="MingLiU_HKSCS"/>
          <w:lang w:val="zh-CN"/>
        </w:rPr>
        <w:t>日向当地管理专利工作的部门提出调解请求，请求该建筑公司支付专利使用费</w:t>
      </w:r>
      <w:r>
        <w:rPr>
          <w:rFonts w:eastAsia="楷体_GB2312" w:cs="MingLiU_HKSCS"/>
          <w:lang w:val="zh-CN"/>
        </w:rPr>
        <w:t>5</w:t>
      </w:r>
      <w:r>
        <w:rPr>
          <w:rFonts w:eastAsia="楷体_GB2312" w:cs="MingLiU_HKSCS"/>
          <w:lang w:val="zh-CN"/>
        </w:rPr>
        <w:t>万元。该建筑公司辩称，其使用的混凝土板桩是自己研发的，并未窃取</w:t>
      </w:r>
      <w:r>
        <w:rPr>
          <w:rFonts w:eastAsia="楷体_GB2312" w:cs="MingLiU_HKSCS" w:hint="eastAsia"/>
          <w:lang w:val="zh-CN"/>
        </w:rPr>
        <w:t>甲</w:t>
      </w:r>
      <w:r>
        <w:rPr>
          <w:rFonts w:eastAsia="楷体_GB2312" w:cs="MingLiU_HKSCS"/>
          <w:lang w:val="zh-CN"/>
        </w:rPr>
        <w:t>的技术，而且相关工程于</w:t>
      </w:r>
      <w:r>
        <w:rPr>
          <w:rFonts w:eastAsia="楷体_GB2312" w:cs="MingLiU_HKSCS"/>
          <w:lang w:val="zh-CN"/>
        </w:rPr>
        <w:t>2007</w:t>
      </w:r>
      <w:r>
        <w:rPr>
          <w:rFonts w:eastAsia="楷体_GB2312" w:cs="MingLiU_HKSCS"/>
          <w:lang w:val="zh-CN"/>
        </w:rPr>
        <w:t>年</w:t>
      </w:r>
      <w:r>
        <w:rPr>
          <w:rFonts w:eastAsia="楷体_GB2312" w:cs="MingLiU_HKSCS"/>
          <w:lang w:val="zh-CN"/>
        </w:rPr>
        <w:t>12</w:t>
      </w:r>
      <w:r>
        <w:rPr>
          <w:rFonts w:eastAsia="楷体_GB2312" w:cs="MingLiU_HKSCS"/>
          <w:lang w:val="zh-CN"/>
        </w:rPr>
        <w:t>月已经完工。</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该案中，建筑公司支付专利使用费只能基于两种行为：一是其实施专利的行为发生在专利授权之后，因侵犯专利权而应支付侵权赔偿；二是其实施专利的行为发生在发明专利申请的临时保护期内，基于《专利法》第十三条的规定支付临时保护期使用费。而该案不具备上述条件：首先，</w:t>
      </w:r>
      <w:r>
        <w:rPr>
          <w:rFonts w:eastAsia="楷体_GB2312" w:cs="MingLiU_HKSCS" w:hint="eastAsia"/>
          <w:lang w:val="zh-CN"/>
        </w:rPr>
        <w:t>甲</w:t>
      </w:r>
      <w:r>
        <w:rPr>
          <w:rFonts w:eastAsia="楷体_GB2312" w:cs="MingLiU_HKSCS"/>
          <w:lang w:val="zh-CN"/>
        </w:rPr>
        <w:t>请求建筑公司支付专利使用费所基于的事实是建筑公司在</w:t>
      </w:r>
      <w:r>
        <w:rPr>
          <w:rFonts w:eastAsia="楷体_GB2312" w:cs="MingLiU_HKSCS" w:hint="eastAsia"/>
          <w:lang w:val="zh-CN"/>
        </w:rPr>
        <w:t>甲</w:t>
      </w:r>
      <w:r>
        <w:rPr>
          <w:rFonts w:eastAsia="楷体_GB2312" w:cs="MingLiU_HKSCS"/>
          <w:lang w:val="zh-CN"/>
        </w:rPr>
        <w:t>提出专利申请后到该专利被授予专利权之前的时间段内使用与专利产品相同的混凝土板桩，因建筑公司实施行为发生在专利授权之前，并未侵犯专利权，不应当支付侵权赔偿；其次，涉案专利为实用新型专利。由于我国仅对发明专利申请实行</w:t>
      </w:r>
      <w:r>
        <w:rPr>
          <w:rFonts w:eastAsia="楷体_GB2312" w:cs="MingLiU_HKSCS"/>
          <w:lang w:val="zh-CN"/>
        </w:rPr>
        <w:t>“</w:t>
      </w:r>
      <w:r>
        <w:rPr>
          <w:rFonts w:eastAsia="楷体_GB2312" w:cs="MingLiU_HKSCS"/>
          <w:lang w:val="zh-CN"/>
        </w:rPr>
        <w:t>早期公开、延迟审查</w:t>
      </w:r>
      <w:r>
        <w:rPr>
          <w:rFonts w:eastAsia="楷体_GB2312" w:cs="MingLiU_HKSCS"/>
          <w:lang w:val="zh-CN"/>
        </w:rPr>
        <w:t>”</w:t>
      </w:r>
      <w:r>
        <w:rPr>
          <w:rFonts w:eastAsia="楷体_GB2312" w:cs="MingLiU_HKSCS"/>
          <w:lang w:val="zh-CN"/>
        </w:rPr>
        <w:t>的制度，对于实用新型和外观设计专利申请仅进行初步审查，初步审查合格符合授权条件的，即行授权公告，因此，对于实用新型专利和外观设计专利来说不存在所谓的临时保护期，</w:t>
      </w:r>
      <w:r>
        <w:rPr>
          <w:rFonts w:eastAsia="楷体_GB2312" w:cs="MingLiU_HKSCS" w:hint="eastAsia"/>
          <w:lang w:val="zh-CN"/>
        </w:rPr>
        <w:t>甲</w:t>
      </w:r>
      <w:r>
        <w:rPr>
          <w:rFonts w:eastAsia="楷体_GB2312" w:cs="MingLiU_HKSCS"/>
          <w:lang w:val="zh-CN"/>
        </w:rPr>
        <w:t>请求建筑公司支付专利使用费没有法律依据。</w:t>
      </w:r>
    </w:p>
    <w:p w:rsidR="00800760" w:rsidRDefault="00235733">
      <w:pPr>
        <w:pStyle w:val="3"/>
        <w:spacing w:before="240"/>
        <w:ind w:firstLineChars="0" w:firstLine="444"/>
        <w:rPr>
          <w:rFonts w:ascii="Times New Roman" w:hAnsi="Times New Roman"/>
        </w:rPr>
      </w:pPr>
      <w:bookmarkStart w:id="7789" w:name="_Toc31593"/>
      <w:bookmarkStart w:id="7790" w:name="_Toc23040"/>
      <w:bookmarkStart w:id="7791" w:name="_Toc11036"/>
      <w:bookmarkStart w:id="7792" w:name="_Toc6975"/>
      <w:bookmarkStart w:id="7793" w:name="_Toc29804"/>
      <w:bookmarkStart w:id="7794" w:name="_Toc26234"/>
      <w:bookmarkStart w:id="7795" w:name="_Toc20366"/>
      <w:bookmarkStart w:id="7796" w:name="_Toc19553"/>
      <w:bookmarkStart w:id="7797" w:name="_Toc26371"/>
      <w:bookmarkStart w:id="7798" w:name="_Toc15684"/>
      <w:bookmarkStart w:id="7799" w:name="_Toc17122"/>
      <w:bookmarkStart w:id="7800" w:name="_Toc4546"/>
      <w:bookmarkStart w:id="7801" w:name="_Toc22279"/>
      <w:bookmarkStart w:id="7802" w:name="_Toc16527"/>
      <w:bookmarkStart w:id="7803" w:name="_Toc20688"/>
      <w:bookmarkStart w:id="7804" w:name="_Toc17969"/>
      <w:bookmarkStart w:id="7805" w:name="_Toc19866"/>
      <w:bookmarkStart w:id="7806" w:name="_Toc11431"/>
      <w:bookmarkStart w:id="7807" w:name="_Toc32289"/>
      <w:bookmarkStart w:id="7808" w:name="_Toc13100"/>
      <w:bookmarkStart w:id="7809" w:name="_Toc4793"/>
      <w:bookmarkStart w:id="7810" w:name="_Toc2000"/>
      <w:bookmarkStart w:id="7811" w:name="_Toc16334"/>
      <w:bookmarkStart w:id="7812" w:name="_Toc11832"/>
      <w:bookmarkStart w:id="7813" w:name="_Toc13203"/>
      <w:bookmarkStart w:id="7814" w:name="_Toc20772"/>
      <w:bookmarkStart w:id="7815" w:name="_Toc29515"/>
      <w:bookmarkStart w:id="7816" w:name="_Toc32001"/>
      <w:bookmarkStart w:id="7817" w:name="_Toc12752"/>
      <w:bookmarkStart w:id="7818" w:name="_Toc4475"/>
      <w:bookmarkStart w:id="7819" w:name="_Toc28855"/>
      <w:bookmarkStart w:id="7820" w:name="_Toc17075"/>
      <w:bookmarkStart w:id="7821" w:name="_Toc19966"/>
      <w:bookmarkStart w:id="7822" w:name="_Toc10252"/>
      <w:bookmarkStart w:id="7823" w:name="_Toc5804"/>
      <w:bookmarkStart w:id="7824" w:name="_Toc20230"/>
      <w:bookmarkStart w:id="7825" w:name="_Toc357"/>
      <w:bookmarkStart w:id="7826" w:name="_Toc10929"/>
      <w:bookmarkStart w:id="7827" w:name="_Toc3070"/>
      <w:bookmarkStart w:id="7828" w:name="_Toc229114518"/>
      <w:bookmarkStart w:id="7829" w:name="_Toc3906"/>
      <w:bookmarkStart w:id="7830" w:name="_Toc14599"/>
      <w:bookmarkStart w:id="7831" w:name="_Toc13299"/>
      <w:bookmarkStart w:id="7832" w:name="_Toc229225614"/>
      <w:r>
        <w:rPr>
          <w:rFonts w:ascii="Times New Roman" w:hAnsi="Times New Roman" w:hint="eastAsia"/>
        </w:rPr>
        <w:t>二、涉案专利被授予专利权，且请求人在专利授权后提出调解请求</w:t>
      </w:r>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p>
    <w:p w:rsidR="00800760" w:rsidRDefault="00235733">
      <w:pPr>
        <w:ind w:firstLineChars="0" w:firstLine="436"/>
        <w:jc w:val="both"/>
        <w:rPr>
          <w:rFonts w:cs="宋体"/>
          <w:spacing w:val="4"/>
        </w:rPr>
      </w:pPr>
      <w:r>
        <w:rPr>
          <w:rFonts w:cs="宋体"/>
          <w:spacing w:val="4"/>
        </w:rPr>
        <w:t>提出请求时专利申请尚未被授予专利权的，管理专利工作的部门对请求人请求他人支付临时保护期使用费的主张不予支持。</w:t>
      </w:r>
    </w:p>
    <w:p w:rsidR="00800760" w:rsidRDefault="00235733">
      <w:pPr>
        <w:pStyle w:val="af6"/>
        <w:spacing w:before="120"/>
        <w:ind w:firstLineChars="0" w:firstLine="420"/>
        <w:rPr>
          <w:rFonts w:ascii="Times New Roman" w:hAnsi="Times New Roman"/>
        </w:rPr>
      </w:pPr>
      <w:bookmarkStart w:id="7833" w:name="bookmark211"/>
      <w:bookmarkEnd w:id="7833"/>
      <w:r>
        <w:rPr>
          <w:rFonts w:ascii="Times New Roman" w:hAnsi="Times New Roman" w:hint="eastAsia"/>
        </w:rPr>
        <w:t>【案例</w:t>
      </w:r>
      <w:r>
        <w:rPr>
          <w:rFonts w:ascii="Times New Roman" w:hAnsi="Times New Roman"/>
        </w:rPr>
        <w:t>6-</w:t>
      </w:r>
      <w:r>
        <w:rPr>
          <w:rFonts w:ascii="Times New Roman" w:hAnsi="Times New Roman"/>
          <w:lang w:val="en-US"/>
        </w:rPr>
        <w:t>1-</w:t>
      </w:r>
      <w:r>
        <w:rPr>
          <w:rFonts w:ascii="Times New Roman" w:hAnsi="Times New Roman"/>
        </w:rPr>
        <w:t>2</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于</w:t>
      </w:r>
      <w:r>
        <w:rPr>
          <w:rFonts w:eastAsia="楷体_GB2312" w:cs="MingLiU_HKSCS"/>
          <w:lang w:val="zh-CN"/>
        </w:rPr>
        <w:t>2007</w:t>
      </w:r>
      <w:r>
        <w:rPr>
          <w:rFonts w:eastAsia="楷体_GB2312" w:cs="MingLiU_HKSCS"/>
          <w:lang w:val="zh-CN"/>
        </w:rPr>
        <w:t>年</w:t>
      </w:r>
      <w:r>
        <w:rPr>
          <w:rFonts w:eastAsia="楷体_GB2312" w:cs="MingLiU_HKSCS"/>
          <w:lang w:val="zh-CN"/>
        </w:rPr>
        <w:t>8</w:t>
      </w:r>
      <w:r>
        <w:rPr>
          <w:rFonts w:eastAsia="楷体_GB2312" w:cs="MingLiU_HKSCS"/>
          <w:lang w:val="zh-CN"/>
        </w:rPr>
        <w:t>月</w:t>
      </w:r>
      <w:r>
        <w:rPr>
          <w:rFonts w:eastAsia="楷体_GB2312" w:cs="MingLiU_HKSCS"/>
          <w:lang w:val="zh-CN"/>
        </w:rPr>
        <w:t>2</w:t>
      </w:r>
      <w:r>
        <w:rPr>
          <w:rFonts w:eastAsia="楷体_GB2312" w:cs="MingLiU_HKSCS"/>
          <w:lang w:val="zh-CN"/>
        </w:rPr>
        <w:t>日提交</w:t>
      </w:r>
      <w:r>
        <w:rPr>
          <w:rFonts w:eastAsia="楷体_GB2312" w:cs="MingLiU_HKSCS" w:hint="eastAsia"/>
          <w:lang w:val="zh-CN"/>
        </w:rPr>
        <w:t>了</w:t>
      </w:r>
      <w:r>
        <w:rPr>
          <w:rFonts w:eastAsia="楷体_GB2312" w:cs="MingLiU_HKSCS"/>
          <w:lang w:val="zh-CN"/>
        </w:rPr>
        <w:t>一项发明专利申请，该申请于</w:t>
      </w:r>
      <w:r>
        <w:rPr>
          <w:rFonts w:eastAsia="楷体_GB2312" w:cs="MingLiU_HKSCS"/>
          <w:lang w:val="zh-CN"/>
        </w:rPr>
        <w:t>2009</w:t>
      </w:r>
      <w:r>
        <w:rPr>
          <w:rFonts w:eastAsia="楷体_GB2312" w:cs="MingLiU_HKSCS"/>
          <w:lang w:val="zh-CN"/>
        </w:rPr>
        <w:t>年</w:t>
      </w:r>
      <w:r>
        <w:rPr>
          <w:rFonts w:eastAsia="楷体_GB2312" w:cs="MingLiU_HKSCS"/>
          <w:lang w:val="zh-CN"/>
        </w:rPr>
        <w:t>2</w:t>
      </w:r>
      <w:r>
        <w:rPr>
          <w:rFonts w:eastAsia="楷体_GB2312" w:cs="MingLiU_HKSCS"/>
          <w:lang w:val="zh-CN"/>
        </w:rPr>
        <w:t>月</w:t>
      </w:r>
      <w:r>
        <w:rPr>
          <w:rFonts w:eastAsia="楷体_GB2312" w:cs="MingLiU_HKSCS"/>
          <w:lang w:val="zh-CN"/>
        </w:rPr>
        <w:t>3</w:t>
      </w:r>
      <w:r>
        <w:rPr>
          <w:rFonts w:eastAsia="楷体_GB2312" w:cs="MingLiU_HKSCS"/>
          <w:lang w:val="zh-CN"/>
        </w:rPr>
        <w:t>日公开，并于</w:t>
      </w:r>
      <w:r>
        <w:rPr>
          <w:rFonts w:eastAsia="楷体_GB2312" w:cs="MingLiU_HKSCS"/>
          <w:lang w:val="zh-CN"/>
        </w:rPr>
        <w:t>2010</w:t>
      </w:r>
      <w:r>
        <w:rPr>
          <w:rFonts w:eastAsia="楷体_GB2312" w:cs="MingLiU_HKSCS"/>
          <w:lang w:val="zh-CN"/>
        </w:rPr>
        <w:t>年</w:t>
      </w:r>
      <w:r>
        <w:rPr>
          <w:rFonts w:eastAsia="楷体_GB2312" w:cs="MingLiU_HKSCS"/>
          <w:lang w:val="zh-CN"/>
        </w:rPr>
        <w:t>10</w:t>
      </w:r>
      <w:r>
        <w:rPr>
          <w:rFonts w:eastAsia="楷体_GB2312" w:cs="MingLiU_HKSCS"/>
          <w:lang w:val="zh-CN"/>
        </w:rPr>
        <w:t>月</w:t>
      </w:r>
      <w:r>
        <w:rPr>
          <w:rFonts w:eastAsia="楷体_GB2312" w:cs="MingLiU_HKSCS"/>
          <w:lang w:val="zh-CN"/>
        </w:rPr>
        <w:t>20</w:t>
      </w:r>
      <w:r>
        <w:rPr>
          <w:rFonts w:eastAsia="楷体_GB2312" w:cs="MingLiU_HKSCS"/>
          <w:lang w:val="zh-CN"/>
        </w:rPr>
        <w:t>日授权公告。</w:t>
      </w:r>
      <w:r>
        <w:rPr>
          <w:rFonts w:eastAsia="楷体_GB2312" w:cs="MingLiU_HKSCS" w:hint="eastAsia"/>
          <w:lang w:val="zh-CN"/>
        </w:rPr>
        <w:t>甲</w:t>
      </w:r>
      <w:r>
        <w:rPr>
          <w:rFonts w:eastAsia="楷体_GB2312" w:cs="MingLiU_HKSCS"/>
          <w:lang w:val="zh-CN"/>
        </w:rPr>
        <w:t>于</w:t>
      </w:r>
      <w:r>
        <w:rPr>
          <w:rFonts w:eastAsia="楷体_GB2312" w:cs="MingLiU_HKSCS"/>
          <w:lang w:val="zh-CN"/>
        </w:rPr>
        <w:t>2009</w:t>
      </w:r>
      <w:r>
        <w:rPr>
          <w:rFonts w:eastAsia="楷体_GB2312" w:cs="MingLiU_HKSCS"/>
          <w:lang w:val="zh-CN"/>
        </w:rPr>
        <w:t>年</w:t>
      </w:r>
      <w:r>
        <w:rPr>
          <w:rFonts w:eastAsia="楷体_GB2312" w:cs="MingLiU_HKSCS"/>
          <w:lang w:val="zh-CN"/>
        </w:rPr>
        <w:t>5</w:t>
      </w:r>
      <w:r>
        <w:rPr>
          <w:rFonts w:eastAsia="楷体_GB2312" w:cs="MingLiU_HKSCS"/>
          <w:lang w:val="zh-CN"/>
        </w:rPr>
        <w:t>月发现同市的</w:t>
      </w:r>
      <w:r>
        <w:rPr>
          <w:rFonts w:eastAsia="楷体_GB2312" w:cs="MingLiU_HKSCS" w:hint="eastAsia"/>
          <w:lang w:val="zh-CN"/>
        </w:rPr>
        <w:t>乙</w:t>
      </w:r>
      <w:r>
        <w:rPr>
          <w:rFonts w:eastAsia="楷体_GB2312" w:cs="MingLiU_HKSCS"/>
          <w:lang w:val="zh-CN"/>
        </w:rPr>
        <w:t>生产的产品与其所提交专利申请要求保护的产品完全相同，遂于</w:t>
      </w:r>
      <w:r>
        <w:rPr>
          <w:rFonts w:eastAsia="楷体_GB2312" w:cs="MingLiU_HKSCS"/>
          <w:lang w:val="zh-CN"/>
        </w:rPr>
        <w:t>2009</w:t>
      </w:r>
      <w:r>
        <w:rPr>
          <w:rFonts w:eastAsia="楷体_GB2312" w:cs="MingLiU_HKSCS"/>
          <w:lang w:val="zh-CN"/>
        </w:rPr>
        <w:t>年</w:t>
      </w:r>
      <w:r>
        <w:rPr>
          <w:rFonts w:eastAsia="楷体_GB2312" w:cs="MingLiU_HKSCS"/>
          <w:lang w:val="zh-CN"/>
        </w:rPr>
        <w:t>5</w:t>
      </w:r>
      <w:r>
        <w:rPr>
          <w:rFonts w:eastAsia="楷体_GB2312" w:cs="MingLiU_HKSCS"/>
          <w:lang w:val="zh-CN"/>
        </w:rPr>
        <w:t>月</w:t>
      </w:r>
      <w:r>
        <w:rPr>
          <w:rFonts w:eastAsia="楷体_GB2312" w:cs="MingLiU_HKSCS"/>
          <w:lang w:val="zh-CN"/>
        </w:rPr>
        <w:t>30</w:t>
      </w:r>
      <w:r>
        <w:rPr>
          <w:rFonts w:eastAsia="楷体_GB2312" w:cs="MingLiU_HKSCS"/>
          <w:lang w:val="zh-CN"/>
        </w:rPr>
        <w:t>日向当地管理专利工作的部门提出要求</w:t>
      </w:r>
      <w:r>
        <w:rPr>
          <w:rFonts w:eastAsia="楷体_GB2312" w:cs="MingLiU_HKSCS" w:hint="eastAsia"/>
          <w:lang w:val="zh-CN"/>
        </w:rPr>
        <w:t>乙</w:t>
      </w:r>
      <w:r>
        <w:rPr>
          <w:rFonts w:eastAsia="楷体_GB2312" w:cs="MingLiU_HKSCS"/>
          <w:lang w:val="zh-CN"/>
        </w:rPr>
        <w:t>支付专利使用费的行政调解请求。</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根据《专利法实施细则》第</w:t>
      </w:r>
      <w:r>
        <w:rPr>
          <w:rFonts w:eastAsia="楷体_GB2312" w:cs="MingLiU_HKSCS" w:hint="eastAsia"/>
          <w:lang w:val="zh-CN"/>
        </w:rPr>
        <w:t>一百零二</w:t>
      </w:r>
      <w:r>
        <w:rPr>
          <w:rFonts w:eastAsia="楷体_GB2312" w:cs="MingLiU_HKSCS"/>
          <w:lang w:val="zh-CN"/>
        </w:rPr>
        <w:t>条的规定，因临时保护期内的实施行为未支付使用费发生纠纷，当事人请求管理专利工作的部门调解的，应当在专利权被授予之后提出。这一规定的出发点在于，发明专利申请在公布后进入实质审查程序，完成实质审查后的发明专利申请可能有两种结果：一是被授予专利权，二是被驳回申请。如果不作出上述规定，可能会导致某些被驳回的发明专利申请也被赋予了临时保护，这对社会公众是不公平的。另外，在实质审查过程中，无论是主动还是依审查员的要求，申请人均可能会对权利要求书进行修改，由此可能会导致被授予专利权的申请，其授权后权利要求书的范围与其公布时权利要求书的范围不同，从而导致在确定临时保护范围时的不确定性。</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hint="eastAsia"/>
          <w:lang w:val="zh-CN"/>
        </w:rPr>
        <w:t>甲</w:t>
      </w:r>
      <w:r>
        <w:rPr>
          <w:rFonts w:eastAsia="楷体_GB2312" w:cs="MingLiU_HKSCS"/>
          <w:lang w:val="zh-CN"/>
        </w:rPr>
        <w:t>于</w:t>
      </w:r>
      <w:r>
        <w:rPr>
          <w:rFonts w:eastAsia="楷体_GB2312" w:cs="MingLiU_HKSCS"/>
          <w:lang w:val="zh-CN"/>
        </w:rPr>
        <w:t>2009</w:t>
      </w:r>
      <w:r>
        <w:rPr>
          <w:rFonts w:eastAsia="楷体_GB2312" w:cs="MingLiU_HKSCS"/>
          <w:lang w:val="zh-CN"/>
        </w:rPr>
        <w:t>年</w:t>
      </w:r>
      <w:r>
        <w:rPr>
          <w:rFonts w:eastAsia="楷体_GB2312" w:cs="MingLiU_HKSCS"/>
          <w:lang w:val="zh-CN"/>
        </w:rPr>
        <w:t>5</w:t>
      </w:r>
      <w:r>
        <w:rPr>
          <w:rFonts w:eastAsia="楷体_GB2312" w:cs="MingLiU_HKSCS"/>
          <w:lang w:val="zh-CN"/>
        </w:rPr>
        <w:t>月</w:t>
      </w:r>
      <w:r>
        <w:rPr>
          <w:rFonts w:eastAsia="楷体_GB2312" w:cs="MingLiU_HKSCS"/>
          <w:lang w:val="zh-CN"/>
        </w:rPr>
        <w:t>30</w:t>
      </w:r>
      <w:r>
        <w:rPr>
          <w:rFonts w:eastAsia="楷体_GB2312" w:cs="MingLiU_HKSCS"/>
          <w:lang w:val="zh-CN"/>
        </w:rPr>
        <w:t>日向当地管理专利工作的部门提出要求</w:t>
      </w:r>
      <w:r>
        <w:rPr>
          <w:rFonts w:eastAsia="楷体_GB2312" w:cs="MingLiU_HKSCS" w:hint="eastAsia"/>
          <w:lang w:val="zh-CN"/>
        </w:rPr>
        <w:t>乙</w:t>
      </w:r>
      <w:r>
        <w:rPr>
          <w:rFonts w:eastAsia="楷体_GB2312" w:cs="MingLiU_HKSCS"/>
          <w:lang w:val="zh-CN"/>
        </w:rPr>
        <w:t>支付发明专利临时保护期使用费行政调解请求时，其专利申请尚处于审查阶段，并未获得专利权。因此，尽管</w:t>
      </w:r>
      <w:r>
        <w:rPr>
          <w:rFonts w:eastAsia="楷体_GB2312" w:cs="MingLiU_HKSCS" w:hint="eastAsia"/>
          <w:lang w:val="zh-CN"/>
        </w:rPr>
        <w:t>甲</w:t>
      </w:r>
      <w:r>
        <w:rPr>
          <w:rFonts w:eastAsia="楷体_GB2312" w:cs="MingLiU_HKSCS"/>
          <w:lang w:val="zh-CN"/>
        </w:rPr>
        <w:t>发现他人使用的产品与其专利申请中要求保护的产品相同，将来可能涉嫌侵犯其专利权，但也只能在</w:t>
      </w:r>
      <w:r>
        <w:rPr>
          <w:rFonts w:eastAsia="楷体_GB2312" w:cs="MingLiU_HKSCS"/>
          <w:lang w:val="zh-CN"/>
        </w:rPr>
        <w:t>2010</w:t>
      </w:r>
      <w:r>
        <w:rPr>
          <w:rFonts w:eastAsia="楷体_GB2312" w:cs="MingLiU_HKSCS"/>
          <w:lang w:val="zh-CN"/>
        </w:rPr>
        <w:t>年</w:t>
      </w:r>
      <w:r>
        <w:rPr>
          <w:rFonts w:eastAsia="楷体_GB2312" w:cs="MingLiU_HKSCS"/>
          <w:lang w:val="zh-CN"/>
        </w:rPr>
        <w:t>10</w:t>
      </w:r>
      <w:r>
        <w:rPr>
          <w:rFonts w:eastAsia="楷体_GB2312" w:cs="MingLiU_HKSCS"/>
          <w:lang w:val="zh-CN"/>
        </w:rPr>
        <w:t>月</w:t>
      </w:r>
      <w:r>
        <w:rPr>
          <w:rFonts w:eastAsia="楷体_GB2312" w:cs="MingLiU_HKSCS"/>
          <w:lang w:val="zh-CN"/>
        </w:rPr>
        <w:t>20</w:t>
      </w:r>
      <w:r>
        <w:rPr>
          <w:rFonts w:eastAsia="楷体_GB2312" w:cs="MingLiU_HKSCS"/>
          <w:lang w:val="zh-CN"/>
        </w:rPr>
        <w:t>日获得专利权之后才可以向管理专利工作的部门提出行政调解请求。</w:t>
      </w:r>
    </w:p>
    <w:p w:rsidR="00800760" w:rsidRDefault="00235733">
      <w:pPr>
        <w:pStyle w:val="3"/>
        <w:spacing w:before="240"/>
        <w:ind w:firstLineChars="0" w:firstLine="444"/>
        <w:rPr>
          <w:rFonts w:ascii="Times New Roman" w:hAnsi="Times New Roman"/>
        </w:rPr>
      </w:pPr>
      <w:bookmarkStart w:id="7834" w:name="_Toc21804"/>
      <w:bookmarkStart w:id="7835" w:name="_Toc5259"/>
      <w:bookmarkStart w:id="7836" w:name="_Toc521"/>
      <w:bookmarkStart w:id="7837" w:name="_Toc1862"/>
      <w:bookmarkStart w:id="7838" w:name="_Toc24832"/>
      <w:bookmarkStart w:id="7839" w:name="_Toc11062"/>
      <w:bookmarkStart w:id="7840" w:name="_Toc5973"/>
      <w:bookmarkStart w:id="7841" w:name="_Toc12232"/>
      <w:bookmarkStart w:id="7842" w:name="_Toc13676"/>
      <w:bookmarkStart w:id="7843" w:name="_Toc31750"/>
      <w:bookmarkStart w:id="7844" w:name="_Toc11951"/>
      <w:bookmarkStart w:id="7845" w:name="_Toc28918"/>
      <w:bookmarkStart w:id="7846" w:name="_Toc11412"/>
      <w:bookmarkStart w:id="7847" w:name="_Toc32364"/>
      <w:bookmarkStart w:id="7848" w:name="_Toc2502"/>
      <w:bookmarkStart w:id="7849" w:name="_Toc10715"/>
      <w:bookmarkStart w:id="7850" w:name="_Toc4946"/>
      <w:bookmarkStart w:id="7851" w:name="_Toc16289"/>
      <w:bookmarkStart w:id="7852" w:name="_Toc27772"/>
      <w:bookmarkStart w:id="7853" w:name="_Toc21152"/>
      <w:bookmarkStart w:id="7854" w:name="_Toc2766"/>
      <w:bookmarkStart w:id="7855" w:name="_Toc10672"/>
      <w:bookmarkStart w:id="7856" w:name="_Toc229114519"/>
      <w:bookmarkStart w:id="7857" w:name="_Toc10971"/>
      <w:bookmarkStart w:id="7858" w:name="_Toc17423"/>
      <w:bookmarkStart w:id="7859" w:name="_Toc26981"/>
      <w:bookmarkStart w:id="7860" w:name="_Toc8355"/>
      <w:bookmarkStart w:id="7861" w:name="_Toc23950"/>
      <w:bookmarkStart w:id="7862" w:name="_Toc15904"/>
      <w:bookmarkStart w:id="7863" w:name="_Toc16863"/>
      <w:bookmarkStart w:id="7864" w:name="_Toc26576"/>
      <w:bookmarkStart w:id="7865" w:name="_Toc213"/>
      <w:bookmarkStart w:id="7866" w:name="_Toc16953"/>
      <w:bookmarkStart w:id="7867" w:name="_Toc8127"/>
      <w:bookmarkStart w:id="7868" w:name="_Toc25375"/>
      <w:bookmarkStart w:id="7869" w:name="_Toc4144"/>
      <w:bookmarkStart w:id="7870" w:name="_Toc23108"/>
      <w:bookmarkStart w:id="7871" w:name="_Toc26074"/>
      <w:bookmarkStart w:id="7872" w:name="_Toc15541"/>
      <w:bookmarkStart w:id="7873" w:name="_Toc21946"/>
      <w:bookmarkStart w:id="7874" w:name="_Toc11802"/>
      <w:bookmarkStart w:id="7875" w:name="_Toc6625"/>
      <w:bookmarkStart w:id="7876" w:name="_Toc11014"/>
      <w:bookmarkStart w:id="7877" w:name="_Toc229225615"/>
      <w:r>
        <w:rPr>
          <w:rFonts w:ascii="Times New Roman" w:hAnsi="Times New Roman" w:hint="eastAsia"/>
        </w:rPr>
        <w:t>三、他人的实施行为发生在临时保护期</w:t>
      </w:r>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p>
    <w:p w:rsidR="00800760" w:rsidRDefault="00235733">
      <w:pPr>
        <w:ind w:firstLine="436"/>
        <w:jc w:val="both"/>
        <w:rPr>
          <w:rFonts w:cs="宋体"/>
          <w:spacing w:val="4"/>
        </w:rPr>
      </w:pPr>
      <w:r>
        <w:rPr>
          <w:rFonts w:cs="宋体"/>
          <w:spacing w:val="4"/>
        </w:rPr>
        <w:t>请求支付临时保护期使用费是一种在专利授权之后，专利权人或其利害关系人请求管理专利工作的部门对他人在发明专利临时保护期内实施发明的行为予以追溯的权利。他人实施发明的行为发生在临时保护期内是构成临时保护不可或缺的另一要件。</w:t>
      </w:r>
    </w:p>
    <w:p w:rsidR="00800760" w:rsidRDefault="00235733">
      <w:pPr>
        <w:ind w:firstLine="436"/>
        <w:jc w:val="both"/>
        <w:rPr>
          <w:rFonts w:cs="宋体"/>
          <w:spacing w:val="4"/>
        </w:rPr>
      </w:pPr>
      <w:r>
        <w:rPr>
          <w:rFonts w:cs="宋体"/>
          <w:spacing w:val="4"/>
        </w:rPr>
        <w:t>在发明专利临时保护期内实施发明的行为包括：未经专利申请人许可，以生产经营为目的，制造、使用、许诺销售、销售、进口专利产品，或者使用专利方法以及使用、许诺销售、销售、进口依照该专利方法直接获得的产品。</w:t>
      </w:r>
    </w:p>
    <w:p w:rsidR="00800760" w:rsidRDefault="00235733">
      <w:r>
        <w:t>如果他人实施发明的行为发生在发明专利申请日至公布日之间，请求人依此行为</w:t>
      </w:r>
      <w:bookmarkStart w:id="7878" w:name="bookmark212"/>
      <w:bookmarkEnd w:id="7878"/>
      <w:r>
        <w:t>主张临时保护期使用费的请求，管理专利工作的部门将不予支持；如果他人实施发明的行为发生在发明专利授权后，请求人应当提出专利侵权纠纷处理或调解请求而非临时保护期使用费纠纷调解请求。当请求人未明确其究竟主张临时保护期使用费，还是侵权损害赔偿时，管理专利工作的部门应当释明二者的含义，由请求人根据侵权行为发生的时间确定是请求侵权纠纷处理还是请求支付临时保护期使用费行政调解；在请求人不能正确选择的情况下，由管理专利工作的部门根据当事人提出的理由和提供的证据综合予以确定。当被请求人的实施行为从临时保护期内一直持续到专利授权之后，管理专利工作的部门应当分别予以认定。</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6-</w:t>
      </w:r>
      <w:r>
        <w:rPr>
          <w:rFonts w:ascii="Times New Roman" w:hAnsi="Times New Roman"/>
          <w:lang w:val="en-US"/>
        </w:rPr>
        <w:t>1-</w:t>
      </w:r>
      <w:r>
        <w:rPr>
          <w:rFonts w:ascii="Times New Roman" w:hAnsi="Times New Roman"/>
        </w:rPr>
        <w:t>3</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涉案发明专利的名称为</w:t>
      </w:r>
      <w:r>
        <w:rPr>
          <w:rFonts w:eastAsia="楷体_GB2312" w:cs="MingLiU_HKSCS"/>
          <w:lang w:val="zh-CN"/>
        </w:rPr>
        <w:t>“</w:t>
      </w:r>
      <w:r>
        <w:rPr>
          <w:rFonts w:eastAsia="楷体_GB2312" w:cs="MingLiU_HKSCS"/>
          <w:lang w:val="zh-CN"/>
        </w:rPr>
        <w:t>制备高纯度二氧化氯的设备</w:t>
      </w:r>
      <w:r>
        <w:rPr>
          <w:rFonts w:eastAsia="楷体_GB2312" w:cs="MingLiU_HKSCS"/>
          <w:lang w:val="zh-CN"/>
        </w:rPr>
        <w:t>”</w:t>
      </w:r>
      <w:r>
        <w:rPr>
          <w:rFonts w:eastAsia="楷体_GB2312" w:cs="MingLiU_HKSCS" w:hint="eastAsia"/>
          <w:lang w:val="zh-CN"/>
        </w:rPr>
        <w:t>，</w:t>
      </w:r>
      <w:r>
        <w:rPr>
          <w:rFonts w:eastAsia="楷体_GB2312" w:cs="MingLiU_HKSCS"/>
          <w:lang w:val="zh-CN"/>
        </w:rPr>
        <w:t>申请日为</w:t>
      </w:r>
      <w:r>
        <w:rPr>
          <w:rFonts w:eastAsia="楷体_GB2312" w:cs="MingLiU_HKSCS"/>
          <w:lang w:val="zh-CN"/>
        </w:rPr>
        <w:t>2006</w:t>
      </w:r>
      <w:r>
        <w:rPr>
          <w:rFonts w:eastAsia="楷体_GB2312" w:cs="MingLiU_HKSCS"/>
          <w:lang w:val="zh-CN"/>
        </w:rPr>
        <w:t>年</w:t>
      </w:r>
      <w:r>
        <w:rPr>
          <w:rFonts w:eastAsia="楷体_GB2312" w:cs="MingLiU_HKSCS"/>
          <w:lang w:val="zh-CN"/>
        </w:rPr>
        <w:t>1</w:t>
      </w:r>
      <w:r>
        <w:rPr>
          <w:rFonts w:eastAsia="楷体_GB2312" w:cs="MingLiU_HKSCS"/>
          <w:lang w:val="zh-CN"/>
        </w:rPr>
        <w:t>月</w:t>
      </w:r>
      <w:r>
        <w:rPr>
          <w:rFonts w:eastAsia="楷体_GB2312" w:cs="MingLiU_HKSCS"/>
          <w:lang w:val="zh-CN"/>
        </w:rPr>
        <w:t>19</w:t>
      </w:r>
      <w:r>
        <w:rPr>
          <w:rFonts w:eastAsia="楷体_GB2312" w:cs="MingLiU_HKSCS"/>
          <w:lang w:val="zh-CN"/>
        </w:rPr>
        <w:t>日。该专利申请于</w:t>
      </w:r>
      <w:r>
        <w:rPr>
          <w:rFonts w:eastAsia="楷体_GB2312" w:cs="MingLiU_HKSCS"/>
          <w:lang w:val="zh-CN"/>
        </w:rPr>
        <w:t>2006</w:t>
      </w:r>
      <w:r>
        <w:rPr>
          <w:rFonts w:eastAsia="楷体_GB2312" w:cs="MingLiU_HKSCS"/>
          <w:lang w:val="zh-CN"/>
        </w:rPr>
        <w:t>年</w:t>
      </w:r>
      <w:r>
        <w:rPr>
          <w:rFonts w:eastAsia="楷体_GB2312" w:cs="MingLiU_HKSCS"/>
          <w:lang w:val="zh-CN"/>
        </w:rPr>
        <w:t>7</w:t>
      </w:r>
      <w:r>
        <w:rPr>
          <w:rFonts w:eastAsia="楷体_GB2312" w:cs="MingLiU_HKSCS"/>
          <w:lang w:val="zh-CN"/>
        </w:rPr>
        <w:t>月</w:t>
      </w:r>
      <w:r>
        <w:rPr>
          <w:rFonts w:eastAsia="楷体_GB2312" w:cs="MingLiU_HKSCS"/>
          <w:lang w:val="zh-CN"/>
        </w:rPr>
        <w:t>19</w:t>
      </w:r>
      <w:r>
        <w:rPr>
          <w:rFonts w:eastAsia="楷体_GB2312" w:cs="MingLiU_HKSCS"/>
          <w:lang w:val="zh-CN"/>
        </w:rPr>
        <w:t>日公布，</w:t>
      </w:r>
      <w:r>
        <w:rPr>
          <w:rFonts w:eastAsia="楷体_GB2312" w:cs="MingLiU_HKSCS"/>
          <w:lang w:val="zh-CN"/>
        </w:rPr>
        <w:t>2009</w:t>
      </w:r>
      <w:r>
        <w:rPr>
          <w:rFonts w:eastAsia="楷体_GB2312" w:cs="MingLiU_HKSCS"/>
          <w:lang w:val="zh-CN"/>
        </w:rPr>
        <w:t>年</w:t>
      </w:r>
      <w:r>
        <w:rPr>
          <w:rFonts w:eastAsia="楷体_GB2312" w:cs="MingLiU_HKSCS"/>
          <w:lang w:val="zh-CN"/>
        </w:rPr>
        <w:t>1</w:t>
      </w:r>
      <w:r>
        <w:rPr>
          <w:rFonts w:eastAsia="楷体_GB2312" w:cs="MingLiU_HKSCS"/>
          <w:lang w:val="zh-CN"/>
        </w:rPr>
        <w:t>月</w:t>
      </w:r>
      <w:r>
        <w:rPr>
          <w:rFonts w:eastAsia="楷体_GB2312" w:cs="MingLiU_HKSCS"/>
          <w:lang w:val="zh-CN"/>
        </w:rPr>
        <w:t>21</w:t>
      </w:r>
      <w:r>
        <w:rPr>
          <w:rFonts w:eastAsia="楷体_GB2312" w:cs="MingLiU_HKSCS"/>
          <w:lang w:val="zh-CN"/>
        </w:rPr>
        <w:t>日授权公告，专利权人为</w:t>
      </w:r>
      <w:r>
        <w:rPr>
          <w:rFonts w:eastAsia="楷体_GB2312" w:cs="MingLiU_HKSCS"/>
          <w:lang w:val="zh-CN"/>
        </w:rPr>
        <w:t>A</w:t>
      </w:r>
      <w:r>
        <w:rPr>
          <w:rFonts w:eastAsia="楷体_GB2312" w:cs="MingLiU_HKSCS"/>
          <w:lang w:val="zh-CN"/>
        </w:rPr>
        <w:t>公司。</w:t>
      </w:r>
      <w:r>
        <w:rPr>
          <w:rFonts w:eastAsia="楷体_GB2312" w:cs="MingLiU_HKSCS"/>
          <w:lang w:val="zh-CN"/>
        </w:rPr>
        <w:t>2008</w:t>
      </w:r>
      <w:r>
        <w:rPr>
          <w:rFonts w:eastAsia="楷体_GB2312" w:cs="MingLiU_HKSCS"/>
          <w:lang w:val="zh-CN"/>
        </w:rPr>
        <w:t>年</w:t>
      </w:r>
      <w:r>
        <w:rPr>
          <w:rFonts w:eastAsia="楷体_GB2312" w:cs="MingLiU_HKSCS"/>
          <w:lang w:val="zh-CN"/>
        </w:rPr>
        <w:t>10</w:t>
      </w:r>
      <w:r>
        <w:rPr>
          <w:rFonts w:eastAsia="楷体_GB2312" w:cs="MingLiU_HKSCS"/>
          <w:lang w:val="zh-CN"/>
        </w:rPr>
        <w:t>月</w:t>
      </w:r>
      <w:r>
        <w:rPr>
          <w:rFonts w:eastAsia="楷体_GB2312" w:cs="MingLiU_HKSCS"/>
          <w:lang w:val="zh-CN"/>
        </w:rPr>
        <w:t>20</w:t>
      </w:r>
      <w:r>
        <w:rPr>
          <w:rFonts w:eastAsia="楷体_GB2312" w:cs="MingLiU_HKSCS"/>
          <w:lang w:val="zh-CN"/>
        </w:rPr>
        <w:t>日，</w:t>
      </w:r>
      <w:r>
        <w:rPr>
          <w:rFonts w:eastAsia="楷体_GB2312" w:cs="MingLiU_HKSCS"/>
          <w:lang w:val="zh-CN"/>
        </w:rPr>
        <w:t>B</w:t>
      </w:r>
      <w:r>
        <w:rPr>
          <w:rFonts w:eastAsia="楷体_GB2312" w:cs="MingLiU_HKSCS"/>
          <w:lang w:val="zh-CN"/>
        </w:rPr>
        <w:t>自来水公司与</w:t>
      </w:r>
      <w:r>
        <w:rPr>
          <w:rFonts w:eastAsia="楷体_GB2312" w:cs="MingLiU_HKSCS"/>
          <w:lang w:val="zh-CN"/>
        </w:rPr>
        <w:t>C</w:t>
      </w:r>
      <w:r>
        <w:rPr>
          <w:rFonts w:eastAsia="楷体_GB2312" w:cs="MingLiU_HKSCS"/>
          <w:lang w:val="zh-CN"/>
        </w:rPr>
        <w:t>公司签订《购销合同》购买二氧化氯发生器一套，</w:t>
      </w:r>
      <w:r>
        <w:rPr>
          <w:rFonts w:eastAsia="楷体_GB2312" w:cs="MingLiU_HKSCS"/>
          <w:lang w:val="zh-CN"/>
        </w:rPr>
        <w:t>C</w:t>
      </w:r>
      <w:r>
        <w:rPr>
          <w:rFonts w:eastAsia="楷体_GB2312" w:cs="MingLiU_HKSCS"/>
          <w:lang w:val="zh-CN"/>
        </w:rPr>
        <w:t>公司于</w:t>
      </w:r>
      <w:r>
        <w:rPr>
          <w:rFonts w:eastAsia="楷体_GB2312" w:cs="MingLiU_HKSCS"/>
          <w:lang w:val="zh-CN"/>
        </w:rPr>
        <w:t>2008</w:t>
      </w:r>
      <w:r>
        <w:rPr>
          <w:rFonts w:eastAsia="楷体_GB2312" w:cs="MingLiU_HKSCS"/>
          <w:lang w:val="zh-CN"/>
        </w:rPr>
        <w:t>年</w:t>
      </w:r>
      <w:r>
        <w:rPr>
          <w:rFonts w:eastAsia="楷体_GB2312" w:cs="MingLiU_HKSCS"/>
          <w:lang w:val="zh-CN"/>
        </w:rPr>
        <w:t>12</w:t>
      </w:r>
      <w:r>
        <w:rPr>
          <w:rFonts w:eastAsia="楷体_GB2312" w:cs="MingLiU_HKSCS"/>
          <w:lang w:val="zh-CN"/>
        </w:rPr>
        <w:t>月</w:t>
      </w:r>
      <w:r>
        <w:rPr>
          <w:rFonts w:eastAsia="楷体_GB2312" w:cs="MingLiU_HKSCS"/>
          <w:lang w:val="zh-CN"/>
        </w:rPr>
        <w:t>30</w:t>
      </w:r>
      <w:r>
        <w:rPr>
          <w:rFonts w:eastAsia="楷体_GB2312" w:cs="MingLiU_HKSCS"/>
          <w:lang w:val="zh-CN"/>
        </w:rPr>
        <w:t>日就上述产品销售款委托税务机关代开统一发票。上述产品一直由</w:t>
      </w:r>
      <w:r>
        <w:rPr>
          <w:rFonts w:eastAsia="楷体_GB2312" w:cs="MingLiU_HKSCS"/>
          <w:lang w:val="zh-CN"/>
        </w:rPr>
        <w:t>B</w:t>
      </w:r>
      <w:r>
        <w:rPr>
          <w:rFonts w:eastAsia="楷体_GB2312" w:cs="MingLiU_HKSCS"/>
          <w:lang w:val="zh-CN"/>
        </w:rPr>
        <w:t>自来水公司使用，</w:t>
      </w:r>
      <w:r>
        <w:rPr>
          <w:rFonts w:eastAsia="楷体_GB2312" w:cs="MingLiU_HKSCS"/>
          <w:lang w:val="zh-CN"/>
        </w:rPr>
        <w:t>C</w:t>
      </w:r>
      <w:r>
        <w:rPr>
          <w:rFonts w:eastAsia="楷体_GB2312" w:cs="MingLiU_HKSCS"/>
          <w:lang w:val="zh-CN"/>
        </w:rPr>
        <w:t>公司为该产品的正常运转提供维修、保养等技术支持。</w:t>
      </w:r>
      <w:r>
        <w:rPr>
          <w:rFonts w:eastAsia="楷体_GB2312" w:cs="MingLiU_HKSCS"/>
          <w:lang w:val="zh-CN"/>
        </w:rPr>
        <w:t>A</w:t>
      </w:r>
      <w:r>
        <w:rPr>
          <w:rFonts w:eastAsia="楷体_GB2312" w:cs="MingLiU_HKSCS"/>
          <w:lang w:val="zh-CN"/>
        </w:rPr>
        <w:t>公司认为</w:t>
      </w:r>
      <w:r>
        <w:rPr>
          <w:rFonts w:eastAsia="楷体_GB2312" w:cs="MingLiU_HKSCS"/>
          <w:lang w:val="zh-CN"/>
        </w:rPr>
        <w:t>C</w:t>
      </w:r>
      <w:r>
        <w:rPr>
          <w:rFonts w:eastAsia="楷体_GB2312" w:cs="MingLiU_HKSCS"/>
          <w:lang w:val="zh-CN"/>
        </w:rPr>
        <w:t>公司生产、销售和</w:t>
      </w:r>
      <w:r>
        <w:rPr>
          <w:rFonts w:eastAsia="楷体_GB2312" w:cs="MingLiU_HKSCS"/>
          <w:lang w:val="zh-CN"/>
        </w:rPr>
        <w:t>B</w:t>
      </w:r>
      <w:r>
        <w:rPr>
          <w:rFonts w:eastAsia="楷体_GB2312" w:cs="MingLiU_HKSCS"/>
          <w:lang w:val="zh-CN"/>
        </w:rPr>
        <w:t>自来水公司使用的二氧化氯生产设备落入涉案发明专利保护范围，请求</w:t>
      </w:r>
      <w:r>
        <w:rPr>
          <w:rFonts w:eastAsia="楷体_GB2312" w:cs="MingLiU_HKSCS"/>
          <w:lang w:val="zh-CN"/>
        </w:rPr>
        <w:t>B</w:t>
      </w:r>
      <w:r>
        <w:rPr>
          <w:rFonts w:eastAsia="楷体_GB2312" w:cs="MingLiU_HKSCS"/>
          <w:lang w:val="zh-CN"/>
        </w:rPr>
        <w:t>公司和</w:t>
      </w:r>
      <w:r>
        <w:rPr>
          <w:rFonts w:eastAsia="楷体_GB2312" w:cs="MingLiU_HKSCS"/>
          <w:lang w:val="zh-CN"/>
        </w:rPr>
        <w:t>C</w:t>
      </w:r>
      <w:r>
        <w:rPr>
          <w:rFonts w:eastAsia="楷体_GB2312" w:cs="MingLiU_HKSCS"/>
          <w:lang w:val="zh-CN"/>
        </w:rPr>
        <w:t>公司停止侵权并赔偿经济损失</w:t>
      </w:r>
      <w:r>
        <w:rPr>
          <w:rFonts w:eastAsia="楷体_GB2312" w:cs="MingLiU_HKSCS"/>
          <w:lang w:val="zh-CN"/>
        </w:rPr>
        <w:t>30</w:t>
      </w:r>
      <w:r>
        <w:rPr>
          <w:rFonts w:eastAsia="楷体_GB2312" w:cs="MingLiU_HKSCS"/>
          <w:lang w:val="zh-CN"/>
        </w:rPr>
        <w:t>万元，而没有提出支付发明专利临时保护期使用费的诉讼请求。</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该案中，</w:t>
      </w:r>
      <w:r>
        <w:rPr>
          <w:rFonts w:eastAsia="楷体_GB2312" w:cs="MingLiU_HKSCS"/>
          <w:lang w:val="zh-CN"/>
        </w:rPr>
        <w:t>C</w:t>
      </w:r>
      <w:r>
        <w:rPr>
          <w:rFonts w:eastAsia="楷体_GB2312" w:cs="MingLiU_HKSCS"/>
          <w:lang w:val="zh-CN"/>
        </w:rPr>
        <w:t>公司制造、销售被控侵权产品的行为发生在涉案发明专利申请公布之后、授权公告之前，</w:t>
      </w:r>
      <w:r>
        <w:rPr>
          <w:rFonts w:eastAsia="楷体_GB2312" w:cs="MingLiU_HKSCS"/>
          <w:lang w:val="zh-CN"/>
        </w:rPr>
        <w:t>B</w:t>
      </w:r>
      <w:r>
        <w:rPr>
          <w:rFonts w:eastAsia="楷体_GB2312" w:cs="MingLiU_HKSCS"/>
          <w:lang w:val="zh-CN"/>
        </w:rPr>
        <w:t>自来水公司使用被控侵权产品的行为从专利授权之前一直持续到专利授权之后。该案值得讨论的问题包括：</w:t>
      </w:r>
      <w:r>
        <w:rPr>
          <w:rFonts w:eastAsia="楷体_GB2312" w:cs="MingLiU_HKSCS"/>
          <w:lang w:val="zh-CN"/>
        </w:rPr>
        <w:t>(1)C</w:t>
      </w:r>
      <w:r>
        <w:rPr>
          <w:rFonts w:eastAsia="楷体_GB2312" w:cs="MingLiU_HKSCS"/>
          <w:lang w:val="zh-CN"/>
        </w:rPr>
        <w:t>公司制造、销售被控侵权产品的行为和</w:t>
      </w:r>
      <w:r>
        <w:rPr>
          <w:rFonts w:eastAsia="楷体_GB2312" w:cs="MingLiU_HKSCS"/>
          <w:lang w:val="zh-CN"/>
        </w:rPr>
        <w:t>B</w:t>
      </w:r>
      <w:r>
        <w:rPr>
          <w:rFonts w:eastAsia="楷体_GB2312" w:cs="MingLiU_HKSCS"/>
          <w:lang w:val="zh-CN"/>
        </w:rPr>
        <w:t>自来水公司在专利授权之前使用被控侵权产品的行为是否构成侵权</w:t>
      </w:r>
      <w:r>
        <w:rPr>
          <w:rFonts w:eastAsia="楷体_GB2312" w:cs="MingLiU_HKSCS"/>
          <w:lang w:val="zh-CN"/>
        </w:rPr>
        <w:t>?</w:t>
      </w:r>
      <w:r>
        <w:rPr>
          <w:rFonts w:eastAsia="楷体_GB2312" w:cs="MingLiU_HKSCS"/>
          <w:lang w:val="zh-CN"/>
        </w:rPr>
        <w:t>如果不构成侵权的话，是否需要支付临时保护期使用费</w:t>
      </w:r>
      <w:r>
        <w:rPr>
          <w:rFonts w:eastAsia="楷体_GB2312" w:cs="MingLiU_HKSCS"/>
          <w:lang w:val="zh-CN"/>
        </w:rPr>
        <w:t>?(2)A</w:t>
      </w:r>
      <w:r>
        <w:rPr>
          <w:rFonts w:eastAsia="楷体_GB2312" w:cs="MingLiU_HKSCS"/>
          <w:lang w:val="zh-CN"/>
        </w:rPr>
        <w:t>公司没有提出支付发明专利临时保护期使用费的诉讼请求，管理专利工作的部门应当如何处理</w:t>
      </w:r>
      <w:r>
        <w:rPr>
          <w:rFonts w:eastAsia="楷体_GB2312" w:cs="MingLiU_HKSCS"/>
          <w:lang w:val="zh-CN"/>
        </w:rPr>
        <w:t>?</w:t>
      </w:r>
    </w:p>
    <w:p w:rsidR="00800760" w:rsidRDefault="00235733">
      <w:pPr>
        <w:spacing w:line="360" w:lineRule="auto"/>
        <w:rPr>
          <w:rFonts w:eastAsia="楷体_GB2312" w:cs="MingLiU_HKSCS"/>
          <w:lang w:val="zh-CN"/>
        </w:rPr>
      </w:pPr>
      <w:r>
        <w:rPr>
          <w:rFonts w:eastAsia="楷体_GB2312" w:cs="MingLiU_HKSCS"/>
          <w:lang w:val="zh-CN"/>
        </w:rPr>
        <w:t>关于第一个问题，对于发明专利而言，虽然专利授权之后，专利权回溯到自申请日起有效，但是其能够真正获得保护的时间是自授权公告之日起计算。</w:t>
      </w:r>
      <w:r>
        <w:rPr>
          <w:rFonts w:eastAsia="楷体_GB2312" w:cs="MingLiU_HKSCS"/>
          <w:lang w:val="zh-CN"/>
        </w:rPr>
        <w:t>C</w:t>
      </w:r>
      <w:r>
        <w:rPr>
          <w:rFonts w:eastAsia="楷体_GB2312" w:cs="MingLiU_HKSCS"/>
          <w:lang w:val="zh-CN"/>
        </w:rPr>
        <w:t>公司制造、销售被控侵权产品的行为发生在专利授权之前，因此不构成侵权；同样，</w:t>
      </w:r>
      <w:r>
        <w:rPr>
          <w:rFonts w:eastAsia="楷体_GB2312" w:cs="MingLiU_HKSCS"/>
          <w:lang w:val="zh-CN"/>
        </w:rPr>
        <w:t>B</w:t>
      </w:r>
      <w:r>
        <w:rPr>
          <w:rFonts w:eastAsia="楷体_GB2312" w:cs="MingLiU_HKSCS"/>
          <w:lang w:val="zh-CN"/>
        </w:rPr>
        <w:t>自来水公司在专利授权之前使用被控侵权产品的行为也不构成侵权。</w:t>
      </w:r>
      <w:r>
        <w:rPr>
          <w:rFonts w:eastAsia="楷体_GB2312" w:cs="MingLiU_HKSCS"/>
          <w:lang w:val="zh-CN"/>
        </w:rPr>
        <w:t>C</w:t>
      </w:r>
      <w:r>
        <w:rPr>
          <w:rFonts w:eastAsia="楷体_GB2312" w:cs="MingLiU_HKSCS"/>
          <w:lang w:val="zh-CN"/>
        </w:rPr>
        <w:t>公司和</w:t>
      </w:r>
      <w:r>
        <w:rPr>
          <w:rFonts w:eastAsia="楷体_GB2312" w:cs="MingLiU_HKSCS"/>
          <w:lang w:val="zh-CN"/>
        </w:rPr>
        <w:t>B</w:t>
      </w:r>
      <w:r>
        <w:rPr>
          <w:rFonts w:eastAsia="楷体_GB2312" w:cs="MingLiU_HKSCS"/>
          <w:lang w:val="zh-CN"/>
        </w:rPr>
        <w:t>自来水公司均不应承担侵权损害赔偿。如果</w:t>
      </w:r>
      <w:r>
        <w:rPr>
          <w:rFonts w:eastAsia="楷体_GB2312" w:cs="MingLiU_HKSCS"/>
          <w:lang w:val="zh-CN"/>
        </w:rPr>
        <w:t>A</w:t>
      </w:r>
      <w:r>
        <w:rPr>
          <w:rFonts w:eastAsia="楷体_GB2312" w:cs="MingLiU_HKSCS"/>
          <w:lang w:val="zh-CN"/>
        </w:rPr>
        <w:t>公司请求支付临时保护期使用费的话，其请求应当被支持。</w:t>
      </w:r>
    </w:p>
    <w:p w:rsidR="00800760" w:rsidRDefault="00235733">
      <w:pPr>
        <w:spacing w:line="360" w:lineRule="auto"/>
        <w:rPr>
          <w:rFonts w:eastAsia="楷体_GB2312" w:cs="MingLiU_HKSCS"/>
          <w:lang w:val="zh-CN"/>
        </w:rPr>
      </w:pPr>
      <w:bookmarkStart w:id="7879" w:name="bookmark213"/>
      <w:bookmarkEnd w:id="7879"/>
      <w:r>
        <w:rPr>
          <w:rFonts w:eastAsia="楷体_GB2312" w:cs="MingLiU_HKSCS"/>
          <w:lang w:val="zh-CN"/>
        </w:rPr>
        <w:t>关于第二个问题，发明专利临时保护期使用费与专利侵权损害赔偿并不属于同一诉因，管理专利工作的部门应当向当事人释明二者的区别。在已经释明的情况下，如果当事人依然坚持请求侵权损害赔偿而不主张临时保护期使用费补偿，管理专利工作的部门应当明确告知请求人其侵权损害赔偿主张得不到支持；但基于行政调解的性质，在双方当事人同意的情况下，可以变更为临时保护期使用费补偿请求进行行政调解。</w:t>
      </w:r>
    </w:p>
    <w:p w:rsidR="00800760" w:rsidRDefault="00235733">
      <w:pPr>
        <w:pStyle w:val="3"/>
        <w:spacing w:before="240"/>
        <w:ind w:firstLineChars="0" w:firstLine="444"/>
        <w:rPr>
          <w:rFonts w:ascii="Times New Roman" w:hAnsi="Times New Roman"/>
        </w:rPr>
      </w:pPr>
      <w:bookmarkStart w:id="7880" w:name="_Toc30723"/>
      <w:bookmarkStart w:id="7881" w:name="_Toc17709"/>
      <w:bookmarkStart w:id="7882" w:name="_Toc17284"/>
      <w:bookmarkStart w:id="7883" w:name="_Toc19683"/>
      <w:bookmarkStart w:id="7884" w:name="_Toc11681"/>
      <w:bookmarkStart w:id="7885" w:name="_Toc20364"/>
      <w:bookmarkStart w:id="7886" w:name="_Toc29898"/>
      <w:bookmarkStart w:id="7887" w:name="_Toc14014"/>
      <w:bookmarkStart w:id="7888" w:name="_Toc21649"/>
      <w:bookmarkStart w:id="7889" w:name="_Toc13859"/>
      <w:bookmarkStart w:id="7890" w:name="_Toc20878"/>
      <w:bookmarkStart w:id="7891" w:name="_Toc10439"/>
      <w:bookmarkStart w:id="7892" w:name="_Toc14221"/>
      <w:bookmarkStart w:id="7893" w:name="_Toc27904"/>
      <w:bookmarkStart w:id="7894" w:name="_Toc14612"/>
      <w:bookmarkStart w:id="7895" w:name="_Toc11678"/>
      <w:bookmarkStart w:id="7896" w:name="_Toc2790"/>
      <w:bookmarkStart w:id="7897" w:name="_Toc17380"/>
      <w:bookmarkStart w:id="7898" w:name="_Toc17385"/>
      <w:bookmarkStart w:id="7899" w:name="_Toc26127"/>
      <w:bookmarkStart w:id="7900" w:name="_Toc19592"/>
      <w:bookmarkStart w:id="7901" w:name="_Toc23143"/>
      <w:bookmarkStart w:id="7902" w:name="_Toc27851"/>
      <w:bookmarkStart w:id="7903" w:name="_Toc995"/>
      <w:bookmarkStart w:id="7904" w:name="_Toc229114520"/>
      <w:bookmarkStart w:id="7905" w:name="_Toc18404"/>
      <w:bookmarkStart w:id="7906" w:name="_Toc153"/>
      <w:bookmarkStart w:id="7907" w:name="_Toc7202"/>
      <w:bookmarkStart w:id="7908" w:name="_Toc12163"/>
      <w:bookmarkStart w:id="7909" w:name="_Toc19934"/>
      <w:bookmarkStart w:id="7910" w:name="_Toc19327"/>
      <w:bookmarkStart w:id="7911" w:name="_Toc10828"/>
      <w:bookmarkStart w:id="7912" w:name="_Toc21671"/>
      <w:bookmarkStart w:id="7913" w:name="_Toc29215"/>
      <w:bookmarkStart w:id="7914" w:name="_Toc12094"/>
      <w:bookmarkStart w:id="7915" w:name="_Toc12521"/>
      <w:bookmarkStart w:id="7916" w:name="_Toc18277"/>
      <w:bookmarkStart w:id="7917" w:name="_Toc18973"/>
      <w:bookmarkStart w:id="7918" w:name="_Toc229225616"/>
      <w:r>
        <w:rPr>
          <w:rFonts w:ascii="Times New Roman" w:hAnsi="Times New Roman" w:hint="eastAsia"/>
        </w:rPr>
        <w:t>四、他人的实施行为落入专利保护范围</w:t>
      </w:r>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p>
    <w:p w:rsidR="00800760" w:rsidRDefault="00235733">
      <w:pPr>
        <w:ind w:firstLine="436"/>
        <w:jc w:val="both"/>
        <w:rPr>
          <w:rFonts w:cs="宋体"/>
          <w:spacing w:val="4"/>
        </w:rPr>
      </w:pPr>
      <w:r>
        <w:rPr>
          <w:rFonts w:cs="宋体"/>
          <w:spacing w:val="4"/>
        </w:rPr>
        <w:t>构成临时保护的第四个必要条件是他人的实施行为要落入专利保护范围。所述</w:t>
      </w:r>
      <w:r>
        <w:rPr>
          <w:rFonts w:cs="宋体"/>
          <w:spacing w:val="4"/>
        </w:rPr>
        <w:t>“</w:t>
      </w:r>
      <w:r>
        <w:rPr>
          <w:rFonts w:cs="宋体"/>
          <w:spacing w:val="4"/>
        </w:rPr>
        <w:t>专利保护范围</w:t>
      </w:r>
      <w:r>
        <w:rPr>
          <w:rFonts w:cs="宋体"/>
          <w:spacing w:val="4"/>
        </w:rPr>
        <w:t>”</w:t>
      </w:r>
      <w:r>
        <w:rPr>
          <w:rFonts w:cs="宋体"/>
          <w:spacing w:val="4"/>
        </w:rPr>
        <w:t>应当以请求人指定的权利要求的保护范围为准。</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一</w:t>
      </w:r>
      <w:r>
        <w:rPr>
          <w:rFonts w:ascii="Times New Roman" w:hAnsi="Times New Roman"/>
        </w:rPr>
        <w:t>)</w:t>
      </w:r>
      <w:r>
        <w:rPr>
          <w:rFonts w:ascii="Times New Roman" w:hAnsi="Times New Roman"/>
        </w:rPr>
        <w:t>专利文本的确定</w:t>
      </w:r>
    </w:p>
    <w:p w:rsidR="00800760" w:rsidRDefault="00235733">
      <w:pPr>
        <w:ind w:firstLine="436"/>
        <w:jc w:val="both"/>
        <w:rPr>
          <w:rFonts w:cs="宋体"/>
          <w:spacing w:val="4"/>
        </w:rPr>
      </w:pPr>
      <w:r>
        <w:rPr>
          <w:rFonts w:cs="宋体"/>
          <w:spacing w:val="4"/>
        </w:rPr>
        <w:t>请求人在提出支付发明专利临时保护期使用费调解请求时，应当提交发明专利申请公布文本和提出调解请求时有效的专利文本。如果专利授权公告后未经历无效宣告程序，所述有效的专利文本即为专利授权公告文本；如果专利授权公告后经历过无效宣告程序，所述有效的专利文本应当是生效的无效宣告请求审查决定最终维持有效的专利文本。</w:t>
      </w:r>
    </w:p>
    <w:p w:rsidR="00800760" w:rsidRDefault="00235733">
      <w:pPr>
        <w:ind w:firstLine="436"/>
        <w:jc w:val="both"/>
        <w:rPr>
          <w:rFonts w:cs="宋体"/>
          <w:spacing w:val="4"/>
        </w:rPr>
      </w:pPr>
      <w:r>
        <w:rPr>
          <w:rFonts w:cs="宋体"/>
          <w:spacing w:val="4"/>
        </w:rPr>
        <w:t>请求人应当明确提出请求所依据文本的权利要求。无论针对公布文本还是最终有效的专利文本，如果请求人未明确具体的权利要求，管理专利工作的部门应当向请求人释明，要求其指定具体的权利要求；经释明，请求人仍然未明确的，则应以相应的独立权利要求为准。对于权利要求书中包括多项独立权利要求的，管理专利工作的部门应当向请求人释明，要求其指定具体的权利要求；经释明，请求人仍然未明确具体的权利要求的，管理专利工作的部门根据请求人在请求书中的具体理由选定最相关的独立权利要求作为比对基础。</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二</w:t>
      </w:r>
      <w:r>
        <w:rPr>
          <w:rFonts w:ascii="Times New Roman" w:hAnsi="Times New Roman"/>
        </w:rPr>
        <w:t>)</w:t>
      </w:r>
      <w:r>
        <w:rPr>
          <w:rFonts w:ascii="Times New Roman" w:hAnsi="Times New Roman"/>
        </w:rPr>
        <w:t>专利保护范围的确定</w:t>
      </w:r>
    </w:p>
    <w:p w:rsidR="00800760" w:rsidRDefault="00235733">
      <w:pPr>
        <w:ind w:firstLine="436"/>
        <w:jc w:val="both"/>
        <w:rPr>
          <w:rFonts w:cs="宋体"/>
          <w:spacing w:val="4"/>
        </w:rPr>
      </w:pPr>
      <w:r>
        <w:rPr>
          <w:rFonts w:cs="宋体"/>
          <w:spacing w:val="4"/>
        </w:rPr>
        <w:t>根据发明专利申请公布时权利要求保护范围</w:t>
      </w:r>
      <w:r>
        <w:rPr>
          <w:rFonts w:cs="宋体"/>
          <w:spacing w:val="4"/>
        </w:rPr>
        <w:t>(</w:t>
      </w:r>
      <w:r>
        <w:rPr>
          <w:rFonts w:cs="宋体"/>
          <w:spacing w:val="4"/>
        </w:rPr>
        <w:t>范围</w:t>
      </w:r>
      <w:r>
        <w:rPr>
          <w:rFonts w:cs="宋体"/>
          <w:spacing w:val="4"/>
        </w:rPr>
        <w:t>A)</w:t>
      </w:r>
      <w:r>
        <w:rPr>
          <w:rFonts w:cs="宋体"/>
          <w:spacing w:val="4"/>
        </w:rPr>
        <w:t>和提起调解请求时有效的权利要求保护范围</w:t>
      </w:r>
      <w:r>
        <w:rPr>
          <w:rFonts w:cs="宋体"/>
          <w:spacing w:val="4"/>
        </w:rPr>
        <w:t>(</w:t>
      </w:r>
      <w:r>
        <w:rPr>
          <w:rFonts w:cs="宋体"/>
          <w:spacing w:val="4"/>
        </w:rPr>
        <w:t>范围</w:t>
      </w:r>
      <w:r>
        <w:rPr>
          <w:rFonts w:cs="宋体"/>
          <w:spacing w:val="4"/>
        </w:rPr>
        <w:t>B)</w:t>
      </w:r>
      <w:r>
        <w:rPr>
          <w:rFonts w:cs="宋体"/>
          <w:spacing w:val="4"/>
        </w:rPr>
        <w:t>的关系，存在如下不同的情形：</w:t>
      </w:r>
      <w:r>
        <w:rPr>
          <w:rFonts w:cs="宋体"/>
          <w:spacing w:val="4"/>
        </w:rPr>
        <w:t>(1)</w:t>
      </w:r>
      <w:r>
        <w:rPr>
          <w:rFonts w:cs="宋体"/>
          <w:spacing w:val="4"/>
        </w:rPr>
        <w:t>范围</w:t>
      </w:r>
      <w:r>
        <w:rPr>
          <w:rFonts w:cs="宋体"/>
          <w:spacing w:val="4"/>
        </w:rPr>
        <w:t>A=</w:t>
      </w:r>
      <w:r>
        <w:rPr>
          <w:rFonts w:cs="宋体"/>
          <w:spacing w:val="4"/>
        </w:rPr>
        <w:t>范围</w:t>
      </w:r>
      <w:r>
        <w:rPr>
          <w:rFonts w:cs="宋体"/>
          <w:spacing w:val="4"/>
        </w:rPr>
        <w:t>B</w:t>
      </w:r>
      <w:r>
        <w:rPr>
          <w:rFonts w:cs="宋体" w:hint="eastAsia"/>
          <w:spacing w:val="4"/>
        </w:rPr>
        <w:t>；</w:t>
      </w:r>
      <w:r>
        <w:rPr>
          <w:rFonts w:cs="宋体"/>
          <w:spacing w:val="4"/>
        </w:rPr>
        <w:t>(2)</w:t>
      </w:r>
      <w:r>
        <w:rPr>
          <w:rFonts w:cs="宋体"/>
          <w:spacing w:val="4"/>
        </w:rPr>
        <w:t>范围</w:t>
      </w:r>
      <w:r>
        <w:rPr>
          <w:rFonts w:cs="宋体"/>
          <w:spacing w:val="4"/>
        </w:rPr>
        <w:t>A&gt;</w:t>
      </w:r>
      <w:r>
        <w:rPr>
          <w:rFonts w:cs="宋体"/>
          <w:spacing w:val="4"/>
        </w:rPr>
        <w:t>范围</w:t>
      </w:r>
      <w:r>
        <w:rPr>
          <w:rFonts w:cs="宋体"/>
          <w:spacing w:val="4"/>
        </w:rPr>
        <w:t>B;(3)</w:t>
      </w:r>
      <w:r>
        <w:rPr>
          <w:rFonts w:cs="宋体"/>
          <w:spacing w:val="4"/>
        </w:rPr>
        <w:t>范围</w:t>
      </w:r>
      <w:r>
        <w:rPr>
          <w:rFonts w:cs="宋体"/>
          <w:spacing w:val="4"/>
        </w:rPr>
        <w:t>A&lt;</w:t>
      </w:r>
      <w:r>
        <w:rPr>
          <w:rFonts w:cs="宋体"/>
          <w:spacing w:val="4"/>
        </w:rPr>
        <w:t>范围</w:t>
      </w:r>
      <w:r>
        <w:rPr>
          <w:rFonts w:cs="宋体"/>
          <w:spacing w:val="4"/>
        </w:rPr>
        <w:t>B</w:t>
      </w:r>
      <w:r>
        <w:rPr>
          <w:rFonts w:cs="宋体" w:hint="eastAsia"/>
          <w:spacing w:val="4"/>
        </w:rPr>
        <w:t>；</w:t>
      </w:r>
      <w:r>
        <w:rPr>
          <w:rFonts w:cs="宋体"/>
          <w:spacing w:val="4"/>
        </w:rPr>
        <w:t>(4)</w:t>
      </w:r>
      <w:r>
        <w:rPr>
          <w:rFonts w:cs="宋体"/>
          <w:spacing w:val="4"/>
        </w:rPr>
        <w:t>范围</w:t>
      </w:r>
      <w:r>
        <w:rPr>
          <w:rFonts w:cs="宋体"/>
          <w:spacing w:val="4"/>
        </w:rPr>
        <w:t>A</w:t>
      </w:r>
      <w:r>
        <w:rPr>
          <w:rFonts w:cs="宋体"/>
          <w:spacing w:val="4"/>
        </w:rPr>
        <w:t>与范围</w:t>
      </w:r>
      <w:r>
        <w:rPr>
          <w:rFonts w:cs="宋体"/>
          <w:spacing w:val="4"/>
        </w:rPr>
        <w:t>B</w:t>
      </w:r>
      <w:r>
        <w:rPr>
          <w:rFonts w:cs="宋体"/>
          <w:spacing w:val="4"/>
        </w:rPr>
        <w:t>完全不同。</w:t>
      </w:r>
    </w:p>
    <w:p w:rsidR="00800760" w:rsidRDefault="00235733">
      <w:pPr>
        <w:ind w:firstLine="436"/>
        <w:jc w:val="both"/>
        <w:rPr>
          <w:rFonts w:cs="宋体"/>
          <w:spacing w:val="4"/>
        </w:rPr>
      </w:pPr>
      <w:r>
        <w:rPr>
          <w:rFonts w:cs="宋体" w:hint="eastAsia"/>
          <w:spacing w:val="4"/>
        </w:rPr>
        <w:t>当范围</w:t>
      </w:r>
      <w:r>
        <w:rPr>
          <w:rFonts w:cs="宋体"/>
          <w:spacing w:val="4"/>
        </w:rPr>
        <w:t>A</w:t>
      </w:r>
      <w:r>
        <w:rPr>
          <w:rFonts w:cs="宋体"/>
          <w:spacing w:val="4"/>
        </w:rPr>
        <w:t>与范围</w:t>
      </w:r>
      <w:r>
        <w:rPr>
          <w:rFonts w:cs="宋体"/>
          <w:spacing w:val="4"/>
        </w:rPr>
        <w:t>B</w:t>
      </w:r>
      <w:r>
        <w:rPr>
          <w:rFonts w:cs="宋体"/>
          <w:spacing w:val="4"/>
        </w:rPr>
        <w:t>不一致时，即上述情形</w:t>
      </w:r>
      <w:r>
        <w:rPr>
          <w:rFonts w:cs="宋体"/>
          <w:spacing w:val="4"/>
        </w:rPr>
        <w:t>(2)-(4)</w:t>
      </w:r>
      <w:r>
        <w:rPr>
          <w:rFonts w:cs="宋体" w:hint="eastAsia"/>
          <w:spacing w:val="4"/>
        </w:rPr>
        <w:t>，</w:t>
      </w:r>
      <w:r>
        <w:rPr>
          <w:rFonts w:cs="宋体"/>
          <w:spacing w:val="4"/>
        </w:rPr>
        <w:t>如果</w:t>
      </w:r>
      <w:r>
        <w:rPr>
          <w:rFonts w:cs="宋体" w:hint="eastAsia"/>
          <w:spacing w:val="4"/>
        </w:rPr>
        <w:t>被控技术方案</w:t>
      </w:r>
      <w:r>
        <w:rPr>
          <w:rFonts w:cs="宋体"/>
          <w:spacing w:val="4"/>
        </w:rPr>
        <w:t>同时落入上述两</w:t>
      </w:r>
      <w:r>
        <w:rPr>
          <w:rFonts w:cs="宋体" w:hint="eastAsia"/>
          <w:spacing w:val="4"/>
        </w:rPr>
        <w:t>个</w:t>
      </w:r>
      <w:r>
        <w:rPr>
          <w:rFonts w:cs="宋体"/>
          <w:spacing w:val="4"/>
        </w:rPr>
        <w:t>范围，应当认定被请求人在临时保护期内实施了该发明，应当支付临时保护期使用费；如果</w:t>
      </w:r>
      <w:r>
        <w:rPr>
          <w:rFonts w:cs="宋体" w:hint="eastAsia"/>
          <w:spacing w:val="4"/>
        </w:rPr>
        <w:t>被控技术方案</w:t>
      </w:r>
      <w:r>
        <w:rPr>
          <w:rFonts w:cs="宋体"/>
          <w:spacing w:val="4"/>
        </w:rPr>
        <w:t>未落入任何一</w:t>
      </w:r>
      <w:r>
        <w:rPr>
          <w:rFonts w:cs="宋体" w:hint="eastAsia"/>
          <w:spacing w:val="4"/>
        </w:rPr>
        <w:t>种</w:t>
      </w:r>
      <w:r>
        <w:rPr>
          <w:rFonts w:cs="宋体"/>
          <w:spacing w:val="4"/>
        </w:rPr>
        <w:t>范围或者仅落</w:t>
      </w:r>
      <w:r>
        <w:rPr>
          <w:rFonts w:cs="宋体" w:hint="eastAsia"/>
          <w:spacing w:val="4"/>
        </w:rPr>
        <w:t>入</w:t>
      </w:r>
      <w:r>
        <w:rPr>
          <w:rFonts w:cs="宋体"/>
          <w:spacing w:val="4"/>
        </w:rPr>
        <w:t>其中一</w:t>
      </w:r>
      <w:r>
        <w:rPr>
          <w:rFonts w:cs="宋体" w:hint="eastAsia"/>
          <w:spacing w:val="4"/>
        </w:rPr>
        <w:t>种</w:t>
      </w:r>
      <w:r>
        <w:rPr>
          <w:rFonts w:cs="宋体"/>
          <w:spacing w:val="4"/>
        </w:rPr>
        <w:t>范围，应当认定被请求人在临时保护期内未实施该发明。</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三</w:t>
      </w:r>
      <w:r>
        <w:rPr>
          <w:rFonts w:ascii="Times New Roman" w:hAnsi="Times New Roman"/>
        </w:rPr>
        <w:t>)</w:t>
      </w:r>
      <w:r>
        <w:rPr>
          <w:rFonts w:ascii="Times New Roman" w:hAnsi="Times New Roman"/>
        </w:rPr>
        <w:t>被请求人的行为是否落入专利保护范围的确定</w:t>
      </w:r>
    </w:p>
    <w:p w:rsidR="00800760" w:rsidRDefault="00235733">
      <w:pPr>
        <w:ind w:firstLine="436"/>
        <w:jc w:val="both"/>
        <w:rPr>
          <w:rFonts w:cs="宋体"/>
          <w:spacing w:val="4"/>
        </w:rPr>
      </w:pPr>
      <w:r>
        <w:rPr>
          <w:rFonts w:cs="宋体"/>
          <w:spacing w:val="4"/>
        </w:rPr>
        <w:t>判断被请求人的实施行为是否落入范围</w:t>
      </w:r>
      <w:r>
        <w:rPr>
          <w:rFonts w:cs="宋体"/>
          <w:spacing w:val="4"/>
        </w:rPr>
        <w:t>A</w:t>
      </w:r>
      <w:r>
        <w:rPr>
          <w:rFonts w:cs="宋体"/>
          <w:spacing w:val="4"/>
        </w:rPr>
        <w:t>或范围</w:t>
      </w:r>
      <w:r>
        <w:rPr>
          <w:rFonts w:cs="宋体"/>
          <w:spacing w:val="4"/>
        </w:rPr>
        <w:t>B</w:t>
      </w:r>
      <w:r>
        <w:rPr>
          <w:rFonts w:cs="宋体"/>
          <w:spacing w:val="4"/>
        </w:rPr>
        <w:t>的方法与专利侵权判定方法完</w:t>
      </w:r>
      <w:bookmarkStart w:id="7919" w:name="bookmark214"/>
      <w:bookmarkEnd w:id="7919"/>
      <w:r>
        <w:rPr>
          <w:rFonts w:cs="宋体"/>
          <w:spacing w:val="4"/>
        </w:rPr>
        <w:t>全相同，要首先判定被请求人的实施行为是否字面落入范围</w:t>
      </w:r>
      <w:r>
        <w:rPr>
          <w:rFonts w:cs="宋体"/>
          <w:spacing w:val="4"/>
        </w:rPr>
        <w:t>A</w:t>
      </w:r>
      <w:r>
        <w:rPr>
          <w:rFonts w:cs="宋体"/>
          <w:spacing w:val="4"/>
        </w:rPr>
        <w:t>或范围</w:t>
      </w:r>
      <w:r>
        <w:rPr>
          <w:rFonts w:cs="宋体"/>
          <w:spacing w:val="4"/>
        </w:rPr>
        <w:t>B</w:t>
      </w:r>
      <w:r>
        <w:rPr>
          <w:rFonts w:cs="宋体" w:hint="eastAsia"/>
          <w:spacing w:val="4"/>
        </w:rPr>
        <w:t>，</w:t>
      </w:r>
      <w:r>
        <w:rPr>
          <w:rFonts w:cs="宋体"/>
          <w:spacing w:val="4"/>
        </w:rPr>
        <w:t>即二者完全相同，在未构成字面落入的情况下，再判断二者的区别是否构成等同。</w:t>
      </w:r>
    </w:p>
    <w:p w:rsidR="00800760" w:rsidRDefault="00235733">
      <w:pPr>
        <w:ind w:firstLine="436"/>
        <w:jc w:val="both"/>
        <w:rPr>
          <w:rFonts w:cs="宋体"/>
          <w:spacing w:val="4"/>
        </w:rPr>
      </w:pPr>
      <w:r>
        <w:rPr>
          <w:rFonts w:cs="宋体"/>
          <w:spacing w:val="4"/>
        </w:rPr>
        <w:t>根据案件的具体情况，管理专利工作的部门既可以先对比范围</w:t>
      </w:r>
      <w:r>
        <w:rPr>
          <w:rFonts w:cs="宋体"/>
          <w:spacing w:val="4"/>
        </w:rPr>
        <w:t>A</w:t>
      </w:r>
      <w:r>
        <w:rPr>
          <w:rFonts w:cs="宋体"/>
          <w:spacing w:val="4"/>
        </w:rPr>
        <w:t>与范围</w:t>
      </w:r>
      <w:r>
        <w:rPr>
          <w:rFonts w:cs="宋体"/>
          <w:spacing w:val="4"/>
        </w:rPr>
        <w:t>B</w:t>
      </w:r>
      <w:r>
        <w:rPr>
          <w:rFonts w:cs="宋体"/>
          <w:spacing w:val="4"/>
        </w:rPr>
        <w:t>的大小，判断案件属于如上哪种情形，然后再判断被请求人的实施行为是否落入专利保护范围；也可以先判断被请求人的实施行为是否落入范围</w:t>
      </w:r>
      <w:r>
        <w:rPr>
          <w:rFonts w:cs="宋体"/>
          <w:spacing w:val="4"/>
        </w:rPr>
        <w:t>B</w:t>
      </w:r>
      <w:r>
        <w:rPr>
          <w:rFonts w:cs="宋体" w:hint="eastAsia"/>
          <w:spacing w:val="4"/>
        </w:rPr>
        <w:t>，</w:t>
      </w:r>
      <w:r>
        <w:rPr>
          <w:rFonts w:cs="宋体"/>
          <w:spacing w:val="4"/>
        </w:rPr>
        <w:t>之后再根据需要判断其是否落入范围</w:t>
      </w:r>
      <w:r>
        <w:rPr>
          <w:rFonts w:cs="宋体"/>
          <w:spacing w:val="4"/>
        </w:rPr>
        <w:t>A</w:t>
      </w:r>
      <w:r>
        <w:rPr>
          <w:rFonts w:cs="宋体" w:hint="eastAsia"/>
          <w:spacing w:val="4"/>
        </w:rPr>
        <w:t>。</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四</w:t>
      </w:r>
      <w:r>
        <w:rPr>
          <w:rFonts w:ascii="Times New Roman" w:hAnsi="Times New Roman"/>
        </w:rPr>
        <w:t>)</w:t>
      </w:r>
      <w:r>
        <w:rPr>
          <w:rFonts w:ascii="Times New Roman" w:hAnsi="Times New Roman"/>
        </w:rPr>
        <w:t>注意事项</w:t>
      </w:r>
    </w:p>
    <w:p w:rsidR="00800760" w:rsidRDefault="00235733">
      <w:pPr>
        <w:ind w:firstLine="436"/>
        <w:jc w:val="both"/>
        <w:rPr>
          <w:rFonts w:cs="宋体"/>
          <w:spacing w:val="4"/>
        </w:rPr>
      </w:pPr>
      <w:r>
        <w:rPr>
          <w:rFonts w:cs="宋体"/>
          <w:spacing w:val="4"/>
        </w:rPr>
        <w:t>在处理专利纠纷行政调解请求时，管理专利工作的部门应当注意针对涉案专利是否存在未审结的无效宣告程序。如果相关无效宣告程序尚未结案，同时双方当事人就被请求人的行为是否落入专利权保护范围存在争议的，管理专利工作的部门可以中止临时保护期使用费纠纷的调解。</w:t>
      </w:r>
    </w:p>
    <w:p w:rsidR="00800760" w:rsidRDefault="00235733">
      <w:pPr>
        <w:ind w:firstLine="436"/>
        <w:jc w:val="both"/>
        <w:rPr>
          <w:rFonts w:cs="宋体"/>
          <w:spacing w:val="4"/>
        </w:rPr>
      </w:pPr>
      <w:r>
        <w:rPr>
          <w:rFonts w:cs="宋体" w:hint="eastAsia"/>
          <w:spacing w:val="4"/>
        </w:rPr>
        <w:t>如果国家知识产权局已作出宣告涉案专利权全部无效的决定，</w:t>
      </w:r>
      <w:r>
        <w:rPr>
          <w:rFonts w:cs="宋体"/>
          <w:spacing w:val="4"/>
        </w:rPr>
        <w:t>管理专利工作的部门</w:t>
      </w:r>
      <w:r>
        <w:rPr>
          <w:rFonts w:cs="宋体" w:hint="eastAsia"/>
          <w:spacing w:val="4"/>
        </w:rPr>
        <w:t>可作出终止调解的决定。若有证据证明针对涉案专利权的无效宣告请求审查决定被生效的行政判决撤销的，请求人可以重新提起调解请求。</w:t>
      </w:r>
    </w:p>
    <w:p w:rsidR="00800760" w:rsidRDefault="00235733">
      <w:pPr>
        <w:pStyle w:val="af6"/>
        <w:spacing w:before="120"/>
        <w:ind w:firstLine="420"/>
      </w:pPr>
      <w:r>
        <w:rPr>
          <w:rFonts w:hint="eastAsia"/>
        </w:rPr>
        <w:t>【案例</w:t>
      </w:r>
      <w:r>
        <w:t>6-1-4</w:t>
      </w:r>
      <w:r>
        <w:rPr>
          <w:rFonts w:hint="eastAsia"/>
        </w:rPr>
        <w:t>】</w:t>
      </w:r>
    </w:p>
    <w:p w:rsidR="00800760" w:rsidRDefault="00235733">
      <w:pPr>
        <w:spacing w:line="360" w:lineRule="auto"/>
        <w:rPr>
          <w:rFonts w:eastAsia="楷体_GB2312" w:cs="MingLiU_HKSCS"/>
          <w:lang w:val="zh-CN"/>
        </w:rPr>
      </w:pPr>
      <w:r>
        <w:rPr>
          <w:rFonts w:eastAsia="楷体_GB2312" w:cs="MingLiU_HKSCS" w:hint="eastAsia"/>
          <w:lang w:val="zh-CN"/>
        </w:rPr>
        <w:t>甲</w:t>
      </w:r>
      <w:r>
        <w:rPr>
          <w:rFonts w:eastAsia="楷体_GB2312" w:cs="MingLiU_HKSCS"/>
          <w:lang w:val="zh-CN"/>
        </w:rPr>
        <w:t>于</w:t>
      </w:r>
      <w:r>
        <w:rPr>
          <w:rFonts w:eastAsia="楷体_GB2312" w:cs="MingLiU_HKSCS"/>
          <w:lang w:val="zh-CN"/>
        </w:rPr>
        <w:t>1994</w:t>
      </w:r>
      <w:r>
        <w:rPr>
          <w:rFonts w:eastAsia="楷体_GB2312" w:cs="MingLiU_HKSCS"/>
          <w:lang w:val="zh-CN"/>
        </w:rPr>
        <w:t>年</w:t>
      </w:r>
      <w:r>
        <w:rPr>
          <w:rFonts w:eastAsia="楷体_GB2312" w:cs="MingLiU_HKSCS"/>
          <w:lang w:val="zh-CN"/>
        </w:rPr>
        <w:t>12</w:t>
      </w:r>
      <w:r>
        <w:rPr>
          <w:rFonts w:eastAsia="楷体_GB2312" w:cs="MingLiU_HKSCS"/>
          <w:lang w:val="zh-CN"/>
        </w:rPr>
        <w:t>月</w:t>
      </w:r>
      <w:r>
        <w:rPr>
          <w:rFonts w:eastAsia="楷体_GB2312" w:cs="MingLiU_HKSCS"/>
          <w:lang w:val="zh-CN"/>
        </w:rPr>
        <w:t>26</w:t>
      </w:r>
      <w:r>
        <w:rPr>
          <w:rFonts w:eastAsia="楷体_GB2312" w:cs="MingLiU_HKSCS"/>
          <w:lang w:val="zh-CN"/>
        </w:rPr>
        <w:t>日提出了一项名为</w:t>
      </w:r>
      <w:r>
        <w:rPr>
          <w:rFonts w:eastAsia="楷体_GB2312" w:cs="MingLiU_HKSCS"/>
          <w:lang w:val="zh-CN"/>
        </w:rPr>
        <w:t>“</w:t>
      </w:r>
      <w:r>
        <w:rPr>
          <w:rFonts w:eastAsia="楷体_GB2312" w:cs="MingLiU_HKSCS"/>
          <w:lang w:val="zh-CN"/>
        </w:rPr>
        <w:t>有线电视机上变频器的制作法</w:t>
      </w:r>
      <w:r>
        <w:rPr>
          <w:rFonts w:eastAsia="楷体_GB2312" w:cs="MingLiU_HKSCS"/>
          <w:lang w:val="zh-CN"/>
        </w:rPr>
        <w:t>”</w:t>
      </w:r>
      <w:r>
        <w:rPr>
          <w:rFonts w:eastAsia="楷体_GB2312" w:cs="MingLiU_HKSCS"/>
          <w:lang w:val="zh-CN"/>
        </w:rPr>
        <w:t>的发明专利申请。</w:t>
      </w:r>
      <w:r>
        <w:rPr>
          <w:rFonts w:eastAsia="楷体_GB2312" w:cs="MingLiU_HKSCS"/>
          <w:lang w:val="zh-CN"/>
        </w:rPr>
        <w:t>1996</w:t>
      </w:r>
      <w:r>
        <w:rPr>
          <w:rFonts w:eastAsia="楷体_GB2312" w:cs="MingLiU_HKSCS"/>
          <w:lang w:val="zh-CN"/>
        </w:rPr>
        <w:t>年</w:t>
      </w:r>
      <w:r>
        <w:rPr>
          <w:rFonts w:eastAsia="楷体_GB2312" w:cs="MingLiU_HKSCS"/>
          <w:lang w:val="zh-CN"/>
        </w:rPr>
        <w:t>7</w:t>
      </w:r>
      <w:r>
        <w:rPr>
          <w:rFonts w:eastAsia="楷体_GB2312" w:cs="MingLiU_HKSCS"/>
          <w:lang w:val="zh-CN"/>
        </w:rPr>
        <w:t>月</w:t>
      </w:r>
      <w:r>
        <w:rPr>
          <w:rFonts w:eastAsia="楷体_GB2312" w:cs="MingLiU_HKSCS"/>
          <w:lang w:val="zh-CN"/>
        </w:rPr>
        <w:t>31</w:t>
      </w:r>
      <w:r>
        <w:rPr>
          <w:rFonts w:eastAsia="楷体_GB2312" w:cs="MingLiU_HKSCS"/>
          <w:lang w:val="zh-CN"/>
        </w:rPr>
        <w:t>日，该申请被公布，权利要求只有一项，为</w:t>
      </w:r>
      <w:r>
        <w:rPr>
          <w:rFonts w:eastAsia="楷体_GB2312" w:cs="MingLiU_HKSCS"/>
          <w:lang w:val="zh-CN"/>
        </w:rPr>
        <w:t>“</w:t>
      </w:r>
      <w:r>
        <w:rPr>
          <w:rFonts w:eastAsia="楷体_GB2312" w:cs="MingLiU_HKSCS"/>
          <w:lang w:val="zh-CN"/>
        </w:rPr>
        <w:t>一种有线电视机上变频器的制作方法</w:t>
      </w:r>
      <w:r>
        <w:rPr>
          <w:rFonts w:eastAsia="楷体_GB2312" w:cs="MingLiU_HKSCS"/>
          <w:lang w:val="zh-CN"/>
        </w:rPr>
        <w:t>……</w:t>
      </w:r>
      <w:r>
        <w:rPr>
          <w:rFonts w:eastAsia="楷体_GB2312"/>
          <w:lang w:val="zh-CN"/>
        </w:rPr>
        <w:t>”</w:t>
      </w:r>
      <w:r>
        <w:rPr>
          <w:rFonts w:eastAsia="楷体_GB2312" w:cs="MingLiU_HKSCS"/>
          <w:lang w:val="zh-CN"/>
        </w:rPr>
        <w:t>。</w:t>
      </w:r>
      <w:r>
        <w:rPr>
          <w:rFonts w:eastAsia="楷体_GB2312" w:cs="MingLiU_HKSCS"/>
          <w:lang w:val="zh-CN"/>
        </w:rPr>
        <w:t>1999</w:t>
      </w:r>
      <w:r>
        <w:rPr>
          <w:rFonts w:eastAsia="楷体_GB2312" w:cs="MingLiU_HKSCS"/>
          <w:lang w:val="zh-CN"/>
        </w:rPr>
        <w:t>年</w:t>
      </w:r>
      <w:r>
        <w:rPr>
          <w:rFonts w:eastAsia="楷体_GB2312" w:cs="MingLiU_HKSCS"/>
          <w:lang w:val="zh-CN"/>
        </w:rPr>
        <w:t>9</w:t>
      </w:r>
      <w:r>
        <w:rPr>
          <w:rFonts w:eastAsia="楷体_GB2312" w:cs="MingLiU_HKSCS"/>
          <w:lang w:val="zh-CN"/>
        </w:rPr>
        <w:t>月</w:t>
      </w:r>
      <w:r>
        <w:rPr>
          <w:rFonts w:eastAsia="楷体_GB2312" w:cs="MingLiU_HKSCS"/>
          <w:lang w:val="zh-CN"/>
        </w:rPr>
        <w:t>29</w:t>
      </w:r>
      <w:r>
        <w:rPr>
          <w:rFonts w:eastAsia="楷体_GB2312" w:cs="MingLiU_HKSCS"/>
          <w:lang w:val="zh-CN"/>
        </w:rPr>
        <w:t>日，该发明专利被授权公告，公告发明名称为</w:t>
      </w:r>
      <w:r>
        <w:rPr>
          <w:rFonts w:eastAsia="楷体_GB2312" w:cs="MingLiU_HKSCS"/>
          <w:lang w:val="zh-CN"/>
        </w:rPr>
        <w:t>“</w:t>
      </w:r>
      <w:r>
        <w:rPr>
          <w:rFonts w:eastAsia="楷体_GB2312" w:cs="MingLiU_HKSCS"/>
          <w:lang w:val="zh-CN"/>
        </w:rPr>
        <w:t>有线电视终端信号的处理方法及其装置</w:t>
      </w:r>
      <w:r>
        <w:rPr>
          <w:rFonts w:eastAsia="楷体_GB2312" w:cs="MingLiU_HKSCS"/>
          <w:lang w:val="zh-CN"/>
        </w:rPr>
        <w:t>”</w:t>
      </w:r>
      <w:r>
        <w:rPr>
          <w:rFonts w:eastAsia="楷体_GB2312" w:cs="MingLiU_HKSCS" w:hint="eastAsia"/>
          <w:lang w:val="zh-CN"/>
        </w:rPr>
        <w:t>，</w:t>
      </w:r>
      <w:r>
        <w:rPr>
          <w:rFonts w:eastAsia="楷体_GB2312" w:cs="MingLiU_HKSCS"/>
          <w:lang w:val="zh-CN"/>
        </w:rPr>
        <w:t>权利要求有</w:t>
      </w:r>
      <w:r>
        <w:rPr>
          <w:rFonts w:eastAsia="楷体_GB2312" w:cs="MingLiU_HKSCS"/>
          <w:lang w:val="zh-CN"/>
        </w:rPr>
        <w:t>2</w:t>
      </w:r>
      <w:r>
        <w:rPr>
          <w:rFonts w:eastAsia="楷体_GB2312" w:cs="MingLiU_HKSCS"/>
          <w:lang w:val="zh-CN"/>
        </w:rPr>
        <w:t>项，分别为：</w:t>
      </w:r>
      <w:r>
        <w:rPr>
          <w:rFonts w:eastAsia="楷体_GB2312"/>
          <w:lang w:val="zh-CN"/>
        </w:rPr>
        <w:t>“</w:t>
      </w:r>
      <w:r>
        <w:rPr>
          <w:rFonts w:eastAsia="楷体_GB2312" w:cs="MingLiU_HKSCS"/>
          <w:lang w:val="zh-CN"/>
        </w:rPr>
        <w:t xml:space="preserve">1. </w:t>
      </w:r>
      <w:r>
        <w:rPr>
          <w:rFonts w:eastAsia="楷体_GB2312" w:cs="MingLiU_HKSCS"/>
          <w:lang w:val="zh-CN"/>
        </w:rPr>
        <w:t>一种有线电视终端信号的处理方法</w:t>
      </w:r>
      <w:r>
        <w:rPr>
          <w:rFonts w:eastAsia="楷体_GB2312" w:cs="MingLiU_HKSCS"/>
          <w:lang w:val="zh-CN"/>
        </w:rPr>
        <w:t>……</w:t>
      </w:r>
      <w:r>
        <w:rPr>
          <w:rFonts w:eastAsia="楷体_GB2312" w:cs="MingLiU_HKSCS"/>
          <w:lang w:val="zh-CN"/>
        </w:rPr>
        <w:t>。</w:t>
      </w:r>
      <w:r>
        <w:rPr>
          <w:rFonts w:eastAsia="楷体_GB2312" w:cs="MingLiU_HKSCS"/>
          <w:lang w:val="zh-CN"/>
        </w:rPr>
        <w:t xml:space="preserve">2. </w:t>
      </w:r>
      <w:r>
        <w:rPr>
          <w:rFonts w:eastAsia="楷体_GB2312" w:cs="MingLiU_HKSCS"/>
          <w:lang w:val="zh-CN"/>
        </w:rPr>
        <w:t>一种有线电视终端信号的处理装置，它包括</w:t>
      </w:r>
      <w:r>
        <w:rPr>
          <w:rFonts w:eastAsia="楷体_GB2312" w:cs="MingLiU_HKSCS"/>
          <w:lang w:val="zh-CN"/>
        </w:rPr>
        <w:t>……</w:t>
      </w:r>
      <w:r>
        <w:rPr>
          <w:rFonts w:eastAsia="楷体_GB2312" w:cs="MingLiU_HKSCS"/>
          <w:lang w:val="zh-CN"/>
        </w:rPr>
        <w:t>。</w:t>
      </w:r>
      <w:r>
        <w:rPr>
          <w:rFonts w:eastAsia="楷体_GB2312" w:cs="MingLiU_HKSCS"/>
          <w:lang w:val="zh-CN"/>
        </w:rPr>
        <w:t>”</w:t>
      </w:r>
    </w:p>
    <w:p w:rsidR="00800760" w:rsidRDefault="00235733">
      <w:pPr>
        <w:spacing w:line="360" w:lineRule="auto"/>
        <w:rPr>
          <w:rFonts w:eastAsia="楷体_GB2312" w:cs="MingLiU_HKSCS"/>
          <w:lang w:val="zh-CN"/>
        </w:rPr>
      </w:pPr>
      <w:r>
        <w:rPr>
          <w:rFonts w:eastAsia="楷体_GB2312" w:cs="MingLiU_HKSCS"/>
          <w:lang w:val="zh-CN"/>
        </w:rPr>
        <w:t>1996</w:t>
      </w:r>
      <w:r>
        <w:rPr>
          <w:rFonts w:eastAsia="楷体_GB2312" w:cs="MingLiU_HKSCS"/>
          <w:lang w:val="zh-CN"/>
        </w:rPr>
        <w:t>年</w:t>
      </w:r>
      <w:r>
        <w:rPr>
          <w:rFonts w:eastAsia="楷体_GB2312" w:cs="MingLiU_HKSCS"/>
          <w:lang w:val="zh-CN"/>
        </w:rPr>
        <w:t>9</w:t>
      </w:r>
      <w:r>
        <w:rPr>
          <w:rFonts w:eastAsia="楷体_GB2312" w:cs="MingLiU_HKSCS"/>
          <w:lang w:val="zh-CN"/>
        </w:rPr>
        <w:t>月，</w:t>
      </w:r>
      <w:r>
        <w:rPr>
          <w:rFonts w:eastAsia="楷体_GB2312" w:cs="MingLiU_HKSCS" w:hint="eastAsia"/>
          <w:lang w:val="zh-CN"/>
        </w:rPr>
        <w:t>甲</w:t>
      </w:r>
      <w:r>
        <w:rPr>
          <w:rFonts w:eastAsia="楷体_GB2312" w:cs="MingLiU_HKSCS"/>
          <w:lang w:val="zh-CN"/>
        </w:rPr>
        <w:t>发现</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未经其同意，以生产经营为目的，使用其专利技术制造、销售有线电视增台器。直至专利授权公告之日，二人从未向其支付临时保护期使用费。</w:t>
      </w:r>
      <w:r>
        <w:rPr>
          <w:rFonts w:eastAsia="楷体_GB2312" w:cs="MingLiU_HKSCS" w:hint="eastAsia"/>
          <w:lang w:val="zh-CN"/>
        </w:rPr>
        <w:t>甲</w:t>
      </w:r>
      <w:r>
        <w:rPr>
          <w:rFonts w:eastAsia="楷体_GB2312" w:cs="MingLiU_HKSCS"/>
          <w:lang w:val="zh-CN"/>
        </w:rPr>
        <w:t>要求</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支付其发明专利临时保护期使用费</w:t>
      </w:r>
      <w:r>
        <w:rPr>
          <w:rFonts w:eastAsia="楷体_GB2312" w:cs="MingLiU_HKSCS"/>
          <w:lang w:val="zh-CN"/>
        </w:rPr>
        <w:t>160</w:t>
      </w:r>
      <w:r>
        <w:rPr>
          <w:rFonts w:eastAsia="楷体_GB2312" w:cs="MingLiU_HKSCS"/>
          <w:lang w:val="zh-CN"/>
        </w:rPr>
        <w:t>万元。</w:t>
      </w:r>
    </w:p>
    <w:p w:rsidR="00800760" w:rsidRDefault="00235733">
      <w:pPr>
        <w:spacing w:line="360" w:lineRule="auto"/>
        <w:rPr>
          <w:rFonts w:eastAsia="楷体_GB2312" w:cs="MingLiU_HKSCS"/>
          <w:lang w:val="zh-CN"/>
        </w:rPr>
      </w:pPr>
      <w:r>
        <w:rPr>
          <w:rFonts w:eastAsia="楷体_GB2312" w:cs="MingLiU_HKSCS"/>
          <w:lang w:val="zh-CN"/>
        </w:rPr>
        <w:t>经查，</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生产、销售的有线电视增台器的结构、组成及其制作方法与</w:t>
      </w:r>
      <w:r>
        <w:rPr>
          <w:rFonts w:eastAsia="楷体_GB2312" w:cs="MingLiU_HKSCS" w:hint="eastAsia"/>
          <w:lang w:val="zh-CN"/>
        </w:rPr>
        <w:t>甲</w:t>
      </w:r>
      <w:r>
        <w:rPr>
          <w:rFonts w:eastAsia="楷体_GB2312" w:cs="MingLiU_HKSCS"/>
          <w:lang w:val="zh-CN"/>
        </w:rPr>
        <w:t>申请公布文件的变频器的制作方法及结构相同，与授权公告的专利中的处理方法以及实施该处理方法得到的装置也均一致。</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rsidP="00144708">
      <w:pPr>
        <w:spacing w:line="360" w:lineRule="auto"/>
      </w:pPr>
      <w:r>
        <w:rPr>
          <w:rFonts w:eastAsia="楷体_GB2312" w:cs="MingLiU_HKSCS"/>
          <w:lang w:val="zh-CN"/>
        </w:rPr>
        <w:t>该案中，对比专利申请公布的权利要求和授权后的权利要求的保护范围，可以看出公布文本权利要求的主题是</w:t>
      </w:r>
      <w:r>
        <w:rPr>
          <w:rFonts w:eastAsia="楷体_GB2312" w:cs="MingLiU_HKSCS"/>
          <w:lang w:val="zh-CN"/>
        </w:rPr>
        <w:t>“</w:t>
      </w:r>
      <w:r>
        <w:rPr>
          <w:rFonts w:eastAsia="楷体_GB2312" w:cs="MingLiU_HKSCS"/>
          <w:lang w:val="zh-CN"/>
        </w:rPr>
        <w:t>变频器的制作方法</w:t>
      </w:r>
      <w:r>
        <w:rPr>
          <w:rFonts w:eastAsia="楷体_GB2312" w:cs="MingLiU_HKSCS"/>
          <w:lang w:val="zh-CN"/>
        </w:rPr>
        <w:t>”</w:t>
      </w:r>
      <w:r>
        <w:rPr>
          <w:rFonts w:eastAsia="楷体_GB2312" w:cs="MingLiU_HKSCS" w:hint="eastAsia"/>
          <w:lang w:val="zh-CN"/>
        </w:rPr>
        <w:t>，</w:t>
      </w:r>
      <w:r>
        <w:rPr>
          <w:rFonts w:eastAsia="楷体_GB2312" w:cs="MingLiU_HKSCS"/>
          <w:lang w:val="zh-CN"/>
        </w:rPr>
        <w:t>其权利要求所阐述的实际上是有线电视终端信号的处理方法；授权后的权利要求</w:t>
      </w:r>
      <w:r>
        <w:rPr>
          <w:rFonts w:eastAsia="楷体_GB2312" w:cs="MingLiU_HKSCS"/>
          <w:lang w:val="zh-CN"/>
        </w:rPr>
        <w:t>1</w:t>
      </w:r>
      <w:r>
        <w:rPr>
          <w:rFonts w:eastAsia="楷体_GB2312" w:cs="MingLiU_HKSCS"/>
          <w:lang w:val="zh-CN"/>
        </w:rPr>
        <w:t>保护的是有线电视终端信号的处理方法，权利要求</w:t>
      </w:r>
      <w:r>
        <w:rPr>
          <w:rFonts w:eastAsia="楷体_GB2312" w:cs="MingLiU_HKSCS"/>
          <w:lang w:val="zh-CN"/>
        </w:rPr>
        <w:t>2</w:t>
      </w:r>
      <w:r>
        <w:rPr>
          <w:rFonts w:eastAsia="楷体_GB2312" w:cs="MingLiU_HKSCS"/>
          <w:lang w:val="zh-CN"/>
        </w:rPr>
        <w:t>保护的是有线电视终端信号的处理装置，同时对许多技术特征作了非常明确的限定。在公布的权利要求的基础上，授权专利权利要求缩小了专利保护范围。基于</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生产、销售的有线电视增台器既落入公布的权利要求的保护范围，又落入授权公告的权利要求</w:t>
      </w:r>
      <w:r>
        <w:rPr>
          <w:rFonts w:eastAsia="楷体_GB2312" w:cs="MingLiU_HKSCS"/>
          <w:lang w:val="zh-CN"/>
        </w:rPr>
        <w:t>1</w:t>
      </w:r>
      <w:r>
        <w:rPr>
          <w:rFonts w:eastAsia="楷体_GB2312" w:cs="MingLiU_HKSCS"/>
          <w:lang w:val="zh-CN"/>
        </w:rPr>
        <w:t>和权利要求</w:t>
      </w:r>
      <w:r>
        <w:rPr>
          <w:rFonts w:eastAsia="楷体_GB2312" w:cs="MingLiU_HKSCS"/>
          <w:lang w:val="zh-CN"/>
        </w:rPr>
        <w:t>2</w:t>
      </w:r>
      <w:r>
        <w:rPr>
          <w:rFonts w:eastAsia="楷体_GB2312" w:cs="MingLiU_HKSCS"/>
          <w:lang w:val="zh-CN"/>
        </w:rPr>
        <w:t>的保护范围，因此，可以认定其落入专利权保护范围，</w:t>
      </w:r>
      <w:r>
        <w:rPr>
          <w:rFonts w:eastAsia="楷体_GB2312" w:cs="MingLiU_HKSCS" w:hint="eastAsia"/>
          <w:lang w:val="zh-CN"/>
        </w:rPr>
        <w:t>乙</w:t>
      </w:r>
      <w:r>
        <w:rPr>
          <w:rFonts w:eastAsia="楷体_GB2312" w:cs="MingLiU_HKSCS"/>
          <w:lang w:val="zh-CN"/>
        </w:rPr>
        <w:t>、</w:t>
      </w:r>
      <w:r>
        <w:rPr>
          <w:rFonts w:eastAsia="楷体_GB2312" w:cs="MingLiU_HKSCS" w:hint="eastAsia"/>
          <w:lang w:val="zh-CN"/>
        </w:rPr>
        <w:t>丙</w:t>
      </w:r>
      <w:r>
        <w:rPr>
          <w:rFonts w:eastAsia="楷体_GB2312" w:cs="MingLiU_HKSCS"/>
          <w:lang w:val="zh-CN"/>
        </w:rPr>
        <w:t>应支付专利权人</w:t>
      </w:r>
      <w:r>
        <w:rPr>
          <w:rFonts w:eastAsia="楷体_GB2312" w:cs="MingLiU_HKSCS" w:hint="eastAsia"/>
          <w:lang w:val="zh-CN"/>
        </w:rPr>
        <w:t>甲</w:t>
      </w:r>
      <w:r>
        <w:rPr>
          <w:rFonts w:eastAsia="楷体_GB2312" w:cs="MingLiU_HKSCS"/>
          <w:lang w:val="zh-CN"/>
        </w:rPr>
        <w:t>合理的临时保护期使用费。</w:t>
      </w:r>
    </w:p>
    <w:p w:rsidR="00800760" w:rsidRDefault="00235733">
      <w:pPr>
        <w:pStyle w:val="2"/>
        <w:spacing w:before="91"/>
        <w:ind w:firstLineChars="0" w:firstLine="0"/>
        <w:rPr>
          <w:rFonts w:ascii="Times New Roman" w:hAnsi="Times New Roman"/>
        </w:rPr>
      </w:pPr>
      <w:bookmarkStart w:id="7920" w:name="bookmark215"/>
      <w:bookmarkStart w:id="7921" w:name="_Toc9226"/>
      <w:bookmarkStart w:id="7922" w:name="_Toc7925"/>
      <w:bookmarkStart w:id="7923" w:name="_Toc31667"/>
      <w:bookmarkStart w:id="7924" w:name="_Toc1569"/>
      <w:bookmarkStart w:id="7925" w:name="_Toc11625"/>
      <w:bookmarkStart w:id="7926" w:name="_Toc3222"/>
      <w:bookmarkStart w:id="7927" w:name="_Toc5468"/>
      <w:bookmarkStart w:id="7928" w:name="_Toc4776"/>
      <w:bookmarkStart w:id="7929" w:name="_Toc26661"/>
      <w:bookmarkStart w:id="7930" w:name="_Toc15798"/>
      <w:bookmarkStart w:id="7931" w:name="_Toc21031"/>
      <w:bookmarkStart w:id="7932" w:name="_Toc2080"/>
      <w:bookmarkStart w:id="7933" w:name="_Toc6080"/>
      <w:bookmarkStart w:id="7934" w:name="_Toc10072"/>
      <w:bookmarkStart w:id="7935" w:name="_Toc17777"/>
      <w:bookmarkStart w:id="7936" w:name="_Toc27974"/>
      <w:bookmarkStart w:id="7937" w:name="_Toc30314"/>
      <w:bookmarkStart w:id="7938" w:name="_Toc229114521"/>
      <w:bookmarkStart w:id="7939" w:name="_Toc3545"/>
      <w:bookmarkStart w:id="7940" w:name="_Toc8279"/>
      <w:bookmarkStart w:id="7941" w:name="_Toc11308"/>
      <w:bookmarkStart w:id="7942" w:name="_Toc2855"/>
      <w:bookmarkStart w:id="7943" w:name="_Toc5883"/>
      <w:bookmarkStart w:id="7944" w:name="_Toc26119"/>
      <w:bookmarkStart w:id="7945" w:name="_Toc1247"/>
      <w:bookmarkStart w:id="7946" w:name="_Toc32500"/>
      <w:bookmarkStart w:id="7947" w:name="_Toc21025"/>
      <w:bookmarkStart w:id="7948" w:name="_Toc3418"/>
      <w:bookmarkStart w:id="7949" w:name="_Toc16121"/>
      <w:bookmarkStart w:id="7950" w:name="_Toc5745"/>
      <w:bookmarkStart w:id="7951" w:name="_Toc20519"/>
      <w:bookmarkStart w:id="7952" w:name="_Toc17878"/>
      <w:bookmarkStart w:id="7953" w:name="_Toc27719"/>
      <w:bookmarkStart w:id="7954" w:name="_Toc30070"/>
      <w:bookmarkStart w:id="7955" w:name="_Toc30078"/>
      <w:bookmarkStart w:id="7956" w:name="_Toc10294"/>
      <w:bookmarkStart w:id="7957" w:name="_Toc17267"/>
      <w:bookmarkStart w:id="7958" w:name="_Toc16783"/>
      <w:bookmarkStart w:id="7959" w:name="_Toc28564"/>
      <w:bookmarkStart w:id="7960" w:name="_Toc2860"/>
      <w:bookmarkStart w:id="7961" w:name="_Toc15388"/>
      <w:bookmarkStart w:id="7962" w:name="_Toc14410"/>
      <w:bookmarkStart w:id="7963" w:name="_Toc19516"/>
      <w:bookmarkStart w:id="7964" w:name="_Toc229225617"/>
      <w:bookmarkEnd w:id="7920"/>
      <w:r>
        <w:rPr>
          <w:rFonts w:ascii="Times New Roman" w:hAnsi="Times New Roman"/>
        </w:rPr>
        <w:t>第二节</w:t>
      </w:r>
      <w:r>
        <w:rPr>
          <w:rFonts w:ascii="Times New Roman" w:hAnsi="Times New Roman" w:hint="eastAsia"/>
        </w:rPr>
        <w:t xml:space="preserve">　</w:t>
      </w:r>
      <w:r>
        <w:rPr>
          <w:rFonts w:ascii="Times New Roman" w:hAnsi="Times New Roman"/>
        </w:rPr>
        <w:t>临时保护期使用费的确定</w:t>
      </w:r>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p>
    <w:p w:rsidR="00800760" w:rsidRDefault="00235733">
      <w:pPr>
        <w:ind w:firstLine="436"/>
        <w:jc w:val="both"/>
        <w:rPr>
          <w:rFonts w:cs="宋体"/>
          <w:spacing w:val="4"/>
        </w:rPr>
      </w:pPr>
      <w:r>
        <w:rPr>
          <w:rFonts w:cs="宋体"/>
          <w:spacing w:val="4"/>
        </w:rPr>
        <w:t>临时保护期使用费是在专利授权后对专利权人利益的一种事后补偿。在确定临时保护期使用费时，综合考虑实施行为的性质、情节、后果，实施行为人的技术来源、主观是否具有故意、生产能力及规模、产品价格等因素。</w:t>
      </w:r>
    </w:p>
    <w:p w:rsidR="00800760" w:rsidRDefault="00235733">
      <w:pPr>
        <w:pStyle w:val="3"/>
        <w:spacing w:before="240"/>
        <w:ind w:firstLineChars="0" w:firstLine="444"/>
        <w:rPr>
          <w:rFonts w:ascii="Times New Roman" w:hAnsi="Times New Roman"/>
        </w:rPr>
      </w:pPr>
      <w:bookmarkStart w:id="7965" w:name="_Toc13950"/>
      <w:bookmarkStart w:id="7966" w:name="_Toc26136"/>
      <w:bookmarkStart w:id="7967" w:name="_Toc13098"/>
      <w:bookmarkStart w:id="7968" w:name="_Toc5672"/>
      <w:bookmarkStart w:id="7969" w:name="_Toc16101"/>
      <w:bookmarkStart w:id="7970" w:name="_Toc7659"/>
      <w:bookmarkStart w:id="7971" w:name="_Toc22697"/>
      <w:bookmarkStart w:id="7972" w:name="_Toc18435"/>
      <w:bookmarkStart w:id="7973" w:name="_Toc14283"/>
      <w:bookmarkStart w:id="7974" w:name="_Toc5653"/>
      <w:bookmarkStart w:id="7975" w:name="_Toc11046"/>
      <w:bookmarkStart w:id="7976" w:name="_Toc27026"/>
      <w:bookmarkStart w:id="7977" w:name="_Toc17998"/>
      <w:bookmarkStart w:id="7978" w:name="_Toc6392"/>
      <w:bookmarkStart w:id="7979" w:name="_Toc25625"/>
      <w:bookmarkStart w:id="7980" w:name="_Toc6324"/>
      <w:bookmarkStart w:id="7981" w:name="_Toc6643"/>
      <w:bookmarkStart w:id="7982" w:name="_Toc2476"/>
      <w:bookmarkStart w:id="7983" w:name="_Toc6067"/>
      <w:bookmarkStart w:id="7984" w:name="_Toc18781"/>
      <w:bookmarkStart w:id="7985" w:name="_Toc13679"/>
      <w:bookmarkStart w:id="7986" w:name="_Toc29786"/>
      <w:bookmarkStart w:id="7987" w:name="_Toc13921"/>
      <w:bookmarkStart w:id="7988" w:name="_Toc16513"/>
      <w:bookmarkStart w:id="7989" w:name="_Toc27036"/>
      <w:bookmarkStart w:id="7990" w:name="_Toc17051"/>
      <w:bookmarkStart w:id="7991" w:name="_Toc4020"/>
      <w:bookmarkStart w:id="7992" w:name="_Toc24326"/>
      <w:bookmarkStart w:id="7993" w:name="_Toc11565"/>
      <w:bookmarkStart w:id="7994" w:name="_Toc20658"/>
      <w:bookmarkStart w:id="7995" w:name="_Toc18860"/>
      <w:bookmarkStart w:id="7996" w:name="_Toc3176"/>
      <w:bookmarkStart w:id="7997" w:name="_Toc1870"/>
      <w:bookmarkStart w:id="7998" w:name="_Toc5920"/>
      <w:bookmarkStart w:id="7999" w:name="_Toc7298"/>
      <w:bookmarkStart w:id="8000" w:name="_Toc7995"/>
      <w:bookmarkStart w:id="8001" w:name="_Toc11624"/>
      <w:bookmarkStart w:id="8002" w:name="_Toc23924"/>
      <w:bookmarkStart w:id="8003" w:name="_Toc791"/>
      <w:bookmarkStart w:id="8004" w:name="_Toc14102"/>
      <w:bookmarkStart w:id="8005" w:name="_Toc2637"/>
      <w:bookmarkStart w:id="8006" w:name="_Toc229114522"/>
      <w:bookmarkStart w:id="8007" w:name="_Toc32660"/>
      <w:bookmarkStart w:id="8008" w:name="_Toc229225618"/>
      <w:r>
        <w:rPr>
          <w:rFonts w:ascii="Times New Roman" w:hAnsi="Times New Roman" w:hint="eastAsia"/>
        </w:rPr>
        <w:t>一、确定补偿费用的原则</w:t>
      </w:r>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p>
    <w:p w:rsidR="00800760" w:rsidRDefault="00235733">
      <w:pPr>
        <w:ind w:firstLine="436"/>
        <w:jc w:val="both"/>
        <w:rPr>
          <w:rFonts w:cs="宋体"/>
          <w:spacing w:val="4"/>
        </w:rPr>
      </w:pPr>
      <w:r>
        <w:rPr>
          <w:rFonts w:cs="宋体"/>
          <w:spacing w:val="4"/>
        </w:rPr>
        <w:t>发明专利申请的</w:t>
      </w:r>
      <w:r>
        <w:rPr>
          <w:rFonts w:cs="宋体"/>
          <w:spacing w:val="4"/>
        </w:rPr>
        <w:t>“</w:t>
      </w:r>
      <w:r>
        <w:rPr>
          <w:rFonts w:cs="宋体"/>
          <w:spacing w:val="4"/>
        </w:rPr>
        <w:t>临时保护</w:t>
      </w:r>
      <w:r>
        <w:rPr>
          <w:rFonts w:cs="宋体"/>
          <w:spacing w:val="4"/>
        </w:rPr>
        <w:t>”</w:t>
      </w:r>
      <w:r>
        <w:rPr>
          <w:rFonts w:cs="宋体"/>
          <w:spacing w:val="4"/>
        </w:rPr>
        <w:t>和专利授权公告后的</w:t>
      </w:r>
      <w:r>
        <w:rPr>
          <w:rFonts w:cs="宋体"/>
          <w:spacing w:val="4"/>
        </w:rPr>
        <w:t>“</w:t>
      </w:r>
      <w:r>
        <w:rPr>
          <w:rFonts w:cs="宋体"/>
          <w:spacing w:val="4"/>
        </w:rPr>
        <w:t>正式保护</w:t>
      </w:r>
      <w:r>
        <w:rPr>
          <w:rFonts w:cs="宋体"/>
          <w:spacing w:val="4"/>
        </w:rPr>
        <w:t>”</w:t>
      </w:r>
      <w:r>
        <w:rPr>
          <w:rFonts w:cs="宋体"/>
          <w:spacing w:val="4"/>
        </w:rPr>
        <w:t>是两种不同性质的保护。被请求人在专利授权后未经许可实施发明的，应当支付侵权损害赔偿，但其在临时保护期内实施发明的，仅需支付适当的补偿即可。补偿数额的</w:t>
      </w:r>
      <w:r>
        <w:rPr>
          <w:rFonts w:cs="宋体"/>
          <w:spacing w:val="4"/>
        </w:rPr>
        <w:t>“</w:t>
      </w:r>
      <w:r>
        <w:rPr>
          <w:rFonts w:cs="宋体"/>
          <w:spacing w:val="4"/>
        </w:rPr>
        <w:t>适当</w:t>
      </w:r>
      <w:r>
        <w:rPr>
          <w:rFonts w:cs="宋体"/>
          <w:spacing w:val="4"/>
        </w:rPr>
        <w:t>”</w:t>
      </w:r>
      <w:r>
        <w:rPr>
          <w:rFonts w:cs="宋体"/>
          <w:spacing w:val="4"/>
        </w:rPr>
        <w:t>是指不应超过相应期间的专利许可使用费，如果依照专利侵权赔偿数额的计算方法计算的，补偿数额应较相同情节的侵权赔偿数额低为合适。</w:t>
      </w:r>
    </w:p>
    <w:p w:rsidR="00800760" w:rsidRDefault="00235733">
      <w:pPr>
        <w:pStyle w:val="3"/>
        <w:spacing w:before="240"/>
        <w:ind w:firstLineChars="0" w:firstLine="444"/>
        <w:rPr>
          <w:rFonts w:ascii="Times New Roman" w:hAnsi="Times New Roman"/>
        </w:rPr>
      </w:pPr>
      <w:bookmarkStart w:id="8009" w:name="_Toc28829"/>
      <w:bookmarkStart w:id="8010" w:name="_Toc31585"/>
      <w:bookmarkStart w:id="8011" w:name="_Toc16088"/>
      <w:bookmarkStart w:id="8012" w:name="_Toc19857"/>
      <w:bookmarkStart w:id="8013" w:name="_Toc25261"/>
      <w:bookmarkStart w:id="8014" w:name="_Toc5212"/>
      <w:bookmarkStart w:id="8015" w:name="_Toc30767"/>
      <w:bookmarkStart w:id="8016" w:name="_Toc8914"/>
      <w:bookmarkStart w:id="8017" w:name="_Toc7307"/>
      <w:bookmarkStart w:id="8018" w:name="_Toc23021"/>
      <w:bookmarkStart w:id="8019" w:name="_Toc805"/>
      <w:bookmarkStart w:id="8020" w:name="_Toc28437"/>
      <w:bookmarkStart w:id="8021" w:name="_Toc26004"/>
      <w:bookmarkStart w:id="8022" w:name="_Toc12249"/>
      <w:bookmarkStart w:id="8023" w:name="_Toc9860"/>
      <w:bookmarkStart w:id="8024" w:name="_Toc25725"/>
      <w:bookmarkStart w:id="8025" w:name="_Toc21248"/>
      <w:bookmarkStart w:id="8026" w:name="_Toc29440"/>
      <w:bookmarkStart w:id="8027" w:name="_Toc14903"/>
      <w:bookmarkStart w:id="8028" w:name="_Toc31358"/>
      <w:bookmarkStart w:id="8029" w:name="_Toc16167"/>
      <w:bookmarkStart w:id="8030" w:name="_Toc17150"/>
      <w:bookmarkStart w:id="8031" w:name="_Toc2620"/>
      <w:bookmarkStart w:id="8032" w:name="_Toc32532"/>
      <w:bookmarkStart w:id="8033" w:name="_Toc11158"/>
      <w:bookmarkStart w:id="8034" w:name="_Toc4609"/>
      <w:bookmarkStart w:id="8035" w:name="_Toc2695"/>
      <w:bookmarkStart w:id="8036" w:name="_Toc18438"/>
      <w:bookmarkStart w:id="8037" w:name="_Toc18520"/>
      <w:bookmarkStart w:id="8038" w:name="_Toc13486"/>
      <w:bookmarkStart w:id="8039" w:name="_Toc14866"/>
      <w:bookmarkStart w:id="8040" w:name="_Toc20542"/>
      <w:bookmarkStart w:id="8041" w:name="_Toc30076"/>
      <w:bookmarkStart w:id="8042" w:name="_Toc9990"/>
      <w:bookmarkStart w:id="8043" w:name="_Toc228"/>
      <w:bookmarkStart w:id="8044" w:name="_Toc22271"/>
      <w:bookmarkStart w:id="8045" w:name="_Toc30319"/>
      <w:bookmarkStart w:id="8046" w:name="_Toc16137"/>
      <w:bookmarkStart w:id="8047" w:name="_Toc6119"/>
      <w:bookmarkStart w:id="8048" w:name="_Toc32482"/>
      <w:bookmarkStart w:id="8049" w:name="_Toc2738"/>
      <w:bookmarkStart w:id="8050" w:name="_Toc15374"/>
      <w:bookmarkStart w:id="8051" w:name="_Toc229114523"/>
      <w:bookmarkStart w:id="8052" w:name="_Toc229225619"/>
      <w:r>
        <w:rPr>
          <w:rFonts w:ascii="Times New Roman" w:hAnsi="Times New Roman" w:hint="eastAsia"/>
        </w:rPr>
        <w:t>二、确定补偿费用的考虑因素</w:t>
      </w:r>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p>
    <w:p w:rsidR="00800760" w:rsidRDefault="00235733">
      <w:pPr>
        <w:ind w:firstLine="436"/>
        <w:jc w:val="both"/>
        <w:rPr>
          <w:rFonts w:cs="宋体"/>
          <w:spacing w:val="4"/>
        </w:rPr>
      </w:pPr>
      <w:r>
        <w:rPr>
          <w:rFonts w:cs="宋体"/>
          <w:spacing w:val="4"/>
        </w:rPr>
        <w:t>在确定临时保护期使用费时，应当综合考虑各种因素：</w:t>
      </w:r>
    </w:p>
    <w:p w:rsidR="00800760" w:rsidRDefault="00235733">
      <w:pPr>
        <w:ind w:firstLine="436"/>
        <w:jc w:val="both"/>
        <w:rPr>
          <w:rFonts w:cs="宋体"/>
          <w:spacing w:val="4"/>
        </w:rPr>
      </w:pPr>
      <w:r>
        <w:rPr>
          <w:rFonts w:cs="宋体"/>
          <w:spacing w:val="4"/>
        </w:rPr>
        <w:t xml:space="preserve">1. </w:t>
      </w:r>
      <w:r>
        <w:rPr>
          <w:rFonts w:cs="宋体"/>
          <w:spacing w:val="4"/>
        </w:rPr>
        <w:t>专利权人已经许可他人实施的，可参照专利许可使用费确定。</w:t>
      </w:r>
    </w:p>
    <w:p w:rsidR="00800760" w:rsidRDefault="00235733">
      <w:pPr>
        <w:ind w:firstLine="436"/>
        <w:jc w:val="both"/>
        <w:rPr>
          <w:rFonts w:cs="宋体"/>
          <w:spacing w:val="4"/>
        </w:rPr>
      </w:pPr>
      <w:r>
        <w:rPr>
          <w:rFonts w:cs="宋体"/>
          <w:spacing w:val="4"/>
        </w:rPr>
        <w:t xml:space="preserve">2. </w:t>
      </w:r>
      <w:r>
        <w:rPr>
          <w:rFonts w:cs="宋体"/>
          <w:spacing w:val="4"/>
        </w:rPr>
        <w:t>专利权人尚未许可他人实施的，可根据实施发明专利的收益和发明专利的贡献大小确定合适的数额。专利权人实施发明专利所获得的收益越大，发明本身的贡献在所述收益中所占的比重越大，临时保护期使用费应越高。</w:t>
      </w:r>
    </w:p>
    <w:p w:rsidR="00800760" w:rsidRDefault="00235733">
      <w:pPr>
        <w:ind w:firstLine="436"/>
        <w:jc w:val="both"/>
        <w:rPr>
          <w:rFonts w:cs="宋体"/>
          <w:spacing w:val="4"/>
        </w:rPr>
      </w:pPr>
      <w:r>
        <w:rPr>
          <w:rFonts w:cs="宋体"/>
          <w:spacing w:val="4"/>
        </w:rPr>
        <w:t xml:space="preserve">3. </w:t>
      </w:r>
      <w:r>
        <w:rPr>
          <w:rFonts w:cs="宋体"/>
          <w:spacing w:val="4"/>
        </w:rPr>
        <w:t>他人实施行为的技术来源。他人实施的专利可能源于自我研发，也可能源于专利申请的公布。对于自我研发的技术而言，虽然实施人并未利用专利申请人的智力劳动成果，但为鼓励发明创造的公开以推动整体社会进步，也可以要求实施人支付临时保护费，但一般应当少于利用专利申请公布而需要支付的临时保护费。</w:t>
      </w:r>
    </w:p>
    <w:p w:rsidR="00800760" w:rsidRDefault="00235733">
      <w:pPr>
        <w:ind w:firstLine="436"/>
        <w:jc w:val="both"/>
        <w:rPr>
          <w:rFonts w:cs="宋体"/>
          <w:spacing w:val="4"/>
        </w:rPr>
      </w:pPr>
      <w:r>
        <w:rPr>
          <w:rFonts w:cs="宋体"/>
          <w:spacing w:val="4"/>
        </w:rPr>
        <w:t xml:space="preserve">4. </w:t>
      </w:r>
      <w:r>
        <w:rPr>
          <w:rFonts w:cs="宋体"/>
          <w:spacing w:val="4"/>
        </w:rPr>
        <w:t>考虑实施人主观故意程度。如果专利申请人在临时保护期间内对相关实施人提出过相关警告，而相关实施人并不理睬或扩大实施范围等，则可参照侵犯专利权的赔偿来确定临时保护期使用费。</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6-</w:t>
      </w:r>
      <w:r>
        <w:rPr>
          <w:rFonts w:ascii="Times New Roman" w:hAnsi="Times New Roman"/>
          <w:lang w:val="en-US"/>
        </w:rPr>
        <w:t>2-1</w:t>
      </w:r>
      <w:r>
        <w:rPr>
          <w:rFonts w:ascii="Times New Roman" w:hAnsi="Times New Roman" w:hint="eastAsia"/>
        </w:rPr>
        <w:t>】</w:t>
      </w:r>
    </w:p>
    <w:p w:rsidR="00800760" w:rsidRDefault="00235733">
      <w:pPr>
        <w:spacing w:line="360" w:lineRule="auto"/>
        <w:rPr>
          <w:rFonts w:eastAsia="楷体_GB2312" w:cs="MingLiU_HKSCS"/>
          <w:lang w:val="zh-CN"/>
        </w:rPr>
      </w:pPr>
      <w:r>
        <w:rPr>
          <w:rFonts w:eastAsia="楷体_GB2312" w:cs="MingLiU_HKSCS"/>
          <w:lang w:val="zh-CN"/>
        </w:rPr>
        <w:t>A</w:t>
      </w:r>
      <w:r>
        <w:rPr>
          <w:rFonts w:eastAsia="楷体_GB2312" w:cs="MingLiU_HKSCS"/>
          <w:lang w:val="zh-CN"/>
        </w:rPr>
        <w:t>公司于</w:t>
      </w:r>
      <w:r>
        <w:rPr>
          <w:rFonts w:eastAsia="楷体_GB2312" w:cs="MingLiU_HKSCS"/>
          <w:lang w:val="zh-CN"/>
        </w:rPr>
        <w:t>1996</w:t>
      </w:r>
      <w:r>
        <w:rPr>
          <w:rFonts w:eastAsia="楷体_GB2312" w:cs="MingLiU_HKSCS"/>
          <w:lang w:val="zh-CN"/>
        </w:rPr>
        <w:t>年</w:t>
      </w:r>
      <w:r>
        <w:rPr>
          <w:rFonts w:eastAsia="楷体_GB2312" w:cs="MingLiU_HKSCS"/>
          <w:lang w:val="zh-CN"/>
        </w:rPr>
        <w:t>12</w:t>
      </w:r>
      <w:r>
        <w:rPr>
          <w:rFonts w:eastAsia="楷体_GB2312" w:cs="MingLiU_HKSCS"/>
          <w:lang w:val="zh-CN"/>
        </w:rPr>
        <w:t>月</w:t>
      </w:r>
      <w:r>
        <w:rPr>
          <w:rFonts w:eastAsia="楷体_GB2312" w:cs="MingLiU_HKSCS"/>
          <w:lang w:val="zh-CN"/>
        </w:rPr>
        <w:t>28</w:t>
      </w:r>
      <w:r>
        <w:rPr>
          <w:rFonts w:eastAsia="楷体_GB2312" w:cs="MingLiU_HKSCS"/>
          <w:lang w:val="zh-CN"/>
        </w:rPr>
        <w:t>日提出了名称为</w:t>
      </w:r>
      <w:r>
        <w:rPr>
          <w:rFonts w:eastAsia="楷体_GB2312" w:cs="MingLiU_HKSCS"/>
          <w:lang w:val="zh-CN"/>
        </w:rPr>
        <w:t>“</w:t>
      </w:r>
      <w:r>
        <w:rPr>
          <w:rFonts w:eastAsia="楷体_GB2312" w:cs="MingLiU_HKSCS"/>
          <w:lang w:val="zh-CN"/>
        </w:rPr>
        <w:t>分隔系统及其装配方法</w:t>
      </w:r>
      <w:r>
        <w:rPr>
          <w:rFonts w:eastAsia="楷体_GB2312" w:cs="MingLiU_HKSCS"/>
          <w:lang w:val="zh-CN"/>
        </w:rPr>
        <w:t>”</w:t>
      </w:r>
      <w:r>
        <w:rPr>
          <w:rFonts w:eastAsia="楷体_GB2312" w:cs="MingLiU_HKSCS"/>
          <w:lang w:val="zh-CN"/>
        </w:rPr>
        <w:t>的发明专利申请。该申请于</w:t>
      </w:r>
      <w:r>
        <w:rPr>
          <w:rFonts w:eastAsia="楷体_GB2312" w:cs="MingLiU_HKSCS"/>
          <w:lang w:val="zh-CN"/>
        </w:rPr>
        <w:t>1997</w:t>
      </w:r>
      <w:r>
        <w:rPr>
          <w:rFonts w:eastAsia="楷体_GB2312" w:cs="MingLiU_HKSCS"/>
          <w:lang w:val="zh-CN"/>
        </w:rPr>
        <w:t>年</w:t>
      </w:r>
      <w:r>
        <w:rPr>
          <w:rFonts w:eastAsia="楷体_GB2312" w:cs="MingLiU_HKSCS"/>
          <w:lang w:val="zh-CN"/>
        </w:rPr>
        <w:t>8</w:t>
      </w:r>
      <w:r>
        <w:rPr>
          <w:rFonts w:eastAsia="楷体_GB2312" w:cs="MingLiU_HKSCS"/>
          <w:lang w:val="zh-CN"/>
        </w:rPr>
        <w:t>月</w:t>
      </w:r>
      <w:r>
        <w:rPr>
          <w:rFonts w:eastAsia="楷体_GB2312" w:cs="MingLiU_HKSCS"/>
          <w:lang w:val="zh-CN"/>
        </w:rPr>
        <w:t>27</w:t>
      </w:r>
      <w:r>
        <w:rPr>
          <w:rFonts w:eastAsia="楷体_GB2312" w:cs="MingLiU_HKSCS"/>
          <w:lang w:val="zh-CN"/>
        </w:rPr>
        <w:t>日公布，于</w:t>
      </w:r>
      <w:r>
        <w:rPr>
          <w:rFonts w:eastAsia="楷体_GB2312" w:cs="MingLiU_HKSCS"/>
          <w:lang w:val="zh-CN"/>
        </w:rPr>
        <w:t>2000</w:t>
      </w:r>
      <w:r>
        <w:rPr>
          <w:rFonts w:eastAsia="楷体_GB2312" w:cs="MingLiU_HKSCS"/>
          <w:lang w:val="zh-CN"/>
        </w:rPr>
        <w:t>年</w:t>
      </w:r>
      <w:r>
        <w:rPr>
          <w:rFonts w:eastAsia="楷体_GB2312" w:cs="MingLiU_HKSCS"/>
          <w:lang w:val="zh-CN"/>
        </w:rPr>
        <w:t>6</w:t>
      </w:r>
      <w:r>
        <w:rPr>
          <w:rFonts w:eastAsia="楷体_GB2312" w:cs="MingLiU_HKSCS"/>
          <w:lang w:val="zh-CN"/>
        </w:rPr>
        <w:t>月</w:t>
      </w:r>
      <w:r>
        <w:rPr>
          <w:rFonts w:eastAsia="楷体_GB2312" w:cs="MingLiU_HKSCS"/>
          <w:lang w:val="zh-CN"/>
        </w:rPr>
        <w:t>7</w:t>
      </w:r>
      <w:r>
        <w:rPr>
          <w:rFonts w:eastAsia="楷体_GB2312" w:cs="MingLiU_HKSCS"/>
          <w:lang w:val="zh-CN"/>
        </w:rPr>
        <w:t>日授权公告。专利授权后，</w:t>
      </w:r>
      <w:r>
        <w:rPr>
          <w:rFonts w:eastAsia="楷体_GB2312" w:cs="MingLiU_HKSCS"/>
          <w:lang w:val="zh-CN"/>
        </w:rPr>
        <w:t>A</w:t>
      </w:r>
      <w:r>
        <w:rPr>
          <w:rFonts w:eastAsia="楷体_GB2312" w:cs="MingLiU_HKSCS"/>
          <w:lang w:val="zh-CN"/>
        </w:rPr>
        <w:t>公司要求</w:t>
      </w:r>
      <w:r>
        <w:rPr>
          <w:rFonts w:eastAsia="楷体_GB2312" w:cs="MingLiU_HKSCS"/>
          <w:lang w:val="zh-CN"/>
        </w:rPr>
        <w:t>B</w:t>
      </w:r>
      <w:r>
        <w:rPr>
          <w:rFonts w:eastAsia="楷体_GB2312" w:cs="MingLiU_HKSCS"/>
          <w:lang w:val="zh-CN"/>
        </w:rPr>
        <w:t>公司支付其专利公布期间临时保护期使用费</w:t>
      </w:r>
      <w:r>
        <w:rPr>
          <w:rFonts w:eastAsia="楷体_GB2312" w:cs="MingLiU_HKSCS"/>
          <w:lang w:val="zh-CN"/>
        </w:rPr>
        <w:t>50</w:t>
      </w:r>
      <w:r>
        <w:rPr>
          <w:rFonts w:eastAsia="楷体_GB2312" w:cs="MingLiU_HKSCS"/>
          <w:lang w:val="zh-CN"/>
        </w:rPr>
        <w:t>万元以及因专利侵权造成的经济损失</w:t>
      </w:r>
      <w:r>
        <w:rPr>
          <w:rFonts w:eastAsia="楷体_GB2312" w:cs="MingLiU_HKSCS"/>
          <w:lang w:val="zh-CN"/>
        </w:rPr>
        <w:t>50</w:t>
      </w:r>
      <w:r>
        <w:rPr>
          <w:rFonts w:eastAsia="楷体_GB2312" w:cs="MingLiU_HKSCS"/>
          <w:lang w:val="zh-CN"/>
        </w:rPr>
        <w:t>万元。</w:t>
      </w:r>
    </w:p>
    <w:p w:rsidR="00800760" w:rsidRDefault="00235733">
      <w:pPr>
        <w:spacing w:line="360" w:lineRule="auto"/>
        <w:rPr>
          <w:rFonts w:eastAsia="楷体_GB2312" w:cs="MingLiU_HKSCS"/>
          <w:lang w:val="zh-CN"/>
        </w:rPr>
      </w:pPr>
      <w:r>
        <w:rPr>
          <w:rFonts w:eastAsia="楷体_GB2312" w:cs="MingLiU_HKSCS"/>
          <w:lang w:val="zh-CN"/>
        </w:rPr>
        <w:t>经查明，</w:t>
      </w:r>
      <w:r>
        <w:rPr>
          <w:rFonts w:eastAsia="楷体_GB2312" w:cs="MingLiU_HKSCS"/>
          <w:lang w:val="zh-CN"/>
        </w:rPr>
        <w:t>1999</w:t>
      </w:r>
      <w:r>
        <w:rPr>
          <w:rFonts w:eastAsia="楷体_GB2312" w:cs="MingLiU_HKSCS"/>
          <w:lang w:val="zh-CN"/>
        </w:rPr>
        <w:t>年</w:t>
      </w:r>
      <w:r>
        <w:rPr>
          <w:rFonts w:eastAsia="楷体_GB2312" w:cs="MingLiU_HKSCS"/>
          <w:lang w:val="zh-CN"/>
        </w:rPr>
        <w:t>3</w:t>
      </w:r>
      <w:r>
        <w:rPr>
          <w:rFonts w:eastAsia="楷体_GB2312" w:cs="MingLiU_HKSCS"/>
          <w:lang w:val="zh-CN"/>
        </w:rPr>
        <w:t>月</w:t>
      </w:r>
      <w:r>
        <w:rPr>
          <w:rFonts w:eastAsia="楷体_GB2312" w:cs="MingLiU_HKSCS"/>
          <w:lang w:val="zh-CN"/>
        </w:rPr>
        <w:t>18</w:t>
      </w:r>
      <w:r>
        <w:rPr>
          <w:rFonts w:eastAsia="楷体_GB2312" w:cs="MingLiU_HKSCS"/>
          <w:lang w:val="zh-CN"/>
        </w:rPr>
        <w:t>日，</w:t>
      </w:r>
      <w:r>
        <w:rPr>
          <w:rFonts w:eastAsia="楷体_GB2312" w:cs="MingLiU_HKSCS"/>
          <w:lang w:val="zh-CN"/>
        </w:rPr>
        <w:t>A</w:t>
      </w:r>
      <w:r>
        <w:rPr>
          <w:rFonts w:eastAsia="楷体_GB2312" w:cs="MingLiU_HKSCS"/>
          <w:lang w:val="zh-CN"/>
        </w:rPr>
        <w:t>公司与</w:t>
      </w:r>
      <w:r>
        <w:rPr>
          <w:rFonts w:eastAsia="楷体_GB2312" w:cs="MingLiU_HKSCS"/>
          <w:lang w:val="zh-CN"/>
        </w:rPr>
        <w:t>C</w:t>
      </w:r>
      <w:r>
        <w:rPr>
          <w:rFonts w:eastAsia="楷体_GB2312" w:cs="MingLiU_HKSCS"/>
          <w:lang w:val="zh-CN"/>
        </w:rPr>
        <w:t>公司签订了一份专利许可合同，许可标的是涉案发明专利，许可类型是独占许可。根据该合同约定，许可费采用入门费加销售额提成的方式，入门费共</w:t>
      </w:r>
      <w:r>
        <w:rPr>
          <w:rFonts w:eastAsia="楷体_GB2312" w:cs="MingLiU_HKSCS"/>
          <w:lang w:val="zh-CN"/>
        </w:rPr>
        <w:t>80</w:t>
      </w:r>
      <w:r>
        <w:rPr>
          <w:rFonts w:eastAsia="楷体_GB2312" w:cs="MingLiU_HKSCS"/>
          <w:lang w:val="zh-CN"/>
        </w:rPr>
        <w:t>万元人民币。合同签订后，被许可方先向</w:t>
      </w:r>
      <w:r>
        <w:rPr>
          <w:rFonts w:eastAsia="楷体_GB2312" w:cs="MingLiU_HKSCS"/>
          <w:lang w:val="zh-CN"/>
        </w:rPr>
        <w:t>A</w:t>
      </w:r>
      <w:r>
        <w:rPr>
          <w:rFonts w:eastAsia="楷体_GB2312" w:cs="MingLiU_HKSCS"/>
          <w:lang w:val="zh-CN"/>
        </w:rPr>
        <w:t>公司支付</w:t>
      </w:r>
      <w:r>
        <w:rPr>
          <w:rFonts w:eastAsia="楷体_GB2312" w:cs="MingLiU_HKSCS"/>
          <w:lang w:val="zh-CN"/>
        </w:rPr>
        <w:t>40</w:t>
      </w:r>
      <w:r>
        <w:rPr>
          <w:rFonts w:eastAsia="楷体_GB2312" w:cs="MingLiU_HKSCS"/>
          <w:lang w:val="zh-CN"/>
        </w:rPr>
        <w:t>万元，专利授权后，再支付</w:t>
      </w:r>
      <w:r>
        <w:rPr>
          <w:rFonts w:eastAsia="楷体_GB2312" w:cs="MingLiU_HKSCS"/>
          <w:lang w:val="zh-CN"/>
        </w:rPr>
        <w:t>40</w:t>
      </w:r>
      <w:r>
        <w:rPr>
          <w:rFonts w:eastAsia="楷体_GB2312" w:cs="MingLiU_HKSCS"/>
          <w:lang w:val="zh-CN"/>
        </w:rPr>
        <w:t>万元，提成按专利产品销售额的</w:t>
      </w:r>
      <w:r>
        <w:rPr>
          <w:rFonts w:eastAsia="楷体_GB2312" w:cs="MingLiU_HKSCS"/>
          <w:lang w:val="zh-CN"/>
        </w:rPr>
        <w:t>5%</w:t>
      </w:r>
      <w:r>
        <w:rPr>
          <w:rFonts w:eastAsia="楷体_GB2312" w:cs="MingLiU_HKSCS"/>
          <w:lang w:val="zh-CN"/>
        </w:rPr>
        <w:t>向</w:t>
      </w:r>
      <w:r>
        <w:rPr>
          <w:rFonts w:eastAsia="楷体_GB2312" w:cs="MingLiU_HKSCS"/>
          <w:lang w:val="zh-CN"/>
        </w:rPr>
        <w:t>A</w:t>
      </w:r>
      <w:r>
        <w:rPr>
          <w:rFonts w:eastAsia="楷体_GB2312" w:cs="MingLiU_HKSCS"/>
          <w:lang w:val="zh-CN"/>
        </w:rPr>
        <w:t>公司缴纳。</w:t>
      </w:r>
      <w:r>
        <w:rPr>
          <w:rFonts w:eastAsia="楷体_GB2312" w:cs="MingLiU_HKSCS"/>
          <w:lang w:val="zh-CN"/>
        </w:rPr>
        <w:t>A</w:t>
      </w:r>
      <w:r>
        <w:rPr>
          <w:rFonts w:eastAsia="楷体_GB2312" w:cs="MingLiU_HKSCS"/>
          <w:lang w:val="zh-CN"/>
        </w:rPr>
        <w:t>公司未提交该合同的履行情况。</w:t>
      </w:r>
    </w:p>
    <w:p w:rsidR="00800760" w:rsidRDefault="00235733">
      <w:pPr>
        <w:spacing w:line="360" w:lineRule="auto"/>
        <w:rPr>
          <w:rFonts w:eastAsia="楷体_GB2312" w:cs="MingLiU_HKSCS"/>
          <w:lang w:val="zh-CN"/>
        </w:rPr>
      </w:pPr>
      <w:r>
        <w:rPr>
          <w:rFonts w:eastAsia="楷体_GB2312" w:cs="MingLiU_HKSCS"/>
          <w:lang w:val="zh-CN"/>
        </w:rPr>
        <w:t>根据</w:t>
      </w:r>
      <w:r>
        <w:rPr>
          <w:rFonts w:eastAsia="楷体_GB2312" w:cs="MingLiU_HKSCS"/>
          <w:lang w:val="zh-CN"/>
        </w:rPr>
        <w:t>B</w:t>
      </w:r>
      <w:r>
        <w:rPr>
          <w:rFonts w:eastAsia="楷体_GB2312" w:cs="MingLiU_HKSCS"/>
          <w:lang w:val="zh-CN"/>
        </w:rPr>
        <w:t>公司提供的</w:t>
      </w:r>
      <w:r>
        <w:rPr>
          <w:rFonts w:eastAsia="楷体_GB2312" w:cs="MingLiU_HKSCS"/>
          <w:lang w:val="zh-CN"/>
        </w:rPr>
        <w:t>KW</w:t>
      </w:r>
      <w:r>
        <w:rPr>
          <w:rFonts w:eastAsia="楷体_GB2312" w:cs="MingLiU_HKSCS"/>
          <w:lang w:val="zh-CN"/>
        </w:rPr>
        <w:t>屏风出货明细表，</w:t>
      </w:r>
      <w:r>
        <w:rPr>
          <w:rFonts w:eastAsia="楷体_GB2312" w:cs="MingLiU_HKSCS"/>
          <w:lang w:val="zh-CN"/>
        </w:rPr>
        <w:t>1999</w:t>
      </w:r>
      <w:r>
        <w:rPr>
          <w:rFonts w:eastAsia="楷体_GB2312" w:cs="MingLiU_HKSCS"/>
          <w:lang w:val="zh-CN"/>
        </w:rPr>
        <w:t>年</w:t>
      </w:r>
      <w:r>
        <w:rPr>
          <w:rFonts w:eastAsia="楷体_GB2312" w:cs="MingLiU_HKSCS"/>
          <w:lang w:val="zh-CN"/>
        </w:rPr>
        <w:t>4</w:t>
      </w:r>
      <w:r>
        <w:rPr>
          <w:rFonts w:eastAsia="楷体_GB2312" w:cs="MingLiU_HKSCS" w:hint="eastAsia"/>
          <w:lang w:val="zh-CN"/>
        </w:rPr>
        <w:t>-</w:t>
      </w:r>
      <w:r>
        <w:rPr>
          <w:rFonts w:eastAsia="楷体_GB2312" w:cs="MingLiU_HKSCS"/>
          <w:lang w:val="zh-CN"/>
        </w:rPr>
        <w:t>9</w:t>
      </w:r>
      <w:r>
        <w:rPr>
          <w:rFonts w:eastAsia="楷体_GB2312" w:cs="MingLiU_HKSCS"/>
          <w:lang w:val="zh-CN"/>
        </w:rPr>
        <w:t>月</w:t>
      </w:r>
      <w:r>
        <w:rPr>
          <w:rFonts w:eastAsia="楷体_GB2312" w:cs="MingLiU_HKSCS"/>
          <w:lang w:val="zh-CN"/>
        </w:rPr>
        <w:t>B</w:t>
      </w:r>
      <w:r>
        <w:rPr>
          <w:rFonts w:eastAsia="楷体_GB2312" w:cs="MingLiU_HKSCS"/>
          <w:lang w:val="zh-CN"/>
        </w:rPr>
        <w:t>公司的</w:t>
      </w:r>
      <w:r>
        <w:rPr>
          <w:rFonts w:eastAsia="楷体_GB2312" w:cs="MingLiU_HKSCS"/>
          <w:lang w:val="zh-CN"/>
        </w:rPr>
        <w:t>KW</w:t>
      </w:r>
      <w:r>
        <w:rPr>
          <w:rFonts w:eastAsia="楷体_GB2312" w:cs="MingLiU_HKSCS"/>
          <w:lang w:val="zh-CN"/>
        </w:rPr>
        <w:t>屏风出货金额为</w:t>
      </w:r>
      <w:r>
        <w:rPr>
          <w:rFonts w:eastAsia="楷体_GB2312" w:cs="MingLiU_HKSCS"/>
          <w:lang w:val="zh-CN"/>
        </w:rPr>
        <w:t>164576. 9</w:t>
      </w:r>
      <w:r>
        <w:rPr>
          <w:rFonts w:eastAsia="楷体_GB2312" w:cs="MingLiU_HKSCS"/>
          <w:lang w:val="zh-CN"/>
        </w:rPr>
        <w:t>元，</w:t>
      </w:r>
      <w:r>
        <w:rPr>
          <w:rFonts w:eastAsia="楷体_GB2312" w:cs="MingLiU_HKSCS"/>
          <w:lang w:val="zh-CN"/>
        </w:rPr>
        <w:t>2001</w:t>
      </w:r>
      <w:r>
        <w:rPr>
          <w:rFonts w:eastAsia="楷体_GB2312" w:cs="MingLiU_HKSCS"/>
          <w:lang w:val="zh-CN"/>
        </w:rPr>
        <w:t>年</w:t>
      </w:r>
      <w:r>
        <w:rPr>
          <w:rFonts w:eastAsia="楷体_GB2312" w:cs="MingLiU_HKSCS"/>
          <w:lang w:val="zh-CN"/>
        </w:rPr>
        <w:t>1</w:t>
      </w:r>
      <w:r>
        <w:rPr>
          <w:rFonts w:eastAsia="楷体_GB2312" w:cs="MingLiU_HKSCS"/>
          <w:lang w:val="zh-CN"/>
        </w:rPr>
        <w:t>月</w:t>
      </w:r>
      <w:r>
        <w:rPr>
          <w:rFonts w:eastAsia="楷体_GB2312" w:cs="MingLiU_HKSCS"/>
          <w:lang w:val="zh-CN"/>
        </w:rPr>
        <w:t>B</w:t>
      </w:r>
      <w:r>
        <w:rPr>
          <w:rFonts w:eastAsia="楷体_GB2312" w:cs="MingLiU_HKSCS"/>
          <w:lang w:val="zh-CN"/>
        </w:rPr>
        <w:t>公司的</w:t>
      </w:r>
      <w:r>
        <w:rPr>
          <w:rFonts w:eastAsia="楷体_GB2312" w:cs="MingLiU_HKSCS"/>
          <w:lang w:val="zh-CN"/>
        </w:rPr>
        <w:t>KW</w:t>
      </w:r>
      <w:r>
        <w:rPr>
          <w:rFonts w:eastAsia="楷体_GB2312" w:cs="MingLiU_HKSCS"/>
          <w:lang w:val="zh-CN"/>
        </w:rPr>
        <w:t>屏风出货金额为</w:t>
      </w:r>
      <w:r>
        <w:rPr>
          <w:rFonts w:eastAsia="楷体_GB2312" w:cs="MingLiU_HKSCS"/>
          <w:lang w:val="zh-CN"/>
        </w:rPr>
        <w:t>14976</w:t>
      </w:r>
      <w:r>
        <w:rPr>
          <w:rFonts w:eastAsia="楷体_GB2312" w:cs="MingLiU_HKSCS"/>
          <w:lang w:val="zh-CN"/>
        </w:rPr>
        <w:t>元，</w:t>
      </w:r>
      <w:r>
        <w:rPr>
          <w:rFonts w:eastAsia="楷体_GB2312" w:cs="MingLiU_HKSCS"/>
          <w:lang w:val="zh-CN"/>
        </w:rPr>
        <w:t>2001</w:t>
      </w:r>
      <w:r>
        <w:rPr>
          <w:rFonts w:eastAsia="楷体_GB2312" w:cs="MingLiU_HKSCS"/>
          <w:lang w:val="zh-CN"/>
        </w:rPr>
        <w:t>年</w:t>
      </w:r>
      <w:r>
        <w:rPr>
          <w:rFonts w:eastAsia="楷体_GB2312" w:cs="MingLiU_HKSCS"/>
          <w:lang w:val="zh-CN"/>
        </w:rPr>
        <w:t>3</w:t>
      </w:r>
      <w:r>
        <w:rPr>
          <w:rFonts w:eastAsia="楷体_GB2312" w:cs="MingLiU_HKSCS"/>
          <w:lang w:val="zh-CN"/>
        </w:rPr>
        <w:t>月</w:t>
      </w:r>
      <w:r>
        <w:rPr>
          <w:rFonts w:eastAsia="楷体_GB2312" w:cs="MingLiU_HKSCS"/>
          <w:lang w:val="zh-CN"/>
        </w:rPr>
        <w:t>B</w:t>
      </w:r>
      <w:r>
        <w:rPr>
          <w:rFonts w:eastAsia="楷体_GB2312" w:cs="MingLiU_HKSCS" w:hint="eastAsia"/>
          <w:lang w:val="zh-CN"/>
        </w:rPr>
        <w:t>公司的</w:t>
      </w:r>
      <w:r>
        <w:rPr>
          <w:rFonts w:eastAsia="楷体_GB2312" w:cs="MingLiU_HKSCS"/>
          <w:lang w:val="zh-CN"/>
        </w:rPr>
        <w:t>KW</w:t>
      </w:r>
      <w:r>
        <w:rPr>
          <w:rFonts w:eastAsia="楷体_GB2312" w:cs="MingLiU_HKSCS" w:hint="eastAsia"/>
          <w:lang w:val="zh-CN"/>
        </w:rPr>
        <w:t>屏风出货金额为</w:t>
      </w:r>
      <w:r>
        <w:rPr>
          <w:rFonts w:eastAsia="楷体_GB2312" w:cs="MingLiU_HKSCS"/>
          <w:lang w:val="zh-CN"/>
        </w:rPr>
        <w:t>6552. 84</w:t>
      </w:r>
      <w:r>
        <w:rPr>
          <w:rFonts w:eastAsia="楷体_GB2312" w:cs="MingLiU_HKSCS" w:hint="eastAsia"/>
          <w:lang w:val="zh-CN"/>
        </w:rPr>
        <w:t>元。</w:t>
      </w:r>
    </w:p>
    <w:p w:rsidR="00800760" w:rsidRDefault="00235733">
      <w:pPr>
        <w:spacing w:line="360" w:lineRule="auto"/>
        <w:rPr>
          <w:rFonts w:eastAsia="楷体_GB2312" w:cs="MingLiU_HKSCS"/>
          <w:lang w:val="zh-CN"/>
        </w:rPr>
      </w:pPr>
      <w:r>
        <w:rPr>
          <w:rFonts w:eastAsia="楷体_GB2312" w:cs="MingLiU_HKSCS"/>
          <w:lang w:val="zh-CN"/>
        </w:rPr>
        <w:t>B</w:t>
      </w:r>
      <w:r>
        <w:rPr>
          <w:rFonts w:eastAsia="楷体_GB2312" w:cs="MingLiU_HKSCS" w:hint="eastAsia"/>
          <w:lang w:val="zh-CN"/>
        </w:rPr>
        <w:t>公司最终被判令向</w:t>
      </w:r>
      <w:r>
        <w:rPr>
          <w:rFonts w:eastAsia="楷体_GB2312" w:cs="MingLiU_HKSCS"/>
          <w:lang w:val="zh-CN"/>
        </w:rPr>
        <w:t>A</w:t>
      </w:r>
      <w:r>
        <w:rPr>
          <w:rFonts w:eastAsia="楷体_GB2312" w:cs="MingLiU_HKSCS"/>
          <w:lang w:val="zh-CN"/>
        </w:rPr>
        <w:t>公司支付发明专利临时保护期间的使用费</w:t>
      </w:r>
      <w:r>
        <w:rPr>
          <w:rFonts w:eastAsia="楷体_GB2312" w:cs="MingLiU_HKSCS"/>
          <w:lang w:val="zh-CN"/>
        </w:rPr>
        <w:t>15</w:t>
      </w:r>
      <w:r>
        <w:rPr>
          <w:rFonts w:eastAsia="楷体_GB2312" w:cs="MingLiU_HKSCS"/>
          <w:lang w:val="zh-CN"/>
        </w:rPr>
        <w:t>万元。</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lang w:val="zh-CN"/>
        </w:rPr>
        <w:t>该案涉及确定临时保护期使用费时要考虑的两个问题：一是被请求人在专利授权前与授权后的收益，二是参照专利许可使用费。</w:t>
      </w:r>
    </w:p>
    <w:p w:rsidR="00800760" w:rsidRDefault="00235733">
      <w:pPr>
        <w:spacing w:line="360" w:lineRule="auto"/>
        <w:rPr>
          <w:rFonts w:eastAsia="楷体_GB2312" w:cs="MingLiU_HKSCS"/>
          <w:lang w:val="zh-CN"/>
        </w:rPr>
      </w:pPr>
      <w:r>
        <w:rPr>
          <w:rFonts w:eastAsia="楷体_GB2312" w:cs="MingLiU_HKSCS"/>
          <w:lang w:val="zh-CN"/>
        </w:rPr>
        <w:t>由于发明专利临时保护与发明专利权保护的性质并不相同，因此发明专利临时保护期使用费的补偿数额应当与侵犯专利权的损害赔偿数额有所差异。该案中，在确定补偿额时，需同时考虑</w:t>
      </w:r>
      <w:r>
        <w:rPr>
          <w:rFonts w:eastAsia="楷体_GB2312" w:cs="MingLiU_HKSCS"/>
          <w:lang w:val="zh-CN"/>
        </w:rPr>
        <w:t>B</w:t>
      </w:r>
      <w:r>
        <w:rPr>
          <w:rFonts w:eastAsia="楷体_GB2312" w:cs="MingLiU_HKSCS"/>
          <w:lang w:val="zh-CN"/>
        </w:rPr>
        <w:t>公司在专利授权前后被控侵权产品的相应生产、销售状况。涉案专利公布期间，</w:t>
      </w:r>
      <w:r>
        <w:rPr>
          <w:rFonts w:eastAsia="楷体_GB2312" w:cs="MingLiU_HKSCS"/>
          <w:lang w:val="zh-CN"/>
        </w:rPr>
        <w:t>1999</w:t>
      </w:r>
      <w:r>
        <w:rPr>
          <w:rFonts w:eastAsia="楷体_GB2312" w:cs="MingLiU_HKSCS"/>
          <w:lang w:val="zh-CN"/>
        </w:rPr>
        <w:t>年</w:t>
      </w:r>
      <w:r>
        <w:rPr>
          <w:rFonts w:eastAsia="楷体_GB2312" w:cs="MingLiU_HKSCS"/>
          <w:lang w:val="zh-CN"/>
        </w:rPr>
        <w:t>4</w:t>
      </w:r>
      <w:r>
        <w:rPr>
          <w:rFonts w:eastAsia="楷体_GB2312" w:cs="MingLiU_HKSCS" w:hint="eastAsia"/>
          <w:lang w:val="zh-CN"/>
        </w:rPr>
        <w:t>-</w:t>
      </w:r>
      <w:r>
        <w:rPr>
          <w:rFonts w:eastAsia="楷体_GB2312" w:cs="MingLiU_HKSCS"/>
          <w:lang w:val="zh-CN"/>
        </w:rPr>
        <w:t>9</w:t>
      </w:r>
      <w:r>
        <w:rPr>
          <w:rFonts w:eastAsia="楷体_GB2312" w:cs="MingLiU_HKSCS"/>
          <w:lang w:val="zh-CN"/>
        </w:rPr>
        <w:t>月被控侵权产品的出货金额为</w:t>
      </w:r>
      <w:r>
        <w:rPr>
          <w:rFonts w:eastAsia="楷体_GB2312" w:cs="MingLiU_HKSCS"/>
          <w:lang w:val="zh-CN"/>
        </w:rPr>
        <w:t>164576. 9</w:t>
      </w:r>
      <w:r>
        <w:rPr>
          <w:rFonts w:eastAsia="楷体_GB2312" w:cs="MingLiU_HKSCS"/>
          <w:lang w:val="zh-CN"/>
        </w:rPr>
        <w:t>元；专利授权后，</w:t>
      </w:r>
      <w:r>
        <w:rPr>
          <w:rFonts w:eastAsia="楷体_GB2312" w:cs="MingLiU_HKSCS"/>
          <w:lang w:val="zh-CN"/>
        </w:rPr>
        <w:t>2001</w:t>
      </w:r>
      <w:r>
        <w:rPr>
          <w:rFonts w:eastAsia="楷体_GB2312" w:cs="MingLiU_HKSCS"/>
          <w:lang w:val="zh-CN"/>
        </w:rPr>
        <w:t>年</w:t>
      </w:r>
      <w:r>
        <w:rPr>
          <w:rFonts w:eastAsia="楷体_GB2312" w:cs="MingLiU_HKSCS"/>
          <w:lang w:val="zh-CN"/>
        </w:rPr>
        <w:t>1</w:t>
      </w:r>
      <w:r>
        <w:rPr>
          <w:rFonts w:eastAsia="楷体_GB2312" w:cs="MingLiU_HKSCS"/>
          <w:lang w:val="zh-CN"/>
        </w:rPr>
        <w:t>月、</w:t>
      </w:r>
      <w:r>
        <w:rPr>
          <w:rFonts w:eastAsia="楷体_GB2312" w:cs="MingLiU_HKSCS"/>
          <w:lang w:val="zh-CN"/>
        </w:rPr>
        <w:t>3</w:t>
      </w:r>
      <w:r>
        <w:rPr>
          <w:rFonts w:eastAsia="楷体_GB2312" w:cs="MingLiU_HKSCS"/>
          <w:lang w:val="zh-CN"/>
        </w:rPr>
        <w:t>月</w:t>
      </w:r>
      <w:r>
        <w:rPr>
          <w:rFonts w:eastAsia="楷体_GB2312" w:cs="MingLiU_HKSCS"/>
          <w:lang w:val="zh-CN"/>
        </w:rPr>
        <w:t>B</w:t>
      </w:r>
      <w:r>
        <w:rPr>
          <w:rFonts w:eastAsia="楷体_GB2312" w:cs="MingLiU_HKSCS"/>
          <w:lang w:val="zh-CN"/>
        </w:rPr>
        <w:t>公司的被控侵权产品的出货金额分别为</w:t>
      </w:r>
      <w:r>
        <w:rPr>
          <w:rFonts w:eastAsia="楷体_GB2312" w:cs="MingLiU_HKSCS"/>
          <w:lang w:val="zh-CN"/>
        </w:rPr>
        <w:t>14976</w:t>
      </w:r>
      <w:r>
        <w:rPr>
          <w:rFonts w:eastAsia="楷体_GB2312" w:cs="MingLiU_HKSCS"/>
          <w:lang w:val="zh-CN"/>
        </w:rPr>
        <w:t>元、</w:t>
      </w:r>
      <w:r>
        <w:rPr>
          <w:rFonts w:eastAsia="楷体_GB2312" w:cs="MingLiU_HKSCS"/>
          <w:lang w:val="zh-CN"/>
        </w:rPr>
        <w:t>6552. 84</w:t>
      </w:r>
      <w:r>
        <w:rPr>
          <w:rFonts w:eastAsia="楷体_GB2312" w:cs="MingLiU_HKSCS"/>
          <w:lang w:val="zh-CN"/>
        </w:rPr>
        <w:t>元。</w:t>
      </w:r>
      <w:r>
        <w:rPr>
          <w:rFonts w:eastAsia="楷体_GB2312" w:cs="MingLiU_HKSCS" w:hint="eastAsia"/>
          <w:lang w:val="zh-CN"/>
        </w:rPr>
        <w:t>处理</w:t>
      </w:r>
      <w:r>
        <w:rPr>
          <w:rFonts w:eastAsia="楷体_GB2312" w:cs="MingLiU_HKSCS"/>
          <w:lang w:val="zh-CN"/>
        </w:rPr>
        <w:t>部门最终</w:t>
      </w:r>
      <w:r>
        <w:rPr>
          <w:rFonts w:eastAsia="楷体_GB2312" w:cs="MingLiU_HKSCS" w:hint="eastAsia"/>
          <w:lang w:val="zh-CN"/>
        </w:rPr>
        <w:t>确定</w:t>
      </w:r>
      <w:r>
        <w:rPr>
          <w:rFonts w:eastAsia="楷体_GB2312" w:cs="MingLiU_HKSCS"/>
          <w:lang w:val="zh-CN"/>
        </w:rPr>
        <w:t>B</w:t>
      </w:r>
      <w:r>
        <w:rPr>
          <w:rFonts w:eastAsia="楷体_GB2312" w:cs="MingLiU_HKSCS"/>
          <w:lang w:val="zh-CN"/>
        </w:rPr>
        <w:t>公司支付发明专利临时保护期使用费</w:t>
      </w:r>
      <w:r>
        <w:rPr>
          <w:rFonts w:eastAsia="楷体_GB2312" w:cs="MingLiU_HKSCS"/>
          <w:lang w:val="zh-CN"/>
        </w:rPr>
        <w:t>15</w:t>
      </w:r>
      <w:r>
        <w:rPr>
          <w:rFonts w:eastAsia="楷体_GB2312" w:cs="MingLiU_HKSCS"/>
          <w:lang w:val="zh-CN"/>
        </w:rPr>
        <w:t>万元是综合考虑两方面收益后折中的结果。</w:t>
      </w:r>
    </w:p>
    <w:p w:rsidR="00800760" w:rsidRDefault="00235733">
      <w:pPr>
        <w:spacing w:line="360" w:lineRule="auto"/>
        <w:rPr>
          <w:rFonts w:eastAsia="楷体_GB2312" w:cs="MingLiU_HKSCS"/>
          <w:lang w:val="zh-CN"/>
        </w:rPr>
      </w:pPr>
      <w:r>
        <w:rPr>
          <w:rFonts w:eastAsia="楷体_GB2312" w:cs="MingLiU_HKSCS"/>
          <w:lang w:val="zh-CN"/>
        </w:rPr>
        <w:t>另外，参照专利许可使用费赔偿与参考专利许可使用费赔偿的依据是不同的。根据《专利法》及《最高人民法院关于审理专利纠纷案件适用法律问题的若干规定》的规定，在被侵权人的损失或者侵权人获得的利益难以确定时，有专利许可使用费可以参照的，参照该专利许可使用费的</w:t>
      </w:r>
      <w:r>
        <w:rPr>
          <w:rFonts w:eastAsia="楷体_GB2312" w:cs="MingLiU_HKSCS"/>
          <w:lang w:val="zh-CN"/>
        </w:rPr>
        <w:t>1~3</w:t>
      </w:r>
      <w:r>
        <w:rPr>
          <w:rFonts w:eastAsia="楷体_GB2312" w:cs="MingLiU_HKSCS"/>
          <w:lang w:val="zh-CN"/>
        </w:rPr>
        <w:t>倍合理确定赔偿数额。如果是参照赔偿，额度至少为许可使用费。该案中，</w:t>
      </w:r>
      <w:r>
        <w:rPr>
          <w:rFonts w:eastAsia="楷体_GB2312" w:cs="MingLiU_HKSCS"/>
          <w:lang w:val="zh-CN"/>
        </w:rPr>
        <w:t>A</w:t>
      </w:r>
      <w:r>
        <w:rPr>
          <w:rFonts w:eastAsia="楷体_GB2312" w:cs="MingLiU_HKSCS"/>
          <w:lang w:val="zh-CN"/>
        </w:rPr>
        <w:t>公司提交的许可合同约定的许可费在</w:t>
      </w:r>
      <w:r>
        <w:rPr>
          <w:rFonts w:eastAsia="楷体_GB2312" w:cs="MingLiU_HKSCS"/>
          <w:lang w:val="zh-CN"/>
        </w:rPr>
        <w:t>80</w:t>
      </w:r>
      <w:r>
        <w:rPr>
          <w:rFonts w:eastAsia="楷体_GB2312" w:cs="MingLiU_HKSCS"/>
          <w:lang w:val="zh-CN"/>
        </w:rPr>
        <w:t>万元以上，考虑到该许可合同的实际情况，不宜参照其约定的该案专利</w:t>
      </w:r>
      <w:r>
        <w:rPr>
          <w:rFonts w:eastAsia="楷体_GB2312" w:cs="MingLiU_HKSCS"/>
          <w:lang w:val="zh-CN"/>
        </w:rPr>
        <w:t>“</w:t>
      </w:r>
      <w:r>
        <w:rPr>
          <w:rFonts w:eastAsia="楷体_GB2312" w:cs="MingLiU_HKSCS"/>
          <w:lang w:val="zh-CN"/>
        </w:rPr>
        <w:t>许可使用费</w:t>
      </w:r>
      <w:r>
        <w:rPr>
          <w:rFonts w:eastAsia="楷体_GB2312" w:cs="MingLiU_HKSCS"/>
          <w:lang w:val="zh-CN"/>
        </w:rPr>
        <w:t>”</w:t>
      </w:r>
      <w:r>
        <w:rPr>
          <w:rFonts w:eastAsia="楷体_GB2312" w:cs="MingLiU_HKSCS"/>
          <w:lang w:val="zh-CN"/>
        </w:rPr>
        <w:t>确定</w:t>
      </w:r>
      <w:r>
        <w:rPr>
          <w:rFonts w:eastAsia="楷体_GB2312" w:cs="MingLiU_HKSCS"/>
          <w:lang w:val="zh-CN"/>
        </w:rPr>
        <w:t>B</w:t>
      </w:r>
      <w:r>
        <w:rPr>
          <w:rFonts w:eastAsia="楷体_GB2312" w:cs="MingLiU_HKSCS"/>
          <w:lang w:val="zh-CN"/>
        </w:rPr>
        <w:t>公司的赔偿额。</w:t>
      </w:r>
    </w:p>
    <w:p w:rsidR="00800760" w:rsidRDefault="00235733">
      <w:pPr>
        <w:ind w:firstLine="436"/>
        <w:jc w:val="both"/>
        <w:rPr>
          <w:rFonts w:cs="宋体"/>
          <w:spacing w:val="4"/>
        </w:rPr>
      </w:pPr>
      <w:r>
        <w:rPr>
          <w:rFonts w:cs="宋体"/>
          <w:spacing w:val="4"/>
        </w:rPr>
        <w:t>在实践中，确定临时保护期使用费时，侵权损害赔偿是一个非常重要的参考依据。根据《专利法》的相关规定，侵权赔偿的数额确定除参照专利许可使用费外，还有权利</w:t>
      </w:r>
      <w:r>
        <w:rPr>
          <w:rFonts w:cs="宋体" w:hint="eastAsia"/>
          <w:spacing w:val="4"/>
        </w:rPr>
        <w:t>人因被侵权所受到的损失或者侵权人因侵权获得的利益以及法定赔偿。在专利权人主张以自己所受到的损失作为赔偿数额的依据时，应提供自己单位产品获利情况的财务审计报告，以及专利权人因被侵权造成销售量减少的总数或者制造的侵权产品的数量，二者相乘之积就是专利权人的损失数额的依据；在专利权人主张以侵权人的获利作为赔偿的依据时，专利权人通常要申请保全侵权人的财务会计账册，经独立的第三方审计后，以审计结论确定侵权获利情况，从而明确赔偿的依据。</w:t>
      </w:r>
    </w:p>
    <w:p w:rsidR="00800760" w:rsidRDefault="00235733">
      <w:pPr>
        <w:ind w:firstLine="436"/>
        <w:jc w:val="both"/>
        <w:rPr>
          <w:rFonts w:cs="宋体"/>
          <w:spacing w:val="4"/>
        </w:rPr>
      </w:pPr>
      <w:r>
        <w:rPr>
          <w:rFonts w:cs="宋体" w:hint="eastAsia"/>
          <w:spacing w:val="4"/>
        </w:rPr>
        <w:t>在确定临时保护期使用费补偿金数额时，可以参考会计师事务所对有关当事人的财务凭证、账目审计后出具的审核验证报告确定侵权获利情况，并酌情考虑当事人实施专利的情况，比如产品数量、生产专利产品的时间段以及专利技术在产品中所起的作用等。</w:t>
      </w:r>
    </w:p>
    <w:p w:rsidR="00800760" w:rsidRDefault="00235733">
      <w:r>
        <w:br w:type="page"/>
      </w:r>
    </w:p>
    <w:p w:rsidR="00800760" w:rsidRDefault="00235733">
      <w:pPr>
        <w:pStyle w:val="1"/>
      </w:pPr>
      <w:bookmarkStart w:id="8053" w:name="_Toc11654"/>
      <w:bookmarkStart w:id="8054" w:name="_Toc10475"/>
      <w:bookmarkStart w:id="8055" w:name="_Toc8216"/>
      <w:bookmarkStart w:id="8056" w:name="_Toc22377"/>
      <w:bookmarkStart w:id="8057" w:name="_Toc16337"/>
      <w:bookmarkStart w:id="8058" w:name="_Toc25105"/>
      <w:bookmarkStart w:id="8059" w:name="_Toc18193"/>
      <w:bookmarkStart w:id="8060" w:name="_Toc20775"/>
      <w:bookmarkStart w:id="8061" w:name="_Toc13664"/>
      <w:bookmarkStart w:id="8062" w:name="_Toc12158"/>
      <w:bookmarkStart w:id="8063" w:name="_Toc1769"/>
      <w:bookmarkStart w:id="8064" w:name="_Toc15302"/>
      <w:bookmarkStart w:id="8065" w:name="_Toc17811"/>
      <w:bookmarkStart w:id="8066" w:name="_Toc23603"/>
      <w:bookmarkStart w:id="8067" w:name="_Toc8526"/>
      <w:bookmarkStart w:id="8068" w:name="_Toc13589"/>
      <w:bookmarkStart w:id="8069" w:name="_Toc25200"/>
      <w:bookmarkStart w:id="8070" w:name="_Toc22134"/>
      <w:bookmarkStart w:id="8071" w:name="_Toc28394"/>
      <w:bookmarkStart w:id="8072" w:name="_Toc26168"/>
      <w:bookmarkStart w:id="8073" w:name="_Toc527"/>
      <w:bookmarkStart w:id="8074" w:name="_Toc32567"/>
      <w:bookmarkStart w:id="8075" w:name="_Toc27789"/>
      <w:bookmarkStart w:id="8076" w:name="_Toc23891"/>
      <w:bookmarkStart w:id="8077" w:name="_Toc6196"/>
      <w:bookmarkStart w:id="8078" w:name="_Toc1906"/>
      <w:bookmarkStart w:id="8079" w:name="_Toc31658"/>
      <w:bookmarkStart w:id="8080" w:name="_Toc6413"/>
      <w:bookmarkStart w:id="8081" w:name="_Toc10356"/>
      <w:bookmarkStart w:id="8082" w:name="_Toc17026"/>
      <w:bookmarkStart w:id="8083" w:name="_Toc12151"/>
      <w:bookmarkStart w:id="8084" w:name="_Toc3246"/>
      <w:bookmarkStart w:id="8085" w:name="_Toc13675"/>
      <w:bookmarkStart w:id="8086" w:name="_Toc4080"/>
      <w:bookmarkStart w:id="8087" w:name="_Toc25348"/>
      <w:bookmarkStart w:id="8088" w:name="_Toc7473"/>
      <w:bookmarkStart w:id="8089" w:name="_Toc7040"/>
      <w:bookmarkStart w:id="8090" w:name="_Toc12334"/>
      <w:bookmarkStart w:id="8091" w:name="_Toc229114524"/>
      <w:bookmarkStart w:id="8092" w:name="_Toc25875"/>
      <w:bookmarkStart w:id="8093" w:name="_Toc8525"/>
      <w:bookmarkStart w:id="8094" w:name="_Toc15288"/>
      <w:bookmarkStart w:id="8095" w:name="_Toc10351"/>
      <w:bookmarkStart w:id="8096" w:name="_Toc229225620"/>
      <w:r>
        <w:rPr>
          <w:rFonts w:hint="eastAsia"/>
        </w:rPr>
        <w:t>第七章　专利开放许可实施纠纷的行政调解</w:t>
      </w:r>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p>
    <w:p w:rsidR="00800760" w:rsidRDefault="00235733">
      <w:pPr>
        <w:ind w:firstLineChars="0" w:firstLine="386"/>
        <w:jc w:val="both"/>
        <w:rPr>
          <w:rFonts w:cs="宋体"/>
          <w:spacing w:val="4"/>
        </w:rPr>
      </w:pPr>
      <w:r>
        <w:rPr>
          <w:rFonts w:cs="宋体" w:hint="eastAsia"/>
          <w:spacing w:val="4"/>
        </w:rPr>
        <w:t>专利权人以书面方式向国务院专利行政部门声明愿意许可任何单位或者个人实施其专利，并明确许可使用费用支付方式和标准的，由国务院专利行政部门予以公告，实行开放许可。任何单位或者个人有意愿实施开放许可专利的，以书面方式通知专利权人，并依照公告的开放许可使用费用支付方式、标准支付许可使用费用后，即获得专利实施许可。</w:t>
      </w:r>
    </w:p>
    <w:p w:rsidR="00800760" w:rsidRDefault="00235733">
      <w:pPr>
        <w:ind w:firstLineChars="0" w:firstLine="386"/>
        <w:jc w:val="both"/>
        <w:rPr>
          <w:rFonts w:cs="宋体"/>
          <w:spacing w:val="4"/>
        </w:rPr>
      </w:pPr>
      <w:r>
        <w:rPr>
          <w:rFonts w:cs="宋体" w:hint="eastAsia"/>
          <w:spacing w:val="4"/>
        </w:rPr>
        <w:t>当事人就实施开放许可发生纠纷的，由当事人协商解决；不愿协商或者协商不成的，可以请求国务院专利行政部门进行调解。</w:t>
      </w:r>
    </w:p>
    <w:p w:rsidR="00800760" w:rsidRDefault="00235733">
      <w:pPr>
        <w:pStyle w:val="2"/>
        <w:spacing w:beforeLines="50" w:afterLines="50"/>
        <w:ind w:firstLineChars="0" w:firstLine="0"/>
        <w:rPr>
          <w:rFonts w:ascii="Times New Roman" w:hAnsi="Times New Roman"/>
        </w:rPr>
      </w:pPr>
      <w:bookmarkStart w:id="8097" w:name="_Toc27947"/>
      <w:bookmarkStart w:id="8098" w:name="_Toc15212"/>
      <w:bookmarkStart w:id="8099" w:name="_Toc3107"/>
      <w:bookmarkStart w:id="8100" w:name="_Toc8733"/>
      <w:bookmarkStart w:id="8101" w:name="_Toc3065"/>
      <w:bookmarkStart w:id="8102" w:name="_Toc26415"/>
      <w:bookmarkStart w:id="8103" w:name="_Toc229114525"/>
      <w:bookmarkStart w:id="8104" w:name="_Toc4832"/>
      <w:bookmarkStart w:id="8105" w:name="_Toc32488"/>
      <w:bookmarkStart w:id="8106" w:name="_Toc18577"/>
      <w:bookmarkStart w:id="8107" w:name="_Toc7457"/>
      <w:bookmarkStart w:id="8108" w:name="_Toc6474"/>
      <w:bookmarkStart w:id="8109" w:name="_Toc229225621"/>
      <w:r>
        <w:rPr>
          <w:rFonts w:ascii="Times New Roman" w:hAnsi="Times New Roman" w:hint="eastAsia"/>
        </w:rPr>
        <w:t>第一节　专利开放许可的构成要件</w:t>
      </w:r>
      <w:bookmarkEnd w:id="8097"/>
      <w:bookmarkEnd w:id="8098"/>
      <w:bookmarkEnd w:id="8099"/>
      <w:bookmarkEnd w:id="8100"/>
      <w:bookmarkEnd w:id="8101"/>
      <w:bookmarkEnd w:id="8102"/>
      <w:bookmarkEnd w:id="8103"/>
      <w:bookmarkEnd w:id="8104"/>
      <w:bookmarkEnd w:id="8105"/>
      <w:bookmarkEnd w:id="8106"/>
      <w:bookmarkEnd w:id="8107"/>
      <w:bookmarkEnd w:id="8108"/>
      <w:bookmarkEnd w:id="8109"/>
    </w:p>
    <w:p w:rsidR="00800760" w:rsidRDefault="00235733">
      <w:pPr>
        <w:spacing w:before="240"/>
        <w:ind w:firstLine="436"/>
        <w:jc w:val="both"/>
        <w:rPr>
          <w:rFonts w:cs="宋体"/>
          <w:spacing w:val="4"/>
        </w:rPr>
      </w:pPr>
      <w:r>
        <w:rPr>
          <w:rFonts w:cs="宋体" w:hint="eastAsia"/>
          <w:spacing w:val="4"/>
        </w:rPr>
        <w:t>根据《专利法》第五十条和五十一条的规定，专利权人在获得专利权后自愿向国务院专利行政部门提出开放许可声明，明确许可使用费支付方式和标准，由国务院专利行政部门予以公告。在开放许可期间，任何单位或者个人以书面方式通知专利权人，按照公开的开放许可条件获得实施该专利的普通许可。</w:t>
      </w:r>
    </w:p>
    <w:p w:rsidR="00800760" w:rsidRDefault="00235733">
      <w:pPr>
        <w:ind w:firstLine="436"/>
        <w:jc w:val="both"/>
        <w:rPr>
          <w:rFonts w:cs="宋体"/>
          <w:spacing w:val="4"/>
        </w:rPr>
      </w:pPr>
      <w:r>
        <w:rPr>
          <w:rFonts w:cs="宋体" w:hint="eastAsia"/>
          <w:spacing w:val="4"/>
        </w:rPr>
        <w:t>专利开放许可属于一种技术许可合同，同时还需要符合《专利法》及《专利法实施细则》中对专利实施开放许可的相关规定。因此，专利开放许可在构成要件上主要由以下三部分组成：</w:t>
      </w:r>
    </w:p>
    <w:p w:rsidR="00800760" w:rsidRDefault="00235733">
      <w:pPr>
        <w:widowControl w:val="0"/>
        <w:ind w:firstLineChars="0" w:firstLine="399"/>
        <w:jc w:val="both"/>
        <w:rPr>
          <w:rFonts w:cs="宋体"/>
          <w:spacing w:val="4"/>
        </w:rPr>
      </w:pPr>
      <w:r>
        <w:rPr>
          <w:rFonts w:cs="宋体"/>
          <w:spacing w:val="4"/>
        </w:rPr>
        <w:t xml:space="preserve">1. </w:t>
      </w:r>
      <w:r>
        <w:rPr>
          <w:rFonts w:cs="宋体" w:hint="eastAsia"/>
          <w:spacing w:val="4"/>
        </w:rPr>
        <w:t>有效的专利开放许可声明。</w:t>
      </w:r>
    </w:p>
    <w:p w:rsidR="00800760" w:rsidRDefault="00235733">
      <w:pPr>
        <w:widowControl w:val="0"/>
        <w:ind w:firstLineChars="0" w:firstLine="399"/>
        <w:jc w:val="both"/>
        <w:rPr>
          <w:rFonts w:cs="宋体"/>
          <w:spacing w:val="4"/>
        </w:rPr>
      </w:pPr>
      <w:r>
        <w:rPr>
          <w:rFonts w:cs="宋体"/>
          <w:spacing w:val="4"/>
        </w:rPr>
        <w:t xml:space="preserve">2. </w:t>
      </w:r>
      <w:r>
        <w:rPr>
          <w:rFonts w:cs="宋体" w:hint="eastAsia"/>
          <w:spacing w:val="4"/>
        </w:rPr>
        <w:t>专利开放许可的专利权人。</w:t>
      </w:r>
    </w:p>
    <w:p w:rsidR="00800760" w:rsidRDefault="00235733">
      <w:pPr>
        <w:widowControl w:val="0"/>
        <w:ind w:firstLineChars="0" w:firstLine="399"/>
        <w:jc w:val="both"/>
        <w:rPr>
          <w:rFonts w:cs="宋体"/>
          <w:spacing w:val="4"/>
        </w:rPr>
      </w:pPr>
      <w:r>
        <w:rPr>
          <w:rFonts w:cs="宋体"/>
          <w:spacing w:val="4"/>
        </w:rPr>
        <w:t xml:space="preserve">3. </w:t>
      </w:r>
      <w:r>
        <w:rPr>
          <w:rFonts w:cs="宋体" w:hint="eastAsia"/>
          <w:spacing w:val="4"/>
        </w:rPr>
        <w:t>实施专利的被许可人。</w:t>
      </w:r>
    </w:p>
    <w:p w:rsidR="00800760" w:rsidRDefault="00235733">
      <w:pPr>
        <w:pStyle w:val="3"/>
        <w:spacing w:before="240"/>
        <w:ind w:firstLine="444"/>
        <w:rPr>
          <w:rFonts w:ascii="Times New Roman" w:hAnsi="Times New Roman"/>
        </w:rPr>
      </w:pPr>
      <w:bookmarkStart w:id="8110" w:name="_Toc20952"/>
      <w:bookmarkStart w:id="8111" w:name="_Toc20055"/>
      <w:bookmarkStart w:id="8112" w:name="_Toc15699"/>
      <w:bookmarkStart w:id="8113" w:name="_Toc21194"/>
      <w:bookmarkStart w:id="8114" w:name="_Toc22096"/>
      <w:bookmarkStart w:id="8115" w:name="_Toc17153"/>
      <w:bookmarkStart w:id="8116" w:name="_Toc29732"/>
      <w:bookmarkStart w:id="8117" w:name="_Toc19940"/>
      <w:bookmarkStart w:id="8118" w:name="_Toc28750"/>
      <w:bookmarkStart w:id="8119" w:name="_Toc8135"/>
      <w:bookmarkStart w:id="8120" w:name="_Toc10951"/>
      <w:bookmarkStart w:id="8121" w:name="_Toc7906"/>
      <w:bookmarkStart w:id="8122" w:name="_Toc18117"/>
      <w:bookmarkStart w:id="8123" w:name="_Toc13814"/>
      <w:bookmarkStart w:id="8124" w:name="_Toc27293"/>
      <w:bookmarkStart w:id="8125" w:name="_Toc16327"/>
      <w:bookmarkStart w:id="8126" w:name="_Toc15994"/>
      <w:bookmarkStart w:id="8127" w:name="_Toc22928"/>
      <w:bookmarkStart w:id="8128" w:name="_Toc16457"/>
      <w:bookmarkStart w:id="8129" w:name="_Toc18041"/>
      <w:bookmarkStart w:id="8130" w:name="_Toc13068"/>
      <w:bookmarkStart w:id="8131" w:name="_Toc2360"/>
      <w:bookmarkStart w:id="8132" w:name="_Toc4316"/>
      <w:bookmarkStart w:id="8133" w:name="_Toc6987"/>
      <w:bookmarkStart w:id="8134" w:name="_Toc1679"/>
      <w:bookmarkStart w:id="8135" w:name="_Toc19441"/>
      <w:bookmarkStart w:id="8136" w:name="_Toc21074"/>
      <w:bookmarkStart w:id="8137" w:name="_Toc28757"/>
      <w:bookmarkStart w:id="8138" w:name="_Toc29138"/>
      <w:bookmarkStart w:id="8139" w:name="_Toc19685"/>
      <w:bookmarkStart w:id="8140" w:name="_Toc13627"/>
      <w:bookmarkStart w:id="8141" w:name="_Toc30932"/>
      <w:bookmarkStart w:id="8142" w:name="_Toc31737"/>
      <w:bookmarkStart w:id="8143" w:name="_Toc1554"/>
      <w:bookmarkStart w:id="8144" w:name="_Toc9945"/>
      <w:bookmarkStart w:id="8145" w:name="_Toc4482"/>
      <w:bookmarkStart w:id="8146" w:name="_Toc22968"/>
      <w:bookmarkStart w:id="8147" w:name="_Toc6038"/>
      <w:bookmarkStart w:id="8148" w:name="_Toc1132"/>
      <w:bookmarkStart w:id="8149" w:name="_Toc6076"/>
      <w:bookmarkStart w:id="8150" w:name="_Toc229114526"/>
      <w:bookmarkStart w:id="8151" w:name="_Toc3393"/>
      <w:bookmarkStart w:id="8152" w:name="_Toc15664"/>
      <w:bookmarkStart w:id="8153" w:name="_Toc229225622"/>
      <w:r>
        <w:rPr>
          <w:rFonts w:ascii="Times New Roman" w:hAnsi="Times New Roman" w:hint="eastAsia"/>
        </w:rPr>
        <w:t>一、有效的专利开放许可声明</w:t>
      </w:r>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p>
    <w:p w:rsidR="00800760" w:rsidRDefault="00235733">
      <w:pPr>
        <w:pStyle w:val="4"/>
        <w:spacing w:before="240"/>
        <w:ind w:firstLine="444"/>
        <w:rPr>
          <w:rFonts w:ascii="Times New Roman" w:hAnsi="Times New Roman"/>
        </w:rPr>
      </w:pPr>
      <w:r>
        <w:rPr>
          <w:rFonts w:ascii="Times New Roman" w:hAnsi="Times New Roman" w:hint="eastAsia"/>
        </w:rPr>
        <w:t>（一）专利开放许可声明的客体</w:t>
      </w:r>
    </w:p>
    <w:p w:rsidR="00800760" w:rsidRDefault="00235733">
      <w:pPr>
        <w:ind w:firstLineChars="0" w:firstLine="386"/>
        <w:jc w:val="both"/>
        <w:rPr>
          <w:rFonts w:cs="宋体"/>
          <w:spacing w:val="4"/>
        </w:rPr>
      </w:pPr>
      <w:r>
        <w:rPr>
          <w:rFonts w:cs="宋体" w:hint="eastAsia"/>
          <w:spacing w:val="4"/>
        </w:rPr>
        <w:t>存在一项有效的专利开放许可声明是专利权人与专利实施人之间建立专利许可关系的前提条件。专利开放许可声明的客体应当是已经授权且有效的发明专利、实用新型专利或者外观设计专利。</w:t>
      </w:r>
    </w:p>
    <w:p w:rsidR="00800760" w:rsidRDefault="00235733">
      <w:pPr>
        <w:ind w:firstLineChars="0" w:firstLine="386"/>
        <w:jc w:val="both"/>
        <w:rPr>
          <w:rFonts w:cs="宋体"/>
          <w:spacing w:val="4"/>
        </w:rPr>
      </w:pPr>
      <w:r>
        <w:rPr>
          <w:rFonts w:cs="宋体" w:hint="eastAsia"/>
          <w:spacing w:val="4"/>
        </w:rPr>
        <w:t>尚未授权的专利申请，没有按照规定缴纳年费的、专利权已经被终止的或者已经被宣告全部无效的专利不能进行专利开放许可。针对实用新型、外观设计专利，专利权人提出开放许可声明时应当提供专利权评价报告，专利权评价报告结论认为实用新型或者外观设计专利权不符合授予专利权条件的也不能对其实行开放许可。</w:t>
      </w:r>
    </w:p>
    <w:p w:rsidR="00800760" w:rsidRDefault="00235733">
      <w:pPr>
        <w:ind w:firstLineChars="0" w:firstLine="386"/>
        <w:jc w:val="both"/>
        <w:rPr>
          <w:rFonts w:cs="宋体"/>
          <w:spacing w:val="4"/>
        </w:rPr>
      </w:pPr>
      <w:r>
        <w:rPr>
          <w:rFonts w:cs="宋体" w:hint="eastAsia"/>
          <w:spacing w:val="4"/>
        </w:rPr>
        <w:t>专利权人无权对专利权实行开放许可的情形还包括：专利权处于独占或者排他许可有效期限内的；因专利权的权属发生纠纷或者人民法院裁定对专利权采取保全措施，已经中止有关程序的；专利权被质押，未经质权人同意的；以及其他妨碍专利权有效实施的情形。</w:t>
      </w:r>
    </w:p>
    <w:p w:rsidR="00800760" w:rsidRDefault="00235733">
      <w:pPr>
        <w:pStyle w:val="af6"/>
        <w:spacing w:before="120" w:after="120"/>
        <w:ind w:firstLineChars="0" w:firstLine="420"/>
        <w:rPr>
          <w:rFonts w:ascii="Times New Roman" w:hAnsi="Times New Roman"/>
        </w:rPr>
      </w:pPr>
      <w:bookmarkStart w:id="8154" w:name="_Toc16465"/>
      <w:bookmarkStart w:id="8155" w:name="_Toc29747"/>
      <w:bookmarkStart w:id="8156" w:name="_Toc23990"/>
      <w:bookmarkStart w:id="8157" w:name="_Toc20995"/>
      <w:bookmarkStart w:id="8158" w:name="_Toc12790"/>
      <w:bookmarkStart w:id="8159" w:name="_Toc2237"/>
      <w:bookmarkStart w:id="8160" w:name="_Toc23460"/>
      <w:bookmarkStart w:id="8161" w:name="_Toc2418"/>
      <w:bookmarkStart w:id="8162" w:name="_Toc29746"/>
      <w:bookmarkStart w:id="8163" w:name="_Toc8292"/>
      <w:bookmarkStart w:id="8164" w:name="_Toc10770"/>
      <w:bookmarkStart w:id="8165" w:name="_Toc5971"/>
      <w:bookmarkStart w:id="8166" w:name="_Toc22911"/>
      <w:bookmarkStart w:id="8167" w:name="_Toc31557"/>
      <w:bookmarkStart w:id="8168" w:name="_Toc8921"/>
      <w:bookmarkStart w:id="8169" w:name="_Toc5841"/>
      <w:bookmarkStart w:id="8170" w:name="_Toc8398"/>
      <w:bookmarkStart w:id="8171" w:name="_Toc15577"/>
      <w:bookmarkStart w:id="8172" w:name="_Toc4222"/>
      <w:bookmarkStart w:id="8173" w:name="_Toc14181"/>
      <w:bookmarkStart w:id="8174" w:name="_Toc6217"/>
      <w:bookmarkStart w:id="8175" w:name="_Toc8986"/>
      <w:bookmarkStart w:id="8176" w:name="_Toc17413"/>
      <w:bookmarkStart w:id="8177" w:name="_Toc18145"/>
      <w:bookmarkStart w:id="8178" w:name="_Toc11865"/>
      <w:bookmarkStart w:id="8179" w:name="_Toc9136"/>
      <w:bookmarkStart w:id="8180" w:name="_Toc31915"/>
      <w:bookmarkStart w:id="8181" w:name="_Toc29863"/>
      <w:bookmarkStart w:id="8182" w:name="_Toc6675"/>
      <w:bookmarkStart w:id="8183" w:name="_Toc4199"/>
      <w:bookmarkStart w:id="8184" w:name="_Toc26164"/>
      <w:bookmarkStart w:id="8185" w:name="_Toc81"/>
      <w:bookmarkStart w:id="8186" w:name="_Toc1366"/>
      <w:bookmarkStart w:id="8187" w:name="_Toc843"/>
      <w:bookmarkStart w:id="8188" w:name="_Toc26928"/>
      <w:bookmarkStart w:id="8189" w:name="_Toc18853"/>
      <w:bookmarkStart w:id="8190" w:name="_Toc2775"/>
      <w:bookmarkStart w:id="8191" w:name="_Toc23231"/>
      <w:bookmarkStart w:id="8192" w:name="_Toc26320"/>
      <w:bookmarkStart w:id="8193" w:name="_Toc22502"/>
      <w:bookmarkStart w:id="8194" w:name="_Toc29657"/>
      <w:bookmarkStart w:id="8195" w:name="_Toc17727"/>
      <w:r>
        <w:rPr>
          <w:rFonts w:ascii="Times New Roman" w:hAnsi="Times New Roman" w:hint="eastAsia"/>
        </w:rPr>
        <w:t>【案例</w:t>
      </w:r>
      <w:r>
        <w:rPr>
          <w:rFonts w:ascii="Times New Roman" w:hAnsi="Times New Roman"/>
        </w:rPr>
        <w:t>7-1-1</w:t>
      </w:r>
      <w:r>
        <w:rPr>
          <w:rFonts w:ascii="Times New Roman" w:hAnsi="Times New Roman" w:hint="eastAsia"/>
        </w:rPr>
        <w:t>】</w:t>
      </w:r>
    </w:p>
    <w:p w:rsidR="00800760" w:rsidRDefault="00235733">
      <w:pPr>
        <w:topLinePunct/>
        <w:spacing w:line="360" w:lineRule="auto"/>
        <w:rPr>
          <w:rFonts w:eastAsia="楷体_GB2312"/>
          <w:szCs w:val="21"/>
        </w:rPr>
      </w:pPr>
      <w:r>
        <w:rPr>
          <w:rFonts w:eastAsia="楷体_GB2312" w:cs="MingLiU_HKSCS" w:hint="eastAsia"/>
          <w:lang w:val="zh-CN"/>
        </w:rPr>
        <w:t>A</w:t>
      </w:r>
      <w:r>
        <w:rPr>
          <w:rFonts w:eastAsia="楷体_GB2312" w:cs="MingLiU_HKSCS" w:hint="eastAsia"/>
          <w:lang w:val="zh-CN"/>
        </w:rPr>
        <w:t>制药公司的一项名称为“化合物及其用于抗心血管的应用”发明专利经国家知识产权局复审和无效审理部审查，因其中保护化合物的产品权利要求不具备创造性而被部分宣告无效，针对被宣告无效的产品权利要求内容，</w:t>
      </w:r>
      <w:r>
        <w:rPr>
          <w:rFonts w:eastAsia="楷体_GB2312" w:cs="MingLiU_HKSCS" w:hint="eastAsia"/>
          <w:lang w:val="zh-CN"/>
        </w:rPr>
        <w:t>A</w:t>
      </w:r>
      <w:r>
        <w:rPr>
          <w:rFonts w:eastAsia="楷体_GB2312" w:cs="MingLiU_HKSCS" w:hint="eastAsia"/>
          <w:lang w:val="zh-CN"/>
        </w:rPr>
        <w:t>公司不能对其进行开放许可，但是对于其他权利要求或技术方案仍可提出开放许可。</w:t>
      </w:r>
    </w:p>
    <w:p w:rsidR="00800760" w:rsidRDefault="00235733">
      <w:pPr>
        <w:spacing w:before="120" w:after="120"/>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topLinePunct/>
        <w:spacing w:line="360" w:lineRule="auto"/>
        <w:rPr>
          <w:rFonts w:eastAsia="楷体_GB2312"/>
        </w:rPr>
      </w:pPr>
      <w:r>
        <w:rPr>
          <w:rFonts w:eastAsia="楷体_GB2312" w:cs="MingLiU_HKSCS" w:hint="eastAsia"/>
          <w:lang w:val="zh-CN"/>
        </w:rPr>
        <w:t>专利开放许可声明针对的发明专利应当是权利处于有效状态的。</w:t>
      </w:r>
      <w:r>
        <w:rPr>
          <w:rFonts w:eastAsia="楷体_GB2312" w:cs="MingLiU_HKSCS" w:hint="eastAsia"/>
          <w:lang w:val="zh-CN"/>
        </w:rPr>
        <w:t>A</w:t>
      </w:r>
      <w:r>
        <w:rPr>
          <w:rFonts w:eastAsia="楷体_GB2312" w:cs="MingLiU_HKSCS" w:hint="eastAsia"/>
          <w:lang w:val="zh-CN"/>
        </w:rPr>
        <w:t>公司的发明专利中，由于部分权利要求或技术方案已被国家知识产权局复审和无效审理部宣告无效因而这部分权利要求或技术方案的专利权是无效的，专利权人不能对其再进行开放许可；而未被无效的权利要求或技术方案，其专利权是有效的，符合进行开放许可的条件。</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7-1-2</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甲就持有的一项实用新型专利提出开放许可声明，而其专利权评价报告认为该实用新型的全部权利要求均不具备创造性，该实用新型专利不能进行开放许可。</w:t>
      </w:r>
    </w:p>
    <w:p w:rsidR="00800760" w:rsidRDefault="00235733">
      <w:pPr>
        <w:spacing w:before="120" w:after="120"/>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实用新型与外观设计专利，由于在授权前没有经过实质审查，因此，在提供专利权评价报告结论认为实用新型或者外观设计专利符合授予专利权条件的前提下，才能对其进行专利开放许可。甲持有的实用新型专利，由于其专利权评价报告中认为该实用新型专利的全部权利要求不具备创造性，因而不具备被授予专利权的条件，不能被开放许可。</w:t>
      </w:r>
    </w:p>
    <w:p w:rsidR="00800760" w:rsidRDefault="00235733">
      <w:pPr>
        <w:pStyle w:val="af6"/>
        <w:spacing w:before="120" w:after="120"/>
        <w:ind w:firstLineChars="0" w:firstLine="420"/>
        <w:rPr>
          <w:rFonts w:ascii="Times New Roman" w:hAnsi="Times New Roman"/>
        </w:rPr>
      </w:pPr>
      <w:bookmarkStart w:id="8196" w:name="_Toc21542"/>
      <w:bookmarkStart w:id="8197" w:name="_Toc5926"/>
      <w:bookmarkStart w:id="8198" w:name="_Toc15273"/>
      <w:bookmarkStart w:id="8199" w:name="_Toc32235"/>
      <w:bookmarkStart w:id="8200" w:name="_Toc3753"/>
      <w:bookmarkStart w:id="8201" w:name="_Toc13096"/>
      <w:bookmarkStart w:id="8202" w:name="_Toc26552"/>
      <w:bookmarkStart w:id="8203" w:name="_Toc12279"/>
      <w:bookmarkStart w:id="8204" w:name="_Toc4162"/>
      <w:bookmarkStart w:id="8205" w:name="_Toc202884977"/>
      <w:bookmarkStart w:id="8206" w:name="_Toc12227"/>
      <w:bookmarkStart w:id="8207" w:name="_Toc4919"/>
      <w:bookmarkStart w:id="8208" w:name="_Toc20601"/>
      <w:bookmarkStart w:id="8209" w:name="_Toc31144"/>
      <w:bookmarkStart w:id="8210" w:name="_Toc27035"/>
      <w:bookmarkStart w:id="8211" w:name="_Toc14217"/>
      <w:bookmarkStart w:id="8212" w:name="_Toc261"/>
      <w:bookmarkStart w:id="8213" w:name="_Toc31186"/>
      <w:bookmarkStart w:id="8214" w:name="_Toc26751"/>
      <w:bookmarkStart w:id="8215" w:name="_Toc177"/>
      <w:bookmarkStart w:id="8216" w:name="_Toc26882"/>
      <w:bookmarkStart w:id="8217" w:name="_Toc27118"/>
      <w:bookmarkStart w:id="8218" w:name="_Toc464"/>
      <w:bookmarkStart w:id="8219" w:name="_Toc3483"/>
      <w:bookmarkStart w:id="8220" w:name="_Toc11725"/>
      <w:bookmarkStart w:id="8221" w:name="_Toc12858"/>
      <w:bookmarkStart w:id="8222" w:name="_Toc19862"/>
      <w:bookmarkStart w:id="8223" w:name="_Toc6155"/>
      <w:bookmarkStart w:id="8224" w:name="_Toc74"/>
      <w:bookmarkStart w:id="8225" w:name="_Toc1908"/>
      <w:bookmarkStart w:id="8226" w:name="_Toc22211"/>
      <w:bookmarkStart w:id="8227" w:name="_Toc31373"/>
      <w:bookmarkStart w:id="8228" w:name="_Toc13192"/>
      <w:bookmarkStart w:id="8229" w:name="_Toc29769"/>
      <w:bookmarkStart w:id="8230" w:name="_Toc18310"/>
      <w:bookmarkStart w:id="8231" w:name="_Toc28651"/>
      <w:bookmarkStart w:id="8232" w:name="_Toc29777"/>
      <w:bookmarkStart w:id="8233" w:name="_Toc2683"/>
      <w:bookmarkStart w:id="8234" w:name="_Toc202887885"/>
      <w:r>
        <w:rPr>
          <w:rFonts w:ascii="Times New Roman" w:hAnsi="Times New Roman" w:hint="eastAsia"/>
        </w:rPr>
        <w:t>【案例</w:t>
      </w:r>
      <w:r>
        <w:rPr>
          <w:rFonts w:ascii="Times New Roman" w:hAnsi="Times New Roman"/>
        </w:rPr>
        <w:t>7-1-3</w:t>
      </w:r>
      <w:r>
        <w:rPr>
          <w:rFonts w:ascii="Times New Roman" w:hAnsi="Times New Roman" w:hint="eastAsia"/>
        </w:rPr>
        <w:t>】</w:t>
      </w:r>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家居公司就其“一种智能门锁”的实用新型专利提出开放许可声明后，又私下与</w:t>
      </w:r>
      <w:r>
        <w:rPr>
          <w:rFonts w:ascii="Times New Roman" w:eastAsia="楷体_GB2312" w:hAnsi="Times New Roman" w:hint="eastAsia"/>
          <w:sz w:val="21"/>
          <w:szCs w:val="21"/>
        </w:rPr>
        <w:t>B</w:t>
      </w:r>
      <w:r>
        <w:rPr>
          <w:rFonts w:ascii="Times New Roman" w:eastAsia="楷体_GB2312" w:hAnsi="Times New Roman" w:hint="eastAsia"/>
          <w:sz w:val="21"/>
          <w:szCs w:val="21"/>
        </w:rPr>
        <w:t>公司就该实用新型专利签订了排他专利许可合同。</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公司不能就该实用新型专利再进行开放许可，该专利开放许可声明应当被撤回。</w:t>
      </w:r>
    </w:p>
    <w:p w:rsidR="00800760" w:rsidRDefault="00235733">
      <w:pPr>
        <w:pStyle w:val="af6"/>
        <w:spacing w:before="120"/>
        <w:ind w:firstLineChars="0" w:firstLine="420"/>
        <w:rPr>
          <w:rFonts w:ascii="Times New Roman" w:hAnsi="Times New Roman"/>
        </w:rPr>
      </w:pPr>
      <w:bookmarkStart w:id="8235" w:name="_Toc21195"/>
      <w:bookmarkStart w:id="8236" w:name="_Toc11498"/>
      <w:bookmarkStart w:id="8237" w:name="_Toc19941"/>
      <w:bookmarkStart w:id="8238" w:name="_Toc17356"/>
      <w:bookmarkStart w:id="8239" w:name="_Toc11492"/>
      <w:bookmarkStart w:id="8240" w:name="_Toc8899"/>
      <w:bookmarkStart w:id="8241" w:name="_Toc6167"/>
      <w:bookmarkStart w:id="8242" w:name="_Toc11691"/>
      <w:bookmarkStart w:id="8243" w:name="_Toc10766"/>
      <w:bookmarkStart w:id="8244" w:name="_Toc19278"/>
      <w:bookmarkStart w:id="8245" w:name="_Toc10936"/>
      <w:bookmarkStart w:id="8246" w:name="_Toc1871"/>
      <w:bookmarkStart w:id="8247" w:name="_Toc4397"/>
      <w:bookmarkStart w:id="8248" w:name="_Toc5031"/>
      <w:bookmarkStart w:id="8249" w:name="_Toc6937"/>
      <w:bookmarkStart w:id="8250" w:name="_Toc27987"/>
      <w:bookmarkStart w:id="8251" w:name="_Toc10598"/>
      <w:bookmarkStart w:id="8252" w:name="_Toc1283"/>
      <w:bookmarkStart w:id="8253" w:name="_Toc9530"/>
      <w:bookmarkStart w:id="8254" w:name="_Toc10074"/>
      <w:bookmarkStart w:id="8255" w:name="_Toc23514"/>
      <w:bookmarkStart w:id="8256" w:name="_Toc23330"/>
      <w:bookmarkStart w:id="8257" w:name="_Toc15044"/>
      <w:bookmarkStart w:id="8258" w:name="_Toc8218"/>
      <w:bookmarkStart w:id="8259" w:name="_Toc20481"/>
      <w:bookmarkStart w:id="8260" w:name="_Toc13157"/>
      <w:bookmarkStart w:id="8261" w:name="_Toc21386"/>
      <w:bookmarkStart w:id="8262" w:name="_Toc7049"/>
      <w:bookmarkStart w:id="8263" w:name="_Toc20993"/>
      <w:bookmarkStart w:id="8264" w:name="_Toc3854"/>
      <w:bookmarkStart w:id="8265" w:name="_Toc8471"/>
      <w:bookmarkStart w:id="8266" w:name="_Toc32263"/>
      <w:bookmarkStart w:id="8267" w:name="_Toc2926"/>
      <w:bookmarkStart w:id="8268" w:name="_Toc19367"/>
      <w:bookmarkStart w:id="8269" w:name="_Toc13560"/>
      <w:bookmarkStart w:id="8270" w:name="_Toc19017"/>
      <w:bookmarkStart w:id="8271" w:name="_Toc202887886"/>
      <w:bookmarkStart w:id="8272" w:name="_Toc4870"/>
      <w:bookmarkStart w:id="8273" w:name="_Toc202884978"/>
      <w:r>
        <w:rPr>
          <w:rFonts w:ascii="Times New Roman" w:hAnsi="Times New Roman" w:hint="eastAsia"/>
        </w:rPr>
        <w:t>【案例</w:t>
      </w:r>
      <w:r>
        <w:rPr>
          <w:rFonts w:ascii="Times New Roman" w:hAnsi="Times New Roman"/>
        </w:rPr>
        <w:t>7-1-4</w:t>
      </w:r>
      <w:r>
        <w:rPr>
          <w:rFonts w:ascii="Times New Roman" w:hAnsi="Times New Roman" w:hint="eastAsia"/>
        </w:rPr>
        <w:t>】</w:t>
      </w:r>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公司将其“一种稻禾联合收割机”的发明专利质押给</w:t>
      </w:r>
      <w:r>
        <w:rPr>
          <w:rFonts w:ascii="Times New Roman" w:eastAsia="楷体_GB2312" w:hAnsi="Times New Roman" w:hint="eastAsia"/>
          <w:sz w:val="21"/>
          <w:szCs w:val="21"/>
        </w:rPr>
        <w:t>B</w:t>
      </w:r>
      <w:r>
        <w:rPr>
          <w:rFonts w:ascii="Times New Roman" w:eastAsia="楷体_GB2312" w:hAnsi="Times New Roman" w:hint="eastAsia"/>
          <w:sz w:val="21"/>
          <w:szCs w:val="21"/>
        </w:rPr>
        <w:t>公司，由于</w:t>
      </w:r>
      <w:r>
        <w:rPr>
          <w:rFonts w:ascii="Times New Roman" w:eastAsia="楷体_GB2312" w:hAnsi="Times New Roman" w:hint="eastAsia"/>
          <w:sz w:val="21"/>
          <w:szCs w:val="21"/>
        </w:rPr>
        <w:t>A</w:t>
      </w:r>
      <w:r>
        <w:rPr>
          <w:rFonts w:ascii="Times New Roman" w:eastAsia="楷体_GB2312" w:hAnsi="Times New Roman" w:hint="eastAsia"/>
          <w:sz w:val="21"/>
          <w:szCs w:val="21"/>
        </w:rPr>
        <w:t>公司到期无法履行债权，</w:t>
      </w:r>
      <w:r>
        <w:rPr>
          <w:rFonts w:ascii="Times New Roman" w:eastAsia="楷体_GB2312" w:hAnsi="Times New Roman" w:hint="eastAsia"/>
          <w:sz w:val="21"/>
          <w:szCs w:val="21"/>
        </w:rPr>
        <w:t>B</w:t>
      </w:r>
      <w:r>
        <w:rPr>
          <w:rFonts w:ascii="Times New Roman" w:eastAsia="楷体_GB2312" w:hAnsi="Times New Roman" w:hint="eastAsia"/>
          <w:sz w:val="21"/>
          <w:szCs w:val="21"/>
        </w:rPr>
        <w:t>公司要求对该专利进行拍卖而不同意进行开放许可。</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专利权人对其被质押的专利进行开放许可，应当经质权人同意。由于质权人</w:t>
      </w:r>
      <w:r>
        <w:rPr>
          <w:rFonts w:ascii="Times New Roman" w:eastAsia="楷体_GB2312" w:hAnsi="Times New Roman"/>
          <w:sz w:val="21"/>
          <w:szCs w:val="21"/>
        </w:rPr>
        <w:t>B</w:t>
      </w:r>
      <w:r>
        <w:rPr>
          <w:rFonts w:ascii="Times New Roman" w:eastAsia="楷体_GB2312" w:hAnsi="Times New Roman" w:hint="eastAsia"/>
          <w:sz w:val="21"/>
          <w:szCs w:val="21"/>
        </w:rPr>
        <w:t>公司不同意进行开放许可，</w:t>
      </w:r>
      <w:r>
        <w:rPr>
          <w:rFonts w:ascii="Times New Roman" w:eastAsia="楷体_GB2312" w:hAnsi="Times New Roman" w:hint="eastAsia"/>
          <w:sz w:val="21"/>
          <w:szCs w:val="21"/>
        </w:rPr>
        <w:t>A</w:t>
      </w:r>
      <w:r>
        <w:rPr>
          <w:rFonts w:ascii="Times New Roman" w:eastAsia="楷体_GB2312" w:hAnsi="Times New Roman" w:hint="eastAsia"/>
          <w:sz w:val="21"/>
          <w:szCs w:val="21"/>
        </w:rPr>
        <w:t>公司不能对该发明专利进行开放许可。</w:t>
      </w:r>
    </w:p>
    <w:p w:rsidR="00800760" w:rsidRDefault="00235733">
      <w:pPr>
        <w:pStyle w:val="4"/>
        <w:spacing w:before="240"/>
        <w:ind w:firstLine="444"/>
        <w:rPr>
          <w:rFonts w:ascii="Times New Roman" w:hAnsi="Times New Roman"/>
        </w:rPr>
      </w:pPr>
      <w:r>
        <w:rPr>
          <w:rFonts w:ascii="Times New Roman" w:hAnsi="Times New Roman" w:hint="eastAsia"/>
        </w:rPr>
        <w:t>（二）专利开放许可声明的主体</w:t>
      </w:r>
    </w:p>
    <w:p w:rsidR="00800760" w:rsidRDefault="00235733">
      <w:pPr>
        <w:ind w:firstLineChars="0" w:firstLine="386"/>
        <w:jc w:val="both"/>
        <w:rPr>
          <w:rFonts w:cs="宋体"/>
          <w:spacing w:val="4"/>
        </w:rPr>
      </w:pPr>
      <w:r>
        <w:rPr>
          <w:rFonts w:cs="宋体" w:hint="eastAsia"/>
          <w:spacing w:val="4"/>
        </w:rPr>
        <w:t>提出专利开放许可声明的主体应当为开放许可声明针对的授权专利的专利权人，不包括其他利害关系人，如独占被许可人、排他许可人等。例如，甲将其一件实用新型专利权转让给</w:t>
      </w:r>
      <w:r>
        <w:rPr>
          <w:rFonts w:cs="宋体" w:hint="eastAsia"/>
          <w:spacing w:val="4"/>
        </w:rPr>
        <w:t>A</w:t>
      </w:r>
      <w:r>
        <w:rPr>
          <w:rFonts w:cs="宋体" w:hint="eastAsia"/>
          <w:spacing w:val="4"/>
        </w:rPr>
        <w:t>公司，</w:t>
      </w:r>
      <w:r>
        <w:rPr>
          <w:rFonts w:cs="宋体" w:hint="eastAsia"/>
          <w:spacing w:val="4"/>
        </w:rPr>
        <w:t>A</w:t>
      </w:r>
      <w:r>
        <w:rPr>
          <w:rFonts w:cs="宋体" w:hint="eastAsia"/>
          <w:spacing w:val="4"/>
        </w:rPr>
        <w:t>公司作为该实用新型专利的新专利权人，可以对该专利提出开放许可声明；</w:t>
      </w:r>
      <w:r>
        <w:rPr>
          <w:rFonts w:cs="宋体" w:hint="eastAsia"/>
          <w:spacing w:val="4"/>
        </w:rPr>
        <w:t>B</w:t>
      </w:r>
      <w:r>
        <w:rPr>
          <w:rFonts w:cs="宋体" w:hint="eastAsia"/>
          <w:spacing w:val="4"/>
        </w:rPr>
        <w:t>公司就其一件发明专利与乙签订了独占许可合同，专利权人</w:t>
      </w:r>
      <w:r>
        <w:rPr>
          <w:rFonts w:cs="宋体" w:hint="eastAsia"/>
          <w:spacing w:val="4"/>
        </w:rPr>
        <w:t>B</w:t>
      </w:r>
      <w:r>
        <w:rPr>
          <w:rFonts w:cs="宋体" w:hint="eastAsia"/>
          <w:spacing w:val="4"/>
        </w:rPr>
        <w:t>公司不能再对该专利进行开放许可，而乙由于仅作为该专利的独占被许可人，也无权就该发明专利提出开放许可声明。</w:t>
      </w:r>
    </w:p>
    <w:p w:rsidR="00800760" w:rsidRDefault="00235733">
      <w:pPr>
        <w:ind w:firstLineChars="0" w:firstLine="386"/>
        <w:jc w:val="both"/>
        <w:rPr>
          <w:rFonts w:cs="宋体"/>
          <w:spacing w:val="4"/>
        </w:rPr>
      </w:pPr>
      <w:r>
        <w:rPr>
          <w:rFonts w:cs="宋体" w:hint="eastAsia"/>
          <w:spacing w:val="4"/>
        </w:rPr>
        <w:t>当专利权被共有时，共有人就共有专利权提出开放许可声明的，应当提交全体共有人同意的证明材料。针对开放许可相关事宜，有约定的从其约定，并提交相关证明材料。</w:t>
      </w:r>
    </w:p>
    <w:p w:rsidR="00800760" w:rsidRDefault="00235733">
      <w:pPr>
        <w:pStyle w:val="af6"/>
        <w:spacing w:before="120"/>
        <w:ind w:firstLineChars="0" w:firstLine="420"/>
        <w:rPr>
          <w:rFonts w:ascii="Times New Roman" w:hAnsi="Times New Roman"/>
        </w:rPr>
      </w:pPr>
      <w:r>
        <w:rPr>
          <w:rFonts w:ascii="Times New Roman" w:hAnsi="Times New Roman" w:hint="eastAsia"/>
        </w:rPr>
        <w:t>【案例</w:t>
      </w:r>
      <w:r>
        <w:rPr>
          <w:rFonts w:ascii="Times New Roman" w:hAnsi="Times New Roman"/>
        </w:rPr>
        <w:t>7-1-5</w:t>
      </w:r>
      <w:r>
        <w:rPr>
          <w:rFonts w:ascii="Times New Roman" w:hAnsi="Times New Roman" w:hint="eastAsia"/>
        </w:rPr>
        <w:t>】</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甲和</w:t>
      </w:r>
      <w:r>
        <w:rPr>
          <w:rFonts w:ascii="Times New Roman" w:eastAsia="楷体_GB2312" w:hAnsi="Times New Roman" w:hint="eastAsia"/>
          <w:sz w:val="21"/>
          <w:szCs w:val="21"/>
        </w:rPr>
        <w:t>A</w:t>
      </w:r>
      <w:r>
        <w:rPr>
          <w:rFonts w:ascii="Times New Roman" w:eastAsia="楷体_GB2312" w:hAnsi="Times New Roman" w:hint="eastAsia"/>
          <w:sz w:val="21"/>
          <w:szCs w:val="21"/>
        </w:rPr>
        <w:t>公司共同拥有一件“家用防盗器”的发明专利，甲欲就该专利提出专利开放许可，而</w:t>
      </w:r>
      <w:r>
        <w:rPr>
          <w:rFonts w:ascii="Times New Roman" w:eastAsia="楷体_GB2312" w:hAnsi="Times New Roman" w:hint="eastAsia"/>
          <w:sz w:val="21"/>
          <w:szCs w:val="21"/>
        </w:rPr>
        <w:t>A</w:t>
      </w:r>
      <w:r>
        <w:rPr>
          <w:rFonts w:ascii="Times New Roman" w:eastAsia="楷体_GB2312" w:hAnsi="Times New Roman" w:hint="eastAsia"/>
          <w:sz w:val="21"/>
          <w:szCs w:val="21"/>
        </w:rPr>
        <w:t>公司不同意。甲以其和</w:t>
      </w:r>
      <w:r>
        <w:rPr>
          <w:rFonts w:ascii="Times New Roman" w:eastAsia="楷体_GB2312" w:hAnsi="Times New Roman" w:hint="eastAsia"/>
          <w:sz w:val="21"/>
          <w:szCs w:val="21"/>
        </w:rPr>
        <w:t>A</w:t>
      </w:r>
      <w:r>
        <w:rPr>
          <w:rFonts w:ascii="Times New Roman" w:eastAsia="楷体_GB2312" w:hAnsi="Times New Roman" w:hint="eastAsia"/>
          <w:sz w:val="21"/>
          <w:szCs w:val="21"/>
        </w:rPr>
        <w:t>公司没有对共有专利权的权利行使作出约定为理由，主张可以单独对该发明专利提出开放许可。</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分析与评论</w:t>
      </w:r>
    </w:p>
    <w:p w:rsidR="00800760" w:rsidRDefault="00235733">
      <w:pPr>
        <w:pStyle w:val="12"/>
        <w:topLinePunct/>
        <w:spacing w:line="360" w:lineRule="auto"/>
        <w:ind w:firstLineChars="0" w:firstLine="420"/>
        <w:rPr>
          <w:rFonts w:ascii="Times New Roman" w:eastAsia="楷体_GB2312" w:hAnsi="Times New Roman"/>
          <w:sz w:val="21"/>
          <w:szCs w:val="21"/>
        </w:rPr>
      </w:pPr>
      <w:r>
        <w:rPr>
          <w:rFonts w:ascii="Times New Roman" w:eastAsia="楷体_GB2312" w:hAnsi="Times New Roman" w:hint="eastAsia"/>
          <w:sz w:val="21"/>
          <w:szCs w:val="21"/>
        </w:rPr>
        <w:t>《专利法》第十四条规定：“专利申请权或者专利权的共有人对权利的行使有约定的，从其约定。没有约定的，共有人可以单独实施或者以普通许可方式许可他人实施该专利；许可他人实施该专利的，收取的使用费应当在共有人之间分配。除前款规定的情形外，行使共有的专利申请权或者专利权应当取得全体共有人的同意”。尽管专利开放许可属于一种普通许可，但是对专利进行开放许可在本质上应认定为对专利权人的权利的处分，例如，专利被开放许可后，专利权人不得拒绝任何单位或个人的实施许可请求。因此，专利的开放许可不同于一般的普通许可。当专利权被共有时，开放许可应当适用于《专利法》第十四条第二款，即开放许可声明由全体共有专利权人提出。</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本案中，甲和</w:t>
      </w:r>
      <w:r>
        <w:rPr>
          <w:rFonts w:ascii="Times New Roman" w:eastAsia="楷体_GB2312" w:hAnsi="Times New Roman" w:hint="eastAsia"/>
          <w:sz w:val="21"/>
          <w:szCs w:val="21"/>
        </w:rPr>
        <w:t>A</w:t>
      </w:r>
      <w:r>
        <w:rPr>
          <w:rFonts w:ascii="Times New Roman" w:eastAsia="楷体_GB2312" w:hAnsi="Times New Roman" w:hint="eastAsia"/>
          <w:sz w:val="21"/>
          <w:szCs w:val="21"/>
        </w:rPr>
        <w:t>公司为该发明专利的共有专利权人，对发明专利提出开放许可声明属于行使该专利权的一种，因此，尽管甲与</w:t>
      </w:r>
      <w:r>
        <w:rPr>
          <w:rFonts w:ascii="Times New Roman" w:eastAsia="楷体_GB2312" w:hAnsi="Times New Roman" w:hint="eastAsia"/>
          <w:sz w:val="21"/>
          <w:szCs w:val="21"/>
        </w:rPr>
        <w:t>A</w:t>
      </w:r>
      <w:r>
        <w:rPr>
          <w:rFonts w:ascii="Times New Roman" w:eastAsia="楷体_GB2312" w:hAnsi="Times New Roman" w:hint="eastAsia"/>
          <w:sz w:val="21"/>
          <w:szCs w:val="21"/>
        </w:rPr>
        <w:t>公司没有对权利的行使有所约定，对该发明专利提出开放许可声明仍需要得到全体共有人的同意，由于</w:t>
      </w:r>
      <w:r>
        <w:rPr>
          <w:rFonts w:ascii="Times New Roman" w:eastAsia="楷体_GB2312" w:hAnsi="Times New Roman" w:hint="eastAsia"/>
          <w:sz w:val="21"/>
          <w:szCs w:val="21"/>
        </w:rPr>
        <w:t>A</w:t>
      </w:r>
      <w:r>
        <w:rPr>
          <w:rFonts w:ascii="Times New Roman" w:eastAsia="楷体_GB2312" w:hAnsi="Times New Roman" w:hint="eastAsia"/>
          <w:sz w:val="21"/>
          <w:szCs w:val="21"/>
        </w:rPr>
        <w:t>公司不同意，因此甲不能单独对该发明专利提出开放许可。</w:t>
      </w:r>
    </w:p>
    <w:p w:rsidR="00800760" w:rsidRDefault="00235733">
      <w:pPr>
        <w:pStyle w:val="4"/>
        <w:spacing w:before="240"/>
        <w:ind w:firstLine="444"/>
        <w:rPr>
          <w:rFonts w:ascii="Times New Roman" w:hAnsi="Times New Roman"/>
        </w:rPr>
      </w:pPr>
      <w:r>
        <w:rPr>
          <w:rFonts w:ascii="Times New Roman" w:hAnsi="Times New Roman" w:hint="eastAsia"/>
        </w:rPr>
        <w:t>（三）专利开放许可声明的生效与撤回</w:t>
      </w:r>
    </w:p>
    <w:p w:rsidR="00800760" w:rsidRDefault="00235733">
      <w:pPr>
        <w:ind w:firstLineChars="0" w:firstLine="386"/>
        <w:jc w:val="both"/>
        <w:rPr>
          <w:rFonts w:cs="宋体"/>
          <w:spacing w:val="4"/>
        </w:rPr>
      </w:pPr>
      <w:r>
        <w:rPr>
          <w:rFonts w:cs="宋体" w:hint="eastAsia"/>
          <w:spacing w:val="4"/>
        </w:rPr>
        <w:t>专利开放许可声明经审查符合规定的，国务院专利行政部门准予公告。专利开放许可声明自公告之日起生效。</w:t>
      </w:r>
    </w:p>
    <w:p w:rsidR="00800760" w:rsidRDefault="00235733">
      <w:pPr>
        <w:ind w:firstLineChars="0" w:firstLine="386"/>
        <w:jc w:val="both"/>
        <w:rPr>
          <w:rFonts w:cs="宋体"/>
          <w:spacing w:val="4"/>
        </w:rPr>
      </w:pPr>
      <w:r>
        <w:rPr>
          <w:rFonts w:cs="宋体" w:hint="eastAsia"/>
          <w:spacing w:val="4"/>
        </w:rPr>
        <w:t>在专利开放许可声明发布后，专利权人可以依据《专利法实施细则》第八十六条规定的情形或者基于其他正当理由撤回开放许可声明，国务院专利行政部门基于特定事由也可以依职权将该声明撤回。专利权人撤回开放许可声明的，应当以书面方式提出，并由国务院专利行政部门予以公告。共有人就共有专利权撤回开放许可声明的，应当取得全体共有人的书面同意。开放许可声明的撤回，自公告之日起生效。开放许可声明被公告撤回的，不影响在先给予的开放许可的效力。</w:t>
      </w:r>
    </w:p>
    <w:p w:rsidR="00800760" w:rsidRDefault="00235733">
      <w:pPr>
        <w:pStyle w:val="af6"/>
        <w:spacing w:before="120" w:after="120"/>
        <w:ind w:firstLineChars="0" w:firstLine="420"/>
        <w:rPr>
          <w:rFonts w:ascii="Times New Roman" w:hAnsi="Times New Roman"/>
        </w:rPr>
      </w:pPr>
      <w:bookmarkStart w:id="8274" w:name="_Toc27545"/>
      <w:bookmarkStart w:id="8275" w:name="_Toc15014"/>
      <w:bookmarkStart w:id="8276" w:name="_Toc22091"/>
      <w:bookmarkStart w:id="8277" w:name="_Toc29823"/>
      <w:bookmarkStart w:id="8278" w:name="_Toc19904"/>
      <w:bookmarkStart w:id="8279" w:name="_Toc5454"/>
      <w:bookmarkStart w:id="8280" w:name="_Toc9723"/>
      <w:bookmarkStart w:id="8281" w:name="_Toc22059"/>
      <w:bookmarkStart w:id="8282" w:name="_Toc16113"/>
      <w:bookmarkStart w:id="8283" w:name="_Toc27516"/>
      <w:bookmarkStart w:id="8284" w:name="_Toc29960"/>
      <w:bookmarkStart w:id="8285" w:name="_Toc13306"/>
      <w:bookmarkStart w:id="8286" w:name="_Toc17810"/>
      <w:bookmarkStart w:id="8287" w:name="_Toc8898"/>
      <w:bookmarkStart w:id="8288" w:name="_Toc24134"/>
      <w:bookmarkStart w:id="8289" w:name="_Toc19495"/>
      <w:bookmarkStart w:id="8290" w:name="_Toc15159"/>
      <w:bookmarkStart w:id="8291" w:name="_Toc5941"/>
      <w:bookmarkStart w:id="8292" w:name="_Toc22256"/>
      <w:bookmarkStart w:id="8293" w:name="_Toc17630"/>
      <w:bookmarkStart w:id="8294" w:name="_Toc6713"/>
      <w:bookmarkStart w:id="8295" w:name="_Toc11664"/>
      <w:bookmarkStart w:id="8296" w:name="_Toc21357"/>
      <w:bookmarkStart w:id="8297" w:name="_Toc10305"/>
      <w:bookmarkStart w:id="8298" w:name="_Toc17759"/>
      <w:bookmarkStart w:id="8299" w:name="_Toc8829"/>
      <w:bookmarkStart w:id="8300" w:name="_Toc4981"/>
      <w:bookmarkStart w:id="8301" w:name="_Toc29056"/>
      <w:bookmarkStart w:id="8302" w:name="_Toc3713"/>
      <w:bookmarkStart w:id="8303" w:name="_Toc32739"/>
      <w:bookmarkStart w:id="8304" w:name="_Toc16138"/>
      <w:bookmarkStart w:id="8305" w:name="_Toc2325"/>
      <w:bookmarkStart w:id="8306" w:name="_Toc202884979"/>
      <w:bookmarkStart w:id="8307" w:name="_Toc17285"/>
      <w:bookmarkStart w:id="8308" w:name="_Toc8215"/>
      <w:bookmarkStart w:id="8309" w:name="_Toc11322"/>
      <w:bookmarkStart w:id="8310" w:name="_Toc8650"/>
      <w:bookmarkStart w:id="8311" w:name="_Toc6122"/>
      <w:r>
        <w:rPr>
          <w:rFonts w:ascii="Times New Roman" w:hAnsi="Times New Roman" w:hint="eastAsia"/>
        </w:rPr>
        <w:t>【案例</w:t>
      </w:r>
      <w:r>
        <w:rPr>
          <w:rFonts w:ascii="Times New Roman" w:hAnsi="Times New Roman"/>
        </w:rPr>
        <w:t>7-1-6</w:t>
      </w:r>
      <w:r>
        <w:rPr>
          <w:rFonts w:ascii="Times New Roman" w:hAnsi="Times New Roman" w:hint="eastAsia"/>
        </w:rPr>
        <w:t>】</w:t>
      </w:r>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公司于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6</w:t>
      </w:r>
      <w:r>
        <w:rPr>
          <w:rFonts w:ascii="Times New Roman" w:eastAsia="楷体_GB2312" w:hAnsi="Times New Roman" w:hint="eastAsia"/>
          <w:sz w:val="21"/>
          <w:szCs w:val="21"/>
        </w:rPr>
        <w:t>月</w:t>
      </w:r>
      <w:r>
        <w:rPr>
          <w:rFonts w:ascii="Times New Roman" w:eastAsia="楷体_GB2312" w:hAnsi="Times New Roman" w:hint="eastAsia"/>
          <w:sz w:val="21"/>
          <w:szCs w:val="21"/>
        </w:rPr>
        <w:t>19</w:t>
      </w:r>
      <w:r>
        <w:rPr>
          <w:rFonts w:ascii="Times New Roman" w:eastAsia="楷体_GB2312" w:hAnsi="Times New Roman" w:hint="eastAsia"/>
          <w:sz w:val="21"/>
          <w:szCs w:val="21"/>
        </w:rPr>
        <w:t>日就其一项关于“智能门锁”的实用新型专利向国家知识产权提交了开放许可声明，经国务院专利行政部门审查予以公告。</w:t>
      </w:r>
      <w:r>
        <w:rPr>
          <w:rFonts w:ascii="Times New Roman" w:eastAsia="楷体_GB2312" w:hAnsi="Times New Roman" w:hint="eastAsia"/>
          <w:sz w:val="21"/>
          <w:szCs w:val="21"/>
        </w:rPr>
        <w:t>2025</w:t>
      </w:r>
      <w:r>
        <w:rPr>
          <w:rFonts w:ascii="Times New Roman" w:eastAsia="楷体_GB2312" w:hAnsi="Times New Roman" w:hint="eastAsia"/>
          <w:sz w:val="21"/>
          <w:szCs w:val="21"/>
        </w:rPr>
        <w:t>年</w:t>
      </w:r>
      <w:r>
        <w:rPr>
          <w:rFonts w:ascii="Times New Roman" w:eastAsia="楷体_GB2312" w:hAnsi="Times New Roman" w:hint="eastAsia"/>
          <w:sz w:val="21"/>
          <w:szCs w:val="21"/>
        </w:rPr>
        <w:t>1</w:t>
      </w:r>
      <w:r>
        <w:rPr>
          <w:rFonts w:ascii="Times New Roman" w:eastAsia="楷体_GB2312" w:hAnsi="Times New Roman" w:hint="eastAsia"/>
          <w:sz w:val="21"/>
          <w:szCs w:val="21"/>
        </w:rPr>
        <w:t>月</w:t>
      </w:r>
      <w:r>
        <w:rPr>
          <w:rFonts w:ascii="Times New Roman" w:eastAsia="楷体_GB2312" w:hAnsi="Times New Roman" w:hint="eastAsia"/>
          <w:sz w:val="21"/>
          <w:szCs w:val="21"/>
        </w:rPr>
        <w:t>17</w:t>
      </w:r>
      <w:r>
        <w:rPr>
          <w:rFonts w:ascii="Times New Roman" w:eastAsia="楷体_GB2312" w:hAnsi="Times New Roman" w:hint="eastAsia"/>
          <w:sz w:val="21"/>
          <w:szCs w:val="21"/>
        </w:rPr>
        <w:t>日，</w:t>
      </w:r>
      <w:r>
        <w:rPr>
          <w:rFonts w:ascii="Times New Roman" w:eastAsia="楷体_GB2312" w:hAnsi="Times New Roman" w:hint="eastAsia"/>
          <w:sz w:val="21"/>
          <w:szCs w:val="21"/>
        </w:rPr>
        <w:t>B</w:t>
      </w:r>
      <w:r>
        <w:rPr>
          <w:rFonts w:ascii="Times New Roman" w:eastAsia="楷体_GB2312" w:hAnsi="Times New Roman" w:hint="eastAsia"/>
          <w:sz w:val="21"/>
          <w:szCs w:val="21"/>
        </w:rPr>
        <w:t>公司向</w:t>
      </w:r>
      <w:r>
        <w:rPr>
          <w:rFonts w:ascii="Times New Roman" w:eastAsia="楷体_GB2312" w:hAnsi="Times New Roman" w:hint="eastAsia"/>
          <w:sz w:val="21"/>
          <w:szCs w:val="21"/>
        </w:rPr>
        <w:t>A</w:t>
      </w:r>
      <w:r>
        <w:rPr>
          <w:rFonts w:ascii="Times New Roman" w:eastAsia="楷体_GB2312" w:hAnsi="Times New Roman" w:hint="eastAsia"/>
          <w:sz w:val="21"/>
          <w:szCs w:val="21"/>
        </w:rPr>
        <w:t>公司发出了实施该专利开放许可的通知，并支付了许可费，开始生产和销售基于该专利的智能门锁。</w:t>
      </w:r>
      <w:r>
        <w:rPr>
          <w:rFonts w:ascii="Times New Roman" w:eastAsia="楷体_GB2312" w:hAnsi="Times New Roman" w:hint="eastAsia"/>
          <w:sz w:val="21"/>
          <w:szCs w:val="21"/>
        </w:rPr>
        <w:t>2025</w:t>
      </w:r>
      <w:r>
        <w:rPr>
          <w:rFonts w:ascii="Times New Roman" w:eastAsia="楷体_GB2312" w:hAnsi="Times New Roman" w:hint="eastAsia"/>
          <w:sz w:val="21"/>
          <w:szCs w:val="21"/>
        </w:rPr>
        <w:t>年</w:t>
      </w:r>
      <w:r>
        <w:rPr>
          <w:rFonts w:ascii="Times New Roman" w:eastAsia="楷体_GB2312" w:hAnsi="Times New Roman" w:hint="eastAsia"/>
          <w:sz w:val="21"/>
          <w:szCs w:val="21"/>
        </w:rPr>
        <w:t>3</w:t>
      </w:r>
      <w:r>
        <w:rPr>
          <w:rFonts w:ascii="Times New Roman" w:eastAsia="楷体_GB2312" w:hAnsi="Times New Roman" w:hint="eastAsia"/>
          <w:sz w:val="21"/>
          <w:szCs w:val="21"/>
        </w:rPr>
        <w:t>月</w:t>
      </w:r>
      <w:r>
        <w:rPr>
          <w:rFonts w:ascii="Times New Roman" w:eastAsia="楷体_GB2312" w:hAnsi="Times New Roman" w:hint="eastAsia"/>
          <w:sz w:val="21"/>
          <w:szCs w:val="21"/>
        </w:rPr>
        <w:t>18</w:t>
      </w:r>
      <w:r>
        <w:rPr>
          <w:rFonts w:ascii="Times New Roman" w:eastAsia="楷体_GB2312" w:hAnsi="Times New Roman" w:hint="eastAsia"/>
          <w:sz w:val="21"/>
          <w:szCs w:val="21"/>
        </w:rPr>
        <w:t>日</w:t>
      </w:r>
      <w:r>
        <w:rPr>
          <w:rFonts w:ascii="Times New Roman" w:eastAsia="楷体_GB2312" w:hAnsi="Times New Roman" w:hint="eastAsia"/>
          <w:sz w:val="21"/>
          <w:szCs w:val="21"/>
        </w:rPr>
        <w:t>A</w:t>
      </w:r>
      <w:r>
        <w:rPr>
          <w:rFonts w:ascii="Times New Roman" w:eastAsia="楷体_GB2312" w:hAnsi="Times New Roman" w:hint="eastAsia"/>
          <w:sz w:val="21"/>
          <w:szCs w:val="21"/>
        </w:rPr>
        <w:t>公司由于经营问题，向国务院专利行政部门提交了撤回开放许可声明的申请，并获得了批准。</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分析与评论</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根据《专利法》第五十条第二款的规定，专利权人可以在开放许可声明生效后撤回声明。撤回声明需经国务院专利行政部门批准，且不能损害已签订合同方的合法权益。开放许可声明被撤回后，对未签订合同的第三方不再有效。但对于已经签订合同并支付许可费的被许可人，开放许可声明在合同期内继续有效。</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该案中，</w:t>
      </w:r>
      <w:r>
        <w:rPr>
          <w:rFonts w:ascii="Times New Roman" w:eastAsia="楷体_GB2312" w:hAnsi="Times New Roman" w:hint="eastAsia"/>
          <w:sz w:val="21"/>
          <w:szCs w:val="21"/>
        </w:rPr>
        <w:t>B</w:t>
      </w:r>
      <w:r>
        <w:rPr>
          <w:rFonts w:ascii="Times New Roman" w:eastAsia="楷体_GB2312" w:hAnsi="Times New Roman" w:hint="eastAsia"/>
          <w:sz w:val="21"/>
          <w:szCs w:val="21"/>
        </w:rPr>
        <w:t>公司于</w:t>
      </w:r>
      <w:r>
        <w:rPr>
          <w:rFonts w:ascii="Times New Roman" w:eastAsia="楷体_GB2312" w:hAnsi="Times New Roman" w:hint="eastAsia"/>
          <w:sz w:val="21"/>
          <w:szCs w:val="21"/>
        </w:rPr>
        <w:t>A</w:t>
      </w:r>
      <w:r>
        <w:rPr>
          <w:rFonts w:ascii="Times New Roman" w:eastAsia="楷体_GB2312" w:hAnsi="Times New Roman" w:hint="eastAsia"/>
          <w:sz w:val="21"/>
          <w:szCs w:val="21"/>
        </w:rPr>
        <w:t>公司撤回该专利开放许可声明之前，已支付许可费并开始实施专利，因此，其与</w:t>
      </w:r>
      <w:r>
        <w:rPr>
          <w:rFonts w:ascii="Times New Roman" w:eastAsia="楷体_GB2312" w:hAnsi="Times New Roman" w:hint="eastAsia"/>
          <w:sz w:val="21"/>
          <w:szCs w:val="21"/>
        </w:rPr>
        <w:t>A</w:t>
      </w:r>
      <w:r>
        <w:rPr>
          <w:rFonts w:ascii="Times New Roman" w:eastAsia="楷体_GB2312" w:hAnsi="Times New Roman" w:hint="eastAsia"/>
          <w:sz w:val="21"/>
          <w:szCs w:val="21"/>
        </w:rPr>
        <w:t>公司的专利开放许可合同生效，其权利受到合同保护。开放许可声明被公告撤回的，不影响在先给予的开放许可的效力。因此，</w:t>
      </w:r>
      <w:r>
        <w:rPr>
          <w:rFonts w:ascii="Times New Roman" w:eastAsia="楷体_GB2312" w:hAnsi="Times New Roman" w:hint="eastAsia"/>
          <w:sz w:val="21"/>
          <w:szCs w:val="21"/>
        </w:rPr>
        <w:t>A</w:t>
      </w:r>
      <w:r>
        <w:rPr>
          <w:rFonts w:ascii="Times New Roman" w:eastAsia="楷体_GB2312" w:hAnsi="Times New Roman" w:hint="eastAsia"/>
          <w:sz w:val="21"/>
          <w:szCs w:val="21"/>
        </w:rPr>
        <w:t>公司撤回声明不影响</w:t>
      </w:r>
      <w:r>
        <w:rPr>
          <w:rFonts w:ascii="Times New Roman" w:eastAsia="楷体_GB2312" w:hAnsi="Times New Roman" w:hint="eastAsia"/>
          <w:sz w:val="21"/>
          <w:szCs w:val="21"/>
        </w:rPr>
        <w:t>B</w:t>
      </w:r>
      <w:r>
        <w:rPr>
          <w:rFonts w:ascii="Times New Roman" w:eastAsia="楷体_GB2312" w:hAnsi="Times New Roman" w:hint="eastAsia"/>
          <w:sz w:val="21"/>
          <w:szCs w:val="21"/>
        </w:rPr>
        <w:t>在合同期限内的实施行为。</w:t>
      </w:r>
    </w:p>
    <w:p w:rsidR="00800760" w:rsidRDefault="00235733">
      <w:pPr>
        <w:pStyle w:val="3"/>
        <w:spacing w:before="240"/>
        <w:ind w:firstLine="444"/>
        <w:rPr>
          <w:rFonts w:ascii="Times New Roman" w:hAnsi="Times New Roman"/>
        </w:rPr>
      </w:pPr>
      <w:bookmarkStart w:id="8312" w:name="_Toc229114527"/>
      <w:bookmarkStart w:id="8313" w:name="_Toc229225623"/>
      <w:r>
        <w:rPr>
          <w:rFonts w:ascii="Times New Roman" w:hAnsi="Times New Roman" w:hint="eastAsia"/>
        </w:rPr>
        <w:t>二、专利开放许可的许可人</w:t>
      </w:r>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312"/>
      <w:bookmarkEnd w:id="8313"/>
    </w:p>
    <w:p w:rsidR="00800760" w:rsidRDefault="00235733">
      <w:pPr>
        <w:ind w:firstLineChars="0" w:firstLine="386"/>
        <w:jc w:val="both"/>
      </w:pPr>
      <w:r>
        <w:rPr>
          <w:rFonts w:cs="宋体" w:hint="eastAsia"/>
          <w:spacing w:val="4"/>
        </w:rPr>
        <w:t>专利权人自愿向国务院专利行政部门提出开放许可声明。专利权人可以是单位或个人。专利权的取得包括原始取得和继受取得。原始取得主要指通过创新活动取得的发明创造在申请专利后获得专利权。继受取得是指通过一定的法律行为或法律事实，例如，专利权转让、专利权赠予、专利权继承等从原专利权人那里受让专利权所有权的取得方式。</w:t>
      </w:r>
    </w:p>
    <w:p w:rsidR="00800760" w:rsidRDefault="00235733">
      <w:pPr>
        <w:pStyle w:val="4"/>
        <w:spacing w:before="240"/>
        <w:ind w:firstLine="444"/>
        <w:rPr>
          <w:rFonts w:ascii="Times New Roman" w:hAnsi="Times New Roman"/>
        </w:rPr>
      </w:pPr>
      <w:r>
        <w:rPr>
          <w:rFonts w:ascii="Times New Roman" w:hAnsi="Times New Roman" w:hint="eastAsia"/>
        </w:rPr>
        <w:t>（一）专利权人在专利开放许可中的权利与义务</w:t>
      </w:r>
    </w:p>
    <w:p w:rsidR="00800760" w:rsidRDefault="00235733">
      <w:pPr>
        <w:ind w:firstLineChars="0" w:firstLine="386"/>
        <w:jc w:val="both"/>
        <w:rPr>
          <w:rFonts w:cs="宋体"/>
          <w:spacing w:val="4"/>
        </w:rPr>
      </w:pPr>
      <w:r>
        <w:rPr>
          <w:rFonts w:cs="宋体" w:hint="eastAsia"/>
          <w:spacing w:val="4"/>
        </w:rPr>
        <w:t>在实施专利开放许可过程中，专利权人享有的权利主要包括：自愿以书面方式向国务院专利行政部门提出专利开放许可声明，自主决定并明确该声明中关于许可使用费支付方式、标准等内容；接受任何实施开放许可专利的单位或者个人支付的许可使用费；在满足一定条件下，以书面方式撤回专利开放许可声明。</w:t>
      </w:r>
    </w:p>
    <w:p w:rsidR="00800760" w:rsidRDefault="00235733">
      <w:pPr>
        <w:ind w:firstLine="436"/>
        <w:jc w:val="both"/>
      </w:pPr>
      <w:r>
        <w:rPr>
          <w:rFonts w:cs="宋体" w:hint="eastAsia"/>
          <w:spacing w:val="4"/>
        </w:rPr>
        <w:t>专利权人负有的义务主要包括两个方面：其一，负有与任何有意愿实施开放许可专利的单位或者个人订立专利许可协议并授予专利许可的义务。其二，负有保证被许可人能够顺利实施被开放许可的专利的义务。具体而言，专利权人应当：（</w:t>
      </w:r>
      <w:r>
        <w:rPr>
          <w:rFonts w:cs="宋体" w:hint="eastAsia"/>
          <w:spacing w:val="4"/>
        </w:rPr>
        <w:t>1</w:t>
      </w:r>
      <w:r>
        <w:rPr>
          <w:rFonts w:cs="宋体" w:hint="eastAsia"/>
          <w:spacing w:val="4"/>
        </w:rPr>
        <w:t>）保证被开放许可的专利权真实存在，并且是该项专利权的合法拥有者：专利权人须确保该项专利权不存在排他许可协议或者独占许可协议；就实用新型、外观设计专利提供其符合专利权授权条件的专利权评价报告；确保该项专利权未经质押或者已经解除质押，或者对其开放许可已取得质押权人的同意；共有专利权人在提交专利开放许可声明时应当征得其他共有人的同意；按期缴纳专利年费，维持专利权有效等。（</w:t>
      </w:r>
      <w:r>
        <w:rPr>
          <w:rFonts w:cs="宋体" w:hint="eastAsia"/>
          <w:spacing w:val="4"/>
        </w:rPr>
        <w:t>2</w:t>
      </w:r>
      <w:r>
        <w:rPr>
          <w:rFonts w:cs="宋体" w:hint="eastAsia"/>
          <w:spacing w:val="4"/>
        </w:rPr>
        <w:t>）应当保证该项技术能够实施并且实现专利许可合同的目的：专利权人应当按照约定向被许可人交付实施专利有关的技术资料，提供被许可人实施该专利的必要的技术指导；保证专利的实施不侵害他人的合法权益，例如，不会侵犯他人的知识产权等。</w:t>
      </w:r>
    </w:p>
    <w:p w:rsidR="00800760" w:rsidRDefault="00235733">
      <w:pPr>
        <w:pStyle w:val="af6"/>
        <w:spacing w:before="120" w:after="120"/>
        <w:ind w:firstLineChars="0" w:firstLine="420"/>
        <w:rPr>
          <w:rFonts w:ascii="Times New Roman" w:hAnsi="Times New Roman"/>
        </w:rPr>
      </w:pPr>
      <w:bookmarkStart w:id="8314" w:name="_Toc13646"/>
      <w:bookmarkStart w:id="8315" w:name="_Toc28247"/>
      <w:bookmarkStart w:id="8316" w:name="_Toc30796"/>
      <w:bookmarkStart w:id="8317" w:name="_Toc28029"/>
      <w:bookmarkStart w:id="8318" w:name="_Toc18013"/>
      <w:bookmarkStart w:id="8319" w:name="_Toc17417"/>
      <w:bookmarkStart w:id="8320" w:name="_Toc6927"/>
      <w:bookmarkStart w:id="8321" w:name="_Toc29413"/>
      <w:bookmarkStart w:id="8322" w:name="_Toc3220"/>
      <w:bookmarkStart w:id="8323" w:name="_Toc21395"/>
      <w:bookmarkStart w:id="8324" w:name="_Toc23242"/>
      <w:bookmarkStart w:id="8325" w:name="_Toc21968"/>
      <w:bookmarkStart w:id="8326" w:name="_Toc1279"/>
      <w:bookmarkStart w:id="8327" w:name="_Toc11769"/>
      <w:bookmarkStart w:id="8328" w:name="_Toc24747"/>
      <w:bookmarkStart w:id="8329" w:name="_Toc27859"/>
      <w:bookmarkStart w:id="8330" w:name="_Toc7686"/>
      <w:bookmarkStart w:id="8331" w:name="_Toc23087"/>
      <w:bookmarkStart w:id="8332" w:name="_Toc26249"/>
      <w:bookmarkStart w:id="8333" w:name="_Toc27236"/>
      <w:bookmarkStart w:id="8334" w:name="_Toc9324"/>
      <w:bookmarkStart w:id="8335" w:name="_Toc13649"/>
      <w:bookmarkStart w:id="8336" w:name="_Toc22850"/>
      <w:bookmarkStart w:id="8337" w:name="_Toc32199"/>
      <w:bookmarkStart w:id="8338" w:name="_Toc27025"/>
      <w:bookmarkStart w:id="8339" w:name="_Toc26120"/>
      <w:bookmarkStart w:id="8340" w:name="_Toc5840"/>
      <w:bookmarkStart w:id="8341" w:name="_Toc21021"/>
      <w:bookmarkStart w:id="8342" w:name="_Toc5892"/>
      <w:bookmarkStart w:id="8343" w:name="_Toc28683"/>
      <w:bookmarkStart w:id="8344" w:name="_Toc30170"/>
      <w:bookmarkStart w:id="8345" w:name="_Toc18320"/>
      <w:bookmarkStart w:id="8346" w:name="_Toc16281"/>
      <w:bookmarkStart w:id="8347" w:name="_Toc30293"/>
      <w:bookmarkStart w:id="8348" w:name="_Toc11727"/>
      <w:bookmarkStart w:id="8349" w:name="_Toc27029"/>
      <w:bookmarkStart w:id="8350" w:name="_Toc13638"/>
      <w:bookmarkStart w:id="8351" w:name="_Toc31843"/>
      <w:bookmarkStart w:id="8352" w:name="_Toc13033"/>
      <w:bookmarkStart w:id="8353" w:name="_Toc25059"/>
      <w:bookmarkStart w:id="8354" w:name="_Toc10158"/>
      <w:bookmarkStart w:id="8355" w:name="_Toc31235"/>
      <w:r>
        <w:rPr>
          <w:rFonts w:ascii="Times New Roman" w:hAnsi="Times New Roman" w:hint="eastAsia"/>
        </w:rPr>
        <w:t>【案例</w:t>
      </w:r>
      <w:r>
        <w:rPr>
          <w:rFonts w:ascii="Times New Roman" w:hAnsi="Times New Roman"/>
        </w:rPr>
        <w:t>7-1-7</w:t>
      </w:r>
      <w:r>
        <w:rPr>
          <w:rFonts w:ascii="Times New Roman" w:hAnsi="Times New Roman" w:hint="eastAsia"/>
        </w:rPr>
        <w:t>】【专利权人为被许可人提供必要的技术支持】</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公司就其持有的“一种耐高温复合材料的制备方法”发明专利发布开放许可声明，声明中记载的技术资料包括：提供专利说明书、基础工艺流程图。</w:t>
      </w:r>
      <w:r>
        <w:rPr>
          <w:rFonts w:ascii="Times New Roman" w:eastAsia="楷体_GB2312" w:hAnsi="Times New Roman" w:hint="eastAsia"/>
          <w:sz w:val="21"/>
          <w:szCs w:val="21"/>
        </w:rPr>
        <w:t>B</w:t>
      </w:r>
      <w:r>
        <w:rPr>
          <w:rFonts w:ascii="Times New Roman" w:eastAsia="楷体_GB2312" w:hAnsi="Times New Roman" w:hint="eastAsia"/>
          <w:sz w:val="21"/>
          <w:szCs w:val="21"/>
        </w:rPr>
        <w:t>制造公司接受许可，支付了专利许可费，并开始生产。但因缺乏关键信息导致产品不合格，认为</w:t>
      </w:r>
      <w:r>
        <w:rPr>
          <w:rFonts w:ascii="Times New Roman" w:eastAsia="楷体_GB2312" w:hAnsi="Times New Roman" w:hint="eastAsia"/>
          <w:sz w:val="21"/>
          <w:szCs w:val="21"/>
        </w:rPr>
        <w:t>A</w:t>
      </w:r>
      <w:r>
        <w:rPr>
          <w:rFonts w:ascii="Times New Roman" w:eastAsia="楷体_GB2312" w:hAnsi="Times New Roman" w:hint="eastAsia"/>
          <w:sz w:val="21"/>
          <w:szCs w:val="21"/>
        </w:rPr>
        <w:t>公司未交付“原料配比参数”和“加热设备的温度控制程序”，导致无法生产合格产品，要求赔偿损失。</w:t>
      </w:r>
      <w:r>
        <w:rPr>
          <w:rFonts w:ascii="Times New Roman" w:eastAsia="楷体_GB2312" w:hAnsi="Times New Roman" w:hint="eastAsia"/>
          <w:sz w:val="21"/>
          <w:szCs w:val="21"/>
        </w:rPr>
        <w:t>A</w:t>
      </w:r>
      <w:r>
        <w:rPr>
          <w:rFonts w:ascii="Times New Roman" w:eastAsia="楷体_GB2312" w:hAnsi="Times New Roman" w:hint="eastAsia"/>
          <w:sz w:val="21"/>
          <w:szCs w:val="21"/>
        </w:rPr>
        <w:t>公司主张原料配比参数，包括最佳参数比等，可以基于专利说明书已公开内容应自行推导，设备温度控制程序属于商业秘密，无需提供。</w:t>
      </w:r>
    </w:p>
    <w:p w:rsidR="00800760" w:rsidRDefault="00235733">
      <w:pPr>
        <w:pStyle w:val="af7"/>
        <w:spacing w:line="360" w:lineRule="auto"/>
        <w:rPr>
          <w:rFonts w:eastAsia="华文隶书" w:cs="MingLiU_HKSCS"/>
          <w:color w:val="000000"/>
          <w:szCs w:val="21"/>
          <w:lang w:val="zh-CN"/>
        </w:rPr>
      </w:pPr>
      <w:r>
        <w:rPr>
          <w:rFonts w:eastAsia="华文隶书" w:cs="MingLiU_HKSCS" w:hint="eastAsia"/>
          <w:color w:val="000000"/>
          <w:szCs w:val="21"/>
          <w:lang w:val="zh-CN"/>
        </w:rPr>
        <w:t>分析与评论</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开放许可合同生效后，专利权人负有保障被许可人能够实施该专利技术的义务。《民法典》第八百六十六条规定，专利实施许可合同的许可人应当按照约定许可被许可人实施专利，交付实施专利有关的技术资料，提供必要的技术指导。对于“有关”和“必要”的范围的理解，需要基于专利说明书、行业惯例、实施专利所需的具体步骤等考虑因素。</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该案中，</w:t>
      </w:r>
      <w:r>
        <w:rPr>
          <w:rFonts w:ascii="Times New Roman" w:eastAsia="楷体_GB2312" w:hAnsi="Times New Roman" w:hint="eastAsia"/>
          <w:sz w:val="21"/>
          <w:szCs w:val="21"/>
        </w:rPr>
        <w:t>B</w:t>
      </w:r>
      <w:r>
        <w:rPr>
          <w:rFonts w:ascii="Times New Roman" w:eastAsia="楷体_GB2312" w:hAnsi="Times New Roman" w:hint="eastAsia"/>
          <w:sz w:val="21"/>
          <w:szCs w:val="21"/>
        </w:rPr>
        <w:t>制造公司支付了专利许可费并开始生产，其与</w:t>
      </w:r>
      <w:r>
        <w:rPr>
          <w:rFonts w:ascii="Times New Roman" w:eastAsia="楷体_GB2312" w:hAnsi="Times New Roman" w:hint="eastAsia"/>
          <w:sz w:val="21"/>
          <w:szCs w:val="21"/>
        </w:rPr>
        <w:t>A</w:t>
      </w:r>
      <w:r>
        <w:rPr>
          <w:rFonts w:ascii="Times New Roman" w:eastAsia="楷体_GB2312" w:hAnsi="Times New Roman" w:hint="eastAsia"/>
          <w:sz w:val="21"/>
          <w:szCs w:val="21"/>
        </w:rPr>
        <w:t>公司的专利开放许可合同生效，作为专利权人的</w:t>
      </w:r>
      <w:r>
        <w:rPr>
          <w:rFonts w:ascii="Times New Roman" w:eastAsia="楷体_GB2312" w:hAnsi="Times New Roman" w:hint="eastAsia"/>
          <w:sz w:val="21"/>
          <w:szCs w:val="21"/>
        </w:rPr>
        <w:t>A</w:t>
      </w:r>
      <w:r>
        <w:rPr>
          <w:rFonts w:ascii="Times New Roman" w:eastAsia="楷体_GB2312" w:hAnsi="Times New Roman" w:hint="eastAsia"/>
          <w:sz w:val="21"/>
          <w:szCs w:val="21"/>
        </w:rPr>
        <w:t>公司负有保障被许可人顺利实施该专利的义务，其中包括交付实施专利有关的技术资料。对于一种耐高温复合材料的制备方法，反应原料的配比参数，尤其是最佳配比参数，直接影响所述制备方法能够顺利实施，并生产符合质量要求的产品，属于实施该专利的核心实施条件，</w:t>
      </w:r>
      <w:r>
        <w:rPr>
          <w:rFonts w:ascii="Times New Roman" w:eastAsia="楷体_GB2312" w:hAnsi="Times New Roman" w:hint="eastAsia"/>
          <w:sz w:val="21"/>
          <w:szCs w:val="21"/>
        </w:rPr>
        <w:t>A</w:t>
      </w:r>
      <w:r>
        <w:rPr>
          <w:rFonts w:ascii="Times New Roman" w:eastAsia="楷体_GB2312" w:hAnsi="Times New Roman" w:hint="eastAsia"/>
          <w:sz w:val="21"/>
          <w:szCs w:val="21"/>
        </w:rPr>
        <w:t>公司应当提供。而提供所述制备方法的反应温度包括多种加热手段，专利说明书中所记载的加热设备仅仅是一种加热手段，该加热设备的温度控制程序并不是实施该专利技术的相关技术资料，属于</w:t>
      </w:r>
      <w:r>
        <w:rPr>
          <w:rFonts w:ascii="Times New Roman" w:eastAsia="楷体_GB2312" w:hAnsi="Times New Roman" w:hint="eastAsia"/>
          <w:sz w:val="21"/>
          <w:szCs w:val="21"/>
        </w:rPr>
        <w:t>A</w:t>
      </w:r>
      <w:r>
        <w:rPr>
          <w:rFonts w:ascii="Times New Roman" w:eastAsia="楷体_GB2312" w:hAnsi="Times New Roman" w:hint="eastAsia"/>
          <w:sz w:val="21"/>
          <w:szCs w:val="21"/>
        </w:rPr>
        <w:t>公司的商业秘密，无需对</w:t>
      </w:r>
      <w:r>
        <w:rPr>
          <w:rFonts w:ascii="Times New Roman" w:eastAsia="楷体_GB2312" w:hAnsi="Times New Roman" w:hint="eastAsia"/>
          <w:sz w:val="21"/>
          <w:szCs w:val="21"/>
        </w:rPr>
        <w:t>B</w:t>
      </w:r>
      <w:r>
        <w:rPr>
          <w:rFonts w:ascii="Times New Roman" w:eastAsia="楷体_GB2312" w:hAnsi="Times New Roman" w:hint="eastAsia"/>
          <w:sz w:val="21"/>
          <w:szCs w:val="21"/>
        </w:rPr>
        <w:t>公司提供。</w:t>
      </w:r>
    </w:p>
    <w:p w:rsidR="00800760" w:rsidRDefault="00235733">
      <w:pPr>
        <w:pStyle w:val="3"/>
        <w:spacing w:before="240"/>
        <w:ind w:firstLine="444"/>
        <w:rPr>
          <w:rFonts w:ascii="Times New Roman" w:hAnsi="Times New Roman"/>
          <w:color w:val="000000"/>
        </w:rPr>
      </w:pPr>
      <w:bookmarkStart w:id="8356" w:name="_Toc229114528"/>
      <w:bookmarkStart w:id="8357" w:name="_Toc229225624"/>
      <w:r>
        <w:rPr>
          <w:rFonts w:ascii="Times New Roman" w:hAnsi="Times New Roman" w:hint="eastAsia"/>
          <w:color w:val="000000"/>
        </w:rPr>
        <w:t>三、实施专利许可的被许可人</w:t>
      </w:r>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p>
    <w:p w:rsidR="00800760" w:rsidRDefault="00235733">
      <w:pPr>
        <w:ind w:firstLineChars="0" w:firstLine="386"/>
        <w:jc w:val="both"/>
        <w:rPr>
          <w:rFonts w:cs="宋体"/>
          <w:spacing w:val="4"/>
        </w:rPr>
      </w:pPr>
      <w:r>
        <w:rPr>
          <w:rFonts w:cs="宋体" w:hint="eastAsia"/>
          <w:spacing w:val="4"/>
        </w:rPr>
        <w:t>任何单位或者个人有意愿实施开放许可的专利的，应当将其意愿以书面形式通知专利权人，还必须依照公告的许可使用费支付方式、标准支付许可使用费后，获得专利实施许可，成为专利被许可人。</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（一）被许可人在专利开放许可中的权利与义务</w:t>
      </w:r>
    </w:p>
    <w:p w:rsidR="00800760" w:rsidRDefault="00235733">
      <w:pPr>
        <w:ind w:firstLineChars="0" w:firstLine="386"/>
        <w:jc w:val="both"/>
        <w:rPr>
          <w:rFonts w:cs="宋体"/>
          <w:spacing w:val="4"/>
        </w:rPr>
      </w:pPr>
      <w:r>
        <w:rPr>
          <w:rFonts w:cs="宋体" w:hint="eastAsia"/>
          <w:spacing w:val="4"/>
        </w:rPr>
        <w:t>在专利开放许可的法律关系中，被许可人享有的权利主要包括：对于订立专利开放许可合同的意思自治，合同生效后实施该专利，并从专利权人获得许可合同约定的有关的技术资料、必要的技术指导等协助。在专利权人以书面方式撤回专利开放许可声明后，不影响在先的开放许可效力。</w:t>
      </w:r>
    </w:p>
    <w:p w:rsidR="00800760" w:rsidRDefault="00235733">
      <w:pPr>
        <w:ind w:firstLineChars="0" w:firstLine="386"/>
        <w:jc w:val="both"/>
        <w:rPr>
          <w:rFonts w:cs="宋体"/>
          <w:spacing w:val="4"/>
        </w:rPr>
      </w:pPr>
      <w:r>
        <w:rPr>
          <w:rFonts w:cs="宋体" w:hint="eastAsia"/>
          <w:spacing w:val="4"/>
        </w:rPr>
        <w:t>被许可人在专利开放许可中所承担的义务主要包括两个方面：其一，按照合同约定实施专利及支付专利许可费。其二，不得许可约定以外的第三人实施该专利。</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（二）按照合同约定实施专利及支付许可费</w:t>
      </w:r>
    </w:p>
    <w:p w:rsidR="00800760" w:rsidRDefault="00235733">
      <w:pPr>
        <w:ind w:firstLineChars="0" w:firstLine="386"/>
        <w:jc w:val="both"/>
      </w:pPr>
      <w:r>
        <w:rPr>
          <w:rFonts w:cs="宋体" w:hint="eastAsia"/>
          <w:spacing w:val="4"/>
        </w:rPr>
        <w:t>被许可人应当在专利开放许可约定的许可期限内，按照专利开放许可约定的实施规模、范围、销售方式、产品质量等实施被许可的专利，并按照约定的支付方式和支付费用支付专利许可费。被许可人实施专利超出约定的范围的，应当停止违约行为，承担违约责任；被许可人未按照约定支付使用费的，应当补交使用费并按照约定支付违约金；不补交使用费或者支付违约金的，应当停止实施专利，交还技术资料，承担违约责任。</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（三）不许可第三人实施被许可专利</w:t>
      </w:r>
    </w:p>
    <w:p w:rsidR="00800760" w:rsidRDefault="00235733">
      <w:pPr>
        <w:ind w:firstLineChars="0" w:firstLine="386"/>
        <w:jc w:val="both"/>
        <w:rPr>
          <w:rFonts w:cs="宋体"/>
          <w:spacing w:val="4"/>
        </w:rPr>
      </w:pPr>
      <w:r>
        <w:rPr>
          <w:rFonts w:cs="宋体" w:hint="eastAsia"/>
          <w:spacing w:val="4"/>
        </w:rPr>
        <w:t>被许可人不得许可第三人实施该专利，包括不得擅自许可第三人实施该专利，或者擅自将被许可专利的技术资料、技术秘密交付给第三人使其获得实施该专利的技术。被许可人许可第三人实施该专利的，应当停止违约行为，承担违约责任。</w:t>
      </w:r>
      <w:hyperlink r:id="rId84" w:history="1"/>
    </w:p>
    <w:p w:rsidR="00800760" w:rsidRDefault="00235733">
      <w:pPr>
        <w:pStyle w:val="af6"/>
        <w:spacing w:before="120" w:after="120"/>
        <w:ind w:firstLineChars="0" w:firstLine="420"/>
        <w:rPr>
          <w:rFonts w:ascii="Times New Roman" w:hAnsi="Times New Roman"/>
        </w:rPr>
      </w:pPr>
      <w:bookmarkStart w:id="8358" w:name="_Toc28901"/>
      <w:bookmarkStart w:id="8359" w:name="_Toc25470"/>
      <w:bookmarkStart w:id="8360" w:name="_Toc8247"/>
      <w:bookmarkStart w:id="8361" w:name="_Toc13237"/>
      <w:bookmarkStart w:id="8362" w:name="_Toc29835"/>
      <w:bookmarkStart w:id="8363" w:name="_Toc27742"/>
      <w:bookmarkStart w:id="8364" w:name="_Toc4301"/>
      <w:bookmarkStart w:id="8365" w:name="_Toc19369"/>
      <w:bookmarkStart w:id="8366" w:name="_Toc29431"/>
      <w:bookmarkStart w:id="8367" w:name="_Toc13821"/>
      <w:bookmarkStart w:id="8368" w:name="_Toc12391"/>
      <w:bookmarkStart w:id="8369" w:name="_Toc202884982"/>
      <w:bookmarkStart w:id="8370" w:name="_Toc11735"/>
      <w:bookmarkStart w:id="8371" w:name="_Toc8798"/>
      <w:bookmarkStart w:id="8372" w:name="_Toc26021"/>
      <w:bookmarkStart w:id="8373" w:name="_Toc22977"/>
      <w:bookmarkStart w:id="8374" w:name="_Toc8200"/>
      <w:bookmarkStart w:id="8375" w:name="_Toc3954"/>
      <w:bookmarkStart w:id="8376" w:name="_Toc18261"/>
      <w:bookmarkStart w:id="8377" w:name="_Toc14390"/>
      <w:bookmarkStart w:id="8378" w:name="_Toc28165"/>
      <w:bookmarkStart w:id="8379" w:name="_Toc15186"/>
      <w:bookmarkStart w:id="8380" w:name="_Toc4361"/>
      <w:bookmarkStart w:id="8381" w:name="_Toc11602"/>
      <w:bookmarkStart w:id="8382" w:name="_Toc202887889"/>
      <w:bookmarkStart w:id="8383" w:name="_Toc11778"/>
      <w:bookmarkStart w:id="8384" w:name="_Toc23343"/>
      <w:bookmarkStart w:id="8385" w:name="_Toc9776"/>
      <w:bookmarkStart w:id="8386" w:name="_Toc23642"/>
      <w:bookmarkStart w:id="8387" w:name="_Toc4466"/>
      <w:bookmarkStart w:id="8388" w:name="_Toc11683"/>
      <w:bookmarkStart w:id="8389" w:name="_Toc29854"/>
      <w:bookmarkStart w:id="8390" w:name="_Toc17473"/>
      <w:bookmarkStart w:id="8391" w:name="_Toc14175"/>
      <w:bookmarkStart w:id="8392" w:name="_Toc10394"/>
      <w:bookmarkStart w:id="8393" w:name="_Toc31578"/>
      <w:bookmarkStart w:id="8394" w:name="_Toc11626"/>
      <w:bookmarkStart w:id="8395" w:name="_Toc10903"/>
      <w:bookmarkStart w:id="8396" w:name="_Toc7684"/>
      <w:bookmarkStart w:id="8397" w:name="_Toc17360"/>
      <w:bookmarkStart w:id="8398" w:name="_Toc16742"/>
      <w:bookmarkStart w:id="8399" w:name="_Toc23390"/>
      <w:bookmarkStart w:id="8400" w:name="_Toc23680"/>
      <w:bookmarkStart w:id="8401" w:name="_Toc15679"/>
      <w:bookmarkStart w:id="8402" w:name="_Toc8131"/>
      <w:bookmarkStart w:id="8403" w:name="_Toc20527"/>
      <w:r>
        <w:rPr>
          <w:rFonts w:ascii="Times New Roman" w:hAnsi="Times New Roman" w:hint="eastAsia"/>
        </w:rPr>
        <w:t>【案例</w:t>
      </w:r>
      <w:r>
        <w:rPr>
          <w:rFonts w:ascii="Times New Roman" w:hAnsi="Times New Roman" w:hint="eastAsia"/>
        </w:rPr>
        <w:t>7-</w:t>
      </w:r>
      <w:r>
        <w:rPr>
          <w:rFonts w:ascii="Times New Roman" w:hAnsi="Times New Roman"/>
        </w:rPr>
        <w:t>1-</w:t>
      </w:r>
      <w:r>
        <w:rPr>
          <w:rFonts w:ascii="Times New Roman" w:hAnsi="Times New Roman" w:hint="eastAsia"/>
        </w:rPr>
        <w:t>8</w:t>
      </w:r>
      <w:r>
        <w:rPr>
          <w:rFonts w:ascii="Times New Roman" w:hAnsi="Times New Roman" w:hint="eastAsia"/>
        </w:rPr>
        <w:t>】【许可第三人实施的判断】</w:t>
      </w:r>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设计公司</w:t>
      </w:r>
      <w:r>
        <w:rPr>
          <w:rFonts w:ascii="Times New Roman" w:eastAsia="楷体_GB2312" w:hAnsi="Times New Roman" w:hint="eastAsia"/>
          <w:sz w:val="21"/>
          <w:szCs w:val="21"/>
        </w:rPr>
        <w:t>A</w:t>
      </w:r>
      <w:r>
        <w:rPr>
          <w:rFonts w:ascii="Times New Roman" w:eastAsia="楷体_GB2312" w:hAnsi="Times New Roman" w:hint="eastAsia"/>
          <w:sz w:val="21"/>
          <w:szCs w:val="21"/>
        </w:rPr>
        <w:t>就其名称为“叠翠高层建筑模型”的外观设计专利发布专利开放许可声明，经国务院专利行政部门审查并予以公告，声明中明确：该外观设计专利未经专利权人同意不得许可第三人实施。建筑公司</w:t>
      </w:r>
      <w:r>
        <w:rPr>
          <w:rFonts w:ascii="Times New Roman" w:eastAsia="楷体_GB2312" w:hAnsi="Times New Roman" w:hint="eastAsia"/>
          <w:sz w:val="21"/>
          <w:szCs w:val="21"/>
        </w:rPr>
        <w:t>B</w:t>
      </w:r>
      <w:r>
        <w:rPr>
          <w:rFonts w:ascii="Times New Roman" w:eastAsia="楷体_GB2312" w:hAnsi="Times New Roman" w:hint="eastAsia"/>
          <w:sz w:val="21"/>
          <w:szCs w:val="21"/>
        </w:rPr>
        <w:t>向</w:t>
      </w:r>
      <w:r>
        <w:rPr>
          <w:rFonts w:ascii="Times New Roman" w:eastAsia="楷体_GB2312" w:hAnsi="Times New Roman" w:hint="eastAsia"/>
          <w:sz w:val="21"/>
          <w:szCs w:val="21"/>
        </w:rPr>
        <w:t>A</w:t>
      </w:r>
      <w:r>
        <w:rPr>
          <w:rFonts w:ascii="Times New Roman" w:eastAsia="楷体_GB2312" w:hAnsi="Times New Roman" w:hint="eastAsia"/>
          <w:sz w:val="21"/>
          <w:szCs w:val="21"/>
        </w:rPr>
        <w:t>公司书面提出了实施该专利的通知，并支付了专利许可使用费。随后，</w:t>
      </w:r>
      <w:r>
        <w:rPr>
          <w:rFonts w:ascii="Times New Roman" w:eastAsia="楷体_GB2312" w:hAnsi="Times New Roman" w:hint="eastAsia"/>
          <w:sz w:val="21"/>
          <w:szCs w:val="21"/>
        </w:rPr>
        <w:t>A</w:t>
      </w:r>
      <w:r>
        <w:rPr>
          <w:rFonts w:ascii="Times New Roman" w:eastAsia="楷体_GB2312" w:hAnsi="Times New Roman" w:hint="eastAsia"/>
          <w:sz w:val="21"/>
          <w:szCs w:val="21"/>
        </w:rPr>
        <w:t>公司发现</w:t>
      </w:r>
      <w:r>
        <w:rPr>
          <w:rFonts w:ascii="Times New Roman" w:eastAsia="楷体_GB2312" w:hAnsi="Times New Roman" w:hint="eastAsia"/>
          <w:sz w:val="21"/>
          <w:szCs w:val="21"/>
        </w:rPr>
        <w:t>B</w:t>
      </w:r>
      <w:r>
        <w:rPr>
          <w:rFonts w:ascii="Times New Roman" w:eastAsia="楷体_GB2312" w:hAnsi="Times New Roman" w:hint="eastAsia"/>
          <w:sz w:val="21"/>
          <w:szCs w:val="21"/>
        </w:rPr>
        <w:t>公司将该外观设计私自许可建筑公司</w:t>
      </w:r>
      <w:r>
        <w:rPr>
          <w:rFonts w:ascii="Times New Roman" w:eastAsia="楷体_GB2312" w:hAnsi="Times New Roman" w:hint="eastAsia"/>
          <w:sz w:val="21"/>
          <w:szCs w:val="21"/>
        </w:rPr>
        <w:t>C</w:t>
      </w:r>
      <w:r>
        <w:rPr>
          <w:rFonts w:ascii="Times New Roman" w:eastAsia="楷体_GB2312" w:hAnsi="Times New Roman" w:hint="eastAsia"/>
          <w:sz w:val="21"/>
          <w:szCs w:val="21"/>
        </w:rPr>
        <w:t>和建筑公司</w:t>
      </w:r>
      <w:r>
        <w:rPr>
          <w:rFonts w:ascii="Times New Roman" w:eastAsia="楷体_GB2312" w:hAnsi="Times New Roman" w:hint="eastAsia"/>
          <w:sz w:val="21"/>
          <w:szCs w:val="21"/>
        </w:rPr>
        <w:t>D</w:t>
      </w:r>
      <w:r>
        <w:rPr>
          <w:rFonts w:ascii="Times New Roman" w:eastAsia="楷体_GB2312" w:hAnsi="Times New Roman" w:hint="eastAsia"/>
          <w:sz w:val="21"/>
          <w:szCs w:val="21"/>
        </w:rPr>
        <w:t>实施。</w:t>
      </w:r>
      <w:r>
        <w:rPr>
          <w:rFonts w:ascii="Times New Roman" w:eastAsia="楷体_GB2312" w:hAnsi="Times New Roman" w:hint="eastAsia"/>
          <w:sz w:val="21"/>
          <w:szCs w:val="21"/>
        </w:rPr>
        <w:t>A</w:t>
      </w:r>
      <w:r>
        <w:rPr>
          <w:rFonts w:ascii="Times New Roman" w:eastAsia="楷体_GB2312" w:hAnsi="Times New Roman" w:hint="eastAsia"/>
          <w:sz w:val="21"/>
          <w:szCs w:val="21"/>
        </w:rPr>
        <w:t>公司主张</w:t>
      </w:r>
      <w:r>
        <w:rPr>
          <w:rFonts w:ascii="Times New Roman" w:eastAsia="楷体_GB2312" w:hAnsi="Times New Roman" w:hint="eastAsia"/>
          <w:sz w:val="21"/>
          <w:szCs w:val="21"/>
        </w:rPr>
        <w:t>B</w:t>
      </w:r>
      <w:r>
        <w:rPr>
          <w:rFonts w:ascii="Times New Roman" w:eastAsia="楷体_GB2312" w:hAnsi="Times New Roman" w:hint="eastAsia"/>
          <w:sz w:val="21"/>
          <w:szCs w:val="21"/>
        </w:rPr>
        <w:t>公司违约。</w:t>
      </w:r>
      <w:r>
        <w:rPr>
          <w:rFonts w:ascii="Times New Roman" w:eastAsia="楷体_GB2312" w:hAnsi="Times New Roman" w:hint="eastAsia"/>
          <w:sz w:val="21"/>
          <w:szCs w:val="21"/>
        </w:rPr>
        <w:t>B</w:t>
      </w:r>
      <w:r>
        <w:rPr>
          <w:rFonts w:ascii="Times New Roman" w:eastAsia="楷体_GB2312" w:hAnsi="Times New Roman" w:hint="eastAsia"/>
          <w:sz w:val="21"/>
          <w:szCs w:val="21"/>
        </w:rPr>
        <w:t>公司认为，</w:t>
      </w:r>
      <w:r>
        <w:rPr>
          <w:rFonts w:ascii="Times New Roman" w:eastAsia="楷体_GB2312" w:hAnsi="Times New Roman" w:hint="eastAsia"/>
          <w:sz w:val="21"/>
          <w:szCs w:val="21"/>
        </w:rPr>
        <w:t>C</w:t>
      </w:r>
      <w:r>
        <w:rPr>
          <w:rFonts w:ascii="Times New Roman" w:eastAsia="楷体_GB2312" w:hAnsi="Times New Roman" w:hint="eastAsia"/>
          <w:sz w:val="21"/>
          <w:szCs w:val="21"/>
        </w:rPr>
        <w:t>公司为其子公司，</w:t>
      </w:r>
      <w:r>
        <w:rPr>
          <w:rFonts w:ascii="Times New Roman" w:eastAsia="楷体_GB2312" w:hAnsi="Times New Roman" w:hint="eastAsia"/>
          <w:sz w:val="21"/>
          <w:szCs w:val="21"/>
        </w:rPr>
        <w:t>D</w:t>
      </w:r>
      <w:r>
        <w:rPr>
          <w:rFonts w:ascii="Times New Roman" w:eastAsia="楷体_GB2312" w:hAnsi="Times New Roman" w:hint="eastAsia"/>
          <w:sz w:val="21"/>
          <w:szCs w:val="21"/>
        </w:rPr>
        <w:t>公司为其建筑项目的承包方，按照被许可的外观设计实施建造的是</w:t>
      </w:r>
      <w:r>
        <w:rPr>
          <w:rFonts w:ascii="Times New Roman" w:eastAsia="楷体_GB2312" w:hAnsi="Times New Roman" w:hint="eastAsia"/>
          <w:sz w:val="21"/>
          <w:szCs w:val="21"/>
        </w:rPr>
        <w:t>A</w:t>
      </w:r>
      <w:r>
        <w:rPr>
          <w:rFonts w:ascii="Times New Roman" w:eastAsia="楷体_GB2312" w:hAnsi="Times New Roman" w:hint="eastAsia"/>
          <w:sz w:val="21"/>
          <w:szCs w:val="21"/>
        </w:rPr>
        <w:t>公司的建筑项目，没有违反专利开放许可约定。</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rsidP="00144708">
      <w:pPr>
        <w:pStyle w:val="12"/>
        <w:topLinePunct/>
        <w:spacing w:line="336" w:lineRule="auto"/>
        <w:ind w:firstLine="420"/>
        <w:rPr>
          <w:rFonts w:ascii="Times New Roman" w:hAnsi="Times New Roman"/>
        </w:rPr>
      </w:pPr>
      <w:r>
        <w:rPr>
          <w:rFonts w:ascii="Times New Roman" w:eastAsia="楷体_GB2312" w:hAnsi="Times New Roman" w:hint="eastAsia"/>
          <w:sz w:val="21"/>
          <w:szCs w:val="21"/>
        </w:rPr>
        <w:t>《民法典》第八百六十七条规定：专利实施许可合同的被许可人应当按照约定实施专利，不得许可约定以外的第三人实施该专利。</w:t>
      </w:r>
      <w:r>
        <w:rPr>
          <w:rFonts w:ascii="Times New Roman" w:eastAsia="楷体_GB2312" w:hAnsi="Times New Roman" w:hint="eastAsia"/>
          <w:sz w:val="21"/>
          <w:szCs w:val="21"/>
        </w:rPr>
        <w:t>C</w:t>
      </w:r>
      <w:r>
        <w:rPr>
          <w:rFonts w:ascii="Times New Roman" w:eastAsia="楷体_GB2312" w:hAnsi="Times New Roman" w:hint="eastAsia"/>
          <w:sz w:val="21"/>
          <w:szCs w:val="21"/>
        </w:rPr>
        <w:t>公司虽作为</w:t>
      </w:r>
      <w:r>
        <w:rPr>
          <w:rFonts w:ascii="Times New Roman" w:eastAsia="楷体_GB2312" w:hAnsi="Times New Roman" w:hint="eastAsia"/>
          <w:sz w:val="21"/>
          <w:szCs w:val="21"/>
        </w:rPr>
        <w:t>B</w:t>
      </w:r>
      <w:r>
        <w:rPr>
          <w:rFonts w:ascii="Times New Roman" w:eastAsia="楷体_GB2312" w:hAnsi="Times New Roman" w:hint="eastAsia"/>
          <w:sz w:val="21"/>
          <w:szCs w:val="21"/>
        </w:rPr>
        <w:t>公司的子公司，但具有独立的法人资格，因此，</w:t>
      </w:r>
      <w:r>
        <w:rPr>
          <w:rFonts w:ascii="Times New Roman" w:eastAsia="楷体_GB2312" w:hAnsi="Times New Roman" w:hint="eastAsia"/>
          <w:sz w:val="21"/>
          <w:szCs w:val="21"/>
        </w:rPr>
        <w:t>B</w:t>
      </w:r>
      <w:r>
        <w:rPr>
          <w:rFonts w:ascii="Times New Roman" w:eastAsia="楷体_GB2312" w:hAnsi="Times New Roman" w:hint="eastAsia"/>
          <w:sz w:val="21"/>
          <w:szCs w:val="21"/>
        </w:rPr>
        <w:t>公司将该外观设计许可给</w:t>
      </w:r>
      <w:r>
        <w:rPr>
          <w:rFonts w:ascii="Times New Roman" w:eastAsia="楷体_GB2312" w:hAnsi="Times New Roman" w:hint="eastAsia"/>
          <w:sz w:val="21"/>
          <w:szCs w:val="21"/>
        </w:rPr>
        <w:t>C</w:t>
      </w:r>
      <w:r>
        <w:rPr>
          <w:rFonts w:ascii="Times New Roman" w:eastAsia="楷体_GB2312" w:hAnsi="Times New Roman" w:hint="eastAsia"/>
          <w:sz w:val="21"/>
          <w:szCs w:val="21"/>
        </w:rPr>
        <w:t>公司实施属于上述法律规定的被许可人许可约定以外的第三人实施该专利的情形，</w:t>
      </w:r>
      <w:r>
        <w:rPr>
          <w:rFonts w:ascii="Times New Roman" w:eastAsia="楷体_GB2312" w:hAnsi="Times New Roman" w:hint="eastAsia"/>
          <w:sz w:val="21"/>
          <w:szCs w:val="21"/>
        </w:rPr>
        <w:t>B</w:t>
      </w:r>
      <w:r>
        <w:rPr>
          <w:rFonts w:ascii="Times New Roman" w:eastAsia="楷体_GB2312" w:hAnsi="Times New Roman" w:hint="eastAsia"/>
          <w:sz w:val="21"/>
          <w:szCs w:val="21"/>
        </w:rPr>
        <w:t>公司对此应当承担违约责任。而</w:t>
      </w:r>
      <w:r>
        <w:rPr>
          <w:rFonts w:ascii="Times New Roman" w:eastAsia="楷体_GB2312" w:hAnsi="Times New Roman" w:hint="eastAsia"/>
          <w:sz w:val="21"/>
          <w:szCs w:val="21"/>
        </w:rPr>
        <w:t>D</w:t>
      </w:r>
      <w:r>
        <w:rPr>
          <w:rFonts w:ascii="Times New Roman" w:eastAsia="楷体_GB2312" w:hAnsi="Times New Roman" w:hint="eastAsia"/>
          <w:sz w:val="21"/>
          <w:szCs w:val="21"/>
        </w:rPr>
        <w:t>公司仅是</w:t>
      </w:r>
      <w:r>
        <w:rPr>
          <w:rFonts w:ascii="Times New Roman" w:eastAsia="楷体_GB2312" w:hAnsi="Times New Roman" w:hint="eastAsia"/>
          <w:sz w:val="21"/>
          <w:szCs w:val="21"/>
        </w:rPr>
        <w:t>B</w:t>
      </w:r>
      <w:r>
        <w:rPr>
          <w:rFonts w:ascii="Times New Roman" w:eastAsia="楷体_GB2312" w:hAnsi="Times New Roman" w:hint="eastAsia"/>
          <w:sz w:val="21"/>
          <w:szCs w:val="21"/>
        </w:rPr>
        <w:t>公司建筑项目的承包方，负责建造的工程项目的所有权和经营权归属于发包方</w:t>
      </w:r>
      <w:r>
        <w:rPr>
          <w:rFonts w:ascii="Times New Roman" w:eastAsia="楷体_GB2312" w:hAnsi="Times New Roman" w:hint="eastAsia"/>
          <w:sz w:val="21"/>
          <w:szCs w:val="21"/>
        </w:rPr>
        <w:t>B</w:t>
      </w:r>
      <w:r>
        <w:rPr>
          <w:rFonts w:ascii="Times New Roman" w:eastAsia="楷体_GB2312" w:hAnsi="Times New Roman" w:hint="eastAsia"/>
          <w:sz w:val="21"/>
          <w:szCs w:val="21"/>
        </w:rPr>
        <w:t>公司，因此，</w:t>
      </w:r>
      <w:r>
        <w:rPr>
          <w:rFonts w:ascii="Times New Roman" w:eastAsia="楷体_GB2312" w:hAnsi="Times New Roman" w:hint="eastAsia"/>
          <w:sz w:val="21"/>
          <w:szCs w:val="21"/>
        </w:rPr>
        <w:t>D</w:t>
      </w:r>
      <w:r>
        <w:rPr>
          <w:rFonts w:ascii="Times New Roman" w:eastAsia="楷体_GB2312" w:hAnsi="Times New Roman" w:hint="eastAsia"/>
          <w:sz w:val="21"/>
          <w:szCs w:val="21"/>
        </w:rPr>
        <w:t>公司对于该外观设计的实施行为应当视为</w:t>
      </w:r>
      <w:r>
        <w:rPr>
          <w:rFonts w:ascii="Times New Roman" w:eastAsia="楷体_GB2312" w:hAnsi="Times New Roman" w:hint="eastAsia"/>
          <w:sz w:val="21"/>
          <w:szCs w:val="21"/>
        </w:rPr>
        <w:t>B</w:t>
      </w:r>
      <w:r>
        <w:rPr>
          <w:rFonts w:ascii="Times New Roman" w:eastAsia="楷体_GB2312" w:hAnsi="Times New Roman" w:hint="eastAsia"/>
          <w:sz w:val="21"/>
          <w:szCs w:val="21"/>
        </w:rPr>
        <w:t>公司的实施行为，不属于被许可人许可约定以外的第三人实施该专利的情形。</w:t>
      </w:r>
    </w:p>
    <w:p w:rsidR="00800760" w:rsidRDefault="00235733">
      <w:pPr>
        <w:pStyle w:val="2"/>
        <w:spacing w:beforeLines="50" w:afterLines="50"/>
        <w:ind w:firstLineChars="0" w:firstLine="0"/>
        <w:rPr>
          <w:rFonts w:ascii="Times New Roman" w:hAnsi="Times New Roman"/>
        </w:rPr>
      </w:pPr>
      <w:bookmarkStart w:id="8404" w:name="_Toc229114529"/>
      <w:bookmarkStart w:id="8405" w:name="_Toc229225625"/>
      <w:r>
        <w:rPr>
          <w:rFonts w:ascii="Times New Roman" w:hAnsi="Times New Roman" w:hint="eastAsia"/>
        </w:rPr>
        <w:t>第二节　专利开放许可实施纠纷行政调解的一般程序</w:t>
      </w:r>
      <w:bookmarkEnd w:id="8393"/>
      <w:bookmarkEnd w:id="8394"/>
      <w:bookmarkEnd w:id="8395"/>
      <w:bookmarkEnd w:id="8396"/>
      <w:bookmarkEnd w:id="8397"/>
      <w:bookmarkEnd w:id="8398"/>
      <w:bookmarkEnd w:id="8399"/>
      <w:bookmarkEnd w:id="8400"/>
      <w:bookmarkEnd w:id="8401"/>
      <w:bookmarkEnd w:id="8402"/>
      <w:bookmarkEnd w:id="8403"/>
      <w:bookmarkEnd w:id="8404"/>
      <w:bookmarkEnd w:id="8405"/>
    </w:p>
    <w:p w:rsidR="00800760" w:rsidRDefault="00235733">
      <w:pPr>
        <w:ind w:firstLineChars="0" w:firstLine="386"/>
        <w:jc w:val="both"/>
        <w:rPr>
          <w:rFonts w:cs="宋体"/>
          <w:spacing w:val="4"/>
        </w:rPr>
      </w:pPr>
      <w:r>
        <w:rPr>
          <w:rFonts w:cs="宋体" w:hint="eastAsia"/>
          <w:spacing w:val="4"/>
        </w:rPr>
        <w:t>当事人就实施专利开放许可使用费标准和支付方式、开放许可生效时间、专利许可期限等内容发生的纠纷，并自愿接受调解的，可以申请国务院专利行政部门进行调解。</w:t>
      </w:r>
    </w:p>
    <w:p w:rsidR="00800760" w:rsidRDefault="00235733">
      <w:pPr>
        <w:ind w:firstLineChars="0" w:firstLine="386"/>
        <w:jc w:val="both"/>
        <w:rPr>
          <w:rFonts w:cs="宋体"/>
          <w:spacing w:val="4"/>
        </w:rPr>
      </w:pPr>
      <w:r>
        <w:rPr>
          <w:rFonts w:cs="宋体" w:hint="eastAsia"/>
          <w:spacing w:val="4"/>
        </w:rPr>
        <w:t>专利开放许可纠纷的行政调解程序相关事宜，除本节另有规定外，参考第二章调解专利纠纷的程序部分。</w:t>
      </w:r>
    </w:p>
    <w:p w:rsidR="00800760" w:rsidRDefault="00235733">
      <w:pPr>
        <w:pStyle w:val="3"/>
        <w:spacing w:before="240"/>
        <w:ind w:firstLine="444"/>
        <w:rPr>
          <w:rFonts w:ascii="Times New Roman" w:hAnsi="Times New Roman"/>
          <w:color w:val="000000"/>
        </w:rPr>
      </w:pPr>
      <w:bookmarkStart w:id="8406" w:name="_Toc6407"/>
      <w:bookmarkStart w:id="8407" w:name="_Toc25162"/>
      <w:bookmarkStart w:id="8408" w:name="_Toc898"/>
      <w:bookmarkStart w:id="8409" w:name="_Toc24648"/>
      <w:bookmarkStart w:id="8410" w:name="_Toc16358"/>
      <w:bookmarkStart w:id="8411" w:name="_Toc20416"/>
      <w:bookmarkStart w:id="8412" w:name="_Toc17341"/>
      <w:bookmarkStart w:id="8413" w:name="_Toc22659"/>
      <w:bookmarkStart w:id="8414" w:name="_Toc16592"/>
      <w:bookmarkStart w:id="8415" w:name="_Toc6898"/>
      <w:bookmarkStart w:id="8416" w:name="_Toc6264"/>
      <w:bookmarkStart w:id="8417" w:name="_Toc16045"/>
      <w:bookmarkStart w:id="8418" w:name="_Toc9524"/>
      <w:bookmarkStart w:id="8419" w:name="_Toc22320"/>
      <w:bookmarkStart w:id="8420" w:name="_Toc14863"/>
      <w:bookmarkStart w:id="8421" w:name="_Toc12362"/>
      <w:bookmarkStart w:id="8422" w:name="_Toc19336"/>
      <w:bookmarkStart w:id="8423" w:name="_Toc9525"/>
      <w:bookmarkStart w:id="8424" w:name="_Toc31489"/>
      <w:bookmarkStart w:id="8425" w:name="_Toc28987"/>
      <w:bookmarkStart w:id="8426" w:name="_Toc7639"/>
      <w:bookmarkStart w:id="8427" w:name="_Toc3309"/>
      <w:bookmarkStart w:id="8428" w:name="_Toc22769"/>
      <w:bookmarkStart w:id="8429" w:name="_Toc16748"/>
      <w:bookmarkStart w:id="8430" w:name="_Toc15206"/>
      <w:bookmarkStart w:id="8431" w:name="_Toc6526"/>
      <w:bookmarkStart w:id="8432" w:name="_Toc10185"/>
      <w:bookmarkStart w:id="8433" w:name="_Toc14338"/>
      <w:bookmarkStart w:id="8434" w:name="_Toc4750"/>
      <w:bookmarkStart w:id="8435" w:name="_Toc24831"/>
      <w:bookmarkStart w:id="8436" w:name="_Toc9493"/>
      <w:bookmarkStart w:id="8437" w:name="_Toc10210"/>
      <w:bookmarkStart w:id="8438" w:name="_Toc21277"/>
      <w:bookmarkStart w:id="8439" w:name="_Toc31264"/>
      <w:bookmarkStart w:id="8440" w:name="_Toc27310"/>
      <w:bookmarkStart w:id="8441" w:name="_Toc181"/>
      <w:bookmarkStart w:id="8442" w:name="_Toc705"/>
      <w:bookmarkStart w:id="8443" w:name="_Toc13181"/>
      <w:bookmarkStart w:id="8444" w:name="_Toc27056"/>
      <w:bookmarkStart w:id="8445" w:name="_Toc12900"/>
      <w:bookmarkStart w:id="8446" w:name="_Toc23921"/>
      <w:bookmarkStart w:id="8447" w:name="_Toc12962"/>
      <w:bookmarkStart w:id="8448" w:name="_Toc229114530"/>
      <w:bookmarkStart w:id="8449" w:name="_Toc229225626"/>
      <w:r>
        <w:rPr>
          <w:rFonts w:ascii="Times New Roman" w:hAnsi="Times New Roman" w:hint="eastAsia"/>
          <w:color w:val="000000"/>
        </w:rPr>
        <w:t>一、受理及立案</w:t>
      </w:r>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（一）提交的相关证据材料及证明责任</w:t>
      </w:r>
    </w:p>
    <w:p w:rsidR="00800760" w:rsidRDefault="00235733">
      <w:pPr>
        <w:ind w:firstLine="436"/>
        <w:jc w:val="both"/>
        <w:rPr>
          <w:rFonts w:cs="宋体"/>
          <w:spacing w:val="4"/>
        </w:rPr>
      </w:pPr>
      <w:r>
        <w:rPr>
          <w:rFonts w:cs="宋体"/>
          <w:spacing w:val="4"/>
        </w:rPr>
        <w:t xml:space="preserve">1. </w:t>
      </w:r>
      <w:r>
        <w:rPr>
          <w:rFonts w:cs="宋体" w:hint="eastAsia"/>
          <w:spacing w:val="4"/>
        </w:rPr>
        <w:t>相关证据材料</w:t>
      </w:r>
    </w:p>
    <w:p w:rsidR="00800760" w:rsidRDefault="00235733">
      <w:pPr>
        <w:ind w:firstLineChars="0" w:firstLine="386"/>
        <w:jc w:val="both"/>
        <w:rPr>
          <w:rFonts w:cs="宋体"/>
          <w:spacing w:val="4"/>
        </w:rPr>
      </w:pPr>
      <w:r>
        <w:rPr>
          <w:rFonts w:cs="宋体" w:hint="eastAsia"/>
          <w:spacing w:val="4"/>
        </w:rPr>
        <w:t>当事人在提出专利开放许可纠纷的调解申请时，应当提交相关证据材料。由当事人一方提出调解申请的，国务院专利行政部门向被申请方当事人发送调解通知书，征询调解意愿。被申请方当事人同意调解的，应当同时提交相关的证据材料。</w:t>
      </w:r>
    </w:p>
    <w:p w:rsidR="00800760" w:rsidRDefault="00235733">
      <w:pPr>
        <w:ind w:firstLineChars="0" w:firstLine="386"/>
        <w:jc w:val="both"/>
        <w:rPr>
          <w:rFonts w:cs="宋体"/>
          <w:spacing w:val="4"/>
        </w:rPr>
      </w:pPr>
      <w:r>
        <w:rPr>
          <w:rFonts w:cs="宋体" w:hint="eastAsia"/>
          <w:spacing w:val="4"/>
        </w:rPr>
        <w:t>包括但不限于已登记的专利开放许可声明、生效的专利许可实施合同等与案件相关的证据材料。</w:t>
      </w:r>
    </w:p>
    <w:p w:rsidR="00800760" w:rsidRDefault="00235733">
      <w:pPr>
        <w:ind w:firstLine="436"/>
        <w:jc w:val="both"/>
        <w:rPr>
          <w:rFonts w:cs="宋体"/>
          <w:spacing w:val="4"/>
        </w:rPr>
      </w:pPr>
      <w:r>
        <w:rPr>
          <w:rFonts w:cs="宋体"/>
          <w:spacing w:val="4"/>
        </w:rPr>
        <w:t xml:space="preserve">2. </w:t>
      </w:r>
      <w:r>
        <w:rPr>
          <w:rFonts w:cs="宋体" w:hint="eastAsia"/>
          <w:spacing w:val="4"/>
        </w:rPr>
        <w:t>举证责任</w:t>
      </w:r>
    </w:p>
    <w:p w:rsidR="00800760" w:rsidRDefault="00235733">
      <w:pPr>
        <w:ind w:firstLineChars="0" w:firstLine="386"/>
        <w:jc w:val="both"/>
        <w:rPr>
          <w:rFonts w:cs="宋体"/>
          <w:spacing w:val="4"/>
        </w:rPr>
      </w:pPr>
      <w:r>
        <w:rPr>
          <w:rFonts w:cs="宋体" w:hint="eastAsia"/>
          <w:spacing w:val="4"/>
        </w:rPr>
        <w:t>在专利开放许可纠纷行政调解中，当事人对证据的证明责任包括：</w:t>
      </w:r>
    </w:p>
    <w:p w:rsidR="00800760" w:rsidRDefault="00235733">
      <w:pPr>
        <w:ind w:firstLineChars="0" w:firstLine="386"/>
        <w:jc w:val="both"/>
        <w:rPr>
          <w:rFonts w:cs="宋体"/>
          <w:spacing w:val="4"/>
        </w:rPr>
      </w:pPr>
      <w:r>
        <w:rPr>
          <w:rFonts w:cs="宋体" w:hint="eastAsia"/>
          <w:spacing w:val="4"/>
        </w:rPr>
        <w:t>（</w:t>
      </w:r>
      <w:r>
        <w:rPr>
          <w:rFonts w:cs="宋体"/>
          <w:spacing w:val="4"/>
        </w:rPr>
        <w:t>1</w:t>
      </w:r>
      <w:r>
        <w:rPr>
          <w:rFonts w:cs="宋体" w:hint="eastAsia"/>
          <w:spacing w:val="4"/>
        </w:rPr>
        <w:t>）当事人对自己提出的请求所依据的事实或者反驳对方请求所依据的事实有义务提供证据加以证明。</w:t>
      </w:r>
    </w:p>
    <w:p w:rsidR="00800760" w:rsidRDefault="00235733">
      <w:pPr>
        <w:ind w:firstLineChars="0" w:firstLine="386"/>
        <w:jc w:val="both"/>
        <w:rPr>
          <w:rFonts w:cs="宋体"/>
          <w:spacing w:val="4"/>
        </w:rPr>
      </w:pPr>
      <w:r>
        <w:rPr>
          <w:rFonts w:cs="宋体" w:hint="eastAsia"/>
          <w:spacing w:val="4"/>
        </w:rPr>
        <w:t>（</w:t>
      </w:r>
      <w:r>
        <w:rPr>
          <w:rFonts w:cs="宋体"/>
          <w:spacing w:val="4"/>
        </w:rPr>
        <w:t>2</w:t>
      </w:r>
      <w:r>
        <w:rPr>
          <w:rFonts w:cs="宋体" w:hint="eastAsia"/>
          <w:spacing w:val="4"/>
        </w:rPr>
        <w:t>）对当事人无争议的事实，无须举证、质证。</w:t>
      </w:r>
    </w:p>
    <w:p w:rsidR="00800760" w:rsidRDefault="00235733">
      <w:pPr>
        <w:ind w:firstLineChars="0" w:firstLine="386"/>
        <w:jc w:val="both"/>
        <w:rPr>
          <w:rFonts w:cs="宋体"/>
          <w:spacing w:val="4"/>
        </w:rPr>
      </w:pPr>
      <w:r>
        <w:rPr>
          <w:rFonts w:cs="宋体" w:hint="eastAsia"/>
          <w:spacing w:val="4"/>
        </w:rPr>
        <w:t>（</w:t>
      </w:r>
      <w:r>
        <w:rPr>
          <w:rFonts w:cs="宋体"/>
          <w:spacing w:val="4"/>
        </w:rPr>
        <w:t>3</w:t>
      </w:r>
      <w:r>
        <w:rPr>
          <w:rFonts w:cs="宋体" w:hint="eastAsia"/>
          <w:spacing w:val="4"/>
        </w:rPr>
        <w:t>）涉及被许可人侵权纠纷的且涉及新产品制造方法的发明专利的，由被许可人提供其产品制造方法不同于专利方法的证明。</w:t>
      </w:r>
    </w:p>
    <w:p w:rsidR="00800760" w:rsidRDefault="00235733">
      <w:pPr>
        <w:ind w:firstLineChars="0" w:firstLine="386"/>
        <w:jc w:val="both"/>
        <w:rPr>
          <w:rFonts w:cs="宋体"/>
          <w:spacing w:val="4"/>
        </w:rPr>
      </w:pPr>
      <w:r>
        <w:rPr>
          <w:rFonts w:cs="宋体" w:hint="eastAsia"/>
          <w:spacing w:val="4"/>
        </w:rPr>
        <w:t>（</w:t>
      </w:r>
      <w:r>
        <w:rPr>
          <w:rFonts w:cs="宋体"/>
          <w:spacing w:val="4"/>
        </w:rPr>
        <w:t>4</w:t>
      </w:r>
      <w:r>
        <w:rPr>
          <w:rFonts w:cs="宋体" w:hint="eastAsia"/>
          <w:spacing w:val="4"/>
        </w:rPr>
        <w:t>）涉及被许可人侵权纠纷的，为确定赔偿数额，在权利人已经尽力举证，而与侵权行为相关的账簿、资料主要由侵权人掌握的情况下，负责行政调解的国务院专利行政部门可以责令侵权人提供与侵权行为相关的账簿、资料；侵权人不提供或者提供虚假的账簿、资料的，国务院专利行政部门可以参考权利人的主张和提供的证据判定赔偿数额。</w:t>
      </w:r>
    </w:p>
    <w:p w:rsidR="00800760" w:rsidRDefault="00235733">
      <w:pPr>
        <w:ind w:firstLineChars="0" w:firstLine="386"/>
        <w:jc w:val="both"/>
        <w:rPr>
          <w:rFonts w:cs="宋体"/>
          <w:spacing w:val="4"/>
        </w:rPr>
      </w:pPr>
      <w:r>
        <w:rPr>
          <w:rFonts w:cs="宋体" w:hint="eastAsia"/>
          <w:spacing w:val="4"/>
        </w:rPr>
        <w:t>（</w:t>
      </w:r>
      <w:r>
        <w:rPr>
          <w:rFonts w:cs="宋体"/>
          <w:spacing w:val="4"/>
        </w:rPr>
        <w:t>5</w:t>
      </w:r>
      <w:r>
        <w:rPr>
          <w:rFonts w:cs="宋体" w:hint="eastAsia"/>
          <w:spacing w:val="4"/>
        </w:rPr>
        <w:t>）没有证据或证据不足以证明当事人的事实主张的，由负有举证责任的当事人承担不利后果。</w:t>
      </w:r>
    </w:p>
    <w:p w:rsidR="00800760" w:rsidRDefault="00235733">
      <w:pPr>
        <w:spacing w:before="120" w:after="120"/>
        <w:ind w:firstLineChars="0" w:firstLine="386"/>
        <w:jc w:val="both"/>
      </w:pPr>
      <w:r>
        <w:rPr>
          <w:rFonts w:cs="宋体" w:hint="eastAsia"/>
          <w:spacing w:val="4"/>
        </w:rPr>
        <w:t>涉及被许可人超出合同约定范围实施专利引起的纠纷，依据当事人的请求，确立按照侵权或违约类型分配举证责任。</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（二）立案</w:t>
      </w:r>
    </w:p>
    <w:p w:rsidR="00800760" w:rsidRDefault="00235733">
      <w:pPr>
        <w:ind w:firstLineChars="0" w:firstLine="386"/>
        <w:jc w:val="both"/>
        <w:rPr>
          <w:rFonts w:cs="宋体"/>
          <w:spacing w:val="4"/>
        </w:rPr>
      </w:pPr>
      <w:r>
        <w:rPr>
          <w:rFonts w:cs="宋体" w:hint="eastAsia"/>
          <w:spacing w:val="4"/>
        </w:rPr>
        <w:t>国务院专利行政部门应当在</w:t>
      </w:r>
      <w:r>
        <w:rPr>
          <w:rFonts w:cs="宋体"/>
          <w:spacing w:val="4"/>
        </w:rPr>
        <w:t>5</w:t>
      </w:r>
      <w:r>
        <w:rPr>
          <w:rFonts w:cs="宋体" w:hint="eastAsia"/>
          <w:spacing w:val="4"/>
        </w:rPr>
        <w:t>个工作日对调解申请作出是否受理的决定，并通知双方当事人。案情特别复杂或者有其他特殊情况的，立案期限可以延长</w:t>
      </w:r>
      <w:r>
        <w:rPr>
          <w:rFonts w:cs="宋体"/>
          <w:spacing w:val="4"/>
        </w:rPr>
        <w:t>5</w:t>
      </w:r>
      <w:r>
        <w:rPr>
          <w:rFonts w:cs="宋体" w:hint="eastAsia"/>
          <w:spacing w:val="4"/>
        </w:rPr>
        <w:t>个工作日。</w:t>
      </w:r>
    </w:p>
    <w:p w:rsidR="00800760" w:rsidRDefault="00235733">
      <w:pPr>
        <w:ind w:firstLineChars="0" w:firstLine="386"/>
        <w:jc w:val="both"/>
        <w:rPr>
          <w:rFonts w:cs="宋体"/>
          <w:spacing w:val="4"/>
        </w:rPr>
      </w:pPr>
      <w:r>
        <w:rPr>
          <w:rFonts w:cs="宋体" w:hint="eastAsia"/>
          <w:spacing w:val="4"/>
        </w:rPr>
        <w:t>国务院专利行政部门经审查决定不予受理的，应当作出不予受理通知书，并向当事人书面说明理由。</w:t>
      </w:r>
    </w:p>
    <w:p w:rsidR="00800760" w:rsidRDefault="00235733">
      <w:pPr>
        <w:pStyle w:val="3"/>
        <w:spacing w:before="240"/>
        <w:ind w:firstLine="444"/>
        <w:rPr>
          <w:rFonts w:ascii="Times New Roman" w:hAnsi="Times New Roman"/>
          <w:color w:val="000000"/>
        </w:rPr>
      </w:pPr>
      <w:bookmarkStart w:id="8450" w:name="_Toc25851"/>
      <w:bookmarkStart w:id="8451" w:name="_Toc16989"/>
      <w:bookmarkStart w:id="8452" w:name="_Toc2904"/>
      <w:bookmarkStart w:id="8453" w:name="_Toc13672"/>
      <w:bookmarkStart w:id="8454" w:name="_Toc10694"/>
      <w:bookmarkStart w:id="8455" w:name="_Toc9345"/>
      <w:bookmarkStart w:id="8456" w:name="_Toc29945"/>
      <w:bookmarkStart w:id="8457" w:name="_Toc10458"/>
      <w:bookmarkStart w:id="8458" w:name="_Toc28592"/>
      <w:bookmarkStart w:id="8459" w:name="_Toc29365"/>
      <w:bookmarkStart w:id="8460" w:name="_Toc19059"/>
      <w:bookmarkStart w:id="8461" w:name="_Toc1008"/>
      <w:bookmarkStart w:id="8462" w:name="_Toc26046"/>
      <w:bookmarkStart w:id="8463" w:name="_Toc18568"/>
      <w:bookmarkStart w:id="8464" w:name="_Toc5087"/>
      <w:bookmarkStart w:id="8465" w:name="_Toc12253"/>
      <w:bookmarkStart w:id="8466" w:name="_Toc8214"/>
      <w:bookmarkStart w:id="8467" w:name="_Toc32282"/>
      <w:bookmarkStart w:id="8468" w:name="_Toc5495"/>
      <w:bookmarkStart w:id="8469" w:name="_Toc16699"/>
      <w:bookmarkStart w:id="8470" w:name="_Toc25657"/>
      <w:bookmarkStart w:id="8471" w:name="_Toc13179"/>
      <w:bookmarkStart w:id="8472" w:name="_Toc26250"/>
      <w:bookmarkStart w:id="8473" w:name="_Toc19315"/>
      <w:bookmarkStart w:id="8474" w:name="_Toc13371"/>
      <w:bookmarkStart w:id="8475" w:name="_Toc32410"/>
      <w:bookmarkStart w:id="8476" w:name="_Toc10224"/>
      <w:bookmarkStart w:id="8477" w:name="_Toc26233"/>
      <w:bookmarkStart w:id="8478" w:name="_Toc4175"/>
      <w:bookmarkStart w:id="8479" w:name="_Toc260"/>
      <w:bookmarkStart w:id="8480" w:name="_Toc22649"/>
      <w:bookmarkStart w:id="8481" w:name="_Toc11544"/>
      <w:bookmarkStart w:id="8482" w:name="_Toc3759"/>
      <w:bookmarkStart w:id="8483" w:name="_Toc23624"/>
      <w:bookmarkStart w:id="8484" w:name="_Toc6239"/>
      <w:bookmarkStart w:id="8485" w:name="_Toc8377"/>
      <w:bookmarkStart w:id="8486" w:name="_Toc8640"/>
      <w:bookmarkStart w:id="8487" w:name="_Toc26944"/>
      <w:bookmarkStart w:id="8488" w:name="_Toc23247"/>
      <w:bookmarkStart w:id="8489" w:name="_Toc25839"/>
      <w:bookmarkStart w:id="8490" w:name="_Toc16665"/>
      <w:bookmarkStart w:id="8491" w:name="_Toc8682"/>
      <w:bookmarkStart w:id="8492" w:name="_Toc229114531"/>
      <w:bookmarkStart w:id="8493" w:name="_Toc229225627"/>
      <w:r>
        <w:rPr>
          <w:rFonts w:ascii="Times New Roman" w:hAnsi="Times New Roman" w:hint="eastAsia"/>
          <w:color w:val="000000"/>
        </w:rPr>
        <w:t>二、中止与结案</w:t>
      </w:r>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（一）中止</w:t>
      </w:r>
    </w:p>
    <w:p w:rsidR="00800760" w:rsidRDefault="00235733">
      <w:pPr>
        <w:ind w:firstLine="436"/>
        <w:jc w:val="both"/>
        <w:rPr>
          <w:rFonts w:cs="宋体"/>
          <w:spacing w:val="4"/>
        </w:rPr>
      </w:pPr>
      <w:r>
        <w:rPr>
          <w:rFonts w:cs="宋体" w:hint="eastAsia"/>
          <w:spacing w:val="4"/>
        </w:rPr>
        <w:t>有下列情形之一的，当事人可以提出中止处理请求，由调解员或调解合议组作出是否中止的决定：</w:t>
      </w:r>
    </w:p>
    <w:p w:rsidR="00800760" w:rsidRDefault="00235733">
      <w:pPr>
        <w:ind w:firstLine="436"/>
        <w:jc w:val="both"/>
        <w:rPr>
          <w:rFonts w:cs="宋体"/>
          <w:spacing w:val="4"/>
        </w:rPr>
      </w:pPr>
      <w:r>
        <w:rPr>
          <w:rFonts w:cs="宋体" w:hint="eastAsia"/>
          <w:spacing w:val="4"/>
        </w:rPr>
        <w:t>（</w:t>
      </w:r>
      <w:r>
        <w:rPr>
          <w:rFonts w:cs="宋体"/>
          <w:spacing w:val="4"/>
        </w:rPr>
        <w:t>1</w:t>
      </w:r>
      <w:r>
        <w:rPr>
          <w:rFonts w:cs="宋体" w:hint="eastAsia"/>
          <w:spacing w:val="4"/>
        </w:rPr>
        <w:t>）因正当理由经双方当事人认可，暂时不能参加调解或中途要求中止调解的；</w:t>
      </w:r>
    </w:p>
    <w:p w:rsidR="00800760" w:rsidRDefault="00235733">
      <w:pPr>
        <w:ind w:firstLine="436"/>
        <w:jc w:val="both"/>
        <w:rPr>
          <w:rFonts w:cs="宋体"/>
          <w:spacing w:val="4"/>
        </w:rPr>
      </w:pPr>
      <w:r>
        <w:rPr>
          <w:rFonts w:cs="宋体" w:hint="eastAsia"/>
          <w:spacing w:val="4"/>
        </w:rPr>
        <w:t>（</w:t>
      </w:r>
      <w:r>
        <w:rPr>
          <w:rFonts w:cs="宋体"/>
          <w:spacing w:val="4"/>
        </w:rPr>
        <w:t>2</w:t>
      </w:r>
      <w:r>
        <w:rPr>
          <w:rFonts w:cs="宋体" w:hint="eastAsia"/>
          <w:spacing w:val="4"/>
        </w:rPr>
        <w:t>）专利权被提起无效宣告请求的；</w:t>
      </w:r>
    </w:p>
    <w:p w:rsidR="00800760" w:rsidRDefault="00235733">
      <w:pPr>
        <w:ind w:firstLine="436"/>
        <w:jc w:val="both"/>
        <w:rPr>
          <w:rFonts w:cs="宋体"/>
          <w:spacing w:val="4"/>
        </w:rPr>
      </w:pPr>
      <w:r>
        <w:rPr>
          <w:rFonts w:cs="宋体" w:hint="eastAsia"/>
          <w:spacing w:val="4"/>
        </w:rPr>
        <w:t>（</w:t>
      </w:r>
      <w:r>
        <w:rPr>
          <w:rFonts w:cs="宋体"/>
          <w:spacing w:val="4"/>
        </w:rPr>
        <w:t>3</w:t>
      </w:r>
      <w:r>
        <w:rPr>
          <w:rFonts w:cs="宋体" w:hint="eastAsia"/>
          <w:spacing w:val="4"/>
        </w:rPr>
        <w:t>）不可抗力或意外事件；</w:t>
      </w:r>
    </w:p>
    <w:p w:rsidR="00800760" w:rsidRDefault="00235733">
      <w:pPr>
        <w:ind w:firstLine="436"/>
        <w:jc w:val="both"/>
        <w:rPr>
          <w:rFonts w:cs="宋体"/>
          <w:spacing w:val="4"/>
        </w:rPr>
      </w:pPr>
      <w:r>
        <w:rPr>
          <w:rFonts w:cs="宋体" w:hint="eastAsia"/>
          <w:spacing w:val="4"/>
        </w:rPr>
        <w:t>（</w:t>
      </w:r>
      <w:r>
        <w:rPr>
          <w:rFonts w:cs="宋体"/>
          <w:spacing w:val="4"/>
        </w:rPr>
        <w:t>4</w:t>
      </w:r>
      <w:r>
        <w:rPr>
          <w:rFonts w:cs="宋体" w:hint="eastAsia"/>
          <w:spacing w:val="4"/>
        </w:rPr>
        <w:t>）法律、法规、规章规定的其他应当中止处理的情形。</w:t>
      </w:r>
    </w:p>
    <w:p w:rsidR="00800760" w:rsidRDefault="00235733">
      <w:pPr>
        <w:ind w:firstLine="436"/>
        <w:jc w:val="both"/>
        <w:rPr>
          <w:rFonts w:cs="宋体"/>
          <w:spacing w:val="4"/>
        </w:rPr>
      </w:pPr>
      <w:r>
        <w:rPr>
          <w:rFonts w:cs="宋体" w:hint="eastAsia"/>
          <w:spacing w:val="4"/>
        </w:rPr>
        <w:t>中止原因消除后，依当事人申请可以恢复调解，中止时间不计入调解期限。</w:t>
      </w:r>
    </w:p>
    <w:p w:rsidR="00800760" w:rsidRDefault="00235733">
      <w:pPr>
        <w:pStyle w:val="4"/>
        <w:spacing w:before="240"/>
        <w:ind w:firstLine="444"/>
        <w:rPr>
          <w:rFonts w:ascii="Times New Roman" w:hAnsi="Times New Roman"/>
          <w:color w:val="000000"/>
        </w:rPr>
      </w:pPr>
      <w:r>
        <w:rPr>
          <w:rFonts w:ascii="Times New Roman" w:hAnsi="Times New Roman" w:hint="eastAsia"/>
          <w:color w:val="000000"/>
        </w:rPr>
        <w:t>（二）结案</w:t>
      </w:r>
    </w:p>
    <w:p w:rsidR="00800760" w:rsidRDefault="00235733">
      <w:pPr>
        <w:ind w:firstLine="436"/>
        <w:jc w:val="both"/>
        <w:rPr>
          <w:rFonts w:cs="宋体"/>
          <w:spacing w:val="4"/>
        </w:rPr>
      </w:pPr>
      <w:r>
        <w:rPr>
          <w:rFonts w:cs="宋体"/>
          <w:spacing w:val="4"/>
        </w:rPr>
        <w:t xml:space="preserve">1. </w:t>
      </w:r>
      <w:r>
        <w:rPr>
          <w:rFonts w:cs="宋体" w:hint="eastAsia"/>
          <w:spacing w:val="4"/>
        </w:rPr>
        <w:t>制作调解协议书</w:t>
      </w:r>
    </w:p>
    <w:p w:rsidR="00800760" w:rsidRDefault="00235733">
      <w:pPr>
        <w:ind w:firstLine="436"/>
        <w:jc w:val="both"/>
        <w:rPr>
          <w:rFonts w:cs="宋体"/>
          <w:spacing w:val="4"/>
        </w:rPr>
      </w:pPr>
      <w:r>
        <w:rPr>
          <w:rFonts w:cs="宋体" w:hint="eastAsia"/>
          <w:spacing w:val="4"/>
        </w:rPr>
        <w:t>经调解达成协议的，有下列情形之一的，应当制作调解协议书：</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1</w:t>
      </w:r>
      <w:r>
        <w:rPr>
          <w:rFonts w:cs="宋体" w:hint="eastAsia"/>
          <w:spacing w:val="4"/>
        </w:rPr>
        <w:t>）一方当事人要求制作调解协议书的；</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2</w:t>
      </w:r>
      <w:r>
        <w:rPr>
          <w:rFonts w:cs="宋体" w:hint="eastAsia"/>
          <w:spacing w:val="4"/>
        </w:rPr>
        <w:t>）有给付内容且不能及时履行完毕的；</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3</w:t>
      </w:r>
      <w:r>
        <w:rPr>
          <w:rFonts w:cs="宋体" w:hint="eastAsia"/>
          <w:spacing w:val="4"/>
        </w:rPr>
        <w:t>）调解的事项具有重大、疑难、复杂纠纷情形的；</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4</w:t>
      </w:r>
      <w:r>
        <w:rPr>
          <w:rFonts w:cs="宋体" w:hint="eastAsia"/>
          <w:spacing w:val="4"/>
        </w:rPr>
        <w:t>）应当制作调解协议书的其他情形。</w:t>
      </w:r>
    </w:p>
    <w:p w:rsidR="00800760" w:rsidRDefault="00235733">
      <w:pPr>
        <w:ind w:firstLine="436"/>
        <w:jc w:val="both"/>
        <w:rPr>
          <w:rFonts w:cs="宋体"/>
          <w:spacing w:val="4"/>
        </w:rPr>
      </w:pPr>
      <w:r>
        <w:rPr>
          <w:rFonts w:cs="宋体"/>
          <w:spacing w:val="4"/>
        </w:rPr>
        <w:t xml:space="preserve">2. </w:t>
      </w:r>
      <w:r>
        <w:rPr>
          <w:rFonts w:cs="宋体" w:hint="eastAsia"/>
          <w:spacing w:val="4"/>
        </w:rPr>
        <w:t>终止调解</w:t>
      </w:r>
    </w:p>
    <w:p w:rsidR="00800760" w:rsidRDefault="00235733">
      <w:pPr>
        <w:ind w:firstLine="436"/>
        <w:jc w:val="both"/>
        <w:rPr>
          <w:rFonts w:cs="宋体"/>
          <w:spacing w:val="4"/>
        </w:rPr>
      </w:pPr>
      <w:r>
        <w:rPr>
          <w:rFonts w:cs="宋体" w:hint="eastAsia"/>
          <w:spacing w:val="4"/>
        </w:rPr>
        <w:t>有下列情形之一的，调解员应当终止调解：</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1</w:t>
      </w:r>
      <w:r>
        <w:rPr>
          <w:rFonts w:cs="宋体" w:hint="eastAsia"/>
          <w:spacing w:val="4"/>
        </w:rPr>
        <w:t>）一方当事人要求终止调解；</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2</w:t>
      </w:r>
      <w:r>
        <w:rPr>
          <w:rFonts w:cs="宋体" w:hint="eastAsia"/>
          <w:spacing w:val="4"/>
        </w:rPr>
        <w:t>）调解期限届满，且未达成调解协议的；</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3</w:t>
      </w:r>
      <w:r>
        <w:rPr>
          <w:rFonts w:cs="宋体" w:hint="eastAsia"/>
          <w:spacing w:val="4"/>
        </w:rPr>
        <w:t>）当事人无正当理由缺席或者中途退出调解的；</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4</w:t>
      </w:r>
      <w:r>
        <w:rPr>
          <w:rFonts w:cs="宋体" w:hint="eastAsia"/>
          <w:spacing w:val="4"/>
        </w:rPr>
        <w:t>）调解结果涉及第三人利益，第三人不同意调解的；</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5</w:t>
      </w:r>
      <w:r>
        <w:rPr>
          <w:rFonts w:cs="宋体" w:hint="eastAsia"/>
          <w:spacing w:val="4"/>
        </w:rPr>
        <w:t>）公民死亡或者法人、其他组织终止，无权利义务承受人或者权利义务承受人放弃调解的；</w:t>
      </w:r>
    </w:p>
    <w:p w:rsidR="00800760" w:rsidRDefault="00235733">
      <w:pPr>
        <w:widowControl w:val="0"/>
        <w:ind w:firstLineChars="0" w:firstLine="399"/>
        <w:jc w:val="both"/>
        <w:rPr>
          <w:rFonts w:cs="宋体"/>
          <w:spacing w:val="4"/>
        </w:rPr>
      </w:pPr>
      <w:r>
        <w:rPr>
          <w:rFonts w:cs="宋体" w:hint="eastAsia"/>
          <w:spacing w:val="4"/>
        </w:rPr>
        <w:t>（</w:t>
      </w:r>
      <w:r>
        <w:rPr>
          <w:rFonts w:cs="宋体" w:hint="eastAsia"/>
          <w:spacing w:val="4"/>
        </w:rPr>
        <w:t>6</w:t>
      </w:r>
      <w:r>
        <w:rPr>
          <w:rFonts w:cs="宋体" w:hint="eastAsia"/>
          <w:spacing w:val="4"/>
        </w:rPr>
        <w:t>）当事人就争议纠纷提起诉讼或者仲裁的；</w:t>
      </w:r>
    </w:p>
    <w:p w:rsidR="00800760" w:rsidRDefault="00235733" w:rsidP="00144708">
      <w:pPr>
        <w:widowControl w:val="0"/>
        <w:ind w:firstLineChars="0" w:firstLine="399"/>
        <w:jc w:val="both"/>
      </w:pPr>
      <w:r>
        <w:rPr>
          <w:rFonts w:cs="宋体" w:hint="eastAsia"/>
          <w:spacing w:val="4"/>
        </w:rPr>
        <w:t>（</w:t>
      </w:r>
      <w:r>
        <w:rPr>
          <w:rFonts w:cs="宋体" w:hint="eastAsia"/>
          <w:spacing w:val="4"/>
        </w:rPr>
        <w:t>7</w:t>
      </w:r>
      <w:r>
        <w:rPr>
          <w:rFonts w:cs="宋体" w:hint="eastAsia"/>
          <w:spacing w:val="4"/>
        </w:rPr>
        <w:t>）法律、法规、规章规定的需要终止调解的其他情形。</w:t>
      </w:r>
      <w:bookmarkStart w:id="8494" w:name="_Toc17126"/>
      <w:bookmarkStart w:id="8495" w:name="_Toc6616"/>
      <w:bookmarkStart w:id="8496" w:name="_Toc27757"/>
      <w:bookmarkStart w:id="8497" w:name="_Toc10552"/>
    </w:p>
    <w:p w:rsidR="00800760" w:rsidRDefault="00235733">
      <w:pPr>
        <w:pStyle w:val="2"/>
        <w:spacing w:beforeLines="50" w:afterLines="50"/>
        <w:ind w:firstLineChars="0" w:firstLine="0"/>
        <w:rPr>
          <w:rFonts w:ascii="Times New Roman" w:hAnsi="Times New Roman"/>
        </w:rPr>
      </w:pPr>
      <w:bookmarkStart w:id="8498" w:name="_Toc14153"/>
      <w:bookmarkStart w:id="8499" w:name="_Toc22577"/>
      <w:bookmarkStart w:id="8500" w:name="_Toc31914"/>
      <w:bookmarkStart w:id="8501" w:name="_Toc7044"/>
      <w:bookmarkStart w:id="8502" w:name="_Toc31572"/>
      <w:bookmarkStart w:id="8503" w:name="_Toc229114532"/>
      <w:bookmarkStart w:id="8504" w:name="_Toc3511"/>
      <w:bookmarkStart w:id="8505" w:name="_Toc22367"/>
      <w:bookmarkStart w:id="8506" w:name="_Toc229225628"/>
      <w:r>
        <w:rPr>
          <w:rFonts w:ascii="Times New Roman" w:hAnsi="Times New Roman" w:hint="eastAsia"/>
        </w:rPr>
        <w:t>第三节　专利开放许可实施纠纷行政调解案件的类型</w:t>
      </w:r>
      <w:bookmarkEnd w:id="8494"/>
      <w:bookmarkEnd w:id="8495"/>
      <w:bookmarkEnd w:id="8496"/>
      <w:bookmarkEnd w:id="8497"/>
      <w:bookmarkEnd w:id="8498"/>
      <w:bookmarkEnd w:id="8499"/>
      <w:bookmarkEnd w:id="8500"/>
      <w:bookmarkEnd w:id="8501"/>
      <w:bookmarkEnd w:id="8502"/>
      <w:bookmarkEnd w:id="8503"/>
      <w:bookmarkEnd w:id="8504"/>
      <w:bookmarkEnd w:id="8505"/>
      <w:bookmarkEnd w:id="8506"/>
    </w:p>
    <w:p w:rsidR="00800760" w:rsidRDefault="00235733" w:rsidP="00235733">
      <w:pPr>
        <w:ind w:firstLineChars="177" w:firstLine="386"/>
        <w:jc w:val="both"/>
        <w:rPr>
          <w:rFonts w:cs="宋体"/>
          <w:spacing w:val="4"/>
        </w:rPr>
      </w:pPr>
      <w:r>
        <w:rPr>
          <w:rFonts w:cs="宋体" w:hint="eastAsia"/>
          <w:spacing w:val="4"/>
        </w:rPr>
        <w:t>由当事人提起行政调解请求的专利开放许可实施纠纷针对的是发生在专利许可开放声明发布以后，被许可人实施开放许可专利的过程中引起的纠纷。专利开放许可纠纷调解案件中，按照产生原因，纠纷的类型主要包括：</w:t>
      </w:r>
    </w:p>
    <w:p w:rsidR="00800760" w:rsidRDefault="00235733" w:rsidP="00235733">
      <w:pPr>
        <w:ind w:firstLineChars="177" w:firstLine="386"/>
        <w:jc w:val="both"/>
        <w:rPr>
          <w:rFonts w:cs="宋体"/>
          <w:spacing w:val="4"/>
        </w:rPr>
      </w:pPr>
      <w:r>
        <w:rPr>
          <w:rFonts w:cs="宋体" w:hint="eastAsia"/>
          <w:spacing w:val="4"/>
        </w:rPr>
        <w:t>1.</w:t>
      </w:r>
      <w:r>
        <w:rPr>
          <w:rFonts w:cs="宋体" w:hint="eastAsia"/>
        </w:rPr>
        <w:t xml:space="preserve"> </w:t>
      </w:r>
      <w:r>
        <w:rPr>
          <w:rFonts w:cs="宋体" w:hint="eastAsia"/>
          <w:spacing w:val="4"/>
        </w:rPr>
        <w:t>专利开放许可合同效力引起的纠纷；</w:t>
      </w:r>
    </w:p>
    <w:p w:rsidR="00800760" w:rsidRDefault="00235733" w:rsidP="00235733">
      <w:pPr>
        <w:ind w:firstLineChars="177" w:firstLine="386"/>
        <w:jc w:val="both"/>
        <w:rPr>
          <w:rFonts w:cs="宋体"/>
          <w:spacing w:val="4"/>
        </w:rPr>
      </w:pPr>
      <w:r>
        <w:rPr>
          <w:rFonts w:cs="宋体"/>
          <w:spacing w:val="4"/>
        </w:rPr>
        <w:t xml:space="preserve">2. </w:t>
      </w:r>
      <w:r>
        <w:rPr>
          <w:rFonts w:cs="宋体" w:hint="eastAsia"/>
          <w:spacing w:val="4"/>
        </w:rPr>
        <w:t>专利开放许可合同履行引起的纠纷；</w:t>
      </w:r>
    </w:p>
    <w:p w:rsidR="00800760" w:rsidRDefault="00235733" w:rsidP="00235733">
      <w:pPr>
        <w:ind w:firstLineChars="177" w:firstLine="386"/>
        <w:jc w:val="both"/>
        <w:rPr>
          <w:rFonts w:cs="宋体"/>
          <w:spacing w:val="4"/>
        </w:rPr>
      </w:pPr>
      <w:r>
        <w:rPr>
          <w:rFonts w:cs="宋体"/>
          <w:spacing w:val="4"/>
        </w:rPr>
        <w:t xml:space="preserve">3. </w:t>
      </w:r>
      <w:r>
        <w:rPr>
          <w:rFonts w:cs="宋体" w:hint="eastAsia"/>
          <w:spacing w:val="4"/>
        </w:rPr>
        <w:t>专利开放许可合同约定内容的争议引起的纠纷。</w:t>
      </w:r>
    </w:p>
    <w:p w:rsidR="00800760" w:rsidRDefault="00235733">
      <w:pPr>
        <w:pStyle w:val="3"/>
        <w:spacing w:before="240" w:afterLines="50"/>
        <w:ind w:firstLineChars="0" w:firstLine="372"/>
        <w:rPr>
          <w:rFonts w:ascii="Times New Roman" w:hAnsi="Times New Roman"/>
        </w:rPr>
      </w:pPr>
      <w:bookmarkStart w:id="8507" w:name="_Toc6758"/>
      <w:bookmarkStart w:id="8508" w:name="_Toc31463"/>
      <w:bookmarkStart w:id="8509" w:name="_Toc19335"/>
      <w:bookmarkStart w:id="8510" w:name="_Toc8459"/>
      <w:bookmarkStart w:id="8511" w:name="_Toc18818"/>
      <w:bookmarkStart w:id="8512" w:name="_Toc30589"/>
      <w:bookmarkStart w:id="8513" w:name="_Toc22339"/>
      <w:bookmarkStart w:id="8514" w:name="_Toc1220"/>
      <w:bookmarkStart w:id="8515" w:name="_Toc667"/>
      <w:bookmarkStart w:id="8516" w:name="_Toc30544"/>
      <w:bookmarkStart w:id="8517" w:name="_Toc1162"/>
      <w:bookmarkStart w:id="8518" w:name="_Toc6505"/>
      <w:bookmarkStart w:id="8519" w:name="_Toc23780"/>
      <w:bookmarkStart w:id="8520" w:name="_Toc28538"/>
      <w:bookmarkStart w:id="8521" w:name="_Toc17485"/>
      <w:bookmarkStart w:id="8522" w:name="_Toc5924"/>
      <w:bookmarkStart w:id="8523" w:name="_Toc25641"/>
      <w:bookmarkStart w:id="8524" w:name="_Toc21030"/>
      <w:bookmarkStart w:id="8525" w:name="_Toc9988"/>
      <w:bookmarkStart w:id="8526" w:name="_Toc24740"/>
      <w:bookmarkStart w:id="8527" w:name="_Toc1120"/>
      <w:bookmarkStart w:id="8528" w:name="_Toc22541"/>
      <w:bookmarkStart w:id="8529" w:name="_Toc26577"/>
      <w:bookmarkStart w:id="8530" w:name="_Toc21163"/>
      <w:bookmarkStart w:id="8531" w:name="_Toc16016"/>
      <w:bookmarkStart w:id="8532" w:name="_Toc23917"/>
      <w:bookmarkStart w:id="8533" w:name="_Toc229114533"/>
      <w:bookmarkStart w:id="8534" w:name="_Toc14237"/>
      <w:bookmarkStart w:id="8535" w:name="_Toc1187"/>
      <w:bookmarkStart w:id="8536" w:name="_Toc1863"/>
      <w:bookmarkStart w:id="8537" w:name="_Toc28389"/>
      <w:bookmarkStart w:id="8538" w:name="_Toc32714"/>
      <w:bookmarkStart w:id="8539" w:name="_Toc29279"/>
      <w:bookmarkStart w:id="8540" w:name="_Toc24698"/>
      <w:bookmarkStart w:id="8541" w:name="_Toc29752"/>
      <w:bookmarkStart w:id="8542" w:name="_Toc8566"/>
      <w:bookmarkStart w:id="8543" w:name="_Toc29277"/>
      <w:bookmarkStart w:id="8544" w:name="_Toc18673"/>
      <w:bookmarkStart w:id="8545" w:name="_Toc24543"/>
      <w:bookmarkStart w:id="8546" w:name="_Toc32355"/>
      <w:bookmarkStart w:id="8547" w:name="_Toc7460"/>
      <w:bookmarkStart w:id="8548" w:name="_Toc31183"/>
      <w:bookmarkStart w:id="8549" w:name="_Toc18066"/>
      <w:bookmarkStart w:id="8550" w:name="_Toc1046"/>
      <w:bookmarkStart w:id="8551" w:name="_Toc10829"/>
      <w:bookmarkStart w:id="8552" w:name="_Toc229225629"/>
      <w:r>
        <w:rPr>
          <w:rFonts w:ascii="Times New Roman" w:hAnsi="Times New Roman" w:hint="eastAsia"/>
        </w:rPr>
        <w:t>一、专利开放许可合同效力引起的纠纷</w:t>
      </w:r>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p>
    <w:p w:rsidR="00800760" w:rsidRDefault="00235733">
      <w:pPr>
        <w:ind w:firstLine="436"/>
        <w:jc w:val="both"/>
        <w:rPr>
          <w:rFonts w:cs="宋体"/>
          <w:spacing w:val="4"/>
        </w:rPr>
      </w:pPr>
      <w:r>
        <w:rPr>
          <w:rFonts w:cs="宋体" w:hint="eastAsia"/>
          <w:spacing w:val="4"/>
        </w:rPr>
        <w:t>专利开放许可属于一种技术许可合同。实施开放许可的对象应为有效专利，针对实用新型和外观设计专利，还需要提交结论为符合授权条件的专利权评价报告。发布开放许可声明的主体应为该有效专利的合法权利人。专利开放许可声明被公告撤回的，不影响在先给予的开放许可的效力。</w:t>
      </w:r>
    </w:p>
    <w:p w:rsidR="00800760" w:rsidRDefault="00235733" w:rsidP="00235733">
      <w:pPr>
        <w:ind w:firstLineChars="177" w:firstLine="386"/>
        <w:jc w:val="both"/>
        <w:rPr>
          <w:rFonts w:cs="宋体"/>
          <w:spacing w:val="4"/>
        </w:rPr>
      </w:pPr>
      <w:r>
        <w:rPr>
          <w:rFonts w:cs="宋体" w:hint="eastAsia"/>
          <w:spacing w:val="4"/>
        </w:rPr>
        <w:t>通常情况下，对专利开放许可合同效力的影响因素包括：</w:t>
      </w:r>
    </w:p>
    <w:p w:rsidR="00800760" w:rsidRDefault="00235733" w:rsidP="00235733">
      <w:pPr>
        <w:ind w:firstLineChars="177" w:firstLine="386"/>
        <w:jc w:val="both"/>
        <w:rPr>
          <w:rFonts w:cs="宋体"/>
          <w:spacing w:val="4"/>
        </w:rPr>
      </w:pPr>
      <w:r>
        <w:rPr>
          <w:rFonts w:cs="宋体" w:hint="eastAsia"/>
          <w:spacing w:val="4"/>
        </w:rPr>
        <w:t>（</w:t>
      </w:r>
      <w:r>
        <w:rPr>
          <w:rFonts w:cs="宋体" w:hint="eastAsia"/>
          <w:spacing w:val="4"/>
        </w:rPr>
        <w:t>1</w:t>
      </w:r>
      <w:r>
        <w:rPr>
          <w:rFonts w:cs="宋体" w:hint="eastAsia"/>
          <w:spacing w:val="4"/>
        </w:rPr>
        <w:t>）专利开放许可声明的失效引起合同效力的改变，如专利权人撤回专利开放许可声明，专利权被宣告无效，以及出现了其他的导致不符合专利开放许可规定的情形，如专利权人与第三人签订了排他或独占专利许可等。</w:t>
      </w:r>
    </w:p>
    <w:p w:rsidR="00800760" w:rsidRDefault="00235733" w:rsidP="00235733">
      <w:pPr>
        <w:ind w:firstLineChars="177" w:firstLine="386"/>
        <w:jc w:val="both"/>
        <w:rPr>
          <w:rFonts w:cs="宋体"/>
          <w:spacing w:val="4"/>
        </w:rPr>
      </w:pPr>
      <w:r>
        <w:rPr>
          <w:rFonts w:cs="宋体" w:hint="eastAsia"/>
          <w:spacing w:val="4"/>
        </w:rPr>
        <w:t>（</w:t>
      </w:r>
      <w:r>
        <w:rPr>
          <w:rFonts w:cs="宋体" w:hint="eastAsia"/>
          <w:spacing w:val="4"/>
        </w:rPr>
        <w:t>2</w:t>
      </w:r>
      <w:r>
        <w:rPr>
          <w:rFonts w:cs="宋体" w:hint="eastAsia"/>
          <w:spacing w:val="4"/>
        </w:rPr>
        <w:t>）专利权属变更引起的合同效力的改变，如专利权的转让、专利权的质押等。</w:t>
      </w:r>
      <w:r>
        <w:rPr>
          <w:rFonts w:cs="宋体" w:hint="eastAsia"/>
          <w:spacing w:val="4"/>
        </w:rPr>
        <w:t xml:space="preserve"> </w:t>
      </w:r>
    </w:p>
    <w:p w:rsidR="00800760" w:rsidRDefault="00235733">
      <w:pPr>
        <w:pStyle w:val="af6"/>
        <w:spacing w:before="120" w:after="120"/>
        <w:ind w:firstLineChars="0" w:firstLine="420"/>
        <w:rPr>
          <w:rFonts w:ascii="Times New Roman" w:hAnsi="Times New Roman"/>
        </w:rPr>
      </w:pPr>
      <w:bookmarkStart w:id="8553" w:name="bookmark551"/>
      <w:bookmarkStart w:id="8554" w:name="bookmark580"/>
      <w:bookmarkStart w:id="8555" w:name="bookmark622"/>
      <w:bookmarkStart w:id="8556" w:name="bookmark552"/>
      <w:bookmarkStart w:id="8557" w:name="bookmark585"/>
      <w:bookmarkStart w:id="8558" w:name="bookmark576"/>
      <w:bookmarkStart w:id="8559" w:name="bookmark577"/>
      <w:bookmarkStart w:id="8560" w:name="bookmark575"/>
      <w:bookmarkStart w:id="8561" w:name="bookmark579"/>
      <w:bookmarkStart w:id="8562" w:name="bookmark578"/>
      <w:bookmarkEnd w:id="8553"/>
      <w:bookmarkEnd w:id="8554"/>
      <w:bookmarkEnd w:id="8555"/>
      <w:bookmarkEnd w:id="8556"/>
      <w:bookmarkEnd w:id="8557"/>
      <w:bookmarkEnd w:id="8558"/>
      <w:bookmarkEnd w:id="8559"/>
      <w:bookmarkEnd w:id="8560"/>
      <w:bookmarkEnd w:id="8561"/>
      <w:bookmarkEnd w:id="8562"/>
      <w:r>
        <w:rPr>
          <w:rFonts w:ascii="Times New Roman" w:hAnsi="Times New Roman" w:hint="eastAsia"/>
        </w:rPr>
        <w:t>【案例</w:t>
      </w:r>
      <w:r>
        <w:rPr>
          <w:rFonts w:ascii="Times New Roman" w:hAnsi="Times New Roman"/>
        </w:rPr>
        <w:t>7-3-1</w:t>
      </w:r>
      <w:r>
        <w:rPr>
          <w:rFonts w:ascii="Times New Roman" w:hAnsi="Times New Roman" w:hint="eastAsia"/>
        </w:rPr>
        <w:t>】</w:t>
      </w:r>
      <w:r>
        <w:rPr>
          <w:rFonts w:ascii="Times New Roman" w:hAnsi="Times New Roman"/>
        </w:rPr>
        <w:t xml:space="preserve"> </w:t>
      </w:r>
      <w:r>
        <w:rPr>
          <w:rFonts w:ascii="Times New Roman" w:hAnsi="Times New Roman" w:hint="eastAsia"/>
        </w:rPr>
        <w:t>【专利权的权属变更和终止】</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化工公司于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5</w:t>
      </w:r>
      <w:r>
        <w:rPr>
          <w:rFonts w:ascii="Times New Roman" w:eastAsia="楷体_GB2312" w:hAnsi="Times New Roman" w:hint="eastAsia"/>
          <w:sz w:val="21"/>
          <w:szCs w:val="21"/>
        </w:rPr>
        <w:t>月对其拥有的名称为“一种</w:t>
      </w:r>
      <w:r>
        <w:rPr>
          <w:rFonts w:ascii="Times New Roman" w:eastAsia="楷体_GB2312" w:hAnsi="Times New Roman"/>
          <w:sz w:val="21"/>
          <w:szCs w:val="21"/>
        </w:rPr>
        <w:t>吐氏酸</w:t>
      </w:r>
      <w:r>
        <w:rPr>
          <w:rFonts w:ascii="Times New Roman" w:eastAsia="楷体_GB2312" w:hAnsi="Times New Roman" w:hint="eastAsia"/>
          <w:sz w:val="21"/>
          <w:szCs w:val="21"/>
        </w:rPr>
        <w:t>的生产方法”的发明专利和名称为“一种防老剂的生产装置”的实用新型专利提出了开放许可声明，并由国务院专利行政部门予以公告。</w:t>
      </w:r>
      <w:r>
        <w:rPr>
          <w:rFonts w:ascii="Times New Roman" w:eastAsia="楷体_GB2312" w:hAnsi="Times New Roman" w:hint="eastAsia"/>
          <w:sz w:val="21"/>
          <w:szCs w:val="21"/>
        </w:rPr>
        <w:t>B</w:t>
      </w:r>
      <w:r>
        <w:rPr>
          <w:rFonts w:ascii="Times New Roman" w:eastAsia="楷体_GB2312" w:hAnsi="Times New Roman" w:hint="eastAsia"/>
          <w:sz w:val="21"/>
          <w:szCs w:val="21"/>
        </w:rPr>
        <w:t>化工公司于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7</w:t>
      </w:r>
      <w:r>
        <w:rPr>
          <w:rFonts w:ascii="Times New Roman" w:eastAsia="楷体_GB2312" w:hAnsi="Times New Roman" w:hint="eastAsia"/>
          <w:sz w:val="21"/>
          <w:szCs w:val="21"/>
        </w:rPr>
        <w:t>月向</w:t>
      </w:r>
      <w:r>
        <w:rPr>
          <w:rFonts w:ascii="Times New Roman" w:eastAsia="楷体_GB2312" w:hAnsi="Times New Roman" w:hint="eastAsia"/>
          <w:sz w:val="21"/>
          <w:szCs w:val="21"/>
        </w:rPr>
        <w:t>A</w:t>
      </w:r>
      <w:r>
        <w:rPr>
          <w:rFonts w:ascii="Times New Roman" w:eastAsia="楷体_GB2312" w:hAnsi="Times New Roman" w:hint="eastAsia"/>
          <w:sz w:val="21"/>
          <w:szCs w:val="21"/>
        </w:rPr>
        <w:t>公司书面通知了实施上述两个专利，支付了专利许可费各</w:t>
      </w:r>
      <w:r>
        <w:rPr>
          <w:rFonts w:ascii="Times New Roman" w:eastAsia="楷体_GB2312" w:hAnsi="Times New Roman" w:hint="eastAsia"/>
          <w:sz w:val="21"/>
          <w:szCs w:val="21"/>
        </w:rPr>
        <w:t>100</w:t>
      </w:r>
      <w:r>
        <w:rPr>
          <w:rFonts w:ascii="Times New Roman" w:eastAsia="楷体_GB2312" w:hAnsi="Times New Roman" w:hint="eastAsia"/>
          <w:sz w:val="21"/>
          <w:szCs w:val="21"/>
        </w:rPr>
        <w:t>万，并投入了生产。</w:t>
      </w:r>
      <w:r>
        <w:rPr>
          <w:rFonts w:ascii="Times New Roman" w:eastAsia="楷体_GB2312" w:hAnsi="Times New Roman" w:hint="eastAsia"/>
          <w:sz w:val="21"/>
          <w:szCs w:val="21"/>
        </w:rPr>
        <w:t>B</w:t>
      </w:r>
      <w:r>
        <w:rPr>
          <w:rFonts w:ascii="Times New Roman" w:eastAsia="楷体_GB2312" w:hAnsi="Times New Roman" w:hint="eastAsia"/>
          <w:sz w:val="21"/>
          <w:szCs w:val="21"/>
        </w:rPr>
        <w:t>公司于</w:t>
      </w:r>
      <w:r>
        <w:rPr>
          <w:rFonts w:ascii="Times New Roman" w:eastAsia="楷体_GB2312" w:hAnsi="Times New Roman" w:hint="eastAsia"/>
          <w:sz w:val="21"/>
          <w:szCs w:val="21"/>
        </w:rPr>
        <w:t>2025</w:t>
      </w:r>
      <w:r>
        <w:rPr>
          <w:rFonts w:ascii="Times New Roman" w:eastAsia="楷体_GB2312" w:hAnsi="Times New Roman" w:hint="eastAsia"/>
          <w:sz w:val="21"/>
          <w:szCs w:val="21"/>
        </w:rPr>
        <w:t>年</w:t>
      </w:r>
      <w:r>
        <w:rPr>
          <w:rFonts w:ascii="Times New Roman" w:eastAsia="楷体_GB2312" w:hAnsi="Times New Roman" w:hint="eastAsia"/>
          <w:sz w:val="21"/>
          <w:szCs w:val="21"/>
        </w:rPr>
        <w:t>2</w:t>
      </w:r>
      <w:r>
        <w:rPr>
          <w:rFonts w:ascii="Times New Roman" w:eastAsia="楷体_GB2312" w:hAnsi="Times New Roman" w:hint="eastAsia"/>
          <w:sz w:val="21"/>
          <w:szCs w:val="21"/>
        </w:rPr>
        <w:t>月获知了如下信息：（</w:t>
      </w:r>
      <w:r>
        <w:rPr>
          <w:rFonts w:ascii="Times New Roman" w:eastAsia="楷体_GB2312" w:hAnsi="Times New Roman" w:hint="eastAsia"/>
          <w:sz w:val="21"/>
          <w:szCs w:val="21"/>
        </w:rPr>
        <w:t>1</w:t>
      </w:r>
      <w:r>
        <w:rPr>
          <w:rFonts w:ascii="Times New Roman" w:eastAsia="楷体_GB2312" w:hAnsi="Times New Roman" w:hint="eastAsia"/>
          <w:sz w:val="21"/>
          <w:szCs w:val="21"/>
        </w:rPr>
        <w:t>）</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10</w:t>
      </w:r>
      <w:r>
        <w:rPr>
          <w:rFonts w:ascii="Times New Roman" w:eastAsia="楷体_GB2312" w:hAnsi="Times New Roman" w:hint="eastAsia"/>
          <w:sz w:val="21"/>
          <w:szCs w:val="21"/>
        </w:rPr>
        <w:t>月</w:t>
      </w:r>
      <w:r>
        <w:rPr>
          <w:rFonts w:ascii="Times New Roman" w:eastAsia="楷体_GB2312" w:hAnsi="Times New Roman" w:hint="eastAsia"/>
          <w:sz w:val="21"/>
          <w:szCs w:val="21"/>
        </w:rPr>
        <w:t>A</w:t>
      </w:r>
      <w:r>
        <w:rPr>
          <w:rFonts w:ascii="Times New Roman" w:eastAsia="楷体_GB2312" w:hAnsi="Times New Roman" w:hint="eastAsia"/>
          <w:sz w:val="21"/>
          <w:szCs w:val="21"/>
        </w:rPr>
        <w:t>公司就上述实用新型专利与甲签订了专利权转让合同；（</w:t>
      </w:r>
      <w:r>
        <w:rPr>
          <w:rFonts w:ascii="Times New Roman" w:eastAsia="楷体_GB2312" w:hAnsi="Times New Roman" w:hint="eastAsia"/>
          <w:sz w:val="21"/>
          <w:szCs w:val="21"/>
        </w:rPr>
        <w:t>2</w:t>
      </w:r>
      <w:r>
        <w:rPr>
          <w:rFonts w:ascii="Times New Roman" w:eastAsia="楷体_GB2312" w:hAnsi="Times New Roman" w:hint="eastAsia"/>
          <w:sz w:val="21"/>
          <w:szCs w:val="21"/>
        </w:rPr>
        <w:t>）被许可人</w:t>
      </w:r>
      <w:r>
        <w:rPr>
          <w:rFonts w:ascii="Times New Roman" w:eastAsia="楷体_GB2312" w:hAnsi="Times New Roman" w:hint="eastAsia"/>
          <w:sz w:val="21"/>
          <w:szCs w:val="21"/>
        </w:rPr>
        <w:t>B</w:t>
      </w:r>
      <w:r>
        <w:rPr>
          <w:rFonts w:ascii="Times New Roman" w:eastAsia="楷体_GB2312" w:hAnsi="Times New Roman" w:hint="eastAsia"/>
          <w:sz w:val="21"/>
          <w:szCs w:val="21"/>
        </w:rPr>
        <w:t>公司获知，由于</w:t>
      </w:r>
      <w:r>
        <w:rPr>
          <w:rFonts w:ascii="Times New Roman" w:eastAsia="楷体_GB2312" w:hAnsi="Times New Roman" w:hint="eastAsia"/>
          <w:sz w:val="21"/>
          <w:szCs w:val="21"/>
        </w:rPr>
        <w:t>A</w:t>
      </w:r>
      <w:r>
        <w:rPr>
          <w:rFonts w:ascii="Times New Roman" w:eastAsia="楷体_GB2312" w:hAnsi="Times New Roman" w:hint="eastAsia"/>
          <w:sz w:val="21"/>
          <w:szCs w:val="21"/>
        </w:rPr>
        <w:t>公司没有对上述发明专利因未缴纳专利年费导致专利权于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12</w:t>
      </w:r>
      <w:r>
        <w:rPr>
          <w:rFonts w:ascii="Times New Roman" w:eastAsia="楷体_GB2312" w:hAnsi="Times New Roman" w:hint="eastAsia"/>
          <w:sz w:val="21"/>
          <w:szCs w:val="21"/>
        </w:rPr>
        <w:t>月终止。</w:t>
      </w:r>
      <w:r>
        <w:rPr>
          <w:rFonts w:ascii="Times New Roman" w:eastAsia="楷体_GB2312" w:hAnsi="Times New Roman" w:hint="eastAsia"/>
          <w:sz w:val="21"/>
          <w:szCs w:val="21"/>
        </w:rPr>
        <w:t>B</w:t>
      </w:r>
      <w:r>
        <w:rPr>
          <w:rFonts w:ascii="Times New Roman" w:eastAsia="楷体_GB2312" w:hAnsi="Times New Roman" w:hint="eastAsia"/>
          <w:sz w:val="21"/>
          <w:szCs w:val="21"/>
        </w:rPr>
        <w:t>公司认为</w:t>
      </w:r>
      <w:r>
        <w:rPr>
          <w:rFonts w:ascii="Times New Roman" w:eastAsia="楷体_GB2312" w:hAnsi="Times New Roman" w:hint="eastAsia"/>
          <w:sz w:val="21"/>
          <w:szCs w:val="21"/>
        </w:rPr>
        <w:t>A</w:t>
      </w:r>
      <w:r>
        <w:rPr>
          <w:rFonts w:ascii="Times New Roman" w:eastAsia="楷体_GB2312" w:hAnsi="Times New Roman" w:hint="eastAsia"/>
          <w:sz w:val="21"/>
          <w:szCs w:val="21"/>
        </w:rPr>
        <w:t>公司的专利转让行为和专利权终止影响了</w:t>
      </w:r>
      <w:r>
        <w:rPr>
          <w:rFonts w:ascii="Times New Roman" w:eastAsia="楷体_GB2312" w:hAnsi="Times New Roman" w:hint="eastAsia"/>
          <w:sz w:val="21"/>
          <w:szCs w:val="21"/>
        </w:rPr>
        <w:t>B</w:t>
      </w:r>
      <w:r>
        <w:rPr>
          <w:rFonts w:ascii="Times New Roman" w:eastAsia="楷体_GB2312" w:hAnsi="Times New Roman" w:hint="eastAsia"/>
          <w:sz w:val="21"/>
          <w:szCs w:val="21"/>
        </w:rPr>
        <w:t>公司实施上述两件专利，要求</w:t>
      </w:r>
      <w:r>
        <w:rPr>
          <w:rFonts w:ascii="Times New Roman" w:eastAsia="楷体_GB2312" w:hAnsi="Times New Roman" w:hint="eastAsia"/>
          <w:sz w:val="21"/>
          <w:szCs w:val="21"/>
        </w:rPr>
        <w:t>A</w:t>
      </w:r>
      <w:r>
        <w:rPr>
          <w:rFonts w:ascii="Times New Roman" w:eastAsia="楷体_GB2312" w:hAnsi="Times New Roman" w:hint="eastAsia"/>
          <w:sz w:val="21"/>
          <w:szCs w:val="21"/>
        </w:rPr>
        <w:t>公司退还专利许可使用费，并赔偿损失。</w:t>
      </w:r>
      <w:r>
        <w:rPr>
          <w:rFonts w:ascii="Times New Roman" w:eastAsia="楷体_GB2312" w:hAnsi="Times New Roman" w:hint="eastAsia"/>
          <w:sz w:val="21"/>
          <w:szCs w:val="21"/>
        </w:rPr>
        <w:t>A</w:t>
      </w:r>
      <w:r>
        <w:rPr>
          <w:rFonts w:ascii="Times New Roman" w:eastAsia="楷体_GB2312" w:hAnsi="Times New Roman" w:hint="eastAsia"/>
          <w:sz w:val="21"/>
          <w:szCs w:val="21"/>
        </w:rPr>
        <w:t>公司认为专利的转让、专利权的终止均不影响</w:t>
      </w:r>
      <w:r>
        <w:rPr>
          <w:rFonts w:ascii="Times New Roman" w:eastAsia="楷体_GB2312" w:hAnsi="Times New Roman" w:hint="eastAsia"/>
          <w:sz w:val="21"/>
          <w:szCs w:val="21"/>
        </w:rPr>
        <w:t>B</w:t>
      </w:r>
      <w:r>
        <w:rPr>
          <w:rFonts w:ascii="Times New Roman" w:eastAsia="楷体_GB2312" w:hAnsi="Times New Roman" w:hint="eastAsia"/>
          <w:sz w:val="21"/>
          <w:szCs w:val="21"/>
        </w:rPr>
        <w:t>公司实施专利技术，未造成损失。</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B</w:t>
      </w:r>
      <w:r>
        <w:rPr>
          <w:rFonts w:ascii="Times New Roman" w:eastAsia="楷体_GB2312" w:hAnsi="Times New Roman" w:hint="eastAsia"/>
          <w:sz w:val="21"/>
          <w:szCs w:val="21"/>
        </w:rPr>
        <w:t>公司在上述两件专利的专利权有效期间与作为专利权人的</w:t>
      </w:r>
      <w:r>
        <w:rPr>
          <w:rFonts w:ascii="Times New Roman" w:eastAsia="楷体_GB2312" w:hAnsi="Times New Roman" w:hint="eastAsia"/>
          <w:sz w:val="21"/>
          <w:szCs w:val="21"/>
        </w:rPr>
        <w:t>A</w:t>
      </w:r>
      <w:r>
        <w:rPr>
          <w:rFonts w:ascii="Times New Roman" w:eastAsia="楷体_GB2312" w:hAnsi="Times New Roman" w:hint="eastAsia"/>
          <w:sz w:val="21"/>
          <w:szCs w:val="21"/>
        </w:rPr>
        <w:t>公司签订的专利开放许可合同合法有效，因此，对各方当事人就都有法律约束力，各方均应按照合同履行义务。一方面，专利权转让合同不影响在合同成立前让与人与他人订立的相关专利实施许可合同的效力。本案中，</w:t>
      </w:r>
      <w:r>
        <w:rPr>
          <w:rFonts w:ascii="Times New Roman" w:eastAsia="楷体_GB2312" w:hAnsi="Times New Roman" w:hint="eastAsia"/>
          <w:sz w:val="21"/>
          <w:szCs w:val="21"/>
        </w:rPr>
        <w:t>B</w:t>
      </w:r>
      <w:r>
        <w:rPr>
          <w:rFonts w:ascii="Times New Roman" w:eastAsia="楷体_GB2312" w:hAnsi="Times New Roman" w:hint="eastAsia"/>
          <w:sz w:val="21"/>
          <w:szCs w:val="21"/>
        </w:rPr>
        <w:t>化工公司书面通知了</w:t>
      </w:r>
      <w:r>
        <w:rPr>
          <w:rFonts w:ascii="Times New Roman" w:eastAsia="楷体_GB2312" w:hAnsi="Times New Roman" w:hint="eastAsia"/>
          <w:sz w:val="21"/>
          <w:szCs w:val="21"/>
        </w:rPr>
        <w:t>A</w:t>
      </w:r>
      <w:r>
        <w:rPr>
          <w:rFonts w:ascii="Times New Roman" w:eastAsia="楷体_GB2312" w:hAnsi="Times New Roman" w:hint="eastAsia"/>
          <w:sz w:val="21"/>
          <w:szCs w:val="21"/>
        </w:rPr>
        <w:t>公司实施上述专利，支付了专利许可使用费，</w:t>
      </w:r>
      <w:r>
        <w:rPr>
          <w:rFonts w:ascii="Times New Roman" w:eastAsia="楷体_GB2312" w:hAnsi="Times New Roman" w:hint="eastAsia"/>
          <w:sz w:val="21"/>
          <w:szCs w:val="21"/>
        </w:rPr>
        <w:t>A</w:t>
      </w:r>
      <w:r>
        <w:rPr>
          <w:rFonts w:ascii="Times New Roman" w:eastAsia="楷体_GB2312" w:hAnsi="Times New Roman" w:hint="eastAsia"/>
          <w:sz w:val="21"/>
          <w:szCs w:val="21"/>
        </w:rPr>
        <w:t>公司在与</w:t>
      </w:r>
      <w:r>
        <w:rPr>
          <w:rFonts w:ascii="Times New Roman" w:eastAsia="楷体_GB2312" w:hAnsi="Times New Roman" w:hint="eastAsia"/>
          <w:sz w:val="21"/>
          <w:szCs w:val="21"/>
        </w:rPr>
        <w:t>B</w:t>
      </w:r>
      <w:r>
        <w:rPr>
          <w:rFonts w:ascii="Times New Roman" w:eastAsia="楷体_GB2312" w:hAnsi="Times New Roman" w:hint="eastAsia"/>
          <w:sz w:val="21"/>
          <w:szCs w:val="21"/>
        </w:rPr>
        <w:t>公司的专利开放许可合同生效之后，就“一种防老剂的生产装置”的实用新型专利与受让人甲签订的专利权转让合同，该专利权的转让并不影响</w:t>
      </w:r>
      <w:r>
        <w:rPr>
          <w:rFonts w:ascii="Times New Roman" w:eastAsia="楷体_GB2312" w:hAnsi="Times New Roman" w:hint="eastAsia"/>
          <w:sz w:val="21"/>
          <w:szCs w:val="21"/>
        </w:rPr>
        <w:t>B</w:t>
      </w:r>
      <w:r>
        <w:rPr>
          <w:rFonts w:ascii="Times New Roman" w:eastAsia="楷体_GB2312" w:hAnsi="Times New Roman" w:hint="eastAsia"/>
          <w:sz w:val="21"/>
          <w:szCs w:val="21"/>
        </w:rPr>
        <w:t>公司作为被许可人继续实施该专利，</w:t>
      </w:r>
      <w:r>
        <w:rPr>
          <w:rFonts w:ascii="Times New Roman" w:eastAsia="楷体_GB2312" w:hAnsi="Times New Roman" w:hint="eastAsia"/>
          <w:sz w:val="21"/>
          <w:szCs w:val="21"/>
        </w:rPr>
        <w:t>A</w:t>
      </w:r>
      <w:r>
        <w:rPr>
          <w:rFonts w:ascii="Times New Roman" w:eastAsia="楷体_GB2312" w:hAnsi="Times New Roman" w:hint="eastAsia"/>
          <w:sz w:val="21"/>
          <w:szCs w:val="21"/>
        </w:rPr>
        <w:t>公司并不构成违约，不需要赔偿责任。</w:t>
      </w:r>
      <w:r>
        <w:rPr>
          <w:rFonts w:ascii="Times New Roman" w:eastAsia="楷体_GB2312" w:hAnsi="Times New Roman" w:hint="eastAsia"/>
          <w:sz w:val="21"/>
          <w:szCs w:val="21"/>
        </w:rPr>
        <w:t xml:space="preserve"> </w:t>
      </w:r>
      <w:r>
        <w:rPr>
          <w:rFonts w:ascii="Times New Roman" w:eastAsia="楷体_GB2312" w:hAnsi="Times New Roman" w:hint="eastAsia"/>
          <w:sz w:val="21"/>
          <w:szCs w:val="21"/>
        </w:rPr>
        <w:t>另一方面，</w:t>
      </w:r>
      <w:r>
        <w:rPr>
          <w:rFonts w:ascii="Times New Roman" w:eastAsia="楷体_GB2312" w:hAnsi="Times New Roman" w:hint="eastAsia"/>
          <w:sz w:val="21"/>
          <w:szCs w:val="21"/>
        </w:rPr>
        <w:t>A</w:t>
      </w:r>
      <w:r>
        <w:rPr>
          <w:rFonts w:ascii="Times New Roman" w:eastAsia="楷体_GB2312" w:hAnsi="Times New Roman" w:hint="eastAsia"/>
          <w:sz w:val="21"/>
          <w:szCs w:val="21"/>
        </w:rPr>
        <w:t>公司作为开放许可的专利权人，应当履行按时缴纳专利年费以保证专利权有效的义务。名称为“一种吐氏酸的生产方法”的发明专利由于</w:t>
      </w:r>
      <w:r>
        <w:rPr>
          <w:rFonts w:ascii="Times New Roman" w:eastAsia="楷体_GB2312" w:hAnsi="Times New Roman" w:hint="eastAsia"/>
          <w:sz w:val="21"/>
          <w:szCs w:val="21"/>
        </w:rPr>
        <w:t>A</w:t>
      </w:r>
      <w:r>
        <w:rPr>
          <w:rFonts w:ascii="Times New Roman" w:eastAsia="楷体_GB2312" w:hAnsi="Times New Roman" w:hint="eastAsia"/>
          <w:sz w:val="21"/>
          <w:szCs w:val="21"/>
        </w:rPr>
        <w:t>公司未缴纳年费导致专利权于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12</w:t>
      </w:r>
      <w:r>
        <w:rPr>
          <w:rFonts w:ascii="Times New Roman" w:eastAsia="楷体_GB2312" w:hAnsi="Times New Roman" w:hint="eastAsia"/>
          <w:sz w:val="21"/>
          <w:szCs w:val="21"/>
        </w:rPr>
        <w:t>月终止，</w:t>
      </w:r>
      <w:r>
        <w:rPr>
          <w:rFonts w:ascii="Times New Roman" w:eastAsia="楷体_GB2312" w:hAnsi="Times New Roman" w:hint="eastAsia"/>
          <w:sz w:val="21"/>
          <w:szCs w:val="21"/>
        </w:rPr>
        <w:t>A</w:t>
      </w:r>
      <w:r>
        <w:rPr>
          <w:rFonts w:ascii="Times New Roman" w:eastAsia="楷体_GB2312" w:hAnsi="Times New Roman" w:hint="eastAsia"/>
          <w:sz w:val="21"/>
          <w:szCs w:val="21"/>
        </w:rPr>
        <w:t>公司应当承担一定的违约责任；与此同时，根据《专利法》第五十条的规定，开放许可声明在专利有效期内有效，</w:t>
      </w:r>
      <w:r>
        <w:rPr>
          <w:rFonts w:ascii="Times New Roman" w:eastAsia="楷体_GB2312" w:hAnsi="Times New Roman" w:hint="eastAsia"/>
          <w:sz w:val="21"/>
          <w:szCs w:val="21"/>
        </w:rPr>
        <w:t>A</w:t>
      </w:r>
      <w:r>
        <w:rPr>
          <w:rFonts w:ascii="Times New Roman" w:eastAsia="楷体_GB2312" w:hAnsi="Times New Roman" w:hint="eastAsia"/>
          <w:sz w:val="21"/>
          <w:szCs w:val="21"/>
        </w:rPr>
        <w:t>公司应当退还专利权终止后的该专利的许可使用费。</w:t>
      </w:r>
      <w:r>
        <w:rPr>
          <w:rFonts w:ascii="Times New Roman" w:eastAsia="楷体_GB2312" w:hAnsi="Times New Roman" w:hint="eastAsia"/>
          <w:sz w:val="21"/>
          <w:szCs w:val="21"/>
        </w:rPr>
        <w:t xml:space="preserve"> </w:t>
      </w:r>
    </w:p>
    <w:p w:rsidR="00800760" w:rsidRDefault="00235733">
      <w:pPr>
        <w:pStyle w:val="af6"/>
        <w:spacing w:before="120" w:after="120"/>
        <w:ind w:firstLineChars="0" w:firstLine="420"/>
        <w:rPr>
          <w:rFonts w:ascii="Times New Roman" w:hAnsi="Times New Roman"/>
        </w:rPr>
      </w:pPr>
      <w:r>
        <w:rPr>
          <w:rFonts w:ascii="Times New Roman" w:hAnsi="Times New Roman" w:hint="eastAsia"/>
        </w:rPr>
        <w:t>【案例</w:t>
      </w:r>
      <w:r>
        <w:rPr>
          <w:rFonts w:ascii="Times New Roman" w:hAnsi="Times New Roman" w:hint="eastAsia"/>
        </w:rPr>
        <w:t>7-</w:t>
      </w:r>
      <w:r>
        <w:rPr>
          <w:rFonts w:ascii="Times New Roman" w:hAnsi="Times New Roman"/>
        </w:rPr>
        <w:t>3-2</w:t>
      </w:r>
      <w:r>
        <w:rPr>
          <w:rFonts w:ascii="Times New Roman" w:hAnsi="Times New Roman" w:hint="eastAsia"/>
        </w:rPr>
        <w:t>】【专利权人私下签订独占许可合同】</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6</w:t>
      </w:r>
      <w:r>
        <w:rPr>
          <w:rFonts w:ascii="Times New Roman" w:eastAsia="楷体_GB2312" w:hAnsi="Times New Roman" w:hint="eastAsia"/>
          <w:sz w:val="21"/>
          <w:szCs w:val="21"/>
        </w:rPr>
        <w:t>月甲就</w:t>
      </w:r>
      <w:r>
        <w:rPr>
          <w:rFonts w:ascii="Times New Roman" w:eastAsia="楷体_GB2312" w:hAnsi="Times New Roman" w:hint="eastAsia"/>
          <w:sz w:val="21"/>
          <w:szCs w:val="21"/>
        </w:rPr>
        <w:t>A</w:t>
      </w:r>
      <w:r>
        <w:rPr>
          <w:rFonts w:ascii="Times New Roman" w:eastAsia="楷体_GB2312" w:hAnsi="Times New Roman" w:hint="eastAsia"/>
          <w:sz w:val="21"/>
          <w:szCs w:val="21"/>
        </w:rPr>
        <w:t>公司名称为</w:t>
      </w:r>
      <w:r>
        <w:rPr>
          <w:rFonts w:ascii="Times New Roman" w:eastAsia="楷体_GB2312" w:hAnsi="Times New Roman" w:cs="Times New Roman"/>
          <w:sz w:val="21"/>
          <w:szCs w:val="21"/>
        </w:rPr>
        <w:t>“</w:t>
      </w:r>
      <w:r>
        <w:rPr>
          <w:rFonts w:ascii="Times New Roman" w:eastAsia="楷体_GB2312" w:hAnsi="Times New Roman" w:hint="eastAsia"/>
          <w:sz w:val="21"/>
          <w:szCs w:val="21"/>
        </w:rPr>
        <w:t>一种新型太阳能电池板</w:t>
      </w:r>
      <w:r>
        <w:rPr>
          <w:rFonts w:ascii="Times New Roman" w:eastAsia="楷体_GB2312" w:hAnsi="Times New Roman" w:cs="Times New Roman"/>
          <w:sz w:val="21"/>
          <w:szCs w:val="21"/>
        </w:rPr>
        <w:t>”</w:t>
      </w:r>
      <w:r>
        <w:rPr>
          <w:rFonts w:ascii="Times New Roman" w:eastAsia="楷体_GB2312" w:hAnsi="Times New Roman" w:hint="eastAsia"/>
          <w:sz w:val="21"/>
          <w:szCs w:val="21"/>
        </w:rPr>
        <w:t>的发明专利与其签订了独占许可合同。</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12</w:t>
      </w:r>
      <w:r>
        <w:rPr>
          <w:rFonts w:ascii="Times New Roman" w:eastAsia="楷体_GB2312" w:hAnsi="Times New Roman" w:hint="eastAsia"/>
          <w:sz w:val="21"/>
          <w:szCs w:val="21"/>
        </w:rPr>
        <w:t>月，甲发现</w:t>
      </w:r>
      <w:r>
        <w:rPr>
          <w:rFonts w:ascii="Times New Roman" w:eastAsia="楷体_GB2312" w:hAnsi="Times New Roman" w:hint="eastAsia"/>
          <w:sz w:val="21"/>
          <w:szCs w:val="21"/>
        </w:rPr>
        <w:t>B</w:t>
      </w:r>
      <w:r>
        <w:rPr>
          <w:rFonts w:ascii="Times New Roman" w:eastAsia="楷体_GB2312" w:hAnsi="Times New Roman" w:hint="eastAsia"/>
          <w:sz w:val="21"/>
          <w:szCs w:val="21"/>
        </w:rPr>
        <w:t>公司和</w:t>
      </w:r>
      <w:r>
        <w:rPr>
          <w:rFonts w:ascii="Times New Roman" w:eastAsia="楷体_GB2312" w:hAnsi="Times New Roman" w:hint="eastAsia"/>
          <w:sz w:val="21"/>
          <w:szCs w:val="21"/>
        </w:rPr>
        <w:t>C</w:t>
      </w:r>
      <w:r>
        <w:rPr>
          <w:rFonts w:ascii="Times New Roman" w:eastAsia="楷体_GB2312" w:hAnsi="Times New Roman" w:hint="eastAsia"/>
          <w:sz w:val="21"/>
          <w:szCs w:val="21"/>
        </w:rPr>
        <w:t>公司也在市场上生产和销售该专利产品，认为</w:t>
      </w:r>
      <w:r>
        <w:rPr>
          <w:rFonts w:ascii="Times New Roman" w:eastAsia="楷体_GB2312" w:hAnsi="Times New Roman" w:hint="eastAsia"/>
          <w:sz w:val="21"/>
          <w:szCs w:val="21"/>
        </w:rPr>
        <w:t>A</w:t>
      </w:r>
      <w:r>
        <w:rPr>
          <w:rFonts w:ascii="Times New Roman" w:eastAsia="楷体_GB2312" w:hAnsi="Times New Roman" w:hint="eastAsia"/>
          <w:sz w:val="21"/>
          <w:szCs w:val="21"/>
        </w:rPr>
        <w:t>公司违反了与其签订的独占许可合同，要求</w:t>
      </w:r>
      <w:r>
        <w:rPr>
          <w:rFonts w:ascii="Times New Roman" w:eastAsia="楷体_GB2312" w:hAnsi="Times New Roman" w:hint="eastAsia"/>
          <w:sz w:val="21"/>
          <w:szCs w:val="21"/>
        </w:rPr>
        <w:t>A</w:t>
      </w:r>
      <w:r>
        <w:rPr>
          <w:rFonts w:ascii="Times New Roman" w:eastAsia="楷体_GB2312" w:hAnsi="Times New Roman" w:hint="eastAsia"/>
          <w:sz w:val="21"/>
          <w:szCs w:val="21"/>
        </w:rPr>
        <w:t>公司停止向</w:t>
      </w:r>
      <w:r>
        <w:rPr>
          <w:rFonts w:ascii="Times New Roman" w:eastAsia="楷体_GB2312" w:hAnsi="Times New Roman" w:hint="eastAsia"/>
          <w:sz w:val="21"/>
          <w:szCs w:val="21"/>
        </w:rPr>
        <w:t>B</w:t>
      </w:r>
      <w:r>
        <w:rPr>
          <w:rFonts w:ascii="Times New Roman" w:eastAsia="楷体_GB2312" w:hAnsi="Times New Roman" w:hint="eastAsia"/>
          <w:sz w:val="21"/>
          <w:szCs w:val="21"/>
        </w:rPr>
        <w:t>公司和</w:t>
      </w:r>
      <w:r>
        <w:rPr>
          <w:rFonts w:ascii="Times New Roman" w:eastAsia="楷体_GB2312" w:hAnsi="Times New Roman" w:hint="eastAsia"/>
          <w:sz w:val="21"/>
          <w:szCs w:val="21"/>
        </w:rPr>
        <w:t>C</w:t>
      </w:r>
      <w:r>
        <w:rPr>
          <w:rFonts w:ascii="Times New Roman" w:eastAsia="楷体_GB2312" w:hAnsi="Times New Roman" w:hint="eastAsia"/>
          <w:sz w:val="21"/>
          <w:szCs w:val="21"/>
        </w:rPr>
        <w:t>公司对该专利的实施许可，</w:t>
      </w:r>
      <w:r>
        <w:rPr>
          <w:rFonts w:ascii="Times New Roman" w:eastAsia="楷体_GB2312" w:hAnsi="Times New Roman" w:hint="eastAsia"/>
          <w:sz w:val="21"/>
          <w:szCs w:val="21"/>
        </w:rPr>
        <w:t>B</w:t>
      </w:r>
      <w:r>
        <w:rPr>
          <w:rFonts w:ascii="Times New Roman" w:eastAsia="楷体_GB2312" w:hAnsi="Times New Roman" w:hint="eastAsia"/>
          <w:sz w:val="21"/>
          <w:szCs w:val="21"/>
        </w:rPr>
        <w:t>公司和</w:t>
      </w:r>
      <w:r>
        <w:rPr>
          <w:rFonts w:ascii="Times New Roman" w:eastAsia="楷体_GB2312" w:hAnsi="Times New Roman" w:hint="eastAsia"/>
          <w:sz w:val="21"/>
          <w:szCs w:val="21"/>
        </w:rPr>
        <w:t>C</w:t>
      </w:r>
      <w:r>
        <w:rPr>
          <w:rFonts w:ascii="Times New Roman" w:eastAsia="楷体_GB2312" w:hAnsi="Times New Roman" w:hint="eastAsia"/>
          <w:sz w:val="21"/>
          <w:szCs w:val="21"/>
        </w:rPr>
        <w:t>公司停止制造和销售该专利产品。经查，</w:t>
      </w:r>
      <w:r>
        <w:rPr>
          <w:rFonts w:ascii="Times New Roman" w:eastAsia="楷体_GB2312" w:hAnsi="Times New Roman" w:hint="eastAsia"/>
          <w:sz w:val="21"/>
          <w:szCs w:val="21"/>
        </w:rPr>
        <w:t>A</w:t>
      </w:r>
      <w:r>
        <w:rPr>
          <w:rFonts w:ascii="Times New Roman" w:eastAsia="楷体_GB2312" w:hAnsi="Times New Roman" w:hint="eastAsia"/>
          <w:sz w:val="21"/>
          <w:szCs w:val="21"/>
        </w:rPr>
        <w:t>公司于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3</w:t>
      </w:r>
      <w:r>
        <w:rPr>
          <w:rFonts w:ascii="Times New Roman" w:eastAsia="楷体_GB2312" w:hAnsi="Times New Roman" w:hint="eastAsia"/>
          <w:sz w:val="21"/>
          <w:szCs w:val="21"/>
        </w:rPr>
        <w:t>月就该发明专利向国务院专利行政部门提出专利开放许可声明，</w:t>
      </w:r>
      <w:r>
        <w:rPr>
          <w:rFonts w:ascii="Times New Roman" w:eastAsia="楷体_GB2312" w:hAnsi="Times New Roman" w:hint="eastAsia"/>
          <w:sz w:val="21"/>
          <w:szCs w:val="21"/>
        </w:rPr>
        <w:t>B</w:t>
      </w:r>
      <w:r>
        <w:rPr>
          <w:rFonts w:ascii="Times New Roman" w:eastAsia="楷体_GB2312" w:hAnsi="Times New Roman" w:hint="eastAsia"/>
          <w:sz w:val="21"/>
          <w:szCs w:val="21"/>
        </w:rPr>
        <w:t>公司和</w:t>
      </w:r>
      <w:r>
        <w:rPr>
          <w:rFonts w:ascii="Times New Roman" w:eastAsia="楷体_GB2312" w:hAnsi="Times New Roman" w:hint="eastAsia"/>
          <w:sz w:val="21"/>
          <w:szCs w:val="21"/>
        </w:rPr>
        <w:t>C</w:t>
      </w:r>
      <w:r>
        <w:rPr>
          <w:rFonts w:ascii="Times New Roman" w:eastAsia="楷体_GB2312" w:hAnsi="Times New Roman" w:hint="eastAsia"/>
          <w:sz w:val="21"/>
          <w:szCs w:val="21"/>
        </w:rPr>
        <w:t>公司分别于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4</w:t>
      </w:r>
      <w:r>
        <w:rPr>
          <w:rFonts w:ascii="Times New Roman" w:eastAsia="楷体_GB2312" w:hAnsi="Times New Roman" w:hint="eastAsia"/>
          <w:sz w:val="21"/>
          <w:szCs w:val="21"/>
        </w:rPr>
        <w:t>月和</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8</w:t>
      </w:r>
      <w:r>
        <w:rPr>
          <w:rFonts w:ascii="Times New Roman" w:eastAsia="楷体_GB2312" w:hAnsi="Times New Roman" w:hint="eastAsia"/>
          <w:sz w:val="21"/>
          <w:szCs w:val="21"/>
        </w:rPr>
        <w:t>月与</w:t>
      </w:r>
      <w:r>
        <w:rPr>
          <w:rFonts w:ascii="Times New Roman" w:eastAsia="楷体_GB2312" w:hAnsi="Times New Roman" w:hint="eastAsia"/>
          <w:sz w:val="21"/>
          <w:szCs w:val="21"/>
        </w:rPr>
        <w:t>A</w:t>
      </w:r>
      <w:r>
        <w:rPr>
          <w:rFonts w:ascii="Times New Roman" w:eastAsia="楷体_GB2312" w:hAnsi="Times New Roman" w:hint="eastAsia"/>
          <w:sz w:val="21"/>
          <w:szCs w:val="21"/>
        </w:rPr>
        <w:t>公司签订了专利开放许可合同。</w:t>
      </w:r>
      <w:r>
        <w:rPr>
          <w:rFonts w:ascii="Times New Roman" w:eastAsia="楷体_GB2312" w:hAnsi="Times New Roman" w:hint="eastAsia"/>
          <w:sz w:val="21"/>
          <w:szCs w:val="21"/>
        </w:rPr>
        <w:t>B</w:t>
      </w:r>
      <w:r>
        <w:rPr>
          <w:rFonts w:ascii="Times New Roman" w:eastAsia="楷体_GB2312" w:hAnsi="Times New Roman" w:hint="eastAsia"/>
          <w:sz w:val="21"/>
          <w:szCs w:val="21"/>
        </w:rPr>
        <w:t>公司和</w:t>
      </w:r>
      <w:r>
        <w:rPr>
          <w:rFonts w:ascii="Times New Roman" w:eastAsia="楷体_GB2312" w:hAnsi="Times New Roman" w:hint="eastAsia"/>
          <w:sz w:val="21"/>
          <w:szCs w:val="21"/>
        </w:rPr>
        <w:t>C</w:t>
      </w:r>
      <w:r>
        <w:rPr>
          <w:rFonts w:ascii="Times New Roman" w:eastAsia="楷体_GB2312" w:hAnsi="Times New Roman" w:hint="eastAsia"/>
          <w:sz w:val="21"/>
          <w:szCs w:val="21"/>
        </w:rPr>
        <w:t>公司均主张其与</w:t>
      </w:r>
      <w:r>
        <w:rPr>
          <w:rFonts w:ascii="Times New Roman" w:eastAsia="楷体_GB2312" w:hAnsi="Times New Roman" w:hint="eastAsia"/>
          <w:sz w:val="21"/>
          <w:szCs w:val="21"/>
        </w:rPr>
        <w:t>A</w:t>
      </w:r>
      <w:r>
        <w:rPr>
          <w:rFonts w:ascii="Times New Roman" w:eastAsia="楷体_GB2312" w:hAnsi="Times New Roman" w:hint="eastAsia"/>
          <w:sz w:val="21"/>
          <w:szCs w:val="21"/>
        </w:rPr>
        <w:t>公司签订的专利开放许可合同合法有效，且已向国务院专利行政部门备案，甲无权干涉。</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专利权处于独占或者排他许可有效期限内的专利，专利权人不得对其实行开放许可；专利权人在对专利发布开放许可声明之后，不得与第三人就该专利签订独占或排他许可合同。本案中，由于</w:t>
      </w:r>
      <w:r>
        <w:rPr>
          <w:rFonts w:ascii="Times New Roman" w:eastAsia="楷体_GB2312" w:hAnsi="Times New Roman" w:hint="eastAsia"/>
          <w:sz w:val="21"/>
          <w:szCs w:val="21"/>
        </w:rPr>
        <w:t>A</w:t>
      </w:r>
      <w:r>
        <w:rPr>
          <w:rFonts w:ascii="Times New Roman" w:eastAsia="楷体_GB2312" w:hAnsi="Times New Roman" w:hint="eastAsia"/>
          <w:sz w:val="21"/>
          <w:szCs w:val="21"/>
        </w:rPr>
        <w:t>公司与甲签订了独占许可合同，属于《专利法实施细则》第八十六条规定的情形，该专利应当依法不能再被进行开放许可，</w:t>
      </w:r>
      <w:r>
        <w:rPr>
          <w:rFonts w:ascii="Times New Roman" w:eastAsia="楷体_GB2312" w:hAnsi="Times New Roman" w:hint="eastAsia"/>
          <w:sz w:val="21"/>
          <w:szCs w:val="21"/>
        </w:rPr>
        <w:t>A</w:t>
      </w:r>
      <w:r>
        <w:rPr>
          <w:rFonts w:ascii="Times New Roman" w:eastAsia="楷体_GB2312" w:hAnsi="Times New Roman" w:hint="eastAsia"/>
          <w:sz w:val="21"/>
          <w:szCs w:val="21"/>
        </w:rPr>
        <w:t>公司应当向国务院专利行政部门提出撤回开放许可声明。</w:t>
      </w:r>
      <w:r>
        <w:rPr>
          <w:rFonts w:ascii="Times New Roman" w:eastAsia="楷体_GB2312" w:hAnsi="Times New Roman" w:hint="eastAsia"/>
          <w:sz w:val="21"/>
          <w:szCs w:val="21"/>
        </w:rPr>
        <w:t>B</w:t>
      </w:r>
      <w:r>
        <w:rPr>
          <w:rFonts w:ascii="Times New Roman" w:eastAsia="楷体_GB2312" w:hAnsi="Times New Roman" w:hint="eastAsia"/>
          <w:sz w:val="21"/>
          <w:szCs w:val="21"/>
        </w:rPr>
        <w:t>公司与</w:t>
      </w:r>
      <w:r>
        <w:rPr>
          <w:rFonts w:ascii="Times New Roman" w:eastAsia="楷体_GB2312" w:hAnsi="Times New Roman" w:hint="eastAsia"/>
          <w:sz w:val="21"/>
          <w:szCs w:val="21"/>
        </w:rPr>
        <w:t>A</w:t>
      </w:r>
      <w:r>
        <w:rPr>
          <w:rFonts w:ascii="Times New Roman" w:eastAsia="楷体_GB2312" w:hAnsi="Times New Roman" w:hint="eastAsia"/>
          <w:sz w:val="21"/>
          <w:szCs w:val="21"/>
        </w:rPr>
        <w:t>公司于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4</w:t>
      </w:r>
      <w:r>
        <w:rPr>
          <w:rFonts w:ascii="Times New Roman" w:eastAsia="楷体_GB2312" w:hAnsi="Times New Roman" w:hint="eastAsia"/>
          <w:sz w:val="21"/>
          <w:szCs w:val="21"/>
        </w:rPr>
        <w:t>月签订专利开放许可合同，早于该专利发生上述导致其不能被开放许可的事实之前，因此该专利开放许可合同有效。根据《专利法》第五十条的规定，</w:t>
      </w:r>
      <w:r>
        <w:rPr>
          <w:rFonts w:ascii="Times New Roman" w:eastAsia="楷体_GB2312" w:hAnsi="Times New Roman" w:hint="eastAsia"/>
          <w:sz w:val="21"/>
          <w:szCs w:val="21"/>
        </w:rPr>
        <w:t>A</w:t>
      </w:r>
      <w:r>
        <w:rPr>
          <w:rFonts w:ascii="Times New Roman" w:eastAsia="楷体_GB2312" w:hAnsi="Times New Roman" w:hint="eastAsia"/>
          <w:sz w:val="21"/>
          <w:szCs w:val="21"/>
        </w:rPr>
        <w:t>公司即使对该专利开放许可声明提出撤回，也不影响在先基于的开放许可效力。</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C</w:t>
      </w:r>
      <w:r>
        <w:rPr>
          <w:rFonts w:ascii="Times New Roman" w:eastAsia="楷体_GB2312" w:hAnsi="Times New Roman" w:hint="eastAsia"/>
          <w:sz w:val="21"/>
          <w:szCs w:val="21"/>
        </w:rPr>
        <w:t>公司于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8</w:t>
      </w:r>
      <w:r>
        <w:rPr>
          <w:rFonts w:ascii="Times New Roman" w:eastAsia="楷体_GB2312" w:hAnsi="Times New Roman" w:hint="eastAsia"/>
          <w:sz w:val="21"/>
          <w:szCs w:val="21"/>
        </w:rPr>
        <w:t>月与</w:t>
      </w:r>
      <w:r>
        <w:rPr>
          <w:rFonts w:ascii="Times New Roman" w:eastAsia="楷体_GB2312" w:hAnsi="Times New Roman" w:hint="eastAsia"/>
          <w:sz w:val="21"/>
          <w:szCs w:val="21"/>
        </w:rPr>
        <w:t>A</w:t>
      </w:r>
      <w:r>
        <w:rPr>
          <w:rFonts w:ascii="Times New Roman" w:eastAsia="楷体_GB2312" w:hAnsi="Times New Roman" w:hint="eastAsia"/>
          <w:sz w:val="21"/>
          <w:szCs w:val="21"/>
        </w:rPr>
        <w:t>公司签订了专利开放许可合同，而由于</w:t>
      </w:r>
      <w:r>
        <w:rPr>
          <w:rFonts w:ascii="Times New Roman" w:eastAsia="楷体_GB2312" w:hAnsi="Times New Roman" w:hint="eastAsia"/>
          <w:sz w:val="21"/>
          <w:szCs w:val="21"/>
        </w:rPr>
        <w:t>A</w:t>
      </w:r>
      <w:r>
        <w:rPr>
          <w:rFonts w:ascii="Times New Roman" w:eastAsia="楷体_GB2312" w:hAnsi="Times New Roman" w:hint="eastAsia"/>
          <w:sz w:val="21"/>
          <w:szCs w:val="21"/>
        </w:rPr>
        <w:t>公司已就该专利与甲签订了独占许可合同，该专利不属于符合《专利法》规定的能够被进行开放许可的客体，因此该专利开放许可合同无效。《专利法实施细则》第八十八条规定了专利权人不得通过提供虚假材料、隐瞒事实等手段，作出开放许可声明。</w:t>
      </w:r>
      <w:r>
        <w:rPr>
          <w:rFonts w:ascii="Times New Roman" w:eastAsia="楷体_GB2312" w:hAnsi="Times New Roman" w:hint="eastAsia"/>
          <w:sz w:val="21"/>
          <w:szCs w:val="21"/>
        </w:rPr>
        <w:t>A</w:t>
      </w:r>
      <w:r>
        <w:rPr>
          <w:rFonts w:ascii="Times New Roman" w:eastAsia="楷体_GB2312" w:hAnsi="Times New Roman" w:hint="eastAsia"/>
          <w:sz w:val="21"/>
          <w:szCs w:val="21"/>
        </w:rPr>
        <w:t>公司在与甲签订了独占许可合同之后，继续对该专利进行开放许可，违反了上述诚信规定，因此应当对其与</w:t>
      </w:r>
      <w:r>
        <w:rPr>
          <w:rFonts w:ascii="Times New Roman" w:eastAsia="楷体_GB2312" w:hAnsi="Times New Roman" w:hint="eastAsia"/>
          <w:sz w:val="21"/>
          <w:szCs w:val="21"/>
        </w:rPr>
        <w:t>C</w:t>
      </w:r>
      <w:r>
        <w:rPr>
          <w:rFonts w:ascii="Times New Roman" w:eastAsia="楷体_GB2312" w:hAnsi="Times New Roman" w:hint="eastAsia"/>
          <w:sz w:val="21"/>
          <w:szCs w:val="21"/>
        </w:rPr>
        <w:t>公司签订的合同无效所导致的不利后果承担责任。</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由于专利开放许可声明依法由国务院专利行政部门予以公告，且</w:t>
      </w:r>
      <w:r>
        <w:rPr>
          <w:rFonts w:ascii="Times New Roman" w:eastAsia="楷体_GB2312" w:hAnsi="Times New Roman" w:hint="eastAsia"/>
          <w:sz w:val="21"/>
          <w:szCs w:val="21"/>
        </w:rPr>
        <w:t>B</w:t>
      </w:r>
      <w:r>
        <w:rPr>
          <w:rFonts w:ascii="Times New Roman" w:eastAsia="楷体_GB2312" w:hAnsi="Times New Roman" w:hint="eastAsia"/>
          <w:sz w:val="21"/>
          <w:szCs w:val="21"/>
        </w:rPr>
        <w:t>公司与</w:t>
      </w:r>
      <w:r>
        <w:rPr>
          <w:rFonts w:ascii="Times New Roman" w:eastAsia="楷体_GB2312" w:hAnsi="Times New Roman" w:hint="eastAsia"/>
          <w:sz w:val="21"/>
          <w:szCs w:val="21"/>
        </w:rPr>
        <w:t>A</w:t>
      </w:r>
      <w:r>
        <w:rPr>
          <w:rFonts w:ascii="Times New Roman" w:eastAsia="楷体_GB2312" w:hAnsi="Times New Roman" w:hint="eastAsia"/>
          <w:sz w:val="21"/>
          <w:szCs w:val="21"/>
        </w:rPr>
        <w:t>公司签订的专利开放许可合同已向国务院专利行政部门备案，上述公告和备案都具有公示的法律效力，甲应当对其仍与</w:t>
      </w:r>
      <w:r>
        <w:rPr>
          <w:rFonts w:ascii="Times New Roman" w:eastAsia="楷体_GB2312" w:hAnsi="Times New Roman" w:hint="eastAsia"/>
          <w:sz w:val="21"/>
          <w:szCs w:val="21"/>
        </w:rPr>
        <w:t>A</w:t>
      </w:r>
      <w:r>
        <w:rPr>
          <w:rFonts w:ascii="Times New Roman" w:eastAsia="楷体_GB2312" w:hAnsi="Times New Roman" w:hint="eastAsia"/>
          <w:sz w:val="21"/>
          <w:szCs w:val="21"/>
        </w:rPr>
        <w:t>公司签订独占许可合同带来的不利后果承担一定的责任。</w:t>
      </w:r>
    </w:p>
    <w:p w:rsidR="00800760" w:rsidRDefault="00235733">
      <w:pPr>
        <w:pStyle w:val="af6"/>
        <w:spacing w:before="120" w:after="120"/>
        <w:ind w:firstLineChars="0" w:firstLine="420"/>
        <w:rPr>
          <w:rFonts w:ascii="Times New Roman" w:hAnsi="Times New Roman"/>
        </w:rPr>
      </w:pPr>
      <w:r>
        <w:rPr>
          <w:rFonts w:ascii="Times New Roman" w:hAnsi="Times New Roman" w:hint="eastAsia"/>
        </w:rPr>
        <w:t>【案例</w:t>
      </w:r>
      <w:r>
        <w:rPr>
          <w:rFonts w:ascii="Times New Roman" w:hAnsi="Times New Roman" w:hint="eastAsia"/>
        </w:rPr>
        <w:t>7-</w:t>
      </w:r>
      <w:r>
        <w:rPr>
          <w:rFonts w:ascii="Times New Roman" w:hAnsi="Times New Roman"/>
        </w:rPr>
        <w:t>3-3</w:t>
      </w:r>
      <w:r>
        <w:rPr>
          <w:rFonts w:ascii="Times New Roman" w:hAnsi="Times New Roman" w:hint="eastAsia"/>
        </w:rPr>
        <w:t>】【专利权的质押】</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B</w:t>
      </w:r>
      <w:r>
        <w:rPr>
          <w:rFonts w:ascii="Times New Roman" w:eastAsia="楷体_GB2312" w:hAnsi="Times New Roman" w:hint="eastAsia"/>
          <w:sz w:val="21"/>
          <w:szCs w:val="21"/>
        </w:rPr>
        <w:t>公司于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6</w:t>
      </w:r>
      <w:r>
        <w:rPr>
          <w:rFonts w:ascii="Times New Roman" w:eastAsia="楷体_GB2312" w:hAnsi="Times New Roman" w:hint="eastAsia"/>
          <w:sz w:val="21"/>
          <w:szCs w:val="21"/>
        </w:rPr>
        <w:t>月就</w:t>
      </w:r>
      <w:r>
        <w:rPr>
          <w:rFonts w:ascii="Times New Roman" w:eastAsia="楷体_GB2312" w:hAnsi="Times New Roman" w:hint="eastAsia"/>
          <w:sz w:val="21"/>
          <w:szCs w:val="21"/>
        </w:rPr>
        <w:t>A</w:t>
      </w:r>
      <w:r>
        <w:rPr>
          <w:rFonts w:ascii="Times New Roman" w:eastAsia="楷体_GB2312" w:hAnsi="Times New Roman" w:hint="eastAsia"/>
          <w:sz w:val="21"/>
          <w:szCs w:val="21"/>
        </w:rPr>
        <w:t>环保公司名称为</w:t>
      </w:r>
      <w:r>
        <w:rPr>
          <w:rFonts w:ascii="Times New Roman" w:eastAsia="楷体_GB2312" w:hAnsi="Times New Roman" w:cs="Times New Roman"/>
          <w:sz w:val="21"/>
          <w:szCs w:val="21"/>
        </w:rPr>
        <w:t>“</w:t>
      </w:r>
      <w:r>
        <w:rPr>
          <w:rFonts w:ascii="Times New Roman" w:eastAsia="楷体_GB2312" w:hAnsi="Times New Roman" w:hint="eastAsia"/>
          <w:sz w:val="21"/>
          <w:szCs w:val="21"/>
        </w:rPr>
        <w:t>一种高效污水处理装置</w:t>
      </w:r>
      <w:r>
        <w:rPr>
          <w:rFonts w:ascii="Times New Roman" w:eastAsia="楷体_GB2312" w:hAnsi="Times New Roman" w:cs="Times New Roman"/>
          <w:sz w:val="21"/>
          <w:szCs w:val="21"/>
        </w:rPr>
        <w:t>”</w:t>
      </w:r>
      <w:r>
        <w:rPr>
          <w:rFonts w:ascii="Times New Roman" w:eastAsia="楷体_GB2312" w:hAnsi="Times New Roman" w:hint="eastAsia"/>
          <w:sz w:val="21"/>
          <w:szCs w:val="21"/>
        </w:rPr>
        <w:t>的实用新型专利与</w:t>
      </w:r>
      <w:r>
        <w:rPr>
          <w:rFonts w:ascii="Times New Roman" w:eastAsia="楷体_GB2312" w:hAnsi="Times New Roman" w:hint="eastAsia"/>
          <w:sz w:val="21"/>
          <w:szCs w:val="21"/>
        </w:rPr>
        <w:t>A</w:t>
      </w:r>
      <w:r>
        <w:rPr>
          <w:rFonts w:ascii="Times New Roman" w:eastAsia="楷体_GB2312" w:hAnsi="Times New Roman" w:hint="eastAsia"/>
          <w:sz w:val="21"/>
          <w:szCs w:val="21"/>
        </w:rPr>
        <w:t>公司签订了专利开放许可合同后，已投入生产并开始销售专利产品。</w:t>
      </w:r>
      <w:r>
        <w:rPr>
          <w:rFonts w:ascii="Times New Roman" w:eastAsia="楷体_GB2312" w:hAnsi="Times New Roman" w:hint="eastAsia"/>
          <w:sz w:val="21"/>
          <w:szCs w:val="21"/>
        </w:rPr>
        <w:t>A</w:t>
      </w:r>
      <w:r>
        <w:rPr>
          <w:rFonts w:ascii="Times New Roman" w:eastAsia="楷体_GB2312" w:hAnsi="Times New Roman" w:hint="eastAsia"/>
          <w:sz w:val="21"/>
          <w:szCs w:val="21"/>
        </w:rPr>
        <w:t>公司因经营困难，于</w:t>
      </w:r>
      <w:r>
        <w:rPr>
          <w:rFonts w:ascii="Times New Roman" w:eastAsia="楷体_GB2312" w:hAnsi="Times New Roman" w:hint="eastAsia"/>
          <w:sz w:val="21"/>
          <w:szCs w:val="21"/>
        </w:rPr>
        <w:t>2024</w:t>
      </w:r>
      <w:r>
        <w:rPr>
          <w:rFonts w:ascii="Times New Roman" w:eastAsia="楷体_GB2312" w:hAnsi="Times New Roman" w:hint="eastAsia"/>
          <w:sz w:val="21"/>
          <w:szCs w:val="21"/>
        </w:rPr>
        <w:t>年</w:t>
      </w:r>
      <w:r>
        <w:rPr>
          <w:rFonts w:ascii="Times New Roman" w:eastAsia="楷体_GB2312" w:hAnsi="Times New Roman" w:hint="eastAsia"/>
          <w:sz w:val="21"/>
          <w:szCs w:val="21"/>
        </w:rPr>
        <w:t>8</w:t>
      </w:r>
      <w:r>
        <w:rPr>
          <w:rFonts w:ascii="Times New Roman" w:eastAsia="楷体_GB2312" w:hAnsi="Times New Roman" w:hint="eastAsia"/>
          <w:sz w:val="21"/>
          <w:szCs w:val="21"/>
        </w:rPr>
        <w:t>月以该实用新型专利权作为质押物向借款公司</w:t>
      </w:r>
      <w:r>
        <w:rPr>
          <w:rFonts w:ascii="Times New Roman" w:eastAsia="楷体_GB2312" w:hAnsi="Times New Roman" w:hint="eastAsia"/>
          <w:sz w:val="21"/>
          <w:szCs w:val="21"/>
        </w:rPr>
        <w:t>C</w:t>
      </w:r>
      <w:r>
        <w:rPr>
          <w:rFonts w:ascii="Times New Roman" w:eastAsia="楷体_GB2312" w:hAnsi="Times New Roman" w:hint="eastAsia"/>
          <w:sz w:val="21"/>
          <w:szCs w:val="21"/>
        </w:rPr>
        <w:t>借款</w:t>
      </w:r>
      <w:r>
        <w:rPr>
          <w:rFonts w:ascii="Times New Roman" w:eastAsia="楷体_GB2312" w:hAnsi="Times New Roman" w:hint="eastAsia"/>
          <w:sz w:val="21"/>
          <w:szCs w:val="21"/>
        </w:rPr>
        <w:t>1</w:t>
      </w:r>
      <w:r>
        <w:rPr>
          <w:rFonts w:ascii="Times New Roman" w:eastAsia="楷体_GB2312" w:hAnsi="Times New Roman" w:hint="eastAsia"/>
          <w:sz w:val="21"/>
          <w:szCs w:val="21"/>
        </w:rPr>
        <w:t>年，质押合同约定若</w:t>
      </w:r>
      <w:r>
        <w:rPr>
          <w:rFonts w:ascii="Times New Roman" w:eastAsia="楷体_GB2312" w:hAnsi="Times New Roman" w:hint="eastAsia"/>
          <w:sz w:val="21"/>
          <w:szCs w:val="21"/>
        </w:rPr>
        <w:t>A</w:t>
      </w:r>
      <w:r>
        <w:rPr>
          <w:rFonts w:ascii="Times New Roman" w:eastAsia="楷体_GB2312" w:hAnsi="Times New Roman" w:hint="eastAsia"/>
          <w:sz w:val="21"/>
          <w:szCs w:val="21"/>
        </w:rPr>
        <w:t>公司未能按期还款，</w:t>
      </w:r>
      <w:r>
        <w:rPr>
          <w:rFonts w:ascii="Times New Roman" w:eastAsia="楷体_GB2312" w:hAnsi="Times New Roman" w:hint="eastAsia"/>
          <w:sz w:val="21"/>
          <w:szCs w:val="21"/>
        </w:rPr>
        <w:t>C</w:t>
      </w:r>
      <w:r>
        <w:rPr>
          <w:rFonts w:ascii="Times New Roman" w:eastAsia="楷体_GB2312" w:hAnsi="Times New Roman" w:hint="eastAsia"/>
          <w:sz w:val="21"/>
          <w:szCs w:val="21"/>
        </w:rPr>
        <w:t>公司有权处置该专利。</w:t>
      </w:r>
      <w:r>
        <w:rPr>
          <w:rFonts w:ascii="Times New Roman" w:eastAsia="楷体_GB2312" w:hAnsi="Times New Roman" w:hint="eastAsia"/>
          <w:sz w:val="21"/>
          <w:szCs w:val="21"/>
        </w:rPr>
        <w:t>2025</w:t>
      </w:r>
      <w:r>
        <w:rPr>
          <w:rFonts w:ascii="Times New Roman" w:eastAsia="楷体_GB2312" w:hAnsi="Times New Roman" w:hint="eastAsia"/>
          <w:sz w:val="21"/>
          <w:szCs w:val="21"/>
        </w:rPr>
        <w:t>年</w:t>
      </w:r>
      <w:r>
        <w:rPr>
          <w:rFonts w:ascii="Times New Roman" w:eastAsia="楷体_GB2312" w:hAnsi="Times New Roman" w:hint="eastAsia"/>
          <w:sz w:val="21"/>
          <w:szCs w:val="21"/>
        </w:rPr>
        <w:t>8</w:t>
      </w:r>
      <w:r>
        <w:rPr>
          <w:rFonts w:ascii="Times New Roman" w:eastAsia="楷体_GB2312" w:hAnsi="Times New Roman" w:hint="eastAsia"/>
          <w:sz w:val="21"/>
          <w:szCs w:val="21"/>
        </w:rPr>
        <w:t>月</w:t>
      </w:r>
      <w:r>
        <w:rPr>
          <w:rFonts w:ascii="Times New Roman" w:eastAsia="楷体_GB2312" w:hAnsi="Times New Roman" w:hint="eastAsia"/>
          <w:sz w:val="21"/>
          <w:szCs w:val="21"/>
        </w:rPr>
        <w:t>A</w:t>
      </w:r>
      <w:r>
        <w:rPr>
          <w:rFonts w:ascii="Times New Roman" w:eastAsia="楷体_GB2312" w:hAnsi="Times New Roman" w:hint="eastAsia"/>
          <w:sz w:val="21"/>
          <w:szCs w:val="21"/>
        </w:rPr>
        <w:t>公司因经营不善未能按期偿还贷款，</w:t>
      </w:r>
      <w:r>
        <w:rPr>
          <w:rFonts w:ascii="Times New Roman" w:eastAsia="楷体_GB2312" w:hAnsi="Times New Roman" w:hint="eastAsia"/>
          <w:sz w:val="21"/>
          <w:szCs w:val="21"/>
        </w:rPr>
        <w:t>C</w:t>
      </w:r>
      <w:r>
        <w:rPr>
          <w:rFonts w:ascii="Times New Roman" w:eastAsia="楷体_GB2312" w:hAnsi="Times New Roman" w:hint="eastAsia"/>
          <w:sz w:val="21"/>
          <w:szCs w:val="21"/>
        </w:rPr>
        <w:t>公司作为质权人主张行使质押权，要求终止专利开放许可，以便通过拍卖或其它类型的许可方式实现债权。</w:t>
      </w:r>
      <w:r>
        <w:rPr>
          <w:rFonts w:ascii="Times New Roman" w:eastAsia="楷体_GB2312" w:hAnsi="Times New Roman" w:hint="eastAsia"/>
          <w:sz w:val="21"/>
          <w:szCs w:val="21"/>
        </w:rPr>
        <w:t>B</w:t>
      </w:r>
      <w:r>
        <w:rPr>
          <w:rFonts w:ascii="Times New Roman" w:eastAsia="楷体_GB2312" w:hAnsi="Times New Roman" w:hint="eastAsia"/>
          <w:sz w:val="21"/>
          <w:szCs w:val="21"/>
        </w:rPr>
        <w:t>公司认为其已合法取得开放许可，</w:t>
      </w:r>
      <w:r>
        <w:rPr>
          <w:rFonts w:ascii="Times New Roman" w:eastAsia="楷体_GB2312" w:hAnsi="Times New Roman" w:hint="eastAsia"/>
          <w:sz w:val="21"/>
          <w:szCs w:val="21"/>
        </w:rPr>
        <w:t>C</w:t>
      </w:r>
      <w:r>
        <w:rPr>
          <w:rFonts w:ascii="Times New Roman" w:eastAsia="楷体_GB2312" w:hAnsi="Times New Roman" w:hint="eastAsia"/>
          <w:sz w:val="21"/>
          <w:szCs w:val="21"/>
        </w:rPr>
        <w:t>公司无权终止。</w:t>
      </w:r>
    </w:p>
    <w:p w:rsidR="00800760" w:rsidRDefault="00235733" w:rsidP="00235733">
      <w:pPr>
        <w:spacing w:line="360" w:lineRule="auto"/>
        <w:ind w:firstLineChars="177" w:firstLine="372"/>
        <w:rPr>
          <w:rFonts w:eastAsia="仿宋"/>
          <w:szCs w:val="21"/>
        </w:rPr>
      </w:pPr>
      <w:r>
        <w:rPr>
          <w:rFonts w:eastAsia="华文隶书" w:cs="MingLiU_HKSCS" w:hint="eastAsia"/>
          <w:color w:val="000000"/>
          <w:szCs w:val="21"/>
          <w:lang w:val="zh-CN"/>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《专利法实施细则》第八十六条规定，专利权被质押，未经质权人同意的，专利权人不得对其实行开放许可。本案中，由于质权人</w:t>
      </w:r>
      <w:r>
        <w:rPr>
          <w:rFonts w:ascii="Times New Roman" w:eastAsia="楷体_GB2312" w:hAnsi="Times New Roman" w:hint="eastAsia"/>
          <w:sz w:val="21"/>
          <w:szCs w:val="21"/>
        </w:rPr>
        <w:t>C</w:t>
      </w:r>
      <w:r>
        <w:rPr>
          <w:rFonts w:ascii="Times New Roman" w:eastAsia="楷体_GB2312" w:hAnsi="Times New Roman" w:hint="eastAsia"/>
          <w:sz w:val="21"/>
          <w:szCs w:val="21"/>
        </w:rPr>
        <w:t>公司不同意对该专利权进行开放许可，因此，专利权人</w:t>
      </w:r>
      <w:r>
        <w:rPr>
          <w:rFonts w:ascii="Times New Roman" w:eastAsia="楷体_GB2312" w:hAnsi="Times New Roman" w:hint="eastAsia"/>
          <w:sz w:val="21"/>
          <w:szCs w:val="21"/>
        </w:rPr>
        <w:t>A</w:t>
      </w:r>
      <w:r>
        <w:rPr>
          <w:rFonts w:ascii="Times New Roman" w:eastAsia="楷体_GB2312" w:hAnsi="Times New Roman" w:hint="eastAsia"/>
          <w:sz w:val="21"/>
          <w:szCs w:val="21"/>
        </w:rPr>
        <w:t>公司无权再就该实用新型专利进行开放许可，应当向国务院专利行政部门撤回该专利开放许可声明。《专利法》第五十条规定，开放许可声明被公告撤回的，不影响在先给予的开放许可的效力。本案中，被许可人</w:t>
      </w:r>
      <w:r>
        <w:rPr>
          <w:rFonts w:ascii="Times New Roman" w:eastAsia="楷体_GB2312" w:hAnsi="Times New Roman" w:hint="eastAsia"/>
          <w:sz w:val="21"/>
          <w:szCs w:val="21"/>
        </w:rPr>
        <w:t>B</w:t>
      </w:r>
      <w:r>
        <w:rPr>
          <w:rFonts w:ascii="Times New Roman" w:eastAsia="楷体_GB2312" w:hAnsi="Times New Roman" w:hint="eastAsia"/>
          <w:sz w:val="21"/>
          <w:szCs w:val="21"/>
        </w:rPr>
        <w:t>公司与</w:t>
      </w:r>
      <w:r>
        <w:rPr>
          <w:rFonts w:ascii="Times New Roman" w:eastAsia="楷体_GB2312" w:hAnsi="Times New Roman" w:hint="eastAsia"/>
          <w:sz w:val="21"/>
          <w:szCs w:val="21"/>
        </w:rPr>
        <w:t>A</w:t>
      </w:r>
      <w:r>
        <w:rPr>
          <w:rFonts w:ascii="Times New Roman" w:eastAsia="楷体_GB2312" w:hAnsi="Times New Roman" w:hint="eastAsia"/>
          <w:sz w:val="21"/>
          <w:szCs w:val="21"/>
        </w:rPr>
        <w:t>公司的专利开放许可合同于该专利权被质押之前，合法有效，</w:t>
      </w:r>
      <w:r>
        <w:rPr>
          <w:rFonts w:ascii="Times New Roman" w:eastAsia="楷体_GB2312" w:hAnsi="Times New Roman" w:hint="eastAsia"/>
          <w:sz w:val="21"/>
          <w:szCs w:val="21"/>
        </w:rPr>
        <w:t>B</w:t>
      </w:r>
      <w:r>
        <w:rPr>
          <w:rFonts w:ascii="Times New Roman" w:eastAsia="楷体_GB2312" w:hAnsi="Times New Roman" w:hint="eastAsia"/>
          <w:sz w:val="21"/>
          <w:szCs w:val="21"/>
        </w:rPr>
        <w:t>公司被许可实施的权利受到合同保护。因此，若</w:t>
      </w:r>
      <w:r>
        <w:rPr>
          <w:rFonts w:ascii="Times New Roman" w:eastAsia="楷体_GB2312" w:hAnsi="Times New Roman" w:hint="eastAsia"/>
          <w:sz w:val="21"/>
          <w:szCs w:val="21"/>
        </w:rPr>
        <w:t>A</w:t>
      </w:r>
      <w:r>
        <w:rPr>
          <w:rFonts w:ascii="Times New Roman" w:eastAsia="楷体_GB2312" w:hAnsi="Times New Roman" w:hint="eastAsia"/>
          <w:sz w:val="21"/>
          <w:szCs w:val="21"/>
        </w:rPr>
        <w:t>公司提出对该专利开放许可声明的撤回请求，将不影响</w:t>
      </w:r>
      <w:r>
        <w:rPr>
          <w:rFonts w:ascii="Times New Roman" w:eastAsia="楷体_GB2312" w:hAnsi="Times New Roman" w:hint="eastAsia"/>
          <w:sz w:val="21"/>
          <w:szCs w:val="21"/>
        </w:rPr>
        <w:t>B</w:t>
      </w:r>
      <w:r>
        <w:rPr>
          <w:rFonts w:ascii="Times New Roman" w:eastAsia="楷体_GB2312" w:hAnsi="Times New Roman" w:hint="eastAsia"/>
          <w:sz w:val="21"/>
          <w:szCs w:val="21"/>
        </w:rPr>
        <w:t>公司与</w:t>
      </w:r>
      <w:r>
        <w:rPr>
          <w:rFonts w:ascii="Times New Roman" w:eastAsia="楷体_GB2312" w:hAnsi="Times New Roman" w:hint="eastAsia"/>
          <w:sz w:val="21"/>
          <w:szCs w:val="21"/>
        </w:rPr>
        <w:t>A</w:t>
      </w:r>
      <w:r>
        <w:rPr>
          <w:rFonts w:ascii="Times New Roman" w:eastAsia="楷体_GB2312" w:hAnsi="Times New Roman" w:hint="eastAsia"/>
          <w:sz w:val="21"/>
          <w:szCs w:val="21"/>
        </w:rPr>
        <w:t>公司在先已生效的专利许可合同的效力，</w:t>
      </w:r>
      <w:r>
        <w:rPr>
          <w:rFonts w:ascii="Times New Roman" w:eastAsia="楷体_GB2312" w:hAnsi="Times New Roman" w:hint="eastAsia"/>
          <w:sz w:val="21"/>
          <w:szCs w:val="21"/>
        </w:rPr>
        <w:t>B</w:t>
      </w:r>
      <w:r>
        <w:rPr>
          <w:rFonts w:ascii="Times New Roman" w:eastAsia="楷体_GB2312" w:hAnsi="Times New Roman" w:hint="eastAsia"/>
          <w:sz w:val="21"/>
          <w:szCs w:val="21"/>
        </w:rPr>
        <w:t>公司仍然可以按照许可合同的约定继续实施该专利。</w:t>
      </w:r>
    </w:p>
    <w:p w:rsidR="00800760" w:rsidRDefault="00235733">
      <w:pPr>
        <w:pStyle w:val="3"/>
        <w:spacing w:before="240" w:afterLines="50"/>
        <w:ind w:firstLineChars="0" w:firstLine="372"/>
        <w:rPr>
          <w:rFonts w:ascii="Times New Roman" w:hAnsi="Times New Roman"/>
        </w:rPr>
      </w:pPr>
      <w:bookmarkStart w:id="8563" w:name="_Toc7864"/>
      <w:bookmarkStart w:id="8564" w:name="_Toc32677"/>
      <w:bookmarkStart w:id="8565" w:name="_Toc27688"/>
      <w:bookmarkStart w:id="8566" w:name="_Toc26745"/>
      <w:bookmarkStart w:id="8567" w:name="_Toc3023"/>
      <w:bookmarkStart w:id="8568" w:name="_Toc11319"/>
      <w:bookmarkStart w:id="8569" w:name="_Toc7139"/>
      <w:bookmarkStart w:id="8570" w:name="_Toc31968"/>
      <w:bookmarkStart w:id="8571" w:name="_Toc19290"/>
      <w:bookmarkStart w:id="8572" w:name="_Toc27539"/>
      <w:bookmarkStart w:id="8573" w:name="_Toc19360"/>
      <w:bookmarkStart w:id="8574" w:name="_Toc9599"/>
      <w:bookmarkStart w:id="8575" w:name="_Toc18395"/>
      <w:bookmarkStart w:id="8576" w:name="_Toc15909"/>
      <w:bookmarkStart w:id="8577" w:name="_Toc20769"/>
      <w:bookmarkStart w:id="8578" w:name="_Toc30415"/>
      <w:bookmarkStart w:id="8579" w:name="_Toc20223"/>
      <w:bookmarkStart w:id="8580" w:name="_Toc21059"/>
      <w:bookmarkStart w:id="8581" w:name="_Toc23789"/>
      <w:bookmarkStart w:id="8582" w:name="_Toc114"/>
      <w:bookmarkStart w:id="8583" w:name="_Toc229114534"/>
      <w:bookmarkStart w:id="8584" w:name="_Toc15571"/>
      <w:bookmarkStart w:id="8585" w:name="_Toc22947"/>
      <w:bookmarkStart w:id="8586" w:name="_Toc26583"/>
      <w:bookmarkStart w:id="8587" w:name="_Toc28076"/>
      <w:bookmarkStart w:id="8588" w:name="_Toc4653"/>
      <w:bookmarkStart w:id="8589" w:name="_Toc17973"/>
      <w:bookmarkStart w:id="8590" w:name="_Toc10089"/>
      <w:bookmarkStart w:id="8591" w:name="_Toc4028"/>
      <w:bookmarkStart w:id="8592" w:name="_Toc32023"/>
      <w:bookmarkStart w:id="8593" w:name="_Toc22559"/>
      <w:bookmarkStart w:id="8594" w:name="_Toc20175"/>
      <w:bookmarkStart w:id="8595" w:name="_Toc1633"/>
      <w:bookmarkStart w:id="8596" w:name="_Toc18873"/>
      <w:bookmarkStart w:id="8597" w:name="_Toc25184"/>
      <w:bookmarkStart w:id="8598" w:name="_Toc28585"/>
      <w:bookmarkStart w:id="8599" w:name="_Toc10520"/>
      <w:bookmarkStart w:id="8600" w:name="_Toc724"/>
      <w:bookmarkStart w:id="8601" w:name="_Toc32536"/>
      <w:bookmarkStart w:id="8602" w:name="_Toc3085"/>
      <w:bookmarkStart w:id="8603" w:name="_Toc19154"/>
      <w:bookmarkStart w:id="8604" w:name="_Toc5449"/>
      <w:bookmarkStart w:id="8605" w:name="_Toc29734"/>
      <w:bookmarkStart w:id="8606" w:name="_Toc24314"/>
      <w:bookmarkStart w:id="8607" w:name="_Toc13543"/>
      <w:bookmarkStart w:id="8608" w:name="_Toc229225630"/>
      <w:r>
        <w:rPr>
          <w:rFonts w:ascii="Times New Roman" w:hAnsi="Times New Roman" w:hint="eastAsia"/>
        </w:rPr>
        <w:t>二、专利开放许可合同的履行引起的纠纷</w:t>
      </w:r>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p>
    <w:p w:rsidR="00800760" w:rsidRDefault="00235733" w:rsidP="00235733">
      <w:pPr>
        <w:ind w:firstLineChars="177" w:firstLine="386"/>
        <w:jc w:val="both"/>
        <w:rPr>
          <w:rFonts w:cs="宋体"/>
          <w:spacing w:val="4"/>
        </w:rPr>
      </w:pPr>
      <w:r>
        <w:rPr>
          <w:rFonts w:cs="宋体" w:hint="eastAsia"/>
          <w:spacing w:val="4"/>
        </w:rPr>
        <w:t>实施专利开放许可过程中，专利许可人和被许可人应当依法按照合同约定内容履行在专利开放许可中的法律义务。由专利开放许可的履行引起的纠纷主要包括：</w:t>
      </w:r>
    </w:p>
    <w:p w:rsidR="00800760" w:rsidRDefault="00235733" w:rsidP="00235733">
      <w:pPr>
        <w:ind w:firstLineChars="177" w:firstLine="386"/>
        <w:jc w:val="both"/>
        <w:rPr>
          <w:rFonts w:cs="宋体"/>
          <w:spacing w:val="4"/>
        </w:rPr>
      </w:pPr>
      <w:r>
        <w:rPr>
          <w:rFonts w:cs="宋体" w:hint="eastAsia"/>
          <w:spacing w:val="4"/>
        </w:rPr>
        <w:t>（</w:t>
      </w:r>
      <w:r>
        <w:rPr>
          <w:rFonts w:cs="宋体" w:hint="eastAsia"/>
          <w:spacing w:val="4"/>
        </w:rPr>
        <w:t>1</w:t>
      </w:r>
      <w:r>
        <w:rPr>
          <w:rFonts w:cs="宋体" w:hint="eastAsia"/>
          <w:spacing w:val="4"/>
        </w:rPr>
        <w:t>）专利权人未履行义务导致被许可人无法实施开放专利，如专利权人未向被许可人交付实施专利有关的技术资料，提供被许可人实施该专利的必要的技术指导；专利权人又与第三人签订了专利独占或排他许可合同；</w:t>
      </w:r>
    </w:p>
    <w:p w:rsidR="00800760" w:rsidRDefault="00235733" w:rsidP="00235733">
      <w:pPr>
        <w:ind w:firstLineChars="177" w:firstLine="386"/>
        <w:jc w:val="both"/>
        <w:rPr>
          <w:rFonts w:cs="宋体"/>
          <w:spacing w:val="4"/>
        </w:rPr>
      </w:pPr>
      <w:r>
        <w:rPr>
          <w:rFonts w:cs="宋体" w:hint="eastAsia"/>
          <w:spacing w:val="4"/>
        </w:rPr>
        <w:t>（</w:t>
      </w:r>
      <w:r>
        <w:rPr>
          <w:rFonts w:cs="宋体" w:hint="eastAsia"/>
          <w:spacing w:val="4"/>
        </w:rPr>
        <w:t>2</w:t>
      </w:r>
      <w:r>
        <w:rPr>
          <w:rFonts w:cs="宋体" w:hint="eastAsia"/>
          <w:spacing w:val="4"/>
        </w:rPr>
        <w:t>）被许可人未按合同约定实施专利，如被许可人未按照开放许可声明的实施规模、范围、销售方式、产品质量等实施被许可的专利，或者未经许可人同意擅自许可第三人实施该专利或者使用该技术秘密等；被许可人未按照合同约定支付许可费等。</w:t>
      </w:r>
    </w:p>
    <w:p w:rsidR="00800760" w:rsidRDefault="00235733">
      <w:pPr>
        <w:pStyle w:val="af6"/>
        <w:spacing w:before="120" w:after="120"/>
        <w:ind w:firstLineChars="0" w:firstLine="420"/>
        <w:rPr>
          <w:rFonts w:ascii="Times New Roman" w:hAnsi="Times New Roman"/>
        </w:rPr>
      </w:pPr>
      <w:r>
        <w:rPr>
          <w:rFonts w:ascii="Times New Roman" w:hAnsi="Times New Roman" w:hint="eastAsia"/>
        </w:rPr>
        <w:t>【案例</w:t>
      </w:r>
      <w:r>
        <w:rPr>
          <w:rFonts w:ascii="Times New Roman" w:hAnsi="Times New Roman" w:hint="eastAsia"/>
        </w:rPr>
        <w:t>7-</w:t>
      </w:r>
      <w:r>
        <w:rPr>
          <w:rFonts w:ascii="Times New Roman" w:hAnsi="Times New Roman"/>
        </w:rPr>
        <w:t>3-4</w:t>
      </w:r>
      <w:r>
        <w:rPr>
          <w:rFonts w:ascii="Times New Roman" w:hAnsi="Times New Roman" w:hint="eastAsia"/>
        </w:rPr>
        <w:t>】【合同双方未按约履行各自义务】</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公司就名称为“一种硅塑保温材料的制备方法”的发明专利提交专利开放许可声明，经国家知识产局审查并予以公告。专利开放许可合同中约定：专利许可使用费</w:t>
      </w:r>
      <w:r>
        <w:rPr>
          <w:rFonts w:ascii="Times New Roman" w:eastAsia="楷体_GB2312" w:hAnsi="Times New Roman" w:hint="eastAsia"/>
          <w:sz w:val="21"/>
          <w:szCs w:val="21"/>
        </w:rPr>
        <w:t>500</w:t>
      </w:r>
      <w:r>
        <w:rPr>
          <w:rFonts w:ascii="Times New Roman" w:eastAsia="楷体_GB2312" w:hAnsi="Times New Roman" w:hint="eastAsia"/>
          <w:sz w:val="21"/>
          <w:szCs w:val="21"/>
        </w:rPr>
        <w:t>万，合同签订当日支付</w:t>
      </w:r>
      <w:r>
        <w:rPr>
          <w:rFonts w:ascii="Times New Roman" w:eastAsia="楷体_GB2312" w:hAnsi="Times New Roman" w:hint="eastAsia"/>
          <w:sz w:val="21"/>
          <w:szCs w:val="21"/>
        </w:rPr>
        <w:t>100</w:t>
      </w:r>
      <w:r>
        <w:rPr>
          <w:rFonts w:ascii="Times New Roman" w:eastAsia="楷体_GB2312" w:hAnsi="Times New Roman" w:hint="eastAsia"/>
          <w:sz w:val="21"/>
          <w:szCs w:val="21"/>
        </w:rPr>
        <w:t>万，投产后，支付尾款</w:t>
      </w:r>
      <w:r>
        <w:rPr>
          <w:rFonts w:ascii="Times New Roman" w:eastAsia="楷体_GB2312" w:hAnsi="Times New Roman" w:hint="eastAsia"/>
          <w:sz w:val="21"/>
          <w:szCs w:val="21"/>
        </w:rPr>
        <w:t>400</w:t>
      </w:r>
      <w:r>
        <w:rPr>
          <w:rFonts w:ascii="Times New Roman" w:eastAsia="楷体_GB2312" w:hAnsi="Times New Roman" w:hint="eastAsia"/>
          <w:sz w:val="21"/>
          <w:szCs w:val="21"/>
        </w:rPr>
        <w:t>万。由专利权人</w:t>
      </w:r>
      <w:r>
        <w:rPr>
          <w:rFonts w:ascii="Times New Roman" w:eastAsia="楷体_GB2312" w:hAnsi="Times New Roman" w:hint="eastAsia"/>
          <w:sz w:val="21"/>
          <w:szCs w:val="21"/>
        </w:rPr>
        <w:t>A</w:t>
      </w:r>
      <w:r>
        <w:rPr>
          <w:rFonts w:ascii="Times New Roman" w:eastAsia="楷体_GB2312" w:hAnsi="Times New Roman" w:hint="eastAsia"/>
          <w:sz w:val="21"/>
          <w:szCs w:val="21"/>
        </w:rPr>
        <w:t>公司提供原材料</w:t>
      </w:r>
      <w:r>
        <w:rPr>
          <w:rFonts w:ascii="Times New Roman" w:eastAsia="楷体_GB2312" w:hAnsi="Times New Roman" w:hint="eastAsia"/>
          <w:sz w:val="21"/>
          <w:szCs w:val="21"/>
        </w:rPr>
        <w:t>A-1</w:t>
      </w:r>
      <w:r>
        <w:rPr>
          <w:rFonts w:ascii="Times New Roman" w:eastAsia="楷体_GB2312" w:hAnsi="Times New Roman" w:hint="eastAsia"/>
          <w:sz w:val="21"/>
          <w:szCs w:val="21"/>
        </w:rPr>
        <w:t>，该原材料不包含在专利使用授权项目中，为</w:t>
      </w:r>
      <w:r>
        <w:rPr>
          <w:rFonts w:ascii="Times New Roman" w:eastAsia="楷体_GB2312" w:hAnsi="Times New Roman" w:hint="eastAsia"/>
          <w:sz w:val="21"/>
          <w:szCs w:val="21"/>
        </w:rPr>
        <w:t>A</w:t>
      </w:r>
      <w:r>
        <w:rPr>
          <w:rFonts w:ascii="Times New Roman" w:eastAsia="楷体_GB2312" w:hAnsi="Times New Roman" w:hint="eastAsia"/>
          <w:sz w:val="21"/>
          <w:szCs w:val="21"/>
        </w:rPr>
        <w:t>公司独家供应。</w:t>
      </w:r>
      <w:r>
        <w:rPr>
          <w:rFonts w:ascii="Times New Roman" w:eastAsia="楷体_GB2312" w:hAnsi="Times New Roman" w:hint="eastAsia"/>
          <w:sz w:val="21"/>
          <w:szCs w:val="21"/>
        </w:rPr>
        <w:t>A</w:t>
      </w:r>
      <w:r>
        <w:rPr>
          <w:rFonts w:ascii="Times New Roman" w:eastAsia="楷体_GB2312" w:hAnsi="Times New Roman" w:hint="eastAsia"/>
          <w:sz w:val="21"/>
          <w:szCs w:val="21"/>
        </w:rPr>
        <w:t>公司应保证该原材料</w:t>
      </w:r>
      <w:r>
        <w:rPr>
          <w:rFonts w:ascii="Times New Roman" w:eastAsia="楷体_GB2312" w:hAnsi="Times New Roman" w:hint="eastAsia"/>
          <w:sz w:val="21"/>
          <w:szCs w:val="21"/>
        </w:rPr>
        <w:t>A</w:t>
      </w:r>
      <w:r>
        <w:rPr>
          <w:rFonts w:ascii="Times New Roman" w:eastAsia="楷体_GB2312" w:hAnsi="Times New Roman" w:hint="eastAsia"/>
          <w:sz w:val="21"/>
          <w:szCs w:val="21"/>
        </w:rPr>
        <w:t>的质量，如因该原材料造成产品质量不合格，由</w:t>
      </w:r>
      <w:r>
        <w:rPr>
          <w:rFonts w:ascii="Times New Roman" w:eastAsia="楷体_GB2312" w:hAnsi="Times New Roman" w:hint="eastAsia"/>
          <w:sz w:val="21"/>
          <w:szCs w:val="21"/>
        </w:rPr>
        <w:t>A</w:t>
      </w:r>
      <w:r>
        <w:rPr>
          <w:rFonts w:ascii="Times New Roman" w:eastAsia="楷体_GB2312" w:hAnsi="Times New Roman" w:hint="eastAsia"/>
          <w:sz w:val="21"/>
          <w:szCs w:val="21"/>
        </w:rPr>
        <w:t>公司应当承担该批次的赔偿责任。</w:t>
      </w:r>
      <w:r>
        <w:rPr>
          <w:rFonts w:ascii="Times New Roman" w:eastAsia="楷体_GB2312" w:hAnsi="Times New Roman" w:hint="eastAsia"/>
          <w:sz w:val="21"/>
          <w:szCs w:val="21"/>
        </w:rPr>
        <w:t>B</w:t>
      </w:r>
      <w:r>
        <w:rPr>
          <w:rFonts w:ascii="Times New Roman" w:eastAsia="楷体_GB2312" w:hAnsi="Times New Roman" w:hint="eastAsia"/>
          <w:sz w:val="21"/>
          <w:szCs w:val="21"/>
        </w:rPr>
        <w:t>公司投入生产后发现，所生产的产品中出现小水泥块的情况比较严重，而采用另一科技公司</w:t>
      </w:r>
      <w:r>
        <w:rPr>
          <w:rFonts w:ascii="Times New Roman" w:eastAsia="楷体_GB2312" w:hAnsi="Times New Roman" w:hint="eastAsia"/>
          <w:sz w:val="21"/>
          <w:szCs w:val="21"/>
        </w:rPr>
        <w:t>C</w:t>
      </w:r>
      <w:r>
        <w:rPr>
          <w:rFonts w:ascii="Times New Roman" w:eastAsia="楷体_GB2312" w:hAnsi="Times New Roman" w:hint="eastAsia"/>
          <w:sz w:val="21"/>
          <w:szCs w:val="21"/>
        </w:rPr>
        <w:t>公司生产的</w:t>
      </w:r>
      <w:r>
        <w:rPr>
          <w:rFonts w:ascii="Times New Roman" w:eastAsia="楷体_GB2312" w:hAnsi="Times New Roman" w:hint="eastAsia"/>
          <w:sz w:val="21"/>
          <w:szCs w:val="21"/>
        </w:rPr>
        <w:t>A-2</w:t>
      </w:r>
      <w:r>
        <w:rPr>
          <w:rFonts w:ascii="Times New Roman" w:eastAsia="楷体_GB2312" w:hAnsi="Times New Roman" w:hint="eastAsia"/>
          <w:sz w:val="21"/>
          <w:szCs w:val="21"/>
        </w:rPr>
        <w:t>（</w:t>
      </w:r>
      <w:r>
        <w:rPr>
          <w:rFonts w:ascii="Times New Roman" w:eastAsia="楷体_GB2312" w:hAnsi="Times New Roman" w:hint="eastAsia"/>
          <w:sz w:val="21"/>
          <w:szCs w:val="21"/>
        </w:rPr>
        <w:t>A-1</w:t>
      </w:r>
      <w:r>
        <w:rPr>
          <w:rFonts w:ascii="Times New Roman" w:eastAsia="楷体_GB2312" w:hAnsi="Times New Roman" w:hint="eastAsia"/>
          <w:sz w:val="21"/>
          <w:szCs w:val="21"/>
        </w:rPr>
        <w:t>的同类产品）作为原材料生产的产品中，出现水泥块的情况大大改善，且产品的强度也有很大的提高。</w:t>
      </w:r>
      <w:r>
        <w:rPr>
          <w:rFonts w:ascii="Times New Roman" w:eastAsia="楷体_GB2312" w:hAnsi="Times New Roman" w:hint="eastAsia"/>
          <w:sz w:val="21"/>
          <w:szCs w:val="21"/>
        </w:rPr>
        <w:t>B</w:t>
      </w:r>
      <w:r>
        <w:rPr>
          <w:rFonts w:ascii="Times New Roman" w:eastAsia="楷体_GB2312" w:hAnsi="Times New Roman" w:hint="eastAsia"/>
          <w:sz w:val="21"/>
          <w:szCs w:val="21"/>
        </w:rPr>
        <w:t>公司认为</w:t>
      </w:r>
      <w:r>
        <w:rPr>
          <w:rFonts w:ascii="Times New Roman" w:eastAsia="楷体_GB2312" w:hAnsi="Times New Roman" w:hint="eastAsia"/>
          <w:sz w:val="21"/>
          <w:szCs w:val="21"/>
        </w:rPr>
        <w:t>A</w:t>
      </w:r>
      <w:r>
        <w:rPr>
          <w:rFonts w:ascii="Times New Roman" w:eastAsia="楷体_GB2312" w:hAnsi="Times New Roman" w:hint="eastAsia"/>
          <w:sz w:val="21"/>
          <w:szCs w:val="21"/>
        </w:rPr>
        <w:t>公司提供的原材料</w:t>
      </w:r>
      <w:r>
        <w:rPr>
          <w:rFonts w:ascii="Times New Roman" w:eastAsia="楷体_GB2312" w:hAnsi="Times New Roman" w:hint="eastAsia"/>
          <w:sz w:val="21"/>
          <w:szCs w:val="21"/>
        </w:rPr>
        <w:t>A-1</w:t>
      </w:r>
      <w:r>
        <w:rPr>
          <w:rFonts w:ascii="Times New Roman" w:eastAsia="楷体_GB2312" w:hAnsi="Times New Roman" w:hint="eastAsia"/>
          <w:sz w:val="21"/>
          <w:szCs w:val="21"/>
        </w:rPr>
        <w:t>的质量存在问题，导致其采用供应的原材料所生产的产品存在质量问题，且</w:t>
      </w:r>
      <w:r>
        <w:rPr>
          <w:rFonts w:ascii="Times New Roman" w:eastAsia="楷体_GB2312" w:hAnsi="Times New Roman" w:hint="eastAsia"/>
          <w:sz w:val="21"/>
          <w:szCs w:val="21"/>
        </w:rPr>
        <w:t>A</w:t>
      </w:r>
      <w:r>
        <w:rPr>
          <w:rFonts w:ascii="Times New Roman" w:eastAsia="楷体_GB2312" w:hAnsi="Times New Roman" w:hint="eastAsia"/>
          <w:sz w:val="21"/>
          <w:szCs w:val="21"/>
        </w:rPr>
        <w:t>公司不提供原材料</w:t>
      </w:r>
      <w:r>
        <w:rPr>
          <w:rFonts w:ascii="Times New Roman" w:eastAsia="楷体_GB2312" w:hAnsi="Times New Roman" w:hint="eastAsia"/>
          <w:sz w:val="21"/>
          <w:szCs w:val="21"/>
        </w:rPr>
        <w:t>A-1</w:t>
      </w:r>
      <w:r>
        <w:rPr>
          <w:rFonts w:ascii="Times New Roman" w:eastAsia="楷体_GB2312" w:hAnsi="Times New Roman" w:hint="eastAsia"/>
          <w:sz w:val="21"/>
          <w:szCs w:val="21"/>
        </w:rPr>
        <w:t>的配方和生产工艺等信息。</w:t>
      </w:r>
      <w:r>
        <w:rPr>
          <w:rFonts w:ascii="Times New Roman" w:eastAsia="楷体_GB2312" w:hAnsi="Times New Roman" w:hint="eastAsia"/>
          <w:sz w:val="21"/>
          <w:szCs w:val="21"/>
        </w:rPr>
        <w:t>B</w:t>
      </w:r>
      <w:r>
        <w:rPr>
          <w:rFonts w:ascii="Times New Roman" w:eastAsia="楷体_GB2312" w:hAnsi="Times New Roman" w:hint="eastAsia"/>
          <w:sz w:val="21"/>
          <w:szCs w:val="21"/>
        </w:rPr>
        <w:t>公司基于上述原因，拒绝支付剩余专利许可使用费。</w:t>
      </w:r>
      <w:r>
        <w:rPr>
          <w:rFonts w:ascii="Times New Roman" w:eastAsia="楷体_GB2312" w:hAnsi="Times New Roman" w:hint="eastAsia"/>
          <w:sz w:val="21"/>
          <w:szCs w:val="21"/>
        </w:rPr>
        <w:t>A</w:t>
      </w:r>
      <w:r>
        <w:rPr>
          <w:rFonts w:ascii="Times New Roman" w:eastAsia="楷体_GB2312" w:hAnsi="Times New Roman" w:hint="eastAsia"/>
          <w:sz w:val="21"/>
          <w:szCs w:val="21"/>
        </w:rPr>
        <w:t>公司提供了在</w:t>
      </w:r>
      <w:r>
        <w:rPr>
          <w:rFonts w:ascii="Times New Roman" w:eastAsia="楷体_GB2312" w:hAnsi="Times New Roman" w:hint="eastAsia"/>
          <w:sz w:val="21"/>
          <w:szCs w:val="21"/>
        </w:rPr>
        <w:t>B</w:t>
      </w:r>
      <w:r>
        <w:rPr>
          <w:rFonts w:ascii="Times New Roman" w:eastAsia="楷体_GB2312" w:hAnsi="Times New Roman" w:hint="eastAsia"/>
          <w:sz w:val="21"/>
          <w:szCs w:val="21"/>
        </w:rPr>
        <w:t>公司投产前指导</w:t>
      </w:r>
      <w:r>
        <w:rPr>
          <w:rFonts w:ascii="Times New Roman" w:eastAsia="楷体_GB2312" w:hAnsi="Times New Roman" w:hint="eastAsia"/>
          <w:sz w:val="21"/>
          <w:szCs w:val="21"/>
        </w:rPr>
        <w:t>B</w:t>
      </w:r>
      <w:r>
        <w:rPr>
          <w:rFonts w:ascii="Times New Roman" w:eastAsia="楷体_GB2312" w:hAnsi="Times New Roman" w:hint="eastAsia"/>
          <w:sz w:val="21"/>
          <w:szCs w:val="21"/>
        </w:rPr>
        <w:t>公司生产的纳米微珠硅塑板产品合格率为</w:t>
      </w:r>
      <w:r>
        <w:rPr>
          <w:rFonts w:ascii="Times New Roman" w:eastAsia="楷体_GB2312" w:hAnsi="Times New Roman" w:hint="eastAsia"/>
          <w:sz w:val="21"/>
          <w:szCs w:val="21"/>
        </w:rPr>
        <w:t>95%</w:t>
      </w:r>
      <w:r>
        <w:rPr>
          <w:rFonts w:ascii="Times New Roman" w:eastAsia="楷体_GB2312" w:hAnsi="Times New Roman" w:hint="eastAsia"/>
          <w:sz w:val="21"/>
          <w:szCs w:val="21"/>
        </w:rPr>
        <w:t>的检测结果，主张其原材料不存在质量问题；原材料</w:t>
      </w:r>
      <w:r>
        <w:rPr>
          <w:rFonts w:ascii="Times New Roman" w:eastAsia="楷体_GB2312" w:hAnsi="Times New Roman" w:hint="eastAsia"/>
          <w:sz w:val="21"/>
          <w:szCs w:val="21"/>
        </w:rPr>
        <w:t>A-1</w:t>
      </w:r>
      <w:r>
        <w:rPr>
          <w:rFonts w:ascii="Times New Roman" w:eastAsia="楷体_GB2312" w:hAnsi="Times New Roman" w:hint="eastAsia"/>
          <w:sz w:val="21"/>
          <w:szCs w:val="21"/>
        </w:rPr>
        <w:t>并不属于授权的专利技术，因而无需提供其成分、生产信息等；并要求</w:t>
      </w:r>
      <w:r>
        <w:rPr>
          <w:rFonts w:ascii="Times New Roman" w:eastAsia="楷体_GB2312" w:hAnsi="Times New Roman" w:hint="eastAsia"/>
          <w:sz w:val="21"/>
          <w:szCs w:val="21"/>
        </w:rPr>
        <w:t>B</w:t>
      </w:r>
      <w:r>
        <w:rPr>
          <w:rFonts w:ascii="Times New Roman" w:eastAsia="楷体_GB2312" w:hAnsi="Times New Roman" w:hint="eastAsia"/>
          <w:sz w:val="21"/>
          <w:szCs w:val="21"/>
        </w:rPr>
        <w:t>公司支付剩余专利许可使用费，并承担未按约定按时交纳费用的违约责任。</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专利开放许可合同生效后，专利权人和被许可人应当按照合同约定履行法律义务，其中包括专利权人应当按照合同约定许可被许可人实施专利，交付实施专利有关的技术资料，提供必要的技术指导。被许可人按照专利开放许可约定的支付方式支付许可使用费；按照专利开放许可约定的规模、范围实施该专利。</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实际生产过程中，生产产品的质量受到多种因素的影响，包括原材料、生产步骤、工艺条件参数等。本案中，对于原材料，</w:t>
      </w:r>
      <w:r>
        <w:rPr>
          <w:rFonts w:ascii="Times New Roman" w:eastAsia="楷体_GB2312" w:hAnsi="Times New Roman" w:hint="eastAsia"/>
          <w:sz w:val="21"/>
          <w:szCs w:val="21"/>
        </w:rPr>
        <w:t>A</w:t>
      </w:r>
      <w:r>
        <w:rPr>
          <w:rFonts w:ascii="Times New Roman" w:eastAsia="楷体_GB2312" w:hAnsi="Times New Roman" w:hint="eastAsia"/>
          <w:sz w:val="21"/>
          <w:szCs w:val="21"/>
        </w:rPr>
        <w:t>公司在该专利开放许可合同中负有保证其所提供的原材料质量的法律义务，</w:t>
      </w:r>
      <w:r>
        <w:rPr>
          <w:rFonts w:ascii="Times New Roman" w:eastAsia="楷体_GB2312" w:hAnsi="Times New Roman" w:hint="eastAsia"/>
          <w:sz w:val="21"/>
          <w:szCs w:val="21"/>
        </w:rPr>
        <w:t>A</w:t>
      </w:r>
      <w:r>
        <w:rPr>
          <w:rFonts w:ascii="Times New Roman" w:eastAsia="楷体_GB2312" w:hAnsi="Times New Roman" w:hint="eastAsia"/>
          <w:sz w:val="21"/>
          <w:szCs w:val="21"/>
        </w:rPr>
        <w:t>公司于</w:t>
      </w:r>
      <w:r>
        <w:rPr>
          <w:rFonts w:ascii="Times New Roman" w:eastAsia="楷体_GB2312" w:hAnsi="Times New Roman" w:hint="eastAsia"/>
          <w:sz w:val="21"/>
          <w:szCs w:val="21"/>
        </w:rPr>
        <w:t>B</w:t>
      </w:r>
      <w:r>
        <w:rPr>
          <w:rFonts w:ascii="Times New Roman" w:eastAsia="楷体_GB2312" w:hAnsi="Times New Roman" w:hint="eastAsia"/>
          <w:sz w:val="21"/>
          <w:szCs w:val="21"/>
        </w:rPr>
        <w:t>公司投产前在指导其生产的纳米微珠硅塑板产品合格率为</w:t>
      </w:r>
      <w:r>
        <w:rPr>
          <w:rFonts w:ascii="Times New Roman" w:eastAsia="楷体_GB2312" w:hAnsi="Times New Roman" w:hint="eastAsia"/>
          <w:sz w:val="21"/>
          <w:szCs w:val="21"/>
        </w:rPr>
        <w:t>95%</w:t>
      </w:r>
      <w:r>
        <w:rPr>
          <w:rFonts w:ascii="Times New Roman" w:eastAsia="楷体_GB2312" w:hAnsi="Times New Roman" w:hint="eastAsia"/>
          <w:sz w:val="21"/>
          <w:szCs w:val="21"/>
        </w:rPr>
        <w:t>的检测结果，并不能单独作为其后期提供原材料</w:t>
      </w:r>
      <w:r>
        <w:rPr>
          <w:rFonts w:ascii="Times New Roman" w:eastAsia="楷体_GB2312" w:hAnsi="Times New Roman" w:hint="eastAsia"/>
          <w:sz w:val="21"/>
          <w:szCs w:val="21"/>
        </w:rPr>
        <w:t>A-1</w:t>
      </w:r>
      <w:r>
        <w:rPr>
          <w:rFonts w:ascii="Times New Roman" w:eastAsia="楷体_GB2312" w:hAnsi="Times New Roman" w:hint="eastAsia"/>
          <w:sz w:val="21"/>
          <w:szCs w:val="21"/>
        </w:rPr>
        <w:t>达到质量标准的有效证明。</w:t>
      </w:r>
      <w:r>
        <w:rPr>
          <w:rFonts w:ascii="Times New Roman" w:eastAsia="楷体_GB2312" w:hAnsi="Times New Roman" w:hint="eastAsia"/>
          <w:sz w:val="21"/>
          <w:szCs w:val="21"/>
        </w:rPr>
        <w:t>A</w:t>
      </w:r>
      <w:r>
        <w:rPr>
          <w:rFonts w:ascii="Times New Roman" w:eastAsia="楷体_GB2312" w:hAnsi="Times New Roman" w:hint="eastAsia"/>
          <w:sz w:val="21"/>
          <w:szCs w:val="21"/>
        </w:rPr>
        <w:t>公司应当提供原材料</w:t>
      </w:r>
      <w:r>
        <w:rPr>
          <w:rFonts w:ascii="Times New Roman" w:eastAsia="楷体_GB2312" w:hAnsi="Times New Roman" w:hint="eastAsia"/>
          <w:sz w:val="21"/>
          <w:szCs w:val="21"/>
        </w:rPr>
        <w:t>A-1</w:t>
      </w:r>
      <w:r>
        <w:rPr>
          <w:rFonts w:ascii="Times New Roman" w:eastAsia="楷体_GB2312" w:hAnsi="Times New Roman" w:hint="eastAsia"/>
          <w:sz w:val="21"/>
          <w:szCs w:val="21"/>
        </w:rPr>
        <w:t>的质量合格的检测报告；在原材料</w:t>
      </w:r>
      <w:r>
        <w:rPr>
          <w:rFonts w:ascii="Times New Roman" w:eastAsia="楷体_GB2312" w:hAnsi="Times New Roman" w:hint="eastAsia"/>
          <w:sz w:val="21"/>
          <w:szCs w:val="21"/>
        </w:rPr>
        <w:t>A-1</w:t>
      </w:r>
      <w:r>
        <w:rPr>
          <w:rFonts w:ascii="Times New Roman" w:eastAsia="楷体_GB2312" w:hAnsi="Times New Roman" w:hint="eastAsia"/>
          <w:sz w:val="21"/>
          <w:szCs w:val="21"/>
        </w:rPr>
        <w:t>被确定为实施该专利技术的重要条件的情况下，</w:t>
      </w:r>
      <w:r>
        <w:rPr>
          <w:rFonts w:ascii="Times New Roman" w:eastAsia="楷体_GB2312" w:hAnsi="Times New Roman" w:hint="eastAsia"/>
          <w:sz w:val="21"/>
          <w:szCs w:val="21"/>
        </w:rPr>
        <w:t>A</w:t>
      </w:r>
      <w:r>
        <w:rPr>
          <w:rFonts w:ascii="Times New Roman" w:eastAsia="楷体_GB2312" w:hAnsi="Times New Roman" w:hint="eastAsia"/>
          <w:sz w:val="21"/>
          <w:szCs w:val="21"/>
        </w:rPr>
        <w:t>公司还有义务向</w:t>
      </w:r>
      <w:r>
        <w:rPr>
          <w:rFonts w:ascii="Times New Roman" w:eastAsia="楷体_GB2312" w:hAnsi="Times New Roman" w:hint="eastAsia"/>
          <w:sz w:val="21"/>
          <w:szCs w:val="21"/>
        </w:rPr>
        <w:t>B</w:t>
      </w:r>
      <w:r>
        <w:rPr>
          <w:rFonts w:ascii="Times New Roman" w:eastAsia="楷体_GB2312" w:hAnsi="Times New Roman" w:hint="eastAsia"/>
          <w:sz w:val="21"/>
          <w:szCs w:val="21"/>
        </w:rPr>
        <w:t>公司提供有关原材料</w:t>
      </w:r>
      <w:r>
        <w:rPr>
          <w:rFonts w:ascii="Times New Roman" w:eastAsia="楷体_GB2312" w:hAnsi="Times New Roman" w:hint="eastAsia"/>
          <w:sz w:val="21"/>
          <w:szCs w:val="21"/>
        </w:rPr>
        <w:t>A-1</w:t>
      </w:r>
      <w:r>
        <w:rPr>
          <w:rFonts w:ascii="Times New Roman" w:eastAsia="楷体_GB2312" w:hAnsi="Times New Roman" w:hint="eastAsia"/>
          <w:sz w:val="21"/>
          <w:szCs w:val="21"/>
        </w:rPr>
        <w:t>的主要组分等信息，被许可人对专利技术和原材料</w:t>
      </w:r>
      <w:r>
        <w:rPr>
          <w:rFonts w:ascii="Times New Roman" w:eastAsia="楷体_GB2312" w:hAnsi="Times New Roman" w:hint="eastAsia"/>
          <w:sz w:val="21"/>
          <w:szCs w:val="21"/>
        </w:rPr>
        <w:t>A-1</w:t>
      </w:r>
      <w:r>
        <w:rPr>
          <w:rFonts w:ascii="Times New Roman" w:eastAsia="楷体_GB2312" w:hAnsi="Times New Roman" w:hint="eastAsia"/>
          <w:sz w:val="21"/>
          <w:szCs w:val="21"/>
        </w:rPr>
        <w:t>的相关信息负有保密义务。此外，</w:t>
      </w:r>
      <w:r>
        <w:rPr>
          <w:rFonts w:ascii="Times New Roman" w:eastAsia="楷体_GB2312" w:hAnsi="Times New Roman" w:hint="eastAsia"/>
          <w:sz w:val="21"/>
          <w:szCs w:val="21"/>
        </w:rPr>
        <w:t>A</w:t>
      </w:r>
      <w:r>
        <w:rPr>
          <w:rFonts w:ascii="Times New Roman" w:eastAsia="楷体_GB2312" w:hAnsi="Times New Roman" w:hint="eastAsia"/>
          <w:sz w:val="21"/>
          <w:szCs w:val="21"/>
        </w:rPr>
        <w:t>公司作为专利权人还有负有保证被许可人能够实施该专利的义务，包括提供必要的技术支持，例如，指导或培训技术人员熟悉掌握全部生产技术，以保证</w:t>
      </w:r>
      <w:r>
        <w:rPr>
          <w:rFonts w:ascii="Times New Roman" w:eastAsia="楷体_GB2312" w:hAnsi="Times New Roman" w:hint="eastAsia"/>
          <w:sz w:val="21"/>
          <w:szCs w:val="21"/>
        </w:rPr>
        <w:t>B</w:t>
      </w:r>
      <w:r>
        <w:rPr>
          <w:rFonts w:ascii="Times New Roman" w:eastAsia="楷体_GB2312" w:hAnsi="Times New Roman" w:hint="eastAsia"/>
          <w:sz w:val="21"/>
          <w:szCs w:val="21"/>
        </w:rPr>
        <w:t>公司按照专利技术能够生产符合约定标准的产品。</w:t>
      </w:r>
    </w:p>
    <w:p w:rsidR="00800760" w:rsidRDefault="00235733">
      <w:pPr>
        <w:pStyle w:val="12"/>
        <w:topLinePunct/>
        <w:spacing w:line="336" w:lineRule="auto"/>
        <w:ind w:firstLine="420"/>
        <w:rPr>
          <w:rFonts w:ascii="Times New Roman" w:eastAsia="楷体_GB2312" w:hAnsi="Times New Roman"/>
          <w:sz w:val="21"/>
          <w:szCs w:val="21"/>
        </w:rPr>
      </w:pPr>
      <w:r>
        <w:rPr>
          <w:rFonts w:ascii="Times New Roman" w:eastAsia="楷体_GB2312" w:hAnsi="Times New Roman" w:hint="eastAsia"/>
          <w:sz w:val="21"/>
          <w:szCs w:val="21"/>
        </w:rPr>
        <w:t>被许可人</w:t>
      </w:r>
      <w:r>
        <w:rPr>
          <w:rFonts w:ascii="Times New Roman" w:eastAsia="楷体_GB2312" w:hAnsi="Times New Roman" w:hint="eastAsia"/>
          <w:sz w:val="21"/>
          <w:szCs w:val="21"/>
        </w:rPr>
        <w:t>B</w:t>
      </w:r>
      <w:r>
        <w:rPr>
          <w:rFonts w:ascii="Times New Roman" w:eastAsia="楷体_GB2312" w:hAnsi="Times New Roman" w:hint="eastAsia"/>
          <w:sz w:val="21"/>
          <w:szCs w:val="21"/>
        </w:rPr>
        <w:t>公司没有按照专利开放许可约定的支付方式，在投入生产后支付剩余的专利许可使用费，属于违约行为，应当按照开放许可约定支付剩余许可使用费以及违约金。</w:t>
      </w:r>
    </w:p>
    <w:p w:rsidR="00800760" w:rsidRDefault="00235733">
      <w:pPr>
        <w:pStyle w:val="af6"/>
        <w:spacing w:before="120" w:after="120"/>
        <w:ind w:firstLineChars="0" w:firstLine="420"/>
        <w:rPr>
          <w:rFonts w:ascii="Times New Roman" w:hAnsi="Times New Roman"/>
        </w:rPr>
      </w:pPr>
      <w:bookmarkStart w:id="8609" w:name="_Toc3637"/>
      <w:bookmarkStart w:id="8610" w:name="_Toc32696"/>
      <w:bookmarkStart w:id="8611" w:name="_Toc14166"/>
      <w:bookmarkStart w:id="8612" w:name="_Toc27653"/>
      <w:bookmarkStart w:id="8613" w:name="_Toc21635"/>
      <w:bookmarkStart w:id="8614" w:name="_Toc26557"/>
      <w:bookmarkStart w:id="8615" w:name="_Toc8419"/>
      <w:bookmarkStart w:id="8616" w:name="_Toc14975"/>
      <w:bookmarkStart w:id="8617" w:name="_Toc32512"/>
      <w:bookmarkStart w:id="8618" w:name="_Toc1089"/>
      <w:bookmarkStart w:id="8619" w:name="_Toc17062"/>
      <w:bookmarkStart w:id="8620" w:name="_Toc15945"/>
      <w:bookmarkStart w:id="8621" w:name="_Toc936"/>
      <w:bookmarkStart w:id="8622" w:name="_Toc5344"/>
      <w:bookmarkStart w:id="8623" w:name="_Toc21894"/>
      <w:bookmarkStart w:id="8624" w:name="_Toc21996"/>
      <w:bookmarkStart w:id="8625" w:name="_Toc17676"/>
      <w:bookmarkStart w:id="8626" w:name="_Toc202884989"/>
      <w:bookmarkStart w:id="8627" w:name="_Toc1039"/>
      <w:bookmarkStart w:id="8628" w:name="_Toc3225"/>
      <w:bookmarkStart w:id="8629" w:name="_Toc26639"/>
      <w:bookmarkStart w:id="8630" w:name="_Toc11925"/>
      <w:bookmarkStart w:id="8631" w:name="_Toc13090"/>
      <w:bookmarkStart w:id="8632" w:name="_Toc18495"/>
      <w:bookmarkStart w:id="8633" w:name="_Toc20754"/>
      <w:bookmarkStart w:id="8634" w:name="_Toc8068"/>
      <w:bookmarkStart w:id="8635" w:name="_Toc10175"/>
      <w:bookmarkStart w:id="8636" w:name="_Toc16302"/>
      <w:bookmarkStart w:id="8637" w:name="_Toc31299"/>
      <w:bookmarkStart w:id="8638" w:name="_Toc4053"/>
      <w:bookmarkStart w:id="8639" w:name="_Toc31005"/>
      <w:bookmarkStart w:id="8640" w:name="_Toc9805"/>
      <w:bookmarkStart w:id="8641" w:name="_Toc25451"/>
      <w:bookmarkStart w:id="8642" w:name="_Toc202887896"/>
      <w:bookmarkStart w:id="8643" w:name="_Toc9035"/>
      <w:r>
        <w:rPr>
          <w:rFonts w:ascii="Times New Roman" w:hAnsi="Times New Roman" w:hint="eastAsia"/>
        </w:rPr>
        <w:t>【案例</w:t>
      </w:r>
      <w:r>
        <w:rPr>
          <w:rFonts w:ascii="Times New Roman" w:hAnsi="Times New Roman" w:hint="eastAsia"/>
        </w:rPr>
        <w:t>7-</w:t>
      </w:r>
      <w:r>
        <w:rPr>
          <w:rFonts w:ascii="Times New Roman" w:hAnsi="Times New Roman"/>
        </w:rPr>
        <w:t>3-5</w:t>
      </w:r>
      <w:r>
        <w:rPr>
          <w:rFonts w:ascii="Times New Roman" w:hAnsi="Times New Roman" w:hint="eastAsia"/>
        </w:rPr>
        <w:t>】【被许可人未按约定的地域和规模实施专利】</w:t>
      </w:r>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p>
    <w:p w:rsidR="00800760" w:rsidRDefault="00235733">
      <w:pPr>
        <w:pStyle w:val="12"/>
        <w:topLinePunct/>
        <w:spacing w:line="336" w:lineRule="auto"/>
        <w:ind w:firstLineChars="202" w:firstLine="424"/>
        <w:rPr>
          <w:rFonts w:ascii="Times New Roman" w:eastAsia="楷体_GB2312" w:hAnsi="Times New Roman"/>
          <w:sz w:val="21"/>
          <w:szCs w:val="21"/>
        </w:rPr>
      </w:pPr>
      <w:r>
        <w:rPr>
          <w:rFonts w:ascii="Times New Roman" w:eastAsia="楷体_GB2312" w:hAnsi="Times New Roman" w:hint="eastAsia"/>
          <w:sz w:val="21"/>
          <w:szCs w:val="21"/>
        </w:rPr>
        <w:t>A</w:t>
      </w:r>
      <w:r>
        <w:rPr>
          <w:rFonts w:ascii="Times New Roman" w:eastAsia="楷体_GB2312" w:hAnsi="Times New Roman" w:hint="eastAsia"/>
          <w:sz w:val="21"/>
          <w:szCs w:val="21"/>
        </w:rPr>
        <w:t>公司就名称为“一种纯净水净化装置”提出专利开放许可声明，并经过国务院专利行政部门审查予以公告，该声明中明确：被许可的领域仅限于对自来水的净化领域，实施地域仅限华北地区，生产规模为</w:t>
      </w:r>
      <w:r>
        <w:rPr>
          <w:rFonts w:ascii="Times New Roman" w:eastAsia="楷体_GB2312" w:hAnsi="Times New Roman" w:hint="eastAsia"/>
          <w:sz w:val="21"/>
          <w:szCs w:val="21"/>
        </w:rPr>
        <w:t>1000</w:t>
      </w:r>
      <w:r>
        <w:rPr>
          <w:rFonts w:ascii="Times New Roman" w:eastAsia="楷体_GB2312" w:hAnsi="Times New Roman" w:hint="eastAsia"/>
          <w:sz w:val="21"/>
          <w:szCs w:val="21"/>
        </w:rPr>
        <w:t>台</w:t>
      </w:r>
      <w:r>
        <w:rPr>
          <w:rFonts w:ascii="Times New Roman" w:eastAsia="楷体_GB2312" w:hAnsi="Times New Roman" w:hint="eastAsia"/>
          <w:sz w:val="21"/>
          <w:szCs w:val="21"/>
        </w:rPr>
        <w:t>/</w:t>
      </w:r>
      <w:r>
        <w:rPr>
          <w:rFonts w:ascii="Times New Roman" w:eastAsia="楷体_GB2312" w:hAnsi="Times New Roman" w:hint="eastAsia"/>
          <w:sz w:val="21"/>
          <w:szCs w:val="21"/>
        </w:rPr>
        <w:t>年。</w:t>
      </w:r>
      <w:r>
        <w:rPr>
          <w:rFonts w:ascii="Times New Roman" w:eastAsia="楷体_GB2312" w:hAnsi="Times New Roman" w:hint="eastAsia"/>
          <w:sz w:val="21"/>
          <w:szCs w:val="21"/>
        </w:rPr>
        <w:t>B</w:t>
      </w:r>
      <w:r>
        <w:rPr>
          <w:rFonts w:ascii="Times New Roman" w:eastAsia="楷体_GB2312" w:hAnsi="Times New Roman" w:hint="eastAsia"/>
          <w:sz w:val="21"/>
          <w:szCs w:val="21"/>
        </w:rPr>
        <w:t>公司向</w:t>
      </w:r>
      <w:r>
        <w:rPr>
          <w:rFonts w:ascii="Times New Roman" w:eastAsia="楷体_GB2312" w:hAnsi="Times New Roman" w:hint="eastAsia"/>
          <w:sz w:val="21"/>
          <w:szCs w:val="21"/>
        </w:rPr>
        <w:t>A</w:t>
      </w:r>
      <w:r>
        <w:rPr>
          <w:rFonts w:ascii="Times New Roman" w:eastAsia="楷体_GB2312" w:hAnsi="Times New Roman" w:hint="eastAsia"/>
          <w:sz w:val="21"/>
          <w:szCs w:val="21"/>
        </w:rPr>
        <w:t>公司书面提交了实施该专利的通知，并支付了许可使用费。一年后，</w:t>
      </w:r>
      <w:r>
        <w:rPr>
          <w:rFonts w:ascii="Times New Roman" w:eastAsia="楷体_GB2312" w:hAnsi="Times New Roman" w:hint="eastAsia"/>
          <w:sz w:val="21"/>
          <w:szCs w:val="21"/>
        </w:rPr>
        <w:t>A</w:t>
      </w:r>
      <w:r>
        <w:rPr>
          <w:rFonts w:ascii="Times New Roman" w:eastAsia="楷体_GB2312" w:hAnsi="Times New Roman" w:hint="eastAsia"/>
          <w:sz w:val="21"/>
          <w:szCs w:val="21"/>
        </w:rPr>
        <w:t>公司发现，</w:t>
      </w:r>
      <w:r>
        <w:rPr>
          <w:rFonts w:ascii="Times New Roman" w:eastAsia="楷体_GB2312" w:hAnsi="Times New Roman" w:hint="eastAsia"/>
          <w:sz w:val="21"/>
          <w:szCs w:val="21"/>
        </w:rPr>
        <w:t>B</w:t>
      </w:r>
      <w:r>
        <w:rPr>
          <w:rFonts w:ascii="Times New Roman" w:eastAsia="楷体_GB2312" w:hAnsi="Times New Roman" w:hint="eastAsia"/>
          <w:sz w:val="21"/>
          <w:szCs w:val="21"/>
        </w:rPr>
        <w:t>公司上一年的生产量已经达到了</w:t>
      </w:r>
      <w:r>
        <w:rPr>
          <w:rFonts w:ascii="Times New Roman" w:eastAsia="楷体_GB2312" w:hAnsi="Times New Roman" w:hint="eastAsia"/>
          <w:sz w:val="21"/>
          <w:szCs w:val="21"/>
        </w:rPr>
        <w:t>1500</w:t>
      </w:r>
      <w:r>
        <w:rPr>
          <w:rFonts w:ascii="Times New Roman" w:eastAsia="楷体_GB2312" w:hAnsi="Times New Roman" w:hint="eastAsia"/>
          <w:sz w:val="21"/>
          <w:szCs w:val="21"/>
        </w:rPr>
        <w:t>台，且</w:t>
      </w:r>
      <w:r>
        <w:rPr>
          <w:rFonts w:ascii="Times New Roman" w:eastAsia="楷体_GB2312" w:hAnsi="Times New Roman" w:hint="eastAsia"/>
          <w:sz w:val="21"/>
          <w:szCs w:val="21"/>
        </w:rPr>
        <w:t>B</w:t>
      </w:r>
      <w:r>
        <w:rPr>
          <w:rFonts w:ascii="Times New Roman" w:eastAsia="楷体_GB2312" w:hAnsi="Times New Roman" w:hint="eastAsia"/>
          <w:sz w:val="21"/>
          <w:szCs w:val="21"/>
        </w:rPr>
        <w:t>公司于华东地区的分厂也在制造这种专利产品，因而</w:t>
      </w:r>
      <w:r>
        <w:rPr>
          <w:rFonts w:ascii="Times New Roman" w:eastAsia="楷体_GB2312" w:hAnsi="Times New Roman" w:hint="eastAsia"/>
          <w:sz w:val="21"/>
          <w:szCs w:val="21"/>
        </w:rPr>
        <w:t>A</w:t>
      </w:r>
      <w:r>
        <w:rPr>
          <w:rFonts w:ascii="Times New Roman" w:eastAsia="楷体_GB2312" w:hAnsi="Times New Roman" w:hint="eastAsia"/>
          <w:sz w:val="21"/>
          <w:szCs w:val="21"/>
        </w:rPr>
        <w:t>公司主张</w:t>
      </w:r>
      <w:r>
        <w:rPr>
          <w:rFonts w:ascii="Times New Roman" w:eastAsia="楷体_GB2312" w:hAnsi="Times New Roman" w:hint="eastAsia"/>
          <w:sz w:val="21"/>
          <w:szCs w:val="21"/>
        </w:rPr>
        <w:t>B</w:t>
      </w:r>
      <w:r>
        <w:rPr>
          <w:rFonts w:ascii="Times New Roman" w:eastAsia="楷体_GB2312" w:hAnsi="Times New Roman" w:hint="eastAsia"/>
          <w:sz w:val="21"/>
          <w:szCs w:val="21"/>
        </w:rPr>
        <w:t>公司违反专利开放许可约定，且超出生产规模属于侵权行为。</w:t>
      </w:r>
      <w:r>
        <w:rPr>
          <w:rFonts w:ascii="Times New Roman" w:eastAsia="楷体_GB2312" w:hAnsi="Times New Roman" w:hint="eastAsia"/>
          <w:sz w:val="21"/>
          <w:szCs w:val="21"/>
        </w:rPr>
        <w:t>B</w:t>
      </w:r>
      <w:r>
        <w:rPr>
          <w:rFonts w:ascii="Times New Roman" w:eastAsia="楷体_GB2312" w:hAnsi="Times New Roman" w:hint="eastAsia"/>
          <w:sz w:val="21"/>
          <w:szCs w:val="21"/>
        </w:rPr>
        <w:t>公司认为，上一年生产的</w:t>
      </w:r>
      <w:r>
        <w:rPr>
          <w:rFonts w:ascii="Times New Roman" w:eastAsia="楷体_GB2312" w:hAnsi="Times New Roman" w:hint="eastAsia"/>
          <w:sz w:val="21"/>
          <w:szCs w:val="21"/>
        </w:rPr>
        <w:t>1500</w:t>
      </w:r>
      <w:r>
        <w:rPr>
          <w:rFonts w:ascii="Times New Roman" w:eastAsia="楷体_GB2312" w:hAnsi="Times New Roman" w:hint="eastAsia"/>
          <w:sz w:val="21"/>
          <w:szCs w:val="21"/>
        </w:rPr>
        <w:t>净化装置，仅有</w:t>
      </w:r>
      <w:r>
        <w:rPr>
          <w:rFonts w:ascii="Times New Roman" w:eastAsia="楷体_GB2312" w:hAnsi="Times New Roman" w:hint="eastAsia"/>
          <w:sz w:val="21"/>
          <w:szCs w:val="21"/>
        </w:rPr>
        <w:t>800</w:t>
      </w:r>
      <w:r>
        <w:rPr>
          <w:rFonts w:ascii="Times New Roman" w:eastAsia="楷体_GB2312" w:hAnsi="Times New Roman" w:hint="eastAsia"/>
          <w:sz w:val="21"/>
          <w:szCs w:val="21"/>
        </w:rPr>
        <w:t>台为适用于自来水的纯净水净化装置，其余</w:t>
      </w:r>
      <w:r>
        <w:rPr>
          <w:rFonts w:ascii="Times New Roman" w:eastAsia="楷体_GB2312" w:hAnsi="Times New Roman" w:hint="eastAsia"/>
          <w:sz w:val="21"/>
          <w:szCs w:val="21"/>
        </w:rPr>
        <w:t>700</w:t>
      </w:r>
      <w:r>
        <w:rPr>
          <w:rFonts w:ascii="Times New Roman" w:eastAsia="楷体_GB2312" w:hAnsi="Times New Roman" w:hint="eastAsia"/>
          <w:sz w:val="21"/>
          <w:szCs w:val="21"/>
        </w:rPr>
        <w:t>台为</w:t>
      </w:r>
      <w:r>
        <w:rPr>
          <w:rFonts w:ascii="Times New Roman" w:eastAsia="楷体_GB2312" w:hAnsi="Times New Roman" w:hint="eastAsia"/>
          <w:sz w:val="21"/>
          <w:szCs w:val="21"/>
        </w:rPr>
        <w:t>B</w:t>
      </w:r>
      <w:r>
        <w:rPr>
          <w:rFonts w:ascii="Times New Roman" w:eastAsia="楷体_GB2312" w:hAnsi="Times New Roman" w:hint="eastAsia"/>
          <w:sz w:val="21"/>
          <w:szCs w:val="21"/>
        </w:rPr>
        <w:t>公司生产的另一款适用于医用纯净水净化装置，与被许可装置的构造不同；其位于华东地区的分厂仅负责生产，生产产品均在华北地区销售，主张不违约。</w:t>
      </w:r>
    </w:p>
    <w:p w:rsidR="00800760" w:rsidRDefault="00235733">
      <w:pPr>
        <w:pStyle w:val="af7"/>
        <w:spacing w:line="360" w:lineRule="auto"/>
        <w:rPr>
          <w:rFonts w:eastAsia="华文隶书" w:cs="华文隶书"/>
          <w:b/>
          <w:szCs w:val="21"/>
        </w:rPr>
      </w:pPr>
      <w:r>
        <w:rPr>
          <w:rFonts w:eastAsia="华文隶书" w:cs="MingLiU_HKSCS" w:hint="eastAsia"/>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hint="eastAsia"/>
          <w:lang w:val="zh-CN"/>
        </w:rPr>
        <w:t>根据《专利法》第十一条的规定，专利的实施行为包括为生产经营目的制造、使用、许诺销售、销售、进口其专利产品，或者使用其专利方法以及使用、许诺销售、销售、进口依照该专利方法直接获得的产品的行为。被许可人应当按照合同约定实施被许可专利，超出约定范围的实施行为应当视为违约和侵权行为。本案中，</w:t>
      </w:r>
      <w:r>
        <w:rPr>
          <w:rFonts w:eastAsia="楷体_GB2312" w:cs="MingLiU_HKSCS" w:hint="eastAsia"/>
          <w:lang w:val="zh-CN"/>
        </w:rPr>
        <w:t>B</w:t>
      </w:r>
      <w:r>
        <w:rPr>
          <w:rFonts w:eastAsia="楷体_GB2312" w:cs="MingLiU_HKSCS" w:hint="eastAsia"/>
          <w:lang w:val="zh-CN"/>
        </w:rPr>
        <w:t>公司位于华东地区的分厂属于制造专利产品的行为，因而属于实施该专利技术的行为，而按照专利开放许可的约定，实施地域仅限于华北地区，因此，</w:t>
      </w:r>
      <w:r>
        <w:rPr>
          <w:rFonts w:eastAsia="楷体_GB2312" w:cs="MingLiU_HKSCS" w:hint="eastAsia"/>
          <w:lang w:val="zh-CN"/>
        </w:rPr>
        <w:t>B</w:t>
      </w:r>
      <w:r>
        <w:rPr>
          <w:rFonts w:eastAsia="楷体_GB2312" w:cs="MingLiU_HKSCS" w:hint="eastAsia"/>
          <w:lang w:val="zh-CN"/>
        </w:rPr>
        <w:t>公司的上述生产行为违法专利开放许可合同约定，视为违约行为。</w:t>
      </w:r>
    </w:p>
    <w:p w:rsidR="00800760" w:rsidRDefault="00235733">
      <w:pPr>
        <w:spacing w:line="360" w:lineRule="auto"/>
        <w:rPr>
          <w:rFonts w:eastAsia="楷体_GB2312" w:cs="MingLiU_HKSCS"/>
          <w:lang w:val="zh-CN"/>
        </w:rPr>
      </w:pPr>
      <w:r>
        <w:rPr>
          <w:rFonts w:eastAsia="楷体_GB2312" w:cs="MingLiU_HKSCS" w:hint="eastAsia"/>
          <w:lang w:val="zh-CN"/>
        </w:rPr>
        <w:t>对于该案中，</w:t>
      </w:r>
      <w:r>
        <w:rPr>
          <w:rFonts w:eastAsia="楷体_GB2312" w:cs="MingLiU_HKSCS" w:hint="eastAsia"/>
          <w:lang w:val="zh-CN"/>
        </w:rPr>
        <w:t>B</w:t>
      </w:r>
      <w:r>
        <w:rPr>
          <w:rFonts w:eastAsia="楷体_GB2312" w:cs="MingLiU_HKSCS" w:hint="eastAsia"/>
          <w:lang w:val="zh-CN"/>
        </w:rPr>
        <w:t>公司声称的</w:t>
      </w:r>
      <w:r>
        <w:rPr>
          <w:rFonts w:eastAsia="楷体_GB2312" w:cs="MingLiU_HKSCS" w:hint="eastAsia"/>
          <w:lang w:val="zh-CN"/>
        </w:rPr>
        <w:t>700</w:t>
      </w:r>
      <w:r>
        <w:rPr>
          <w:rFonts w:eastAsia="楷体_GB2312" w:cs="MingLiU_HKSCS" w:hint="eastAsia"/>
          <w:lang w:val="zh-CN"/>
        </w:rPr>
        <w:t>台医用纯净水净化装置，应当明确其净化装置中是否包含被许可专利的纯净水净化装置，如果其包含了被许可专利的净化装置组件以及净化原理，应当认定其未按照被许可的实施领域、实施规模实施了该专利，属于违约行为，同时也构成侵权行为。</w:t>
      </w:r>
    </w:p>
    <w:p w:rsidR="00800760" w:rsidRDefault="00235733">
      <w:pPr>
        <w:pStyle w:val="af6"/>
        <w:spacing w:before="120" w:after="120"/>
        <w:ind w:firstLineChars="0" w:firstLine="420"/>
        <w:rPr>
          <w:rFonts w:ascii="Times New Roman" w:hAnsi="Times New Roman"/>
        </w:rPr>
      </w:pPr>
      <w:bookmarkStart w:id="8644" w:name="_Toc9395"/>
      <w:bookmarkStart w:id="8645" w:name="_Toc23434"/>
      <w:bookmarkStart w:id="8646" w:name="_Toc8041"/>
      <w:bookmarkStart w:id="8647" w:name="_Toc19590"/>
      <w:bookmarkStart w:id="8648" w:name="_Toc20210"/>
      <w:bookmarkStart w:id="8649" w:name="_Toc25944"/>
      <w:bookmarkStart w:id="8650" w:name="_Toc31692"/>
      <w:bookmarkStart w:id="8651" w:name="_Toc25685"/>
      <w:bookmarkStart w:id="8652" w:name="_Toc23301"/>
      <w:bookmarkStart w:id="8653" w:name="_Toc20932"/>
      <w:bookmarkStart w:id="8654" w:name="_Toc7598"/>
      <w:bookmarkStart w:id="8655" w:name="_Toc26403"/>
      <w:bookmarkStart w:id="8656" w:name="_Toc19271"/>
      <w:bookmarkStart w:id="8657" w:name="_Toc12964"/>
      <w:bookmarkStart w:id="8658" w:name="_Toc11356"/>
      <w:bookmarkStart w:id="8659" w:name="_Toc25737"/>
      <w:bookmarkStart w:id="8660" w:name="_Toc6322"/>
      <w:bookmarkStart w:id="8661" w:name="_Toc30356"/>
      <w:bookmarkStart w:id="8662" w:name="_Toc5156"/>
      <w:bookmarkStart w:id="8663" w:name="_Toc202884990"/>
      <w:bookmarkStart w:id="8664" w:name="_Toc889"/>
      <w:bookmarkStart w:id="8665" w:name="_Toc13287"/>
      <w:bookmarkStart w:id="8666" w:name="_Toc202887897"/>
      <w:bookmarkStart w:id="8667" w:name="_Toc16034"/>
      <w:bookmarkStart w:id="8668" w:name="_Toc31096"/>
      <w:bookmarkStart w:id="8669" w:name="_Toc15280"/>
      <w:bookmarkStart w:id="8670" w:name="_Toc21872"/>
      <w:bookmarkStart w:id="8671" w:name="_Toc15231"/>
      <w:bookmarkStart w:id="8672" w:name="_Toc22084"/>
      <w:bookmarkStart w:id="8673" w:name="_Toc1460"/>
      <w:bookmarkStart w:id="8674" w:name="_Toc31654"/>
      <w:bookmarkStart w:id="8675" w:name="_Toc10346"/>
      <w:bookmarkStart w:id="8676" w:name="_Toc2213"/>
      <w:bookmarkStart w:id="8677" w:name="_Toc18030"/>
      <w:bookmarkStart w:id="8678" w:name="_Toc14646"/>
      <w:r>
        <w:rPr>
          <w:rFonts w:ascii="Times New Roman" w:hAnsi="Times New Roman" w:hint="eastAsia"/>
        </w:rPr>
        <w:t>【案例</w:t>
      </w:r>
      <w:r>
        <w:rPr>
          <w:rFonts w:ascii="Times New Roman" w:hAnsi="Times New Roman" w:hint="eastAsia"/>
        </w:rPr>
        <w:t>7-</w:t>
      </w:r>
      <w:r>
        <w:rPr>
          <w:rFonts w:ascii="Times New Roman" w:hAnsi="Times New Roman"/>
        </w:rPr>
        <w:t>3-6</w:t>
      </w:r>
      <w:r>
        <w:rPr>
          <w:rFonts w:ascii="Times New Roman" w:hAnsi="Times New Roman" w:hint="eastAsia"/>
        </w:rPr>
        <w:t>】【被许可人未按约定的规模实施专利】</w:t>
      </w:r>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p>
    <w:p w:rsidR="00800760" w:rsidRDefault="00235733">
      <w:pPr>
        <w:spacing w:line="360" w:lineRule="auto"/>
        <w:rPr>
          <w:rFonts w:eastAsia="楷体_GB2312" w:cs="MingLiU_HKSCS"/>
          <w:lang w:val="zh-CN"/>
        </w:rPr>
      </w:pPr>
      <w:r>
        <w:rPr>
          <w:rFonts w:eastAsia="楷体_GB2312" w:cs="MingLiU_HKSCS" w:hint="eastAsia"/>
          <w:lang w:val="zh-CN"/>
        </w:rPr>
        <w:t>A</w:t>
      </w:r>
      <w:r>
        <w:rPr>
          <w:rFonts w:eastAsia="楷体_GB2312" w:cs="MingLiU_HKSCS" w:hint="eastAsia"/>
          <w:lang w:val="zh-CN"/>
        </w:rPr>
        <w:t>新能源科技有限公司就其一项名称为“一种高能量密度电池”的发明专利发布了开放许可声明，声明中关于许可费约定每生产</w:t>
      </w:r>
      <w:r>
        <w:rPr>
          <w:rFonts w:eastAsia="楷体_GB2312" w:cs="MingLiU_HKSCS" w:hint="eastAsia"/>
          <w:lang w:val="zh-CN"/>
        </w:rPr>
        <w:t>1</w:t>
      </w:r>
      <w:r>
        <w:rPr>
          <w:rFonts w:eastAsia="楷体_GB2312" w:cs="MingLiU_HKSCS" w:hint="eastAsia"/>
          <w:lang w:val="zh-CN"/>
        </w:rPr>
        <w:t>套电池系统支付</w:t>
      </w:r>
      <w:r>
        <w:rPr>
          <w:rFonts w:eastAsia="楷体_GB2312" w:cs="MingLiU_HKSCS" w:hint="eastAsia"/>
          <w:lang w:val="zh-CN"/>
        </w:rPr>
        <w:t>50</w:t>
      </w:r>
      <w:r>
        <w:rPr>
          <w:rFonts w:eastAsia="楷体_GB2312" w:cs="MingLiU_HKSCS" w:hint="eastAsia"/>
          <w:lang w:val="zh-CN"/>
        </w:rPr>
        <w:t>元固定费用，费率为</w:t>
      </w:r>
      <w:r>
        <w:rPr>
          <w:rFonts w:eastAsia="楷体_GB2312" w:cs="MingLiU_HKSCS" w:hint="eastAsia"/>
          <w:lang w:val="zh-CN"/>
        </w:rPr>
        <w:t>2. 5%</w:t>
      </w:r>
      <w:r>
        <w:rPr>
          <w:rFonts w:eastAsia="楷体_GB2312" w:cs="MingLiU_HKSCS" w:hint="eastAsia"/>
          <w:lang w:val="zh-CN"/>
        </w:rPr>
        <w:t>；每年生产</w:t>
      </w:r>
      <w:r>
        <w:rPr>
          <w:rFonts w:eastAsia="楷体_GB2312" w:cs="MingLiU_HKSCS" w:hint="eastAsia"/>
          <w:lang w:val="zh-CN"/>
        </w:rPr>
        <w:t>5000</w:t>
      </w:r>
      <w:r>
        <w:rPr>
          <w:rFonts w:eastAsia="楷体_GB2312" w:cs="MingLiU_HKSCS" w:hint="eastAsia"/>
          <w:lang w:val="zh-CN"/>
        </w:rPr>
        <w:t>台。随后，动力电池制造商</w:t>
      </w:r>
      <w:r>
        <w:rPr>
          <w:rFonts w:eastAsia="楷体_GB2312" w:cs="MingLiU_HKSCS" w:hint="eastAsia"/>
          <w:lang w:val="zh-CN"/>
        </w:rPr>
        <w:t>B</w:t>
      </w:r>
      <w:r>
        <w:rPr>
          <w:rFonts w:eastAsia="楷体_GB2312" w:cs="MingLiU_HKSCS" w:hint="eastAsia"/>
          <w:lang w:val="zh-CN"/>
        </w:rPr>
        <w:t>公司与</w:t>
      </w:r>
      <w:r>
        <w:rPr>
          <w:rFonts w:eastAsia="楷体_GB2312" w:cs="MingLiU_HKSCS" w:hint="eastAsia"/>
          <w:lang w:val="zh-CN"/>
        </w:rPr>
        <w:t>A</w:t>
      </w:r>
      <w:r>
        <w:rPr>
          <w:rFonts w:eastAsia="楷体_GB2312" w:cs="MingLiU_HKSCS" w:hint="eastAsia"/>
          <w:lang w:val="zh-CN"/>
        </w:rPr>
        <w:t>公司签订了开放许可合同。一年后，</w:t>
      </w:r>
      <w:r>
        <w:rPr>
          <w:rFonts w:eastAsia="楷体_GB2312" w:cs="MingLiU_HKSCS" w:hint="eastAsia"/>
          <w:lang w:val="zh-CN"/>
        </w:rPr>
        <w:t>A</w:t>
      </w:r>
      <w:r>
        <w:rPr>
          <w:rFonts w:eastAsia="楷体_GB2312" w:cs="MingLiU_HKSCS" w:hint="eastAsia"/>
          <w:lang w:val="zh-CN"/>
        </w:rPr>
        <w:t>公司发现上一年</w:t>
      </w:r>
      <w:r>
        <w:rPr>
          <w:rFonts w:eastAsia="楷体_GB2312" w:cs="MingLiU_HKSCS" w:hint="eastAsia"/>
          <w:lang w:val="zh-CN"/>
        </w:rPr>
        <w:t>B</w:t>
      </w:r>
      <w:r>
        <w:rPr>
          <w:rFonts w:eastAsia="楷体_GB2312" w:cs="MingLiU_HKSCS" w:hint="eastAsia"/>
          <w:lang w:val="zh-CN"/>
        </w:rPr>
        <w:t>公司生产的这种高能量密度电池达到</w:t>
      </w:r>
      <w:r>
        <w:rPr>
          <w:rFonts w:eastAsia="楷体_GB2312" w:cs="MingLiU_HKSCS" w:hint="eastAsia"/>
          <w:lang w:val="zh-CN"/>
        </w:rPr>
        <w:t>7000</w:t>
      </w:r>
      <w:r>
        <w:rPr>
          <w:rFonts w:eastAsia="楷体_GB2312" w:cs="MingLiU_HKSCS" w:hint="eastAsia"/>
          <w:lang w:val="zh-CN"/>
        </w:rPr>
        <w:t>台，超出了被许可的生产量。对此，</w:t>
      </w:r>
      <w:r>
        <w:rPr>
          <w:rFonts w:eastAsia="楷体_GB2312" w:cs="MingLiU_HKSCS" w:hint="eastAsia"/>
          <w:lang w:val="zh-CN"/>
        </w:rPr>
        <w:t>B</w:t>
      </w:r>
      <w:r>
        <w:rPr>
          <w:rFonts w:eastAsia="楷体_GB2312" w:cs="MingLiU_HKSCS" w:hint="eastAsia"/>
          <w:lang w:val="zh-CN"/>
        </w:rPr>
        <w:t>公司主张</w:t>
      </w:r>
      <w:r>
        <w:rPr>
          <w:rFonts w:eastAsia="楷体_GB2312" w:cs="MingLiU_HKSCS" w:hint="eastAsia"/>
          <w:lang w:val="zh-CN"/>
        </w:rPr>
        <w:t>7000</w:t>
      </w:r>
      <w:r>
        <w:rPr>
          <w:rFonts w:eastAsia="楷体_GB2312" w:cs="MingLiU_HKSCS" w:hint="eastAsia"/>
          <w:lang w:val="zh-CN"/>
        </w:rPr>
        <w:t>台中，只有</w:t>
      </w:r>
      <w:r>
        <w:rPr>
          <w:rFonts w:eastAsia="楷体_GB2312" w:cs="MingLiU_HKSCS" w:hint="eastAsia"/>
          <w:lang w:val="zh-CN"/>
        </w:rPr>
        <w:t>5000</w:t>
      </w:r>
      <w:r>
        <w:rPr>
          <w:rFonts w:eastAsia="楷体_GB2312" w:cs="MingLiU_HKSCS" w:hint="eastAsia"/>
          <w:lang w:val="zh-CN"/>
        </w:rPr>
        <w:t>台是自己生产，剩下</w:t>
      </w:r>
      <w:r>
        <w:rPr>
          <w:rFonts w:eastAsia="楷体_GB2312" w:cs="MingLiU_HKSCS" w:hint="eastAsia"/>
          <w:lang w:val="zh-CN"/>
        </w:rPr>
        <w:t>2000</w:t>
      </w:r>
      <w:r>
        <w:rPr>
          <w:rFonts w:eastAsia="楷体_GB2312" w:cs="MingLiU_HKSCS" w:hint="eastAsia"/>
          <w:lang w:val="zh-CN"/>
        </w:rPr>
        <w:t>台电池为</w:t>
      </w:r>
      <w:r>
        <w:rPr>
          <w:rFonts w:eastAsia="楷体_GB2312" w:cs="MingLiU_HKSCS" w:hint="eastAsia"/>
          <w:lang w:val="zh-CN"/>
        </w:rPr>
        <w:t>B</w:t>
      </w:r>
      <w:r>
        <w:rPr>
          <w:rFonts w:eastAsia="楷体_GB2312" w:cs="MingLiU_HKSCS" w:hint="eastAsia"/>
          <w:lang w:val="zh-CN"/>
        </w:rPr>
        <w:t>公司为该专利的另一被许可人</w:t>
      </w:r>
      <w:r>
        <w:rPr>
          <w:rFonts w:eastAsia="楷体_GB2312" w:cs="MingLiU_HKSCS" w:hint="eastAsia"/>
          <w:lang w:val="zh-CN"/>
        </w:rPr>
        <w:t>C</w:t>
      </w:r>
      <w:r>
        <w:rPr>
          <w:rFonts w:eastAsia="楷体_GB2312" w:cs="MingLiU_HKSCS" w:hint="eastAsia"/>
          <w:lang w:val="zh-CN"/>
        </w:rPr>
        <w:t>公司代工生产，并提供了其与</w:t>
      </w:r>
      <w:r>
        <w:rPr>
          <w:rFonts w:eastAsia="楷体_GB2312" w:cs="MingLiU_HKSCS" w:hint="eastAsia"/>
          <w:lang w:val="zh-CN"/>
        </w:rPr>
        <w:t>C</w:t>
      </w:r>
      <w:r>
        <w:rPr>
          <w:rFonts w:eastAsia="楷体_GB2312" w:cs="MingLiU_HKSCS" w:hint="eastAsia"/>
          <w:lang w:val="zh-CN"/>
        </w:rPr>
        <w:t>公司签订的代工生产合同。</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hint="eastAsia"/>
          <w:lang w:val="zh-CN"/>
        </w:rPr>
        <w:t>在专利开放许可实施过程中，被许可人应当按照开放许可合同约定的规模、方式实施该专利。代工生产通常是指受委托企业采用委托方的核心技术、生产委托方的品牌产品的生产行为，产品的销售和市场均仍由委托方负责，受委托方仅仅负责产品的制造生产。因此，代工生产虽不属于被许可人擅自许可约定以外第三人实施该专利的行为，但应当视为委托方的实施行为。本案中，</w:t>
      </w:r>
      <w:r>
        <w:rPr>
          <w:rFonts w:eastAsia="楷体_GB2312" w:cs="MingLiU_HKSCS" w:hint="eastAsia"/>
          <w:lang w:val="zh-CN"/>
        </w:rPr>
        <w:t>B</w:t>
      </w:r>
      <w:r>
        <w:rPr>
          <w:rFonts w:eastAsia="楷体_GB2312" w:cs="MingLiU_HKSCS" w:hint="eastAsia"/>
          <w:lang w:val="zh-CN"/>
        </w:rPr>
        <w:t>公司为</w:t>
      </w:r>
      <w:r>
        <w:rPr>
          <w:rFonts w:eastAsia="楷体_GB2312" w:cs="MingLiU_HKSCS" w:hint="eastAsia"/>
          <w:lang w:val="zh-CN"/>
        </w:rPr>
        <w:t>C</w:t>
      </w:r>
      <w:r>
        <w:rPr>
          <w:rFonts w:eastAsia="楷体_GB2312" w:cs="MingLiU_HKSCS" w:hint="eastAsia"/>
          <w:lang w:val="zh-CN"/>
        </w:rPr>
        <w:t>公司代工行为，仅负责生产</w:t>
      </w:r>
      <w:r>
        <w:rPr>
          <w:rFonts w:eastAsia="楷体_GB2312" w:cs="MingLiU_HKSCS" w:hint="eastAsia"/>
          <w:lang w:val="zh-CN"/>
        </w:rPr>
        <w:t>C</w:t>
      </w:r>
      <w:r>
        <w:rPr>
          <w:rFonts w:eastAsia="楷体_GB2312" w:cs="MingLiU_HKSCS" w:hint="eastAsia"/>
          <w:lang w:val="zh-CN"/>
        </w:rPr>
        <w:t>公司的电池产品，代工生产的</w:t>
      </w:r>
      <w:r>
        <w:rPr>
          <w:rFonts w:eastAsia="楷体_GB2312" w:cs="MingLiU_HKSCS" w:hint="eastAsia"/>
          <w:lang w:val="zh-CN"/>
        </w:rPr>
        <w:t>2000</w:t>
      </w:r>
      <w:r>
        <w:rPr>
          <w:rFonts w:eastAsia="楷体_GB2312" w:cs="MingLiU_HKSCS" w:hint="eastAsia"/>
          <w:lang w:val="zh-CN"/>
        </w:rPr>
        <w:t>台电池产品所贴标签也是</w:t>
      </w:r>
      <w:r>
        <w:rPr>
          <w:rFonts w:eastAsia="楷体_GB2312" w:cs="MingLiU_HKSCS" w:hint="eastAsia"/>
          <w:lang w:val="zh-CN"/>
        </w:rPr>
        <w:t>C</w:t>
      </w:r>
      <w:r>
        <w:rPr>
          <w:rFonts w:eastAsia="楷体_GB2312" w:cs="MingLiU_HKSCS" w:hint="eastAsia"/>
          <w:lang w:val="zh-CN"/>
        </w:rPr>
        <w:t>公司品牌，应当视为被许可人</w:t>
      </w:r>
      <w:r>
        <w:rPr>
          <w:rFonts w:eastAsia="楷体_GB2312" w:cs="MingLiU_HKSCS" w:hint="eastAsia"/>
          <w:lang w:val="zh-CN"/>
        </w:rPr>
        <w:t>C</w:t>
      </w:r>
      <w:r>
        <w:rPr>
          <w:rFonts w:eastAsia="楷体_GB2312" w:cs="MingLiU_HKSCS" w:hint="eastAsia"/>
          <w:lang w:val="zh-CN"/>
        </w:rPr>
        <w:t>公司的实施行为，因此，</w:t>
      </w:r>
      <w:r>
        <w:rPr>
          <w:rFonts w:eastAsia="楷体_GB2312" w:cs="MingLiU_HKSCS" w:hint="eastAsia"/>
          <w:lang w:val="zh-CN"/>
        </w:rPr>
        <w:t>B</w:t>
      </w:r>
      <w:r>
        <w:rPr>
          <w:rFonts w:eastAsia="楷体_GB2312" w:cs="MingLiU_HKSCS" w:hint="eastAsia"/>
          <w:lang w:val="zh-CN"/>
        </w:rPr>
        <w:t>公司于上一年对被许可专利的实施规模为</w:t>
      </w:r>
      <w:r>
        <w:rPr>
          <w:rFonts w:eastAsia="楷体_GB2312" w:cs="MingLiU_HKSCS" w:hint="eastAsia"/>
          <w:lang w:val="zh-CN"/>
        </w:rPr>
        <w:t>5000</w:t>
      </w:r>
      <w:r>
        <w:rPr>
          <w:rFonts w:eastAsia="楷体_GB2312" w:cs="MingLiU_HKSCS" w:hint="eastAsia"/>
          <w:lang w:val="zh-CN"/>
        </w:rPr>
        <w:t>台，未超出专利开放许可合同约定的</w:t>
      </w:r>
      <w:r>
        <w:rPr>
          <w:rFonts w:eastAsia="楷体_GB2312" w:cs="MingLiU_HKSCS" w:hint="eastAsia"/>
          <w:lang w:val="zh-CN"/>
        </w:rPr>
        <w:t>5000</w:t>
      </w:r>
      <w:r>
        <w:rPr>
          <w:rFonts w:eastAsia="楷体_GB2312" w:cs="MingLiU_HKSCS" w:hint="eastAsia"/>
          <w:lang w:val="zh-CN"/>
        </w:rPr>
        <w:t>台</w:t>
      </w:r>
      <w:r>
        <w:rPr>
          <w:rFonts w:eastAsia="楷体_GB2312" w:cs="MingLiU_HKSCS" w:hint="eastAsia"/>
          <w:lang w:val="zh-CN"/>
        </w:rPr>
        <w:t>/</w:t>
      </w:r>
      <w:r>
        <w:rPr>
          <w:rFonts w:eastAsia="楷体_GB2312" w:cs="MingLiU_HKSCS" w:hint="eastAsia"/>
          <w:lang w:val="zh-CN"/>
        </w:rPr>
        <w:t>年的范围。</w:t>
      </w:r>
    </w:p>
    <w:p w:rsidR="00800760" w:rsidRDefault="00235733">
      <w:pPr>
        <w:pStyle w:val="af6"/>
        <w:spacing w:before="120" w:after="120"/>
        <w:ind w:firstLineChars="0" w:firstLine="420"/>
        <w:rPr>
          <w:rFonts w:ascii="Times New Roman" w:hAnsi="Times New Roman"/>
        </w:rPr>
      </w:pPr>
      <w:bookmarkStart w:id="8679" w:name="_Toc20295"/>
      <w:bookmarkStart w:id="8680" w:name="_Toc775"/>
      <w:bookmarkStart w:id="8681" w:name="_Toc10922"/>
      <w:bookmarkStart w:id="8682" w:name="_Toc19922"/>
      <w:bookmarkStart w:id="8683" w:name="_Toc23282"/>
      <w:bookmarkStart w:id="8684" w:name="_Toc202884991"/>
      <w:bookmarkStart w:id="8685" w:name="_Toc30368"/>
      <w:bookmarkStart w:id="8686" w:name="_Toc6996"/>
      <w:bookmarkStart w:id="8687" w:name="_Toc29706"/>
      <w:bookmarkStart w:id="8688" w:name="_Toc29589"/>
      <w:bookmarkStart w:id="8689" w:name="_Toc18061"/>
      <w:bookmarkStart w:id="8690" w:name="_Toc13231"/>
      <w:bookmarkStart w:id="8691" w:name="_Toc22727"/>
      <w:bookmarkStart w:id="8692" w:name="_Toc18690"/>
      <w:bookmarkStart w:id="8693" w:name="_Toc28362"/>
      <w:bookmarkStart w:id="8694" w:name="_Toc7952"/>
      <w:bookmarkStart w:id="8695" w:name="_Toc6870"/>
      <w:bookmarkStart w:id="8696" w:name="_Toc6047"/>
      <w:bookmarkStart w:id="8697" w:name="_Toc26883"/>
      <w:bookmarkStart w:id="8698" w:name="_Toc26390"/>
      <w:bookmarkStart w:id="8699" w:name="_Toc28827"/>
      <w:bookmarkStart w:id="8700" w:name="_Toc30030"/>
      <w:bookmarkStart w:id="8701" w:name="_Toc30473"/>
      <w:bookmarkStart w:id="8702" w:name="_Toc24202"/>
      <w:bookmarkStart w:id="8703" w:name="_Toc14157"/>
      <w:bookmarkStart w:id="8704" w:name="_Toc16631"/>
      <w:bookmarkStart w:id="8705" w:name="_Toc525"/>
      <w:bookmarkStart w:id="8706" w:name="_Toc12816"/>
      <w:bookmarkStart w:id="8707" w:name="_Toc32653"/>
      <w:bookmarkStart w:id="8708" w:name="_Toc21720"/>
      <w:bookmarkStart w:id="8709" w:name="_Toc25728"/>
      <w:bookmarkStart w:id="8710" w:name="_Toc202887898"/>
      <w:bookmarkStart w:id="8711" w:name="_Toc19944"/>
      <w:bookmarkStart w:id="8712" w:name="_Toc3784"/>
      <w:bookmarkStart w:id="8713" w:name="_Toc26904"/>
      <w:r>
        <w:rPr>
          <w:rFonts w:ascii="Times New Roman" w:hAnsi="Times New Roman" w:hint="eastAsia"/>
        </w:rPr>
        <w:t>【案例</w:t>
      </w:r>
      <w:r>
        <w:rPr>
          <w:rFonts w:ascii="Times New Roman" w:hAnsi="Times New Roman" w:hint="eastAsia"/>
        </w:rPr>
        <w:t>7-</w:t>
      </w:r>
      <w:r>
        <w:rPr>
          <w:rFonts w:ascii="Times New Roman" w:hAnsi="Times New Roman"/>
        </w:rPr>
        <w:t>3-7</w:t>
      </w:r>
      <w:r>
        <w:rPr>
          <w:rFonts w:ascii="Times New Roman" w:hAnsi="Times New Roman" w:hint="eastAsia"/>
        </w:rPr>
        <w:t>】【被许可人超期履行】</w:t>
      </w:r>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p>
    <w:p w:rsidR="00800760" w:rsidRDefault="00235733">
      <w:pPr>
        <w:spacing w:line="360" w:lineRule="auto"/>
        <w:rPr>
          <w:rFonts w:eastAsia="楷体_GB2312" w:cs="MingLiU_HKSCS"/>
          <w:lang w:val="zh-CN"/>
        </w:rPr>
      </w:pPr>
      <w:r>
        <w:rPr>
          <w:rFonts w:eastAsia="楷体_GB2312" w:cs="MingLiU_HKSCS" w:hint="eastAsia"/>
          <w:lang w:val="zh-CN"/>
        </w:rPr>
        <w:t>A</w:t>
      </w:r>
      <w:r>
        <w:rPr>
          <w:rFonts w:eastAsia="楷体_GB2312" w:cs="MingLiU_HKSCS" w:hint="eastAsia"/>
          <w:lang w:val="zh-CN"/>
        </w:rPr>
        <w:t>公司持有一项名称为“温控装置”的实用新型专利，并就该专利提出开放许可声明，声明中约定开放许可期限为</w:t>
      </w:r>
      <w:r>
        <w:rPr>
          <w:rFonts w:eastAsia="楷体_GB2312" w:cs="MingLiU_HKSCS" w:hint="eastAsia"/>
          <w:lang w:val="zh-CN"/>
        </w:rPr>
        <w:t>3</w:t>
      </w:r>
      <w:r>
        <w:rPr>
          <w:rFonts w:eastAsia="楷体_GB2312" w:cs="MingLiU_HKSCS" w:hint="eastAsia"/>
          <w:lang w:val="zh-CN"/>
        </w:rPr>
        <w:t>年。声明公告</w:t>
      </w:r>
      <w:r>
        <w:rPr>
          <w:rFonts w:eastAsia="楷体_GB2312" w:cs="MingLiU_HKSCS" w:hint="eastAsia"/>
          <w:lang w:val="zh-CN"/>
        </w:rPr>
        <w:t>1</w:t>
      </w:r>
      <w:r>
        <w:rPr>
          <w:rFonts w:eastAsia="楷体_GB2312" w:cs="MingLiU_HKSCS" w:hint="eastAsia"/>
          <w:lang w:val="zh-CN"/>
        </w:rPr>
        <w:t>年后，</w:t>
      </w:r>
      <w:r>
        <w:rPr>
          <w:rFonts w:eastAsia="楷体_GB2312" w:cs="MingLiU_HKSCS" w:hint="eastAsia"/>
          <w:lang w:val="zh-CN"/>
        </w:rPr>
        <w:t>B</w:t>
      </w:r>
      <w:r>
        <w:rPr>
          <w:rFonts w:eastAsia="楷体_GB2312" w:cs="MingLiU_HKSCS" w:hint="eastAsia"/>
          <w:lang w:val="zh-CN"/>
        </w:rPr>
        <w:t>公司向</w:t>
      </w:r>
      <w:r>
        <w:rPr>
          <w:rFonts w:eastAsia="楷体_GB2312" w:cs="MingLiU_HKSCS" w:hint="eastAsia"/>
          <w:lang w:val="zh-CN"/>
        </w:rPr>
        <w:t>A</w:t>
      </w:r>
      <w:r>
        <w:rPr>
          <w:rFonts w:eastAsia="楷体_GB2312" w:cs="MingLiU_HKSCS" w:hint="eastAsia"/>
          <w:lang w:val="zh-CN"/>
        </w:rPr>
        <w:t>公司发出了实施该实用新型专利的通知，按约定的支付方式支付了许可费。</w:t>
      </w:r>
      <w:r>
        <w:rPr>
          <w:rFonts w:eastAsia="楷体_GB2312" w:cs="MingLiU_HKSCS" w:hint="eastAsia"/>
          <w:lang w:val="zh-CN"/>
        </w:rPr>
        <w:t>3</w:t>
      </w:r>
      <w:r>
        <w:rPr>
          <w:rFonts w:eastAsia="楷体_GB2312" w:cs="MingLiU_HKSCS" w:hint="eastAsia"/>
          <w:lang w:val="zh-CN"/>
        </w:rPr>
        <w:t>年后，</w:t>
      </w:r>
      <w:r>
        <w:rPr>
          <w:rFonts w:eastAsia="楷体_GB2312" w:cs="MingLiU_HKSCS" w:hint="eastAsia"/>
          <w:lang w:val="zh-CN"/>
        </w:rPr>
        <w:t>A</w:t>
      </w:r>
      <w:r>
        <w:rPr>
          <w:rFonts w:eastAsia="楷体_GB2312" w:cs="MingLiU_HKSCS" w:hint="eastAsia"/>
          <w:lang w:val="zh-CN"/>
        </w:rPr>
        <w:t>公司发现</w:t>
      </w:r>
      <w:r>
        <w:rPr>
          <w:rFonts w:eastAsia="楷体_GB2312" w:cs="MingLiU_HKSCS" w:hint="eastAsia"/>
          <w:lang w:val="zh-CN"/>
        </w:rPr>
        <w:t>B</w:t>
      </w:r>
      <w:r>
        <w:rPr>
          <w:rFonts w:eastAsia="楷体_GB2312" w:cs="MingLiU_HKSCS" w:hint="eastAsia"/>
          <w:lang w:val="zh-CN"/>
        </w:rPr>
        <w:t>公司仍然在实施该专利技术，主张</w:t>
      </w:r>
      <w:r>
        <w:rPr>
          <w:rFonts w:eastAsia="楷体_GB2312" w:cs="MingLiU_HKSCS" w:hint="eastAsia"/>
          <w:lang w:val="zh-CN"/>
        </w:rPr>
        <w:t>B</w:t>
      </w:r>
      <w:r>
        <w:rPr>
          <w:rFonts w:eastAsia="楷体_GB2312" w:cs="MingLiU_HKSCS" w:hint="eastAsia"/>
          <w:lang w:val="zh-CN"/>
        </w:rPr>
        <w:t>公司侵权，要求就侵权行为进行赔偿。经查发现，</w:t>
      </w:r>
      <w:r>
        <w:rPr>
          <w:rFonts w:eastAsia="楷体_GB2312" w:cs="MingLiU_HKSCS" w:hint="eastAsia"/>
          <w:lang w:val="zh-CN"/>
        </w:rPr>
        <w:t>A</w:t>
      </w:r>
      <w:r>
        <w:rPr>
          <w:rFonts w:eastAsia="楷体_GB2312" w:cs="MingLiU_HKSCS" w:hint="eastAsia"/>
          <w:lang w:val="zh-CN"/>
        </w:rPr>
        <w:t>公司持有的“温控装置”的实用新型专利于半年前因未缴纳年费而专利权终止。</w:t>
      </w:r>
    </w:p>
    <w:p w:rsidR="00800760" w:rsidRDefault="00235733">
      <w:pPr>
        <w:spacing w:line="360" w:lineRule="auto"/>
        <w:rPr>
          <w:rFonts w:eastAsia="华文隶书" w:cs="华文隶书"/>
          <w:b/>
          <w:sz w:val="24"/>
          <w:szCs w:val="24"/>
        </w:rPr>
      </w:pPr>
      <w:r>
        <w:rPr>
          <w:rFonts w:eastAsia="华文隶书" w:cs="MingLiU_HKSCS" w:hint="eastAsia"/>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hint="eastAsia"/>
          <w:lang w:val="zh-CN"/>
        </w:rPr>
        <w:t>专利权人自愿对其专利实行开放许可的，开放许可声明中需写明的许可期限届满日，许可期限届满日不能超过专利权期限届满日。因此，公告声明中的许可期限为专利权人对该专利进行开放许可的有效期限，在该许可期限届满日之前，任何愿意实施该专利的单位或者个人可以书面方式通知专利权人，并依照公告支付许可使用费后可以依法实施该专利。本案中，</w:t>
      </w:r>
      <w:r>
        <w:rPr>
          <w:rFonts w:eastAsia="楷体_GB2312" w:cs="MingLiU_HKSCS" w:hint="eastAsia"/>
          <w:lang w:val="zh-CN"/>
        </w:rPr>
        <w:t>A</w:t>
      </w:r>
      <w:r>
        <w:rPr>
          <w:rFonts w:eastAsia="楷体_GB2312" w:cs="MingLiU_HKSCS" w:hint="eastAsia"/>
          <w:lang w:val="zh-CN"/>
        </w:rPr>
        <w:t>公司对其持有的“温控装置”的实用新型专利的开放许可期限为</w:t>
      </w:r>
      <w:r>
        <w:rPr>
          <w:rFonts w:eastAsia="楷体_GB2312" w:cs="MingLiU_HKSCS" w:hint="eastAsia"/>
          <w:lang w:val="zh-CN"/>
        </w:rPr>
        <w:t>3</w:t>
      </w:r>
      <w:r>
        <w:rPr>
          <w:rFonts w:eastAsia="楷体_GB2312" w:cs="MingLiU_HKSCS" w:hint="eastAsia"/>
          <w:lang w:val="zh-CN"/>
        </w:rPr>
        <w:t>年。而</w:t>
      </w:r>
      <w:r>
        <w:rPr>
          <w:rFonts w:eastAsia="楷体_GB2312" w:cs="MingLiU_HKSCS" w:hint="eastAsia"/>
          <w:lang w:val="zh-CN"/>
        </w:rPr>
        <w:t>B</w:t>
      </w:r>
      <w:r>
        <w:rPr>
          <w:rFonts w:eastAsia="楷体_GB2312" w:cs="MingLiU_HKSCS" w:hint="eastAsia"/>
          <w:lang w:val="zh-CN"/>
        </w:rPr>
        <w:t>公司于</w:t>
      </w:r>
      <w:r>
        <w:rPr>
          <w:rFonts w:eastAsia="楷体_GB2312" w:cs="MingLiU_HKSCS" w:hint="eastAsia"/>
          <w:lang w:val="zh-CN"/>
        </w:rPr>
        <w:t>1</w:t>
      </w:r>
      <w:r>
        <w:rPr>
          <w:rFonts w:eastAsia="楷体_GB2312" w:cs="MingLiU_HKSCS" w:hint="eastAsia"/>
          <w:lang w:val="zh-CN"/>
        </w:rPr>
        <w:t>年后签订了开方许可合同，由于两年后该开放许可到期，因此，</w:t>
      </w:r>
      <w:r>
        <w:rPr>
          <w:rFonts w:eastAsia="楷体_GB2312" w:cs="MingLiU_HKSCS" w:hint="eastAsia"/>
          <w:lang w:val="zh-CN"/>
        </w:rPr>
        <w:t>B</w:t>
      </w:r>
      <w:r>
        <w:rPr>
          <w:rFonts w:eastAsia="楷体_GB2312" w:cs="MingLiU_HKSCS" w:hint="eastAsia"/>
          <w:lang w:val="zh-CN"/>
        </w:rPr>
        <w:t>公司被许可实施该专利的期限仅剩两年。但是，由于</w:t>
      </w:r>
      <w:r>
        <w:rPr>
          <w:rFonts w:eastAsia="楷体_GB2312" w:cs="MingLiU_HKSCS" w:hint="eastAsia"/>
          <w:lang w:val="zh-CN"/>
        </w:rPr>
        <w:t>A</w:t>
      </w:r>
      <w:r>
        <w:rPr>
          <w:rFonts w:eastAsia="楷体_GB2312" w:cs="MingLiU_HKSCS" w:hint="eastAsia"/>
          <w:lang w:val="zh-CN"/>
        </w:rPr>
        <w:t>公司持有的该专利于半年前专利权终止，专利权终止后对该专利技术的实施并不构成侵权行为。因此，</w:t>
      </w:r>
      <w:r>
        <w:rPr>
          <w:rFonts w:eastAsia="楷体_GB2312" w:cs="MingLiU_HKSCS" w:hint="eastAsia"/>
          <w:lang w:val="zh-CN"/>
        </w:rPr>
        <w:t>B</w:t>
      </w:r>
      <w:r>
        <w:rPr>
          <w:rFonts w:eastAsia="楷体_GB2312" w:cs="MingLiU_HKSCS" w:hint="eastAsia"/>
          <w:lang w:val="zh-CN"/>
        </w:rPr>
        <w:t>公司在第三年的前半年对该专利的继续实施行为构成侵权行为，而在后半年的实施行为并不构成侵权行为。</w:t>
      </w:r>
    </w:p>
    <w:p w:rsidR="00800760" w:rsidRDefault="00235733">
      <w:pPr>
        <w:pStyle w:val="3"/>
        <w:spacing w:before="240"/>
        <w:ind w:firstLine="444"/>
        <w:rPr>
          <w:rFonts w:ascii="Times New Roman" w:hAnsi="Times New Roman"/>
          <w:color w:val="000000"/>
        </w:rPr>
      </w:pPr>
      <w:bookmarkStart w:id="8714" w:name="_Toc17046"/>
      <w:bookmarkStart w:id="8715" w:name="_Toc29632"/>
      <w:bookmarkStart w:id="8716" w:name="_Toc281"/>
      <w:bookmarkStart w:id="8717" w:name="_Toc20727"/>
      <w:bookmarkStart w:id="8718" w:name="_Toc32730"/>
      <w:bookmarkStart w:id="8719" w:name="_Toc15827"/>
      <w:bookmarkStart w:id="8720" w:name="_Toc1787"/>
      <w:bookmarkStart w:id="8721" w:name="_Toc17896"/>
      <w:bookmarkStart w:id="8722" w:name="_Toc1993"/>
      <w:bookmarkStart w:id="8723" w:name="_Toc788"/>
      <w:bookmarkStart w:id="8724" w:name="_Toc16140"/>
      <w:bookmarkStart w:id="8725" w:name="_Toc18527"/>
      <w:bookmarkStart w:id="8726" w:name="_Toc20160"/>
      <w:bookmarkStart w:id="8727" w:name="_Toc12397"/>
      <w:bookmarkStart w:id="8728" w:name="_Toc22677"/>
      <w:bookmarkStart w:id="8729" w:name="_Toc31040"/>
      <w:bookmarkStart w:id="8730" w:name="_Toc14875"/>
      <w:bookmarkStart w:id="8731" w:name="_Toc24379"/>
      <w:bookmarkStart w:id="8732" w:name="_Toc6653"/>
      <w:bookmarkStart w:id="8733" w:name="_Toc22794"/>
      <w:bookmarkStart w:id="8734" w:name="_Toc26434"/>
      <w:bookmarkStart w:id="8735" w:name="_Toc24506"/>
      <w:bookmarkStart w:id="8736" w:name="_Toc1395"/>
      <w:bookmarkStart w:id="8737" w:name="_Toc11248"/>
      <w:bookmarkStart w:id="8738" w:name="_Toc2778"/>
      <w:bookmarkStart w:id="8739" w:name="_Toc27380"/>
      <w:bookmarkStart w:id="8740" w:name="_Toc2495"/>
      <w:bookmarkStart w:id="8741" w:name="_Toc4421"/>
      <w:bookmarkStart w:id="8742" w:name="_Toc17865"/>
      <w:bookmarkStart w:id="8743" w:name="_Toc31896"/>
      <w:bookmarkStart w:id="8744" w:name="_Toc29005"/>
      <w:bookmarkStart w:id="8745" w:name="_Toc2252"/>
      <w:bookmarkStart w:id="8746" w:name="_Toc25810"/>
      <w:bookmarkStart w:id="8747" w:name="_Toc19782"/>
      <w:bookmarkStart w:id="8748" w:name="_Toc13786"/>
      <w:bookmarkStart w:id="8749" w:name="_Toc24676"/>
      <w:bookmarkStart w:id="8750" w:name="_Toc229114535"/>
      <w:bookmarkStart w:id="8751" w:name="_Toc17167"/>
      <w:bookmarkStart w:id="8752" w:name="_Toc17972"/>
      <w:bookmarkStart w:id="8753" w:name="_Toc18578"/>
      <w:bookmarkStart w:id="8754" w:name="_Toc14706"/>
      <w:bookmarkStart w:id="8755" w:name="_Toc28560"/>
      <w:bookmarkStart w:id="8756" w:name="_Toc27868"/>
      <w:bookmarkStart w:id="8757" w:name="_Toc229225631"/>
      <w:r>
        <w:rPr>
          <w:rFonts w:ascii="Times New Roman" w:hAnsi="Times New Roman" w:hint="eastAsia"/>
          <w:color w:val="000000"/>
        </w:rPr>
        <w:t>三、专利开放许可合同约定内容的争议引起的纠纷</w:t>
      </w:r>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p>
    <w:p w:rsidR="00800760" w:rsidRDefault="00235733" w:rsidP="00235733">
      <w:pPr>
        <w:ind w:firstLineChars="177" w:firstLine="386"/>
        <w:jc w:val="both"/>
        <w:rPr>
          <w:rFonts w:cs="宋体"/>
          <w:spacing w:val="4"/>
        </w:rPr>
      </w:pPr>
      <w:r>
        <w:rPr>
          <w:rFonts w:cs="宋体" w:hint="eastAsia"/>
          <w:spacing w:val="4"/>
        </w:rPr>
        <w:t>专利开放许可声明应当写明以下事项：专利号，专利权人的姓名或者名称，专利许可使用费支付方式、标准，专利许可期限，其他需要明确的事项。被许可人依照公告的许可使用费支付方式、标准支付许可使用费。</w:t>
      </w:r>
    </w:p>
    <w:p w:rsidR="00800760" w:rsidRDefault="00235733" w:rsidP="00235733">
      <w:pPr>
        <w:ind w:firstLineChars="177" w:firstLine="386"/>
        <w:jc w:val="both"/>
        <w:rPr>
          <w:rFonts w:cs="宋体"/>
          <w:spacing w:val="4"/>
        </w:rPr>
      </w:pPr>
      <w:r>
        <w:rPr>
          <w:rFonts w:cs="宋体" w:hint="eastAsia"/>
          <w:spacing w:val="4"/>
        </w:rPr>
        <w:t>专利开放许可合同生效后，许可人与被许可人按照合同约定全面履行自己的义务。当事人就质量、许可费用和支付方式等内容没有约定或者约定不明确的，可以协议补充；不能达成补充协议的，按照合同相关条款、行业标准、交易习惯等方式确定。</w:t>
      </w:r>
    </w:p>
    <w:p w:rsidR="00800760" w:rsidRDefault="00235733" w:rsidP="00235733">
      <w:pPr>
        <w:ind w:firstLineChars="177" w:firstLine="386"/>
        <w:jc w:val="both"/>
        <w:rPr>
          <w:rFonts w:cs="宋体"/>
          <w:spacing w:val="4"/>
        </w:rPr>
      </w:pPr>
      <w:r>
        <w:rPr>
          <w:rFonts w:cs="宋体" w:hint="eastAsia"/>
          <w:spacing w:val="4"/>
        </w:rPr>
        <w:t>在专利开放许可中因合同内容引起的争议纠纷主要包括：对许可期限、使用费及支付方式，许可范围等产生的争议。</w:t>
      </w:r>
    </w:p>
    <w:p w:rsidR="00800760" w:rsidRDefault="00235733">
      <w:pPr>
        <w:pStyle w:val="af6"/>
        <w:spacing w:before="120"/>
        <w:ind w:firstLineChars="0" w:firstLine="420"/>
        <w:rPr>
          <w:rFonts w:ascii="Times New Roman" w:hAnsi="Times New Roman"/>
        </w:rPr>
      </w:pPr>
      <w:bookmarkStart w:id="8758" w:name="_Toc27042"/>
      <w:bookmarkStart w:id="8759" w:name="_Toc1130"/>
      <w:bookmarkStart w:id="8760" w:name="_Toc2091"/>
      <w:bookmarkStart w:id="8761" w:name="_Toc19891"/>
      <w:bookmarkStart w:id="8762" w:name="_Toc18513"/>
      <w:bookmarkStart w:id="8763" w:name="_Toc20326"/>
      <w:bookmarkStart w:id="8764" w:name="_Toc20094"/>
      <w:bookmarkStart w:id="8765" w:name="_Toc1024"/>
      <w:bookmarkStart w:id="8766" w:name="_Toc2076"/>
      <w:bookmarkStart w:id="8767" w:name="_Toc30474"/>
      <w:bookmarkStart w:id="8768" w:name="_Toc5932"/>
      <w:bookmarkStart w:id="8769" w:name="_Toc13924"/>
      <w:bookmarkStart w:id="8770" w:name="_Toc19908"/>
      <w:bookmarkStart w:id="8771" w:name="_Toc9410"/>
      <w:bookmarkStart w:id="8772" w:name="_Toc15966"/>
      <w:bookmarkStart w:id="8773" w:name="_Toc10733"/>
      <w:bookmarkStart w:id="8774" w:name="_Toc32386"/>
      <w:bookmarkStart w:id="8775" w:name="_Toc13387"/>
      <w:bookmarkStart w:id="8776" w:name="_Toc7597"/>
      <w:bookmarkStart w:id="8777" w:name="_Toc31479"/>
      <w:bookmarkStart w:id="8778" w:name="_Toc25649"/>
      <w:bookmarkStart w:id="8779" w:name="_Toc8912"/>
      <w:bookmarkStart w:id="8780" w:name="_Toc2225"/>
      <w:bookmarkStart w:id="8781" w:name="_Toc17098"/>
      <w:bookmarkStart w:id="8782" w:name="_Toc30065"/>
      <w:bookmarkStart w:id="8783" w:name="_Toc14447"/>
      <w:bookmarkStart w:id="8784" w:name="_Toc27991"/>
      <w:bookmarkStart w:id="8785" w:name="_Toc23246"/>
      <w:bookmarkStart w:id="8786" w:name="_Toc202884993"/>
      <w:bookmarkStart w:id="8787" w:name="_Toc13526"/>
      <w:bookmarkStart w:id="8788" w:name="_Toc4031"/>
      <w:bookmarkStart w:id="8789" w:name="_Toc32419"/>
      <w:bookmarkStart w:id="8790" w:name="_Toc26245"/>
      <w:bookmarkStart w:id="8791" w:name="_Toc20862"/>
      <w:bookmarkStart w:id="8792" w:name="_Toc202887900"/>
      <w:r>
        <w:rPr>
          <w:rFonts w:ascii="Times New Roman" w:hAnsi="Times New Roman" w:hint="eastAsia"/>
        </w:rPr>
        <w:t>【案例</w:t>
      </w:r>
      <w:r>
        <w:rPr>
          <w:rFonts w:ascii="Times New Roman" w:hAnsi="Times New Roman" w:hint="eastAsia"/>
        </w:rPr>
        <w:t>7-</w:t>
      </w:r>
      <w:r>
        <w:rPr>
          <w:rFonts w:ascii="Times New Roman" w:hAnsi="Times New Roman"/>
        </w:rPr>
        <w:t>3-8</w:t>
      </w:r>
      <w:r>
        <w:rPr>
          <w:rFonts w:ascii="Times New Roman" w:hAnsi="Times New Roman" w:hint="eastAsia"/>
        </w:rPr>
        <w:t>】【合同约定不明】</w:t>
      </w:r>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p>
    <w:p w:rsidR="00800760" w:rsidRDefault="00235733">
      <w:pPr>
        <w:spacing w:line="360" w:lineRule="auto"/>
        <w:rPr>
          <w:rFonts w:eastAsia="楷体_GB2312" w:cs="MingLiU_HKSCS"/>
          <w:lang w:val="zh-CN"/>
        </w:rPr>
      </w:pPr>
      <w:r>
        <w:rPr>
          <w:rFonts w:eastAsia="楷体_GB2312" w:cs="MingLiU_HKSCS" w:hint="eastAsia"/>
          <w:lang w:val="zh-CN"/>
        </w:rPr>
        <w:t>A</w:t>
      </w:r>
      <w:r>
        <w:rPr>
          <w:rFonts w:eastAsia="楷体_GB2312" w:cs="MingLiU_HKSCS" w:hint="eastAsia"/>
          <w:lang w:val="zh-CN"/>
        </w:rPr>
        <w:t>保健品公司拥有一项名称为“一种具有免疫调节与治疗功能的复方灵芝黄芪口服液”的发明专利，包含权利要求</w:t>
      </w:r>
      <w:r>
        <w:rPr>
          <w:rFonts w:eastAsia="楷体_GB2312" w:cs="MingLiU_HKSCS" w:hint="eastAsia"/>
          <w:lang w:val="zh-CN"/>
        </w:rPr>
        <w:t>1</w:t>
      </w:r>
      <w:r>
        <w:rPr>
          <w:rFonts w:eastAsia="楷体_GB2312" w:cs="MingLiU_HKSCS" w:hint="eastAsia"/>
          <w:lang w:val="zh-CN"/>
        </w:rPr>
        <w:t>和</w:t>
      </w:r>
      <w:r>
        <w:rPr>
          <w:rFonts w:eastAsia="楷体_GB2312" w:cs="MingLiU_HKSCS" w:hint="eastAsia"/>
          <w:lang w:val="zh-CN"/>
        </w:rPr>
        <w:t>2</w:t>
      </w:r>
      <w:r>
        <w:rPr>
          <w:rFonts w:eastAsia="楷体_GB2312" w:cs="MingLiU_HKSCS" w:hint="eastAsia"/>
          <w:lang w:val="zh-CN"/>
        </w:rPr>
        <w:t>。权利要求</w:t>
      </w:r>
      <w:r>
        <w:rPr>
          <w:rFonts w:eastAsia="楷体_GB2312" w:cs="MingLiU_HKSCS" w:hint="eastAsia"/>
          <w:lang w:val="zh-CN"/>
        </w:rPr>
        <w:t>1</w:t>
      </w:r>
      <w:r>
        <w:rPr>
          <w:rFonts w:eastAsia="楷体_GB2312" w:cs="MingLiU_HKSCS" w:hint="eastAsia"/>
          <w:lang w:val="zh-CN"/>
        </w:rPr>
        <w:t>保护一种保健口服液，其特征在于：包含以下重量百分比的组分：灵芝提取物（多糖含量≥</w:t>
      </w:r>
      <w:r>
        <w:rPr>
          <w:rFonts w:eastAsia="楷体_GB2312" w:cs="MingLiU_HKSCS" w:hint="eastAsia"/>
          <w:lang w:val="zh-CN"/>
        </w:rPr>
        <w:t>30%</w:t>
      </w:r>
      <w:r>
        <w:rPr>
          <w:rFonts w:eastAsia="楷体_GB2312" w:cs="MingLiU_HKSCS" w:hint="eastAsia"/>
          <w:lang w:val="zh-CN"/>
        </w:rPr>
        <w:t>）：</w:t>
      </w:r>
      <w:r>
        <w:rPr>
          <w:rFonts w:eastAsia="楷体_GB2312" w:cs="MingLiU_HKSCS" w:hint="eastAsia"/>
          <w:lang w:val="zh-CN"/>
        </w:rPr>
        <w:t>10%-15%</w:t>
      </w:r>
      <w:r>
        <w:rPr>
          <w:rFonts w:eastAsia="楷体_GB2312" w:cs="MingLiU_HKSCS" w:hint="eastAsia"/>
          <w:lang w:val="zh-CN"/>
        </w:rPr>
        <w:t>；黄芪提取物（黄芪甲苷≥</w:t>
      </w:r>
      <w:r>
        <w:rPr>
          <w:rFonts w:eastAsia="楷体_GB2312" w:cs="MingLiU_HKSCS" w:hint="eastAsia"/>
          <w:lang w:val="zh-CN"/>
        </w:rPr>
        <w:t>0.5%</w:t>
      </w:r>
      <w:r>
        <w:rPr>
          <w:rFonts w:eastAsia="楷体_GB2312" w:cs="MingLiU_HKSCS" w:hint="eastAsia"/>
          <w:lang w:val="zh-CN"/>
        </w:rPr>
        <w:t>）：</w:t>
      </w:r>
      <w:r>
        <w:rPr>
          <w:rFonts w:eastAsia="楷体_GB2312" w:cs="MingLiU_HKSCS" w:hint="eastAsia"/>
          <w:lang w:val="zh-CN"/>
        </w:rPr>
        <w:t>8%-12%</w:t>
      </w:r>
      <w:r>
        <w:rPr>
          <w:rFonts w:eastAsia="楷体_GB2312" w:cs="MingLiU_HKSCS" w:hint="eastAsia"/>
          <w:lang w:val="zh-CN"/>
        </w:rPr>
        <w:t>；枸杞提取物（枸杞多糖≥</w:t>
      </w:r>
      <w:r>
        <w:rPr>
          <w:rFonts w:eastAsia="楷体_GB2312" w:cs="MingLiU_HKSCS" w:hint="eastAsia"/>
          <w:lang w:val="zh-CN"/>
        </w:rPr>
        <w:t>20%</w:t>
      </w:r>
      <w:r>
        <w:rPr>
          <w:rFonts w:eastAsia="楷体_GB2312" w:cs="MingLiU_HKSCS" w:hint="eastAsia"/>
          <w:lang w:val="zh-CN"/>
        </w:rPr>
        <w:t>）：</w:t>
      </w:r>
      <w:r>
        <w:rPr>
          <w:rFonts w:eastAsia="楷体_GB2312" w:cs="MingLiU_HKSCS" w:hint="eastAsia"/>
          <w:lang w:val="zh-CN"/>
        </w:rPr>
        <w:t>5%-8%</w:t>
      </w:r>
      <w:r>
        <w:rPr>
          <w:rFonts w:eastAsia="楷体_GB2312" w:cs="MingLiU_HKSCS" w:hint="eastAsia"/>
          <w:lang w:val="zh-CN"/>
        </w:rPr>
        <w:t>；甜菊糖苷：</w:t>
      </w:r>
      <w:r>
        <w:rPr>
          <w:rFonts w:eastAsia="楷体_GB2312" w:cs="MingLiU_HKSCS" w:hint="eastAsia"/>
          <w:lang w:val="zh-CN"/>
        </w:rPr>
        <w:t>0.05%-0.1%</w:t>
      </w:r>
      <w:r>
        <w:rPr>
          <w:rFonts w:eastAsia="楷体_GB2312" w:cs="MingLiU_HKSCS" w:hint="eastAsia"/>
          <w:lang w:val="zh-CN"/>
        </w:rPr>
        <w:t>；山梨酸钾：</w:t>
      </w:r>
      <w:r>
        <w:rPr>
          <w:rFonts w:eastAsia="楷体_GB2312" w:cs="MingLiU_HKSCS" w:hint="eastAsia"/>
          <w:lang w:val="zh-CN"/>
        </w:rPr>
        <w:t>0.01%-0.02%</w:t>
      </w:r>
      <w:r>
        <w:rPr>
          <w:rFonts w:eastAsia="楷体_GB2312" w:cs="MingLiU_HKSCS" w:hint="eastAsia"/>
          <w:lang w:val="zh-CN"/>
        </w:rPr>
        <w:t>；纯化水：余量。权利要求</w:t>
      </w:r>
      <w:r>
        <w:rPr>
          <w:rFonts w:eastAsia="楷体_GB2312" w:cs="MingLiU_HKSCS" w:hint="eastAsia"/>
          <w:lang w:val="zh-CN"/>
        </w:rPr>
        <w:t>2</w:t>
      </w:r>
      <w:r>
        <w:rPr>
          <w:rFonts w:eastAsia="楷体_GB2312" w:cs="MingLiU_HKSCS" w:hint="eastAsia"/>
          <w:lang w:val="zh-CN"/>
        </w:rPr>
        <w:t>为所述口服液的制备方法。</w:t>
      </w:r>
      <w:r>
        <w:rPr>
          <w:rFonts w:eastAsia="楷体_GB2312" w:cs="MingLiU_HKSCS" w:hint="eastAsia"/>
          <w:lang w:val="zh-CN"/>
        </w:rPr>
        <w:t>A</w:t>
      </w:r>
      <w:r>
        <w:rPr>
          <w:rFonts w:eastAsia="楷体_GB2312" w:cs="MingLiU_HKSCS" w:hint="eastAsia"/>
          <w:lang w:val="zh-CN"/>
        </w:rPr>
        <w:t>公司就该发明专利进行了开放许可，</w:t>
      </w:r>
      <w:r>
        <w:rPr>
          <w:rFonts w:eastAsia="楷体_GB2312" w:cs="MingLiU_HKSCS" w:hint="eastAsia"/>
          <w:lang w:val="zh-CN"/>
        </w:rPr>
        <w:t>B</w:t>
      </w:r>
      <w:r>
        <w:rPr>
          <w:rFonts w:eastAsia="楷体_GB2312" w:cs="MingLiU_HKSCS" w:hint="eastAsia"/>
          <w:lang w:val="zh-CN"/>
        </w:rPr>
        <w:t>保健品公司与其签订了专利开放许可合同。随后，</w:t>
      </w:r>
      <w:r>
        <w:rPr>
          <w:rFonts w:eastAsia="楷体_GB2312" w:cs="MingLiU_HKSCS" w:hint="eastAsia"/>
          <w:lang w:val="zh-CN"/>
        </w:rPr>
        <w:t>A</w:t>
      </w:r>
      <w:r>
        <w:rPr>
          <w:rFonts w:eastAsia="楷体_GB2312" w:cs="MingLiU_HKSCS" w:hint="eastAsia"/>
          <w:lang w:val="zh-CN"/>
        </w:rPr>
        <w:t>公司发现，</w:t>
      </w:r>
      <w:r>
        <w:rPr>
          <w:rFonts w:eastAsia="楷体_GB2312" w:cs="MingLiU_HKSCS" w:hint="eastAsia"/>
          <w:lang w:val="zh-CN"/>
        </w:rPr>
        <w:t>B</w:t>
      </w:r>
      <w:r>
        <w:rPr>
          <w:rFonts w:eastAsia="楷体_GB2312" w:cs="MingLiU_HKSCS" w:hint="eastAsia"/>
          <w:lang w:val="zh-CN"/>
        </w:rPr>
        <w:t>公司在实施该专利生产的口服液采用的甜菊糖苷原材料的铅含量为</w:t>
      </w:r>
      <w:r>
        <w:rPr>
          <w:rFonts w:eastAsia="楷体_GB2312" w:cs="MingLiU_HKSCS" w:hint="eastAsia"/>
          <w:lang w:val="zh-CN"/>
        </w:rPr>
        <w:t>1. 8mg/kg</w:t>
      </w:r>
      <w:r>
        <w:rPr>
          <w:rFonts w:eastAsia="楷体_GB2312" w:cs="MingLiU_HKSCS" w:hint="eastAsia"/>
          <w:lang w:val="zh-CN"/>
        </w:rPr>
        <w:t>，在原材料的使用上以次充好，要求</w:t>
      </w:r>
      <w:r>
        <w:rPr>
          <w:rFonts w:eastAsia="楷体_GB2312" w:cs="MingLiU_HKSCS" w:hint="eastAsia"/>
          <w:lang w:val="zh-CN"/>
        </w:rPr>
        <w:t>B</w:t>
      </w:r>
      <w:r>
        <w:rPr>
          <w:rFonts w:eastAsia="楷体_GB2312" w:cs="MingLiU_HKSCS" w:hint="eastAsia"/>
          <w:lang w:val="zh-CN"/>
        </w:rPr>
        <w:t>公司更换甜菊糖苷的原材料，否则终止专利许可。</w:t>
      </w:r>
      <w:r>
        <w:rPr>
          <w:rFonts w:eastAsia="楷体_GB2312" w:cs="MingLiU_HKSCS" w:hint="eastAsia"/>
          <w:lang w:val="zh-CN"/>
        </w:rPr>
        <w:t>B</w:t>
      </w:r>
      <w:r>
        <w:rPr>
          <w:rFonts w:eastAsia="楷体_GB2312" w:cs="MingLiU_HKSCS" w:hint="eastAsia"/>
          <w:lang w:val="zh-CN"/>
        </w:rPr>
        <w:t>公司认为其与</w:t>
      </w:r>
      <w:r>
        <w:rPr>
          <w:rFonts w:eastAsia="楷体_GB2312" w:cs="MingLiU_HKSCS" w:hint="eastAsia"/>
          <w:lang w:val="zh-CN"/>
        </w:rPr>
        <w:t>A</w:t>
      </w:r>
      <w:r>
        <w:rPr>
          <w:rFonts w:eastAsia="楷体_GB2312" w:cs="MingLiU_HKSCS" w:hint="eastAsia"/>
          <w:lang w:val="zh-CN"/>
        </w:rPr>
        <w:t>公司的开放许可合同中未对原材料的采集进行约定，专利发明书中也未记载，且生产的口服液的重金属含量并未超出食品安全国家标准的范围，主张并未违约。</w:t>
      </w:r>
    </w:p>
    <w:p w:rsidR="00800760" w:rsidRDefault="00235733">
      <w:pPr>
        <w:rPr>
          <w:rFonts w:eastAsia="华文隶书" w:cs="MingLiU_HKSCS"/>
          <w:color w:val="000000"/>
          <w:szCs w:val="21"/>
          <w:lang w:val="zh-CN"/>
        </w:rPr>
      </w:pPr>
      <w:r>
        <w:rPr>
          <w:rFonts w:eastAsia="华文隶书" w:cs="MingLiU_HKSCS" w:hint="eastAsia"/>
          <w:color w:val="000000"/>
          <w:szCs w:val="21"/>
          <w:lang w:val="zh-CN"/>
        </w:rPr>
        <w:t>分析与评述</w:t>
      </w:r>
    </w:p>
    <w:p w:rsidR="00800760" w:rsidRDefault="00235733">
      <w:pPr>
        <w:spacing w:line="360" w:lineRule="auto"/>
        <w:rPr>
          <w:rFonts w:eastAsia="楷体_GB2312" w:cs="MingLiU_HKSCS"/>
          <w:lang w:val="zh-CN"/>
        </w:rPr>
      </w:pPr>
      <w:r>
        <w:rPr>
          <w:rFonts w:eastAsia="楷体_GB2312" w:cs="MingLiU_HKSCS" w:hint="eastAsia"/>
          <w:lang w:val="zh-CN"/>
        </w:rPr>
        <w:t>专利开放许可合同生效后，当事人应当按照合同约定内容履行法律义务。根据《民法典》第五百一十一条规定，当事人就有关合同中涉及质量要求约定不明确的，按照强制性国家标准履行；没有强制性国家标准的，按照推荐性国家标准履行；没有推荐性国家标准的，按照行业标准履行；没有国家标准、行业标准的，按照通常标准或者符合合同目的的特定标准履行。</w:t>
      </w:r>
    </w:p>
    <w:p w:rsidR="00800760" w:rsidRDefault="00235733">
      <w:pPr>
        <w:spacing w:line="360" w:lineRule="auto"/>
        <w:rPr>
          <w:rFonts w:eastAsia="楷体_GB2312" w:cs="MingLiU_HKSCS"/>
          <w:lang w:val="zh-CN"/>
        </w:rPr>
      </w:pPr>
      <w:r>
        <w:rPr>
          <w:rFonts w:eastAsia="楷体_GB2312" w:cs="MingLiU_HKSCS" w:hint="eastAsia"/>
          <w:lang w:val="zh-CN"/>
        </w:rPr>
        <w:t>本案中，尽管</w:t>
      </w:r>
      <w:r>
        <w:rPr>
          <w:rFonts w:eastAsia="楷体_GB2312" w:cs="MingLiU_HKSCS" w:hint="eastAsia"/>
          <w:lang w:val="zh-CN"/>
        </w:rPr>
        <w:t>A</w:t>
      </w:r>
      <w:r>
        <w:rPr>
          <w:rFonts w:eastAsia="楷体_GB2312" w:cs="MingLiU_HKSCS" w:hint="eastAsia"/>
          <w:lang w:val="zh-CN"/>
        </w:rPr>
        <w:t>公司进行开放许可专利的发明书中未对所述口服液中的各组分材料的纯度、杂质含量等进行明确，</w:t>
      </w:r>
      <w:r>
        <w:rPr>
          <w:rFonts w:eastAsia="楷体_GB2312" w:cs="MingLiU_HKSCS" w:hint="eastAsia"/>
          <w:lang w:val="zh-CN"/>
        </w:rPr>
        <w:t>A</w:t>
      </w:r>
      <w:r>
        <w:rPr>
          <w:rFonts w:eastAsia="楷体_GB2312" w:cs="MingLiU_HKSCS" w:hint="eastAsia"/>
          <w:lang w:val="zh-CN"/>
        </w:rPr>
        <w:t>公司与</w:t>
      </w:r>
      <w:r>
        <w:rPr>
          <w:rFonts w:eastAsia="楷体_GB2312" w:cs="MingLiU_HKSCS" w:hint="eastAsia"/>
          <w:lang w:val="zh-CN"/>
        </w:rPr>
        <w:t>B</w:t>
      </w:r>
      <w:r>
        <w:rPr>
          <w:rFonts w:eastAsia="楷体_GB2312" w:cs="MingLiU_HKSCS" w:hint="eastAsia"/>
          <w:lang w:val="zh-CN"/>
        </w:rPr>
        <w:t>公司的开放许可合同中也未对其进行约定，但是该保健口服液的生产质量应当达到相关的国家标准。根据《食品安全国家标准</w:t>
      </w:r>
      <w:r>
        <w:rPr>
          <w:rFonts w:eastAsia="楷体_GB2312" w:cs="MingLiU_HKSCS"/>
          <w:lang w:val="zh-CN"/>
        </w:rPr>
        <w:t xml:space="preserve"> </w:t>
      </w:r>
      <w:r>
        <w:rPr>
          <w:rFonts w:eastAsia="楷体_GB2312" w:cs="MingLiU_HKSCS" w:hint="eastAsia"/>
          <w:lang w:val="zh-CN"/>
        </w:rPr>
        <w:t>保健食品》</w:t>
      </w:r>
      <w:r>
        <w:rPr>
          <w:rFonts w:eastAsia="楷体_GB2312" w:cs="MingLiU_HKSCS" w:hint="eastAsia"/>
          <w:lang w:val="zh-CN"/>
        </w:rPr>
        <w:t>GB 16740-2014</w:t>
      </w:r>
      <w:r>
        <w:rPr>
          <w:rFonts w:eastAsia="楷体_GB2312" w:cs="MingLiU_HKSCS" w:hint="eastAsia"/>
          <w:lang w:val="zh-CN"/>
        </w:rPr>
        <w:t>的规定，铅含量≤</w:t>
      </w:r>
      <w:r>
        <w:rPr>
          <w:rFonts w:eastAsia="楷体_GB2312" w:cs="MingLiU_HKSCS" w:hint="eastAsia"/>
          <w:lang w:val="zh-CN"/>
        </w:rPr>
        <w:t>2. 0mg/kg</w:t>
      </w:r>
      <w:r>
        <w:rPr>
          <w:rFonts w:eastAsia="楷体_GB2312" w:cs="MingLiU_HKSCS" w:hint="eastAsia"/>
          <w:lang w:val="zh-CN"/>
        </w:rPr>
        <w:t>；与此同时，还规定了原料和辅料应符合相关食品标准和有关规定。而《中华人民共和国药典：</w:t>
      </w:r>
      <w:r>
        <w:rPr>
          <w:rFonts w:eastAsia="楷体_GB2312" w:cs="MingLiU_HKSCS"/>
          <w:lang w:val="zh-CN"/>
        </w:rPr>
        <w:t>2020</w:t>
      </w:r>
      <w:r>
        <w:rPr>
          <w:rFonts w:eastAsia="楷体_GB2312" w:cs="MingLiU_HKSCS" w:hint="eastAsia"/>
          <w:lang w:val="zh-CN"/>
        </w:rPr>
        <w:t>版》中明确了甜菊糖苷的铅含量≤</w:t>
      </w:r>
      <w:r>
        <w:rPr>
          <w:rFonts w:eastAsia="楷体_GB2312" w:cs="MingLiU_HKSCS"/>
          <w:lang w:val="zh-CN"/>
        </w:rPr>
        <w:t>1mg/kg</w:t>
      </w:r>
      <w:r>
        <w:rPr>
          <w:rFonts w:eastAsia="楷体_GB2312" w:cs="MingLiU_HKSCS" w:hint="eastAsia"/>
          <w:lang w:val="zh-CN"/>
        </w:rPr>
        <w:t>。因此，</w:t>
      </w:r>
      <w:r>
        <w:rPr>
          <w:rFonts w:eastAsia="楷体_GB2312" w:cs="MingLiU_HKSCS"/>
          <w:lang w:val="zh-CN"/>
        </w:rPr>
        <w:t>B</w:t>
      </w:r>
      <w:r>
        <w:rPr>
          <w:rFonts w:eastAsia="楷体_GB2312" w:cs="MingLiU_HKSCS" w:hint="eastAsia"/>
          <w:lang w:val="zh-CN"/>
        </w:rPr>
        <w:t>公司生产的口服液中甜菊糖苷原材料中甜菊糖苷的含量超标，应当认定</w:t>
      </w:r>
      <w:r>
        <w:rPr>
          <w:rFonts w:eastAsia="楷体_GB2312" w:cs="MingLiU_HKSCS" w:hint="eastAsia"/>
          <w:lang w:val="zh-CN"/>
        </w:rPr>
        <w:t>B</w:t>
      </w:r>
      <w:r>
        <w:rPr>
          <w:rFonts w:eastAsia="楷体_GB2312" w:cs="MingLiU_HKSCS" w:hint="eastAsia"/>
          <w:lang w:val="zh-CN"/>
        </w:rPr>
        <w:t>公司在专利许可的实施中违约。</w:t>
      </w:r>
    </w:p>
    <w:p w:rsidR="00800760" w:rsidRDefault="00800760"/>
    <w:p w:rsidR="00800760" w:rsidRDefault="00800760">
      <w:pPr>
        <w:pStyle w:val="a5"/>
        <w:spacing w:line="388" w:lineRule="auto"/>
      </w:pPr>
    </w:p>
    <w:p w:rsidR="00800760" w:rsidRDefault="00800760"/>
    <w:p w:rsidR="00800760" w:rsidRDefault="00800760">
      <w:pPr>
        <w:pStyle w:val="12"/>
        <w:topLinePunct/>
        <w:spacing w:line="336" w:lineRule="auto"/>
        <w:ind w:firstLine="420"/>
        <w:rPr>
          <w:rFonts w:ascii="Times New Roman" w:eastAsia="宋体" w:hAnsi="Times New Roman"/>
          <w:sz w:val="21"/>
          <w:szCs w:val="21"/>
          <w:lang w:val="en-GB"/>
        </w:rPr>
      </w:pPr>
    </w:p>
    <w:p w:rsidR="00800760" w:rsidRDefault="00800760">
      <w:pPr>
        <w:pStyle w:val="1"/>
      </w:pPr>
    </w:p>
    <w:p w:rsidR="00800760" w:rsidRDefault="00235733">
      <w:pPr>
        <w:pStyle w:val="1"/>
        <w:pageBreakBefore/>
      </w:pPr>
      <w:bookmarkStart w:id="8793" w:name="_Toc229114536"/>
      <w:bookmarkStart w:id="8794" w:name="_Toc229225632"/>
      <w:r>
        <w:t>第</w:t>
      </w:r>
      <w:r>
        <w:rPr>
          <w:rFonts w:hint="eastAsia"/>
        </w:rPr>
        <w:t>八</w:t>
      </w:r>
      <w:r>
        <w:t>章</w:t>
      </w:r>
      <w:r>
        <w:rPr>
          <w:rFonts w:hint="eastAsia"/>
        </w:rPr>
        <w:t xml:space="preserve">　</w:t>
      </w:r>
      <w:r>
        <w:t>专利侵权赔偿</w:t>
      </w:r>
      <w:r>
        <w:rPr>
          <w:rFonts w:hint="eastAsia"/>
        </w:rPr>
        <w:t>数</w:t>
      </w:r>
      <w:r>
        <w:t>额的</w:t>
      </w:r>
      <w:r>
        <w:rPr>
          <w:rFonts w:hint="eastAsia"/>
        </w:rPr>
        <w:t>调解</w:t>
      </w:r>
      <w:bookmarkEnd w:id="8793"/>
      <w:bookmarkEnd w:id="8794"/>
    </w:p>
    <w:p w:rsidR="00800760" w:rsidRDefault="00235733">
      <w:pPr>
        <w:ind w:firstLine="436"/>
        <w:rPr>
          <w:rFonts w:cs="宋体"/>
          <w:spacing w:val="13"/>
        </w:rPr>
      </w:pPr>
      <w:r>
        <w:rPr>
          <w:rFonts w:cs="宋体"/>
          <w:spacing w:val="4"/>
        </w:rPr>
        <w:t>管理专利工作的部门在处理专利侵权纠纷时，应当事人的请求，可</w:t>
      </w:r>
      <w:r>
        <w:rPr>
          <w:rFonts w:cs="宋体"/>
          <w:spacing w:val="3"/>
        </w:rPr>
        <w:t>以就侵犯专利</w:t>
      </w:r>
      <w:r>
        <w:rPr>
          <w:rFonts w:cs="宋体"/>
          <w:spacing w:val="-4"/>
        </w:rPr>
        <w:t>权的赔偿数额进行调解。</w:t>
      </w:r>
      <w:r>
        <w:rPr>
          <w:rFonts w:cs="宋体"/>
          <w:spacing w:val="13"/>
        </w:rPr>
        <w:t>管理</w:t>
      </w:r>
      <w:r>
        <w:rPr>
          <w:rFonts w:cs="宋体"/>
          <w:spacing w:val="12"/>
        </w:rPr>
        <w:t>专利工作的部门</w:t>
      </w:r>
      <w:r>
        <w:rPr>
          <w:rFonts w:cs="宋体" w:hint="eastAsia"/>
          <w:spacing w:val="12"/>
        </w:rPr>
        <w:t>可以</w:t>
      </w:r>
      <w:r>
        <w:rPr>
          <w:rFonts w:cs="宋体"/>
          <w:spacing w:val="12"/>
        </w:rPr>
        <w:t>在根据</w:t>
      </w:r>
      <w:r>
        <w:rPr>
          <w:rFonts w:cs="宋体"/>
          <w:spacing w:val="1"/>
        </w:rPr>
        <w:t>《专利法</w:t>
      </w:r>
      <w:r>
        <w:rPr>
          <w:rFonts w:cs="宋体"/>
          <w:spacing w:val="13"/>
        </w:rPr>
        <w:t>》第</w:t>
      </w:r>
      <w:r>
        <w:rPr>
          <w:rFonts w:cs="宋体" w:hint="eastAsia"/>
          <w:spacing w:val="13"/>
        </w:rPr>
        <w:t>七十一</w:t>
      </w:r>
      <w:r>
        <w:rPr>
          <w:rFonts w:cs="宋体"/>
          <w:spacing w:val="13"/>
        </w:rPr>
        <w:t>条规定确定的赔偿数额的基础上，本着公平、合理的原则组织双方就赔偿数额达成调解协议。</w:t>
      </w:r>
    </w:p>
    <w:p w:rsidR="00800760" w:rsidRDefault="00235733">
      <w:pPr>
        <w:ind w:firstLine="472"/>
        <w:jc w:val="both"/>
        <w:rPr>
          <w:rFonts w:cs="宋体"/>
          <w:spacing w:val="13"/>
        </w:rPr>
      </w:pPr>
      <w:r>
        <w:rPr>
          <w:rFonts w:cs="宋体"/>
          <w:spacing w:val="13"/>
        </w:rPr>
        <w:t>按照《专利法》第</w:t>
      </w:r>
      <w:r>
        <w:rPr>
          <w:rFonts w:cs="宋体" w:hint="eastAsia"/>
          <w:spacing w:val="13"/>
        </w:rPr>
        <w:t>七十一</w:t>
      </w:r>
      <w:r>
        <w:rPr>
          <w:rFonts w:cs="宋体"/>
          <w:spacing w:val="13"/>
        </w:rPr>
        <w:t>条的规定，侵犯专利权的赔偿数额按照权利人因被侵权所受到的实际损失</w:t>
      </w:r>
      <w:r>
        <w:rPr>
          <w:rFonts w:cs="宋体" w:hint="eastAsia"/>
          <w:spacing w:val="13"/>
        </w:rPr>
        <w:t>或者</w:t>
      </w:r>
      <w:r>
        <w:rPr>
          <w:rFonts w:cs="宋体"/>
          <w:spacing w:val="13"/>
        </w:rPr>
        <w:t>侵权人因侵权所获得的利益确定；权利人的损失或者侵权人获得的利益难以确定的，参照该专利许可使用费的倍数合理确定。</w:t>
      </w:r>
      <w:r>
        <w:rPr>
          <w:rFonts w:cs="宋体" w:hint="eastAsia"/>
          <w:spacing w:val="13"/>
        </w:rPr>
        <w:t>对故意侵犯专利权，情节严重的，可以在按照上述方法确定数额的一倍以上五倍以下确定赔偿数额。</w:t>
      </w:r>
      <w:r>
        <w:rPr>
          <w:rFonts w:cs="宋体"/>
          <w:spacing w:val="13"/>
        </w:rPr>
        <w:t>赔偿数额还应当包括权利人为制止侵权行为所支付的合理开支。</w:t>
      </w:r>
      <w:r>
        <w:rPr>
          <w:rFonts w:cs="宋体" w:hint="eastAsia"/>
          <w:spacing w:val="13"/>
        </w:rPr>
        <w:t>人民法院为确定赔偿数额，在权利人已经尽力举证，而与侵权行为相关的账簿、资料主要由侵权人掌握，且侵权人不提供或者提供虚假的账簿、资料的，人民法院可以参考权利人的主张和提供的证据判定赔偿数额。</w:t>
      </w:r>
    </w:p>
    <w:p w:rsidR="00800760" w:rsidRDefault="00235733">
      <w:pPr>
        <w:spacing w:before="41" w:line="303" w:lineRule="auto"/>
        <w:ind w:left="105" w:firstLine="472"/>
        <w:jc w:val="both"/>
        <w:rPr>
          <w:rFonts w:cs="宋体"/>
          <w:spacing w:val="13"/>
        </w:rPr>
      </w:pPr>
      <w:r>
        <w:rPr>
          <w:rFonts w:cs="宋体" w:hint="eastAsia"/>
          <w:spacing w:val="13"/>
        </w:rPr>
        <w:t>管理专利工作的部门应当事人的请求对侵犯专利权的赔偿数额进行调解时，为了便于实践中确定专利侵权损害赔偿数额，既可以适用权利人因被侵权所受到的实际损失，也可以适用侵权人因侵权所获得的利益，无先后顺序之分，当事人可以自行选择更有利于其自身权利保护的赔偿数额计算方法。</w:t>
      </w:r>
    </w:p>
    <w:p w:rsidR="00800760" w:rsidRDefault="00235733">
      <w:pPr>
        <w:ind w:firstLine="472"/>
        <w:rPr>
          <w:rFonts w:cs="宋体"/>
          <w:spacing w:val="4"/>
        </w:rPr>
      </w:pPr>
      <w:r>
        <w:rPr>
          <w:rFonts w:cs="宋体" w:hint="eastAsia"/>
          <w:spacing w:val="13"/>
        </w:rPr>
        <w:t>《专利法》第七十一条新增惩罚</w:t>
      </w:r>
      <w:r>
        <w:rPr>
          <w:rFonts w:cs="宋体" w:hint="eastAsia"/>
          <w:spacing w:val="4"/>
        </w:rPr>
        <w:t>性赔偿制度，在民事侵权领域，计算赔偿数额一般采用填平原则，但当侵权人故意侵犯专利权、情节严重的，可突破填平原则处以惩罚性赔偿。</w:t>
      </w:r>
    </w:p>
    <w:p w:rsidR="00800760" w:rsidRDefault="00235733">
      <w:pPr>
        <w:pStyle w:val="2"/>
        <w:spacing w:before="91"/>
        <w:ind w:firstLineChars="0" w:firstLine="0"/>
        <w:rPr>
          <w:rFonts w:ascii="Times New Roman" w:hAnsi="Times New Roman"/>
        </w:rPr>
      </w:pPr>
      <w:bookmarkStart w:id="8795" w:name="_Toc17698"/>
      <w:bookmarkStart w:id="8796" w:name="_Toc29196"/>
      <w:bookmarkStart w:id="8797" w:name="_Toc22418"/>
      <w:bookmarkStart w:id="8798" w:name="_Toc24462"/>
      <w:bookmarkStart w:id="8799" w:name="_Toc21836"/>
      <w:bookmarkStart w:id="8800" w:name="_Toc16488"/>
      <w:bookmarkStart w:id="8801" w:name="_Toc2565"/>
      <w:bookmarkStart w:id="8802" w:name="_Toc19332"/>
      <w:bookmarkStart w:id="8803" w:name="_Toc18958"/>
      <w:bookmarkStart w:id="8804" w:name="_Toc13841"/>
      <w:bookmarkStart w:id="8805" w:name="_Toc24238"/>
      <w:bookmarkStart w:id="8806" w:name="_Toc8596"/>
      <w:bookmarkStart w:id="8807" w:name="_Toc20695"/>
      <w:bookmarkStart w:id="8808" w:name="_Toc20327"/>
      <w:bookmarkStart w:id="8809" w:name="_Toc229114537"/>
      <w:bookmarkStart w:id="8810" w:name="_Toc30120"/>
      <w:bookmarkStart w:id="8811" w:name="_Toc19266"/>
      <w:bookmarkStart w:id="8812" w:name="_Toc22044"/>
      <w:bookmarkStart w:id="8813" w:name="_Toc10569"/>
      <w:bookmarkStart w:id="8814" w:name="_Toc29063"/>
      <w:bookmarkStart w:id="8815" w:name="_Toc10841"/>
      <w:bookmarkStart w:id="8816" w:name="_Toc15307"/>
      <w:bookmarkStart w:id="8817" w:name="_Toc30017"/>
      <w:bookmarkStart w:id="8818" w:name="_Toc6351"/>
      <w:bookmarkStart w:id="8819" w:name="_Toc21889"/>
      <w:bookmarkStart w:id="8820" w:name="_Toc9199"/>
      <w:bookmarkStart w:id="8821" w:name="_Toc23223"/>
      <w:bookmarkStart w:id="8822" w:name="_Toc30412"/>
      <w:bookmarkStart w:id="8823" w:name="_Toc21896"/>
      <w:bookmarkStart w:id="8824" w:name="_Toc2825"/>
      <w:bookmarkStart w:id="8825" w:name="_Toc19013"/>
      <w:bookmarkStart w:id="8826" w:name="_Toc8736"/>
      <w:bookmarkStart w:id="8827" w:name="_Toc31191"/>
      <w:bookmarkStart w:id="8828" w:name="_Toc4867"/>
      <w:bookmarkStart w:id="8829" w:name="_Toc31964"/>
      <w:bookmarkStart w:id="8830" w:name="_Toc17520"/>
      <w:bookmarkStart w:id="8831" w:name="_Toc18693"/>
      <w:bookmarkStart w:id="8832" w:name="_Toc595"/>
      <w:bookmarkStart w:id="8833" w:name="_Toc2486"/>
      <w:bookmarkStart w:id="8834" w:name="_Toc5814"/>
      <w:bookmarkStart w:id="8835" w:name="_Toc30272"/>
      <w:bookmarkStart w:id="8836" w:name="_Toc31938"/>
      <w:bookmarkStart w:id="8837" w:name="_Toc20059"/>
      <w:bookmarkStart w:id="8838" w:name="_Toc229225633"/>
      <w:r>
        <w:rPr>
          <w:rFonts w:ascii="Times New Roman" w:hAnsi="Times New Roman"/>
        </w:rPr>
        <w:t>第一节</w:t>
      </w:r>
      <w:r>
        <w:rPr>
          <w:rFonts w:ascii="Times New Roman" w:hAnsi="Times New Roman" w:hint="eastAsia"/>
        </w:rPr>
        <w:t xml:space="preserve">　</w:t>
      </w:r>
      <w:r>
        <w:rPr>
          <w:rFonts w:ascii="Times New Roman" w:hAnsi="Times New Roman"/>
        </w:rPr>
        <w:t>权利人的实际损失</w:t>
      </w:r>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p>
    <w:p w:rsidR="00800760" w:rsidRDefault="00235733">
      <w:pPr>
        <w:ind w:firstLine="436"/>
      </w:pPr>
      <w:r>
        <w:rPr>
          <w:rFonts w:cs="宋体"/>
          <w:spacing w:val="4"/>
        </w:rPr>
        <w:t>权利人的实际损失是指权利人因侵权人的侵权行为而减少的利润。权利人未实施专利技术或专利设计的，不得按照权利人的实际损失确定赔偿数额。</w:t>
      </w:r>
    </w:p>
    <w:p w:rsidR="00800760" w:rsidRDefault="00235733">
      <w:pPr>
        <w:pStyle w:val="3"/>
        <w:spacing w:before="240"/>
        <w:ind w:firstLineChars="0" w:firstLine="444"/>
        <w:rPr>
          <w:rFonts w:ascii="Times New Roman" w:hAnsi="Times New Roman"/>
        </w:rPr>
      </w:pPr>
      <w:bookmarkStart w:id="8839" w:name="bookmark217"/>
      <w:bookmarkStart w:id="8840" w:name="_Toc2880"/>
      <w:bookmarkStart w:id="8841" w:name="_Toc1265"/>
      <w:bookmarkStart w:id="8842" w:name="_Toc13415"/>
      <w:bookmarkStart w:id="8843" w:name="_Toc3985"/>
      <w:bookmarkStart w:id="8844" w:name="_Toc15185"/>
      <w:bookmarkStart w:id="8845" w:name="_Toc8313"/>
      <w:bookmarkStart w:id="8846" w:name="_Toc17705"/>
      <w:bookmarkStart w:id="8847" w:name="_Toc20566"/>
      <w:bookmarkStart w:id="8848" w:name="_Toc18997"/>
      <w:bookmarkStart w:id="8849" w:name="_Toc4294"/>
      <w:bookmarkStart w:id="8850" w:name="_Toc30887"/>
      <w:bookmarkStart w:id="8851" w:name="_Toc2149"/>
      <w:bookmarkStart w:id="8852" w:name="_Toc2477"/>
      <w:bookmarkStart w:id="8853" w:name="_Toc4557"/>
      <w:bookmarkStart w:id="8854" w:name="_Toc19616"/>
      <w:bookmarkStart w:id="8855" w:name="_Toc5629"/>
      <w:bookmarkStart w:id="8856" w:name="_Toc238"/>
      <w:bookmarkStart w:id="8857" w:name="_Toc16765"/>
      <w:bookmarkStart w:id="8858" w:name="_Toc14186"/>
      <w:bookmarkStart w:id="8859" w:name="_Toc9020"/>
      <w:bookmarkStart w:id="8860" w:name="_Toc9734"/>
      <w:bookmarkStart w:id="8861" w:name="_Toc15326"/>
      <w:bookmarkStart w:id="8862" w:name="_Toc16694"/>
      <w:bookmarkStart w:id="8863" w:name="_Toc16238"/>
      <w:bookmarkStart w:id="8864" w:name="_Toc4631"/>
      <w:bookmarkStart w:id="8865" w:name="_Toc14460"/>
      <w:bookmarkStart w:id="8866" w:name="_Toc4298"/>
      <w:bookmarkStart w:id="8867" w:name="_Toc22997"/>
      <w:bookmarkStart w:id="8868" w:name="_Toc10941"/>
      <w:bookmarkStart w:id="8869" w:name="_Toc29868"/>
      <w:bookmarkStart w:id="8870" w:name="_Toc25233"/>
      <w:bookmarkStart w:id="8871" w:name="_Toc28328"/>
      <w:bookmarkStart w:id="8872" w:name="_Toc12061"/>
      <w:bookmarkStart w:id="8873" w:name="_Toc21022"/>
      <w:bookmarkStart w:id="8874" w:name="_Toc21939"/>
      <w:bookmarkStart w:id="8875" w:name="_Toc16890"/>
      <w:bookmarkStart w:id="8876" w:name="_Toc20095"/>
      <w:bookmarkStart w:id="8877" w:name="_Toc9300"/>
      <w:bookmarkStart w:id="8878" w:name="_Toc20876"/>
      <w:bookmarkStart w:id="8879" w:name="_Toc229114538"/>
      <w:bookmarkStart w:id="8880" w:name="_Toc14690"/>
      <w:bookmarkStart w:id="8881" w:name="_Toc12298"/>
      <w:bookmarkStart w:id="8882" w:name="_Toc24869"/>
      <w:bookmarkStart w:id="8883" w:name="_Toc229225634"/>
      <w:bookmarkEnd w:id="8839"/>
      <w:r>
        <w:rPr>
          <w:rFonts w:ascii="Times New Roman" w:hAnsi="Times New Roman" w:hint="eastAsia"/>
        </w:rPr>
        <w:t>一、权利人实际损失的计算</w:t>
      </w:r>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p>
    <w:p w:rsidR="00800760" w:rsidRDefault="00235733">
      <w:pPr>
        <w:ind w:firstLine="436"/>
        <w:rPr>
          <w:rFonts w:cs="宋体"/>
          <w:spacing w:val="4"/>
        </w:rPr>
      </w:pPr>
      <w:r>
        <w:rPr>
          <w:rFonts w:cs="宋体"/>
          <w:spacing w:val="4"/>
        </w:rPr>
        <w:t>权利人的实际损失可以按照专利权人的专利产品因侵权所造成销售量减少的总数乘以每件专利产品的合理利润所得之积计算。</w:t>
      </w:r>
    </w:p>
    <w:p w:rsidR="00800760" w:rsidRDefault="00235733">
      <w:pPr>
        <w:ind w:firstLine="436"/>
        <w:rPr>
          <w:rFonts w:cs="宋体"/>
          <w:spacing w:val="4"/>
        </w:rPr>
      </w:pPr>
      <w:r>
        <w:rPr>
          <w:rFonts w:cs="宋体"/>
          <w:spacing w:val="4"/>
        </w:rPr>
        <w:t>专利权人的专利产品因侵权所造成销售量减少的总数不能确定的，可以按照侵权产品在市场上销售的总数予以确定。</w:t>
      </w:r>
    </w:p>
    <w:p w:rsidR="00800760" w:rsidRDefault="00235733">
      <w:pPr>
        <w:ind w:firstLine="436"/>
        <w:rPr>
          <w:rFonts w:cs="宋体"/>
          <w:spacing w:val="4"/>
        </w:rPr>
      </w:pPr>
      <w:r>
        <w:rPr>
          <w:rFonts w:cs="宋体"/>
          <w:spacing w:val="4"/>
        </w:rPr>
        <w:t>每件专利产品的合理利润可以按照专利权人销售全部专利产品的平均利润计算，即销售收入减去生产、销售成本后除以销售数量，也可以直接参照专项审计报告所载明的项目利润计算表确定。</w:t>
      </w:r>
    </w:p>
    <w:p w:rsidR="00800760" w:rsidRDefault="00235733">
      <w:pPr>
        <w:ind w:firstLine="436"/>
        <w:rPr>
          <w:rFonts w:cs="宋体"/>
          <w:spacing w:val="4"/>
        </w:rPr>
      </w:pPr>
      <w:r>
        <w:rPr>
          <w:rFonts w:cs="宋体"/>
          <w:spacing w:val="4"/>
        </w:rPr>
        <w:t>权利人应当对其主张的实际损失和侵权与损失之间具有直接因果关系承担举证责任，也应当对每件专利产品的合理利润承担举证责任。对于权利人主张的合理利润，经明示，被控侵权人没有异议的，权利人可以免于举证。</w:t>
      </w:r>
    </w:p>
    <w:p w:rsidR="00800760" w:rsidRDefault="00235733">
      <w:pPr>
        <w:pStyle w:val="af6"/>
        <w:spacing w:before="120"/>
        <w:ind w:firstLineChars="0" w:firstLine="420"/>
        <w:rPr>
          <w:rFonts w:ascii="Times New Roman" w:hAnsi="Times New Roman"/>
        </w:rPr>
      </w:pPr>
      <w:r>
        <w:rPr>
          <w:rFonts w:ascii="Times New Roman" w:hAnsi="Times New Roman"/>
        </w:rPr>
        <w:t>【案例</w:t>
      </w:r>
      <w:r>
        <w:rPr>
          <w:rFonts w:ascii="Times New Roman" w:hAnsi="Times New Roman" w:hint="eastAsia"/>
        </w:rPr>
        <w:t>8</w:t>
      </w:r>
      <w:r>
        <w:rPr>
          <w:rFonts w:ascii="Times New Roman" w:hAnsi="Times New Roman"/>
        </w:rPr>
        <w:t>-1-1</w:t>
      </w:r>
      <w:r>
        <w:rPr>
          <w:rFonts w:ascii="Times New Roman" w:hAnsi="Times New Roman"/>
        </w:rPr>
        <w:t>】</w:t>
      </w:r>
    </w:p>
    <w:p w:rsidR="00800760" w:rsidRDefault="00235733">
      <w:pPr>
        <w:ind w:firstLine="444"/>
        <w:jc w:val="both"/>
        <w:rPr>
          <w:rFonts w:eastAsia="楷体_GB2312" w:cs="楷体_GB2312"/>
        </w:rPr>
      </w:pPr>
      <w:r>
        <w:rPr>
          <w:rFonts w:eastAsia="楷体_GB2312" w:cs="楷体_GB2312"/>
          <w:spacing w:val="6"/>
        </w:rPr>
        <w:t>某案中，经查明，</w:t>
      </w:r>
      <w:r>
        <w:rPr>
          <w:rFonts w:eastAsia="楷体_GB2312" w:cs="楷体_GB2312"/>
          <w:spacing w:val="6"/>
        </w:rPr>
        <w:t>B</w:t>
      </w:r>
      <w:r>
        <w:rPr>
          <w:rFonts w:eastAsia="楷体_GB2312" w:cs="楷体_GB2312"/>
          <w:spacing w:val="6"/>
        </w:rPr>
        <w:t>公司生产并销售侵权产品数量为</w:t>
      </w:r>
      <w:r>
        <w:rPr>
          <w:rFonts w:eastAsia="楷体_GB2312" w:cs="楷体_GB2312"/>
          <w:spacing w:val="6"/>
        </w:rPr>
        <w:t>1</w:t>
      </w:r>
      <w:r>
        <w:rPr>
          <w:rFonts w:eastAsia="楷体_GB2312" w:cs="楷体_GB2312"/>
          <w:spacing w:val="6"/>
        </w:rPr>
        <w:t>套，专利权人</w:t>
      </w:r>
      <w:r>
        <w:rPr>
          <w:rFonts w:eastAsia="楷体_GB2312" w:cs="楷体_GB2312"/>
          <w:spacing w:val="6"/>
        </w:rPr>
        <w:t>A</w:t>
      </w:r>
      <w:r>
        <w:rPr>
          <w:rFonts w:eastAsia="楷体_GB2312" w:cs="楷体_GB2312"/>
          <w:spacing w:val="6"/>
        </w:rPr>
        <w:t>公司销售</w:t>
      </w:r>
      <w:r>
        <w:rPr>
          <w:rFonts w:eastAsia="楷体_GB2312" w:cs="楷体_GB2312"/>
          <w:spacing w:val="7"/>
        </w:rPr>
        <w:t>成套控制机专利产品的价格为</w:t>
      </w:r>
      <w:r>
        <w:rPr>
          <w:rFonts w:eastAsia="楷体_GB2312" w:cs="楷体_GB2312"/>
          <w:spacing w:val="7"/>
        </w:rPr>
        <w:t>58680</w:t>
      </w:r>
      <w:r>
        <w:rPr>
          <w:rFonts w:eastAsia="楷体_GB2312" w:cs="楷体_GB2312"/>
          <w:spacing w:val="7"/>
        </w:rPr>
        <w:t>元，且</w:t>
      </w:r>
      <w:r>
        <w:rPr>
          <w:rFonts w:eastAsia="楷体_GB2312" w:cs="楷体_GB2312"/>
          <w:spacing w:val="7"/>
        </w:rPr>
        <w:t>A</w:t>
      </w:r>
      <w:r>
        <w:rPr>
          <w:rFonts w:eastAsia="楷体_GB2312" w:cs="楷体_GB2312"/>
          <w:spacing w:val="6"/>
        </w:rPr>
        <w:t>公司与第三方</w:t>
      </w:r>
      <w:r>
        <w:rPr>
          <w:rFonts w:eastAsia="楷体_GB2312" w:cs="楷体_GB2312"/>
          <w:spacing w:val="6"/>
        </w:rPr>
        <w:t>C</w:t>
      </w:r>
      <w:r>
        <w:rPr>
          <w:rFonts w:eastAsia="楷体_GB2312" w:cs="楷体_GB2312"/>
          <w:spacing w:val="6"/>
        </w:rPr>
        <w:t>公司均确认涉案产品的</w:t>
      </w:r>
      <w:r>
        <w:rPr>
          <w:rFonts w:eastAsia="楷体_GB2312" w:cs="楷体_GB2312"/>
          <w:spacing w:val="9"/>
        </w:rPr>
        <w:t>利润为</w:t>
      </w:r>
      <w:r>
        <w:rPr>
          <w:rFonts w:eastAsia="楷体_GB2312" w:cs="楷体_GB2312"/>
          <w:spacing w:val="9"/>
        </w:rPr>
        <w:t>50%</w:t>
      </w:r>
      <w:r>
        <w:rPr>
          <w:rFonts w:eastAsia="楷体_GB2312" w:cs="楷体_GB2312"/>
          <w:spacing w:val="9"/>
        </w:rPr>
        <w:t>左右，</w:t>
      </w:r>
      <w:r>
        <w:rPr>
          <w:rFonts w:eastAsia="楷体_GB2312" w:cs="楷体_GB2312"/>
          <w:spacing w:val="9"/>
        </w:rPr>
        <w:t>B</w:t>
      </w:r>
      <w:r>
        <w:rPr>
          <w:rFonts w:eastAsia="楷体_GB2312" w:cs="楷体_GB2312"/>
          <w:spacing w:val="9"/>
        </w:rPr>
        <w:t>公司对此不持异议。因此，</w:t>
      </w:r>
      <w:r>
        <w:rPr>
          <w:rFonts w:eastAsia="楷体_GB2312" w:cs="楷体_GB2312" w:hint="eastAsia"/>
          <w:spacing w:val="9"/>
        </w:rPr>
        <w:t>处理</w:t>
      </w:r>
      <w:r>
        <w:rPr>
          <w:rFonts w:eastAsia="楷体_GB2312" w:cs="楷体_GB2312"/>
          <w:spacing w:val="9"/>
        </w:rPr>
        <w:t>部</w:t>
      </w:r>
      <w:r>
        <w:rPr>
          <w:rFonts w:eastAsia="楷体_GB2312" w:cs="楷体_GB2312"/>
          <w:spacing w:val="8"/>
        </w:rPr>
        <w:t>门认为，专利权人</w:t>
      </w:r>
      <w:r>
        <w:rPr>
          <w:rFonts w:eastAsia="楷体_GB2312" w:cs="楷体_GB2312"/>
          <w:spacing w:val="8"/>
        </w:rPr>
        <w:t>A</w:t>
      </w:r>
      <w:r>
        <w:rPr>
          <w:rFonts w:eastAsia="楷体_GB2312" w:cs="楷体_GB2312"/>
          <w:spacing w:val="8"/>
        </w:rPr>
        <w:t>公司因</w:t>
      </w:r>
      <w:r>
        <w:rPr>
          <w:rFonts w:eastAsia="楷体_GB2312" w:cs="楷体_GB2312"/>
          <w:spacing w:val="8"/>
        </w:rPr>
        <w:t>B</w:t>
      </w:r>
      <w:r>
        <w:rPr>
          <w:rFonts w:eastAsia="楷体_GB2312" w:cs="楷体_GB2312"/>
          <w:spacing w:val="15"/>
        </w:rPr>
        <w:t>公司侵权而造成专利产品销售的减少量应当是</w:t>
      </w:r>
      <w:r>
        <w:rPr>
          <w:rFonts w:eastAsia="楷体_GB2312" w:cs="楷体_GB2312"/>
          <w:spacing w:val="15"/>
        </w:rPr>
        <w:t>1</w:t>
      </w:r>
      <w:r>
        <w:rPr>
          <w:rFonts w:eastAsia="楷体_GB2312" w:cs="楷体_GB2312"/>
          <w:spacing w:val="15"/>
        </w:rPr>
        <w:t>套，专利权人的实际损失应当</w:t>
      </w:r>
      <w:r>
        <w:rPr>
          <w:rFonts w:eastAsia="楷体_GB2312" w:cs="楷体_GB2312"/>
          <w:spacing w:val="14"/>
        </w:rPr>
        <w:t>为：</w:t>
      </w:r>
      <w:r>
        <w:rPr>
          <w:rFonts w:eastAsia="楷体_GB2312" w:cs="楷体_GB2312"/>
          <w:spacing w:val="14"/>
        </w:rPr>
        <w:t>58680</w:t>
      </w:r>
      <w:r>
        <w:rPr>
          <w:rFonts w:eastAsia="楷体_GB2312" w:cs="楷体_GB2312"/>
          <w:spacing w:val="14"/>
        </w:rPr>
        <w:t>元</w:t>
      </w:r>
      <w:r>
        <w:rPr>
          <w:rFonts w:eastAsia="楷体_GB2312" w:cs="楷体_GB2312"/>
          <w:spacing w:val="14"/>
        </w:rPr>
        <w:t>/</w:t>
      </w:r>
      <w:r>
        <w:rPr>
          <w:rFonts w:eastAsia="楷体_GB2312" w:cs="楷体_GB2312"/>
          <w:spacing w:val="14"/>
        </w:rPr>
        <w:t>套</w:t>
      </w:r>
      <w:r>
        <w:rPr>
          <w:rFonts w:eastAsia="楷体_GB2312" w:cs="楷体_GB2312"/>
          <w:spacing w:val="14"/>
        </w:rPr>
        <w:t>×50%×1</w:t>
      </w:r>
      <w:r>
        <w:rPr>
          <w:rFonts w:eastAsia="楷体_GB2312" w:cs="楷体_GB2312"/>
          <w:spacing w:val="14"/>
        </w:rPr>
        <w:t>套</w:t>
      </w:r>
      <w:r>
        <w:rPr>
          <w:rFonts w:eastAsia="楷体_GB2312" w:cs="楷体_GB2312"/>
          <w:spacing w:val="14"/>
        </w:rPr>
        <w:t>=29340</w:t>
      </w:r>
      <w:r>
        <w:rPr>
          <w:rFonts w:eastAsia="楷体_GB2312" w:cs="楷体_GB2312"/>
          <w:spacing w:val="14"/>
        </w:rPr>
        <w:t>元。结合</w:t>
      </w:r>
      <w:r>
        <w:rPr>
          <w:rFonts w:eastAsia="楷体_GB2312" w:cs="楷体_GB2312"/>
          <w:spacing w:val="14"/>
        </w:rPr>
        <w:t>A</w:t>
      </w:r>
      <w:r>
        <w:rPr>
          <w:rFonts w:eastAsia="楷体_GB2312" w:cs="楷体_GB2312"/>
          <w:spacing w:val="14"/>
        </w:rPr>
        <w:t>公司为制止该案侵权行为客观上</w:t>
      </w:r>
      <w:r>
        <w:rPr>
          <w:rFonts w:eastAsia="楷体_GB2312" w:cs="楷体_GB2312"/>
          <w:spacing w:val="13"/>
        </w:rPr>
        <w:t>支出了</w:t>
      </w:r>
      <w:r>
        <w:rPr>
          <w:rFonts w:eastAsia="楷体_GB2312" w:cs="楷体_GB2312"/>
          <w:spacing w:val="2"/>
        </w:rPr>
        <w:t>相应的公证费、律师费用等因素，酌情确定该案赔偿额为</w:t>
      </w:r>
      <w:r>
        <w:rPr>
          <w:rFonts w:eastAsia="楷体_GB2312" w:cs="楷体_GB2312"/>
          <w:spacing w:val="2"/>
        </w:rPr>
        <w:t>3</w:t>
      </w:r>
      <w:r>
        <w:rPr>
          <w:rFonts w:eastAsia="楷体_GB2312" w:cs="楷体_GB2312"/>
          <w:spacing w:val="2"/>
        </w:rPr>
        <w:t>万元。</w:t>
      </w:r>
    </w:p>
    <w:p w:rsidR="00800760" w:rsidRDefault="00235733">
      <w:pPr>
        <w:pStyle w:val="af6"/>
        <w:spacing w:before="120"/>
        <w:ind w:firstLineChars="0" w:firstLine="420"/>
        <w:rPr>
          <w:rFonts w:ascii="Times New Roman" w:hAnsi="Times New Roman"/>
        </w:rPr>
      </w:pPr>
      <w:r>
        <w:rPr>
          <w:rFonts w:ascii="Times New Roman" w:hAnsi="Times New Roman"/>
        </w:rPr>
        <w:t>【案例</w:t>
      </w:r>
      <w:r>
        <w:rPr>
          <w:rFonts w:ascii="Times New Roman" w:hAnsi="Times New Roman" w:hint="eastAsia"/>
        </w:rPr>
        <w:t>8</w:t>
      </w:r>
      <w:r>
        <w:rPr>
          <w:rFonts w:ascii="Times New Roman" w:hAnsi="Times New Roman"/>
        </w:rPr>
        <w:t>-1-2</w:t>
      </w:r>
      <w:r>
        <w:rPr>
          <w:rFonts w:ascii="Times New Roman" w:hAnsi="Times New Roman"/>
        </w:rPr>
        <w:t>】</w:t>
      </w:r>
    </w:p>
    <w:p w:rsidR="00800760" w:rsidRDefault="00235733">
      <w:pPr>
        <w:ind w:firstLine="476"/>
        <w:jc w:val="both"/>
        <w:rPr>
          <w:rFonts w:eastAsia="楷体_GB2312" w:cs="楷体_GB2312"/>
          <w:spacing w:val="14"/>
        </w:rPr>
      </w:pPr>
      <w:r>
        <w:rPr>
          <w:rFonts w:eastAsia="楷体_GB2312" w:cs="楷体_GB2312"/>
          <w:spacing w:val="14"/>
        </w:rPr>
        <w:t>A</w:t>
      </w:r>
      <w:r>
        <w:rPr>
          <w:rFonts w:eastAsia="楷体_GB2312" w:cs="楷体_GB2312"/>
          <w:spacing w:val="14"/>
        </w:rPr>
        <w:t>公司享有</w:t>
      </w:r>
      <w:r>
        <w:rPr>
          <w:rFonts w:eastAsia="楷体_GB2312" w:cs="楷体_GB2312"/>
          <w:spacing w:val="14"/>
        </w:rPr>
        <w:t>“</w:t>
      </w:r>
      <w:r>
        <w:rPr>
          <w:rFonts w:eastAsia="楷体_GB2312" w:cs="楷体_GB2312"/>
          <w:spacing w:val="14"/>
        </w:rPr>
        <w:t>防火隔热卷帘用耐火纤维复合卷帘及其应用</w:t>
      </w:r>
      <w:r>
        <w:rPr>
          <w:rFonts w:eastAsia="楷体_GB2312" w:cs="楷体_GB2312"/>
          <w:spacing w:val="14"/>
        </w:rPr>
        <w:t>”</w:t>
      </w:r>
      <w:r>
        <w:rPr>
          <w:rFonts w:eastAsia="楷体_GB2312" w:cs="楷体_GB2312"/>
          <w:spacing w:val="14"/>
        </w:rPr>
        <w:t>的发明专利权。在确定侵权损害赔偿额时，</w:t>
      </w:r>
      <w:r>
        <w:rPr>
          <w:rFonts w:eastAsia="楷体_GB2312" w:cs="楷体_GB2312"/>
          <w:spacing w:val="14"/>
        </w:rPr>
        <w:t>A</w:t>
      </w:r>
      <w:r>
        <w:rPr>
          <w:rFonts w:eastAsia="楷体_GB2312" w:cs="楷体_GB2312"/>
          <w:spacing w:val="14"/>
        </w:rPr>
        <w:t>公司提交了</w:t>
      </w:r>
      <w:r>
        <w:rPr>
          <w:rFonts w:eastAsia="楷体_GB2312" w:cs="楷体_GB2312"/>
          <w:spacing w:val="14"/>
        </w:rPr>
        <w:t>B</w:t>
      </w:r>
      <w:r>
        <w:rPr>
          <w:rFonts w:eastAsia="楷体_GB2312" w:cs="楷体_GB2312"/>
          <w:spacing w:val="14"/>
        </w:rPr>
        <w:t>会计师事务所出具的关于</w:t>
      </w:r>
      <w:r>
        <w:rPr>
          <w:rFonts w:eastAsia="楷体_GB2312" w:cs="楷体_GB2312"/>
          <w:spacing w:val="14"/>
        </w:rPr>
        <w:t>A</w:t>
      </w:r>
      <w:r>
        <w:rPr>
          <w:rFonts w:eastAsia="楷体_GB2312" w:cs="楷体_GB2312"/>
          <w:spacing w:val="14"/>
        </w:rPr>
        <w:t>公司承建某大厦防火卷帘及挡烟垂壁供应及安装工程项目利润的专项审计报告、</w:t>
      </w:r>
      <w:r>
        <w:rPr>
          <w:rFonts w:eastAsia="楷体_GB2312" w:cs="楷体_GB2312"/>
          <w:spacing w:val="14"/>
        </w:rPr>
        <w:t>A</w:t>
      </w:r>
      <w:r>
        <w:rPr>
          <w:rFonts w:eastAsia="楷体_GB2312" w:cs="楷体_GB2312"/>
          <w:spacing w:val="14"/>
        </w:rPr>
        <w:t>公司在招投标过程中取得的某博览会主场馆各层消防平面图，作为其经济损失赔偿数额的计算依据。经查证，</w:t>
      </w:r>
      <w:r>
        <w:rPr>
          <w:rFonts w:eastAsia="楷体_GB2312" w:cs="楷体_GB2312"/>
          <w:spacing w:val="14"/>
        </w:rPr>
        <w:t>B</w:t>
      </w:r>
      <w:r>
        <w:rPr>
          <w:rFonts w:eastAsia="楷体_GB2312" w:cs="楷体_GB2312"/>
          <w:spacing w:val="14"/>
        </w:rPr>
        <w:t>会计师事务所出具的专项审计报告载明，</w:t>
      </w:r>
      <w:r>
        <w:rPr>
          <w:rFonts w:eastAsia="楷体_GB2312" w:cs="楷体_GB2312"/>
          <w:spacing w:val="14"/>
        </w:rPr>
        <w:t>A</w:t>
      </w:r>
      <w:r>
        <w:rPr>
          <w:rFonts w:eastAsia="楷体_GB2312" w:cs="楷体_GB2312"/>
          <w:spacing w:val="14"/>
        </w:rPr>
        <w:t>公司提供的项目利润计算表系按照《企业会计准则》和《企业会计制度》的规定编制，反映了相关工程项目的主要经济指标。因此，该专项审计报告可以作为确定</w:t>
      </w:r>
      <w:r>
        <w:rPr>
          <w:rFonts w:eastAsia="楷体_GB2312" w:cs="楷体_GB2312"/>
          <w:spacing w:val="14"/>
        </w:rPr>
        <w:t>A</w:t>
      </w:r>
      <w:r>
        <w:rPr>
          <w:rFonts w:eastAsia="楷体_GB2312" w:cs="楷体_GB2312"/>
          <w:spacing w:val="14"/>
        </w:rPr>
        <w:t>公司实际损失的依据。</w:t>
      </w:r>
    </w:p>
    <w:p w:rsidR="00800760" w:rsidRDefault="00235733">
      <w:pPr>
        <w:pStyle w:val="3"/>
        <w:spacing w:before="240"/>
        <w:ind w:firstLineChars="0" w:firstLine="444"/>
        <w:rPr>
          <w:rFonts w:ascii="Times New Roman" w:hAnsi="Times New Roman"/>
        </w:rPr>
      </w:pPr>
      <w:bookmarkStart w:id="8884" w:name="_Toc19785"/>
      <w:bookmarkStart w:id="8885" w:name="_Toc4195"/>
      <w:bookmarkStart w:id="8886" w:name="_Toc2367"/>
      <w:bookmarkStart w:id="8887" w:name="_Toc12047"/>
      <w:bookmarkStart w:id="8888" w:name="_Toc27657"/>
      <w:bookmarkStart w:id="8889" w:name="_Toc20614"/>
      <w:bookmarkStart w:id="8890" w:name="_Toc9807"/>
      <w:bookmarkStart w:id="8891" w:name="_Toc11652"/>
      <w:bookmarkStart w:id="8892" w:name="_Toc17232"/>
      <w:bookmarkStart w:id="8893" w:name="_Toc20181"/>
      <w:bookmarkStart w:id="8894" w:name="_Toc10637"/>
      <w:bookmarkStart w:id="8895" w:name="_Toc4075"/>
      <w:bookmarkStart w:id="8896" w:name="_Toc26057"/>
      <w:bookmarkStart w:id="8897" w:name="_Toc12701"/>
      <w:bookmarkStart w:id="8898" w:name="_Toc27266"/>
      <w:bookmarkStart w:id="8899" w:name="_Toc12848"/>
      <w:bookmarkStart w:id="8900" w:name="_Toc11745"/>
      <w:bookmarkStart w:id="8901" w:name="_Toc15489"/>
      <w:bookmarkStart w:id="8902" w:name="_Toc12910"/>
      <w:bookmarkStart w:id="8903" w:name="_Toc16850"/>
      <w:bookmarkStart w:id="8904" w:name="_Toc17574"/>
      <w:bookmarkStart w:id="8905" w:name="_Toc23426"/>
      <w:bookmarkStart w:id="8906" w:name="_Toc29810"/>
      <w:bookmarkStart w:id="8907" w:name="_Toc19409"/>
      <w:bookmarkStart w:id="8908" w:name="_Toc11621"/>
      <w:bookmarkStart w:id="8909" w:name="_Toc229114539"/>
      <w:bookmarkStart w:id="8910" w:name="_Toc21856"/>
      <w:bookmarkStart w:id="8911" w:name="_Toc10271"/>
      <w:bookmarkStart w:id="8912" w:name="_Toc24052"/>
      <w:bookmarkStart w:id="8913" w:name="_Toc4986"/>
      <w:bookmarkStart w:id="8914" w:name="_Toc1077"/>
      <w:bookmarkStart w:id="8915" w:name="_Toc11771"/>
      <w:bookmarkStart w:id="8916" w:name="_Toc27193"/>
      <w:bookmarkStart w:id="8917" w:name="_Toc32108"/>
      <w:bookmarkStart w:id="8918" w:name="_Toc19540"/>
      <w:bookmarkStart w:id="8919" w:name="_Toc24696"/>
      <w:bookmarkStart w:id="8920" w:name="_Toc15626"/>
      <w:bookmarkStart w:id="8921" w:name="_Toc30598"/>
      <w:bookmarkStart w:id="8922" w:name="_Toc22034"/>
      <w:bookmarkStart w:id="8923" w:name="_Toc28686"/>
      <w:bookmarkStart w:id="8924" w:name="_Toc32367"/>
      <w:bookmarkStart w:id="8925" w:name="_Toc25176"/>
      <w:bookmarkStart w:id="8926" w:name="_Toc29119"/>
      <w:bookmarkStart w:id="8927" w:name="_Toc229225635"/>
      <w:r>
        <w:rPr>
          <w:rFonts w:ascii="Times New Roman" w:hAnsi="Times New Roman" w:hint="eastAsia"/>
        </w:rPr>
        <w:t>二、确定权利人实际损失时的考虑因素</w:t>
      </w:r>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p>
    <w:p w:rsidR="00800760" w:rsidRDefault="00235733">
      <w:r>
        <w:t>在确定权利人的实际损失时，要考虑专利对于整个产品利润的贡献、与专利产品</w:t>
      </w:r>
      <w:bookmarkStart w:id="8928" w:name="bookmark218"/>
      <w:bookmarkEnd w:id="8928"/>
      <w:r>
        <w:t>相关的配件及零部件的销售损失以及其他因素。</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一</w:t>
      </w:r>
      <w:r>
        <w:rPr>
          <w:rFonts w:ascii="Times New Roman" w:hAnsi="Times New Roman"/>
        </w:rPr>
        <w:t>)</w:t>
      </w:r>
      <w:r>
        <w:rPr>
          <w:rFonts w:ascii="Times New Roman" w:hAnsi="Times New Roman"/>
        </w:rPr>
        <w:t>专利对于整个产品利润的贡献</w:t>
      </w:r>
    </w:p>
    <w:p w:rsidR="00800760" w:rsidRDefault="00235733">
      <w:pPr>
        <w:ind w:firstLine="436"/>
        <w:jc w:val="both"/>
        <w:rPr>
          <w:rFonts w:cs="宋体"/>
        </w:rPr>
      </w:pPr>
      <w:r>
        <w:rPr>
          <w:rFonts w:cs="宋体"/>
          <w:spacing w:val="4"/>
        </w:rPr>
        <w:t>侵犯发明、实用新型专利权的产品系另一产品的零部件时，如果专利产品有单独</w:t>
      </w:r>
      <w:r>
        <w:rPr>
          <w:rFonts w:cs="宋体"/>
        </w:rPr>
        <w:t>的销售价格和利润，应当按基于该产品的全部利润确定合理利润，计算损害赔偿金额；</w:t>
      </w:r>
      <w:r>
        <w:rPr>
          <w:rFonts w:cs="宋体"/>
          <w:spacing w:val="4"/>
        </w:rPr>
        <w:t>如果专利产品没有单独的销售价格和利润，</w:t>
      </w:r>
      <w:r>
        <w:rPr>
          <w:rFonts w:cs="宋体"/>
          <w:spacing w:val="3"/>
        </w:rPr>
        <w:t>则应当根据成品的利润乘以该零部件在实</w:t>
      </w:r>
      <w:r>
        <w:rPr>
          <w:rFonts w:cs="宋体"/>
          <w:spacing w:val="-3"/>
        </w:rPr>
        <w:t>现成品利润中的作用比重来确定合理利润。</w:t>
      </w:r>
    </w:p>
    <w:p w:rsidR="00800760" w:rsidRDefault="00235733">
      <w:pPr>
        <w:ind w:firstLine="436"/>
        <w:rPr>
          <w:rFonts w:cs="宋体"/>
        </w:rPr>
      </w:pPr>
      <w:r>
        <w:rPr>
          <w:rFonts w:cs="宋体"/>
          <w:spacing w:val="4"/>
        </w:rPr>
        <w:t>侵犯外观设计专利权的产品为包装物时，应当按照包装物本身的价值及其在实现</w:t>
      </w:r>
      <w:r>
        <w:rPr>
          <w:rFonts w:cs="宋体"/>
          <w:spacing w:val="-2"/>
        </w:rPr>
        <w:t>被包装产品利润中的作用等因素确定专利产品的合理利润。</w:t>
      </w:r>
    </w:p>
    <w:p w:rsidR="00800760" w:rsidRDefault="00235733">
      <w:pPr>
        <w:ind w:firstLine="436"/>
        <w:rPr>
          <w:rFonts w:cs="宋体"/>
        </w:rPr>
      </w:pPr>
      <w:r>
        <w:rPr>
          <w:rFonts w:cs="宋体"/>
          <w:spacing w:val="4"/>
        </w:rPr>
        <w:t>权利人应当举证证明专利产品在实现成品利润中的作用比重；作用比重无法确定</w:t>
      </w:r>
      <w:r>
        <w:rPr>
          <w:rFonts w:cs="宋体"/>
          <w:spacing w:val="-3"/>
        </w:rPr>
        <w:t>的，由管理专利工作的部门酌定。</w:t>
      </w:r>
    </w:p>
    <w:p w:rsidR="00800760" w:rsidRDefault="00235733">
      <w:pPr>
        <w:pStyle w:val="af6"/>
        <w:spacing w:before="120"/>
        <w:ind w:firstLine="420"/>
      </w:pPr>
      <w:r>
        <w:t>【案例</w:t>
      </w:r>
      <w:r>
        <w:rPr>
          <w:rFonts w:hint="eastAsia"/>
        </w:rPr>
        <w:t>8</w:t>
      </w:r>
      <w:r>
        <w:t>-1-3】</w:t>
      </w:r>
    </w:p>
    <w:p w:rsidR="00800760" w:rsidRDefault="00235733">
      <w:pPr>
        <w:ind w:firstLine="440"/>
        <w:jc w:val="both"/>
        <w:rPr>
          <w:rFonts w:eastAsia="楷体_GB2312" w:cs="楷体_GB2312"/>
        </w:rPr>
      </w:pPr>
      <w:r>
        <w:rPr>
          <w:rFonts w:eastAsia="楷体_GB2312" w:cs="楷体_GB2312"/>
          <w:spacing w:val="5"/>
        </w:rPr>
        <w:t>A</w:t>
      </w:r>
      <w:r>
        <w:rPr>
          <w:rFonts w:eastAsia="楷体_GB2312" w:cs="楷体_GB2312"/>
          <w:spacing w:val="5"/>
        </w:rPr>
        <w:t>公司拥有名称为</w:t>
      </w:r>
      <w:r>
        <w:rPr>
          <w:rFonts w:eastAsia="楷体_GB2312" w:cs="楷体_GB2312"/>
          <w:spacing w:val="5"/>
        </w:rPr>
        <w:t>“</w:t>
      </w:r>
      <w:r>
        <w:rPr>
          <w:rFonts w:eastAsia="楷体_GB2312" w:cs="楷体_GB2312"/>
          <w:spacing w:val="5"/>
        </w:rPr>
        <w:t>车辆运输车上层踏板举升机构</w:t>
      </w:r>
      <w:r>
        <w:rPr>
          <w:rFonts w:eastAsia="楷体_GB2312" w:cs="楷体_GB2312"/>
          <w:spacing w:val="5"/>
        </w:rPr>
        <w:t>”</w:t>
      </w:r>
      <w:r>
        <w:rPr>
          <w:rFonts w:eastAsia="楷体_GB2312" w:cs="楷体_GB2312"/>
          <w:spacing w:val="5"/>
        </w:rPr>
        <w:t>的实用新型专利。</w:t>
      </w:r>
      <w:r>
        <w:rPr>
          <w:rFonts w:eastAsia="楷体_GB2312" w:cs="楷体_GB2312"/>
          <w:spacing w:val="5"/>
        </w:rPr>
        <w:t>B</w:t>
      </w:r>
      <w:r>
        <w:rPr>
          <w:rFonts w:eastAsia="楷体_GB2312" w:cs="楷体_GB2312"/>
          <w:spacing w:val="5"/>
        </w:rPr>
        <w:t>公司生</w:t>
      </w:r>
      <w:r>
        <w:rPr>
          <w:rFonts w:eastAsia="楷体_GB2312" w:cs="楷体_GB2312"/>
          <w:spacing w:val="6"/>
        </w:rPr>
        <w:t>产、销售的</w:t>
      </w:r>
      <w:r>
        <w:rPr>
          <w:rFonts w:eastAsia="楷体_GB2312" w:cs="楷体_GB2312"/>
          <w:spacing w:val="6"/>
        </w:rPr>
        <w:t>5</w:t>
      </w:r>
      <w:r>
        <w:rPr>
          <w:rFonts w:eastAsia="楷体_GB2312" w:cs="楷体_GB2312"/>
          <w:spacing w:val="6"/>
        </w:rPr>
        <w:t>种型号的车辆运输车中，车辆上层踏板的举升机构落入涉案专利权的保护范围，侵权行为成立。</w:t>
      </w:r>
      <w:r>
        <w:rPr>
          <w:rFonts w:eastAsia="楷体_GB2312" w:cs="楷体_GB2312"/>
          <w:spacing w:val="6"/>
        </w:rPr>
        <w:t>A</w:t>
      </w:r>
      <w:r>
        <w:rPr>
          <w:rFonts w:eastAsia="楷体_GB2312" w:cs="楷体_GB2312"/>
          <w:spacing w:val="6"/>
        </w:rPr>
        <w:t>公司主张赔偿损失利润为</w:t>
      </w:r>
      <w:r>
        <w:rPr>
          <w:rFonts w:eastAsia="楷体_GB2312" w:cs="楷体_GB2312"/>
          <w:spacing w:val="6"/>
        </w:rPr>
        <w:t>5606480</w:t>
      </w:r>
      <w:r>
        <w:rPr>
          <w:rFonts w:eastAsia="楷体_GB2312" w:cs="楷体_GB2312"/>
          <w:spacing w:val="6"/>
        </w:rPr>
        <w:t>元，其计算方法是</w:t>
      </w:r>
      <w:r>
        <w:rPr>
          <w:rFonts w:eastAsia="楷体_GB2312" w:cs="楷体_GB2312"/>
          <w:spacing w:val="5"/>
        </w:rPr>
        <w:t>按照</w:t>
      </w:r>
      <w:r>
        <w:rPr>
          <w:rFonts w:eastAsia="楷体_GB2312" w:cs="楷体_GB2312"/>
          <w:spacing w:val="21"/>
        </w:rPr>
        <w:t>被控侵权车辆的销售数量</w:t>
      </w:r>
      <w:r>
        <w:rPr>
          <w:rFonts w:eastAsia="楷体_GB2312" w:cs="楷体_GB2312"/>
          <w:spacing w:val="21"/>
        </w:rPr>
        <w:t>506</w:t>
      </w:r>
      <w:r>
        <w:rPr>
          <w:rFonts w:eastAsia="楷体_GB2312" w:cs="楷体_GB2312"/>
          <w:spacing w:val="21"/>
        </w:rPr>
        <w:t>辆乘以</w:t>
      </w:r>
      <w:r>
        <w:rPr>
          <w:rFonts w:eastAsia="楷体_GB2312" w:cs="楷体_GB2312"/>
          <w:spacing w:val="21"/>
        </w:rPr>
        <w:t>A</w:t>
      </w:r>
      <w:r>
        <w:rPr>
          <w:rFonts w:eastAsia="楷体_GB2312" w:cs="楷体_GB2312"/>
          <w:spacing w:val="21"/>
        </w:rPr>
        <w:t>公司销售车辆的利润</w:t>
      </w:r>
      <w:r>
        <w:rPr>
          <w:rFonts w:eastAsia="楷体_GB2312" w:cs="楷体_GB2312"/>
          <w:spacing w:val="21"/>
        </w:rPr>
        <w:t>(128000-116920=</w:t>
      </w:r>
      <w:r>
        <w:rPr>
          <w:rFonts w:eastAsia="楷体_GB2312" w:cs="楷体_GB2312"/>
          <w:spacing w:val="17"/>
        </w:rPr>
        <w:t>11080</w:t>
      </w:r>
      <w:r>
        <w:rPr>
          <w:rFonts w:eastAsia="楷体_GB2312" w:cs="楷体_GB2312"/>
          <w:spacing w:val="17"/>
        </w:rPr>
        <w:t>元</w:t>
      </w:r>
      <w:r>
        <w:rPr>
          <w:rFonts w:eastAsia="楷体_GB2312" w:cs="楷体_GB2312"/>
          <w:spacing w:val="17"/>
        </w:rPr>
        <w:t>)</w:t>
      </w:r>
      <w:r>
        <w:rPr>
          <w:rFonts w:eastAsia="楷体_GB2312" w:cs="楷体_GB2312"/>
          <w:spacing w:val="17"/>
        </w:rPr>
        <w:t>而得出的。</w:t>
      </w:r>
    </w:p>
    <w:p w:rsidR="00800760" w:rsidRDefault="00235733">
      <w:pPr>
        <w:rPr>
          <w:rFonts w:eastAsia="华文隶书" w:cs="MingLiU_HKSCS"/>
          <w:color w:val="000000"/>
          <w:szCs w:val="21"/>
          <w:lang w:val="zh-CN"/>
        </w:rPr>
      </w:pPr>
      <w:r>
        <w:rPr>
          <w:rFonts w:eastAsia="华文隶书" w:cs="MingLiU_HKSCS"/>
          <w:color w:val="000000"/>
          <w:szCs w:val="21"/>
          <w:lang w:val="zh-CN"/>
        </w:rPr>
        <w:t>分析与评述</w:t>
      </w:r>
    </w:p>
    <w:p w:rsidR="00800760" w:rsidRDefault="00235733">
      <w:pPr>
        <w:ind w:firstLine="468"/>
        <w:jc w:val="both"/>
        <w:rPr>
          <w:rFonts w:eastAsia="楷体_GB2312" w:cs="楷体_GB2312"/>
        </w:rPr>
      </w:pPr>
      <w:r>
        <w:rPr>
          <w:rFonts w:eastAsia="楷体_GB2312" w:cs="楷体_GB2312"/>
          <w:spacing w:val="12"/>
        </w:rPr>
        <w:t>涉案专利的专利产品并非车辆运输车，而是车辆运输车的上层踏板举升机构，</w:t>
      </w:r>
      <w:r>
        <w:rPr>
          <w:rFonts w:eastAsia="楷体_GB2312" w:cs="楷体_GB2312"/>
          <w:spacing w:val="3"/>
        </w:rPr>
        <w:t>11080</w:t>
      </w:r>
      <w:r>
        <w:rPr>
          <w:rFonts w:eastAsia="楷体_GB2312" w:cs="楷体_GB2312"/>
          <w:spacing w:val="3"/>
        </w:rPr>
        <w:t>元</w:t>
      </w:r>
      <w:r>
        <w:rPr>
          <w:rFonts w:eastAsia="楷体_GB2312" w:cs="楷体_GB2312"/>
          <w:spacing w:val="3"/>
        </w:rPr>
        <w:t>/</w:t>
      </w:r>
      <w:r>
        <w:rPr>
          <w:rFonts w:eastAsia="楷体_GB2312" w:cs="楷体_GB2312"/>
          <w:spacing w:val="3"/>
        </w:rPr>
        <w:t>辆的单车利润并非该专利产品的单件利润。在计算赔偿额的时候应考虑该专利产品在整个车辆运输车中所占的价值比例，因此</w:t>
      </w:r>
      <w:r>
        <w:rPr>
          <w:rFonts w:eastAsia="楷体_GB2312" w:cs="楷体_GB2312"/>
          <w:spacing w:val="3"/>
        </w:rPr>
        <w:t>11080</w:t>
      </w:r>
      <w:r>
        <w:rPr>
          <w:rFonts w:eastAsia="楷体_GB2312" w:cs="楷体_GB2312"/>
          <w:spacing w:val="3"/>
        </w:rPr>
        <w:t>元</w:t>
      </w:r>
      <w:r>
        <w:rPr>
          <w:rFonts w:eastAsia="楷体_GB2312" w:cs="楷体_GB2312"/>
          <w:spacing w:val="3"/>
        </w:rPr>
        <w:t>/</w:t>
      </w:r>
      <w:r>
        <w:rPr>
          <w:rFonts w:eastAsia="楷体_GB2312" w:cs="楷体_GB2312"/>
          <w:spacing w:val="3"/>
        </w:rPr>
        <w:t>辆的单车利润可以作为计</w:t>
      </w:r>
      <w:r>
        <w:rPr>
          <w:rFonts w:eastAsia="楷体_GB2312" w:cs="楷体_GB2312"/>
          <w:spacing w:val="4"/>
        </w:rPr>
        <w:t>算该专利产品合理利润的重要依据。该专利</w:t>
      </w:r>
      <w:r>
        <w:rPr>
          <w:rFonts w:eastAsia="楷体_GB2312" w:cs="楷体_GB2312"/>
          <w:spacing w:val="3"/>
        </w:rPr>
        <w:t>的发明目的在于设计一种上层踏板高度可</w:t>
      </w:r>
      <w:r>
        <w:rPr>
          <w:rFonts w:eastAsia="楷体_GB2312" w:cs="楷体_GB2312"/>
          <w:spacing w:val="4"/>
        </w:rPr>
        <w:t>调节的、便于操作的车辆运输车上层踏板举升机构。考虑到该</w:t>
      </w:r>
      <w:r>
        <w:rPr>
          <w:rFonts w:eastAsia="楷体_GB2312" w:cs="楷体_GB2312"/>
          <w:spacing w:val="3"/>
        </w:rPr>
        <w:t>专利在实现车辆运输车</w:t>
      </w:r>
      <w:r>
        <w:rPr>
          <w:rFonts w:eastAsia="楷体_GB2312" w:cs="楷体_GB2312"/>
          <w:spacing w:val="4"/>
        </w:rPr>
        <w:t>用途中所起到的作用，以及安装该专利产品的车辆运输</w:t>
      </w:r>
      <w:r>
        <w:rPr>
          <w:rFonts w:eastAsia="楷体_GB2312" w:cs="楷体_GB2312"/>
          <w:spacing w:val="3"/>
        </w:rPr>
        <w:t>车相对于其他车辆运输车而言</w:t>
      </w:r>
      <w:r>
        <w:rPr>
          <w:rFonts w:eastAsia="楷体_GB2312" w:cs="楷体_GB2312"/>
          <w:spacing w:val="4"/>
        </w:rPr>
        <w:t>具有的市场竞争优势，并结合</w:t>
      </w:r>
      <w:r>
        <w:rPr>
          <w:rFonts w:eastAsia="楷体_GB2312" w:cs="楷体_GB2312"/>
          <w:spacing w:val="4"/>
        </w:rPr>
        <w:t>A</w:t>
      </w:r>
      <w:r>
        <w:rPr>
          <w:rFonts w:eastAsia="楷体_GB2312" w:cs="楷体_GB2312"/>
          <w:spacing w:val="4"/>
        </w:rPr>
        <w:t>公司车辆运输车本身的销售利润，酌定归属</w:t>
      </w:r>
      <w:r>
        <w:rPr>
          <w:rFonts w:eastAsia="楷体_GB2312" w:cs="楷体_GB2312"/>
          <w:spacing w:val="3"/>
        </w:rPr>
        <w:t>涉案专利</w:t>
      </w:r>
      <w:r>
        <w:rPr>
          <w:rFonts w:eastAsia="楷体_GB2312" w:cs="楷体_GB2312"/>
          <w:spacing w:val="-3"/>
        </w:rPr>
        <w:t>的利润贡献占车辆运输车利润的比例。</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二</w:t>
      </w:r>
      <w:r>
        <w:rPr>
          <w:rFonts w:ascii="Times New Roman" w:hAnsi="Times New Roman"/>
        </w:rPr>
        <w:t>)</w:t>
      </w:r>
      <w:r>
        <w:rPr>
          <w:rFonts w:ascii="Times New Roman" w:hAnsi="Times New Roman"/>
        </w:rPr>
        <w:t>与专利产品相关的配件及零部件的销售损失</w:t>
      </w:r>
    </w:p>
    <w:p w:rsidR="00800760" w:rsidRDefault="00235733">
      <w:pPr>
        <w:ind w:firstLine="436"/>
        <w:jc w:val="both"/>
        <w:rPr>
          <w:rFonts w:cs="宋体"/>
          <w:spacing w:val="4"/>
        </w:rPr>
      </w:pPr>
      <w:r>
        <w:rPr>
          <w:rFonts w:cs="宋体"/>
          <w:spacing w:val="4"/>
        </w:rPr>
        <w:t>权利人的实际损失不仅包括因侵权失去的专利产品的销售额，也包括对专利产品相关配件和零部件失去的销售额。如果权利人能够证明其专利产品之前是与非专利零配件一同销售的，那么专利侵权损害赔偿额的计算也应当包括和专利产品相关的配件以及零部件所失去的销售额。</w:t>
      </w:r>
    </w:p>
    <w:p w:rsidR="00800760" w:rsidRDefault="00235733">
      <w:pPr>
        <w:pStyle w:val="4"/>
        <w:spacing w:before="240"/>
        <w:ind w:firstLine="444"/>
        <w:rPr>
          <w:rFonts w:ascii="Times New Roman" w:hAnsi="Times New Roman"/>
        </w:rPr>
      </w:pPr>
      <w:bookmarkStart w:id="8929" w:name="bookmark219"/>
      <w:bookmarkEnd w:id="8929"/>
      <w:r>
        <w:rPr>
          <w:rFonts w:ascii="Times New Roman" w:hAnsi="Times New Roman"/>
        </w:rPr>
        <w:t>(</w:t>
      </w:r>
      <w:r>
        <w:rPr>
          <w:rFonts w:ascii="Times New Roman" w:hAnsi="Times New Roman"/>
        </w:rPr>
        <w:t>三</w:t>
      </w:r>
      <w:r>
        <w:rPr>
          <w:rFonts w:ascii="Times New Roman" w:hAnsi="Times New Roman"/>
        </w:rPr>
        <w:t>)</w:t>
      </w:r>
      <w:r>
        <w:rPr>
          <w:rFonts w:ascii="Times New Roman" w:hAnsi="Times New Roman"/>
        </w:rPr>
        <w:t>其他因素</w:t>
      </w:r>
    </w:p>
    <w:p w:rsidR="00800760" w:rsidRDefault="00235733">
      <w:pPr>
        <w:ind w:firstLine="436"/>
        <w:jc w:val="both"/>
        <w:rPr>
          <w:rFonts w:cs="宋体"/>
          <w:spacing w:val="4"/>
        </w:rPr>
      </w:pPr>
      <w:r>
        <w:rPr>
          <w:rFonts w:cs="宋体"/>
          <w:spacing w:val="4"/>
        </w:rPr>
        <w:t>确定权利人的实际损失时，还应当考虑其他因素。例如市场对专利产品的需求、权利人是否具有开发这种需求的生产和市场销售能力、权利人是否有获得这种利润的可能性、侵权行为和侵权结果之间是否存在因果关系</w:t>
      </w:r>
      <w:r>
        <w:rPr>
          <w:rFonts w:cs="宋体"/>
          <w:spacing w:val="4"/>
        </w:rPr>
        <w:t>(</w:t>
      </w:r>
      <w:r>
        <w:rPr>
          <w:rFonts w:cs="宋体"/>
          <w:spacing w:val="4"/>
        </w:rPr>
        <w:t>不包括其他原因导致权利人销售额的下降或增长的停滞</w:t>
      </w:r>
      <w:r>
        <w:rPr>
          <w:rFonts w:cs="宋体"/>
          <w:spacing w:val="4"/>
        </w:rPr>
        <w:t>)</w:t>
      </w:r>
      <w:r>
        <w:rPr>
          <w:rFonts w:cs="宋体"/>
          <w:spacing w:val="4"/>
        </w:rPr>
        <w:t>等因素。</w:t>
      </w:r>
    </w:p>
    <w:p w:rsidR="00800760" w:rsidRDefault="00235733">
      <w:pPr>
        <w:ind w:firstLine="436"/>
        <w:jc w:val="both"/>
        <w:rPr>
          <w:rFonts w:cs="宋体"/>
          <w:spacing w:val="4"/>
        </w:rPr>
      </w:pPr>
      <w:r>
        <w:rPr>
          <w:rFonts w:cs="宋体"/>
          <w:spacing w:val="4"/>
        </w:rPr>
        <w:t>权利人应对这些因素的存在负有举证责任。管理专利工作的部门可以应用</w:t>
      </w:r>
      <w:r>
        <w:rPr>
          <w:rFonts w:cs="宋体"/>
          <w:spacing w:val="4"/>
        </w:rPr>
        <w:t>“</w:t>
      </w:r>
      <w:r>
        <w:rPr>
          <w:rFonts w:cs="宋体"/>
          <w:spacing w:val="4"/>
        </w:rPr>
        <w:t>四步检验法</w:t>
      </w:r>
      <w:r>
        <w:rPr>
          <w:rFonts w:cs="宋体"/>
          <w:spacing w:val="4"/>
        </w:rPr>
        <w:t>”</w:t>
      </w:r>
      <w:r>
        <w:rPr>
          <w:rFonts w:cs="宋体"/>
          <w:spacing w:val="4"/>
        </w:rPr>
        <w:t>判断权利人是否充分举证，即考察权利人是否举证证明：</w:t>
      </w:r>
      <w:r>
        <w:rPr>
          <w:rFonts w:cs="宋体"/>
          <w:spacing w:val="4"/>
        </w:rPr>
        <w:t>(1)</w:t>
      </w:r>
      <w:r>
        <w:rPr>
          <w:rFonts w:cs="宋体"/>
          <w:spacing w:val="4"/>
        </w:rPr>
        <w:t>市场对专利产品的需求；</w:t>
      </w:r>
      <w:r>
        <w:rPr>
          <w:rFonts w:cs="宋体"/>
          <w:spacing w:val="4"/>
        </w:rPr>
        <w:t>(2)</w:t>
      </w:r>
      <w:r>
        <w:rPr>
          <w:rFonts w:cs="宋体"/>
          <w:spacing w:val="4"/>
        </w:rPr>
        <w:t>不存在可接受的非侵权替代产品；</w:t>
      </w:r>
      <w:r>
        <w:rPr>
          <w:rFonts w:cs="宋体"/>
          <w:spacing w:val="4"/>
        </w:rPr>
        <w:t>(3)</w:t>
      </w:r>
      <w:r>
        <w:rPr>
          <w:rFonts w:cs="宋体"/>
          <w:spacing w:val="4"/>
        </w:rPr>
        <w:t>权利人具有开发这种需求的生产和市场营销能力；</w:t>
      </w:r>
      <w:r>
        <w:rPr>
          <w:rFonts w:cs="宋体"/>
          <w:spacing w:val="4"/>
        </w:rPr>
        <w:t>(4)</w:t>
      </w:r>
      <w:r>
        <w:rPr>
          <w:rFonts w:cs="宋体"/>
          <w:spacing w:val="4"/>
        </w:rPr>
        <w:t>如果没有侵权产品的话，权利人本可能获得的利润额。如果以上所有四个要件都得到证明，则权利人的利润损失可以得到赔偿；如果其中任何一个要件没有得到证明，则应当按照其他法定方式确定赔偿。</w:t>
      </w:r>
    </w:p>
    <w:p w:rsidR="00800760" w:rsidRDefault="00235733">
      <w:pPr>
        <w:ind w:firstLine="436"/>
        <w:jc w:val="both"/>
        <w:rPr>
          <w:rFonts w:cs="宋体"/>
          <w:spacing w:val="4"/>
        </w:rPr>
      </w:pPr>
      <w:r>
        <w:rPr>
          <w:rFonts w:cs="宋体"/>
          <w:spacing w:val="4"/>
        </w:rPr>
        <w:t>可以通过其他合理方式确定权利人合理损失的，管理专利工作的部门应当在综合考量全部证据后予以确定。</w:t>
      </w:r>
    </w:p>
    <w:p w:rsidR="00800760" w:rsidRDefault="00235733">
      <w:pPr>
        <w:pStyle w:val="af6"/>
        <w:spacing w:before="120"/>
        <w:ind w:firstLine="420"/>
      </w:pPr>
      <w:r>
        <w:t>【案例</w:t>
      </w:r>
      <w:r>
        <w:rPr>
          <w:rFonts w:hint="eastAsia"/>
        </w:rPr>
        <w:t>8</w:t>
      </w:r>
      <w:r>
        <w:t>-1-4】</w:t>
      </w:r>
    </w:p>
    <w:p w:rsidR="00800760" w:rsidRDefault="00235733">
      <w:pPr>
        <w:ind w:firstLine="456"/>
        <w:jc w:val="both"/>
        <w:rPr>
          <w:rFonts w:eastAsia="楷体_GB2312" w:cs="楷体_GB2312"/>
        </w:rPr>
      </w:pPr>
      <w:r>
        <w:rPr>
          <w:rFonts w:eastAsia="楷体_GB2312" w:cs="楷体_GB2312"/>
          <w:spacing w:val="9"/>
        </w:rPr>
        <w:t>B</w:t>
      </w:r>
      <w:r>
        <w:rPr>
          <w:rFonts w:eastAsia="楷体_GB2312" w:cs="楷体_GB2312" w:hint="eastAsia"/>
          <w:spacing w:val="9"/>
        </w:rPr>
        <w:t>公司大量仿造</w:t>
      </w:r>
      <w:r>
        <w:rPr>
          <w:rFonts w:eastAsia="楷体_GB2312" w:cs="楷体_GB2312"/>
          <w:spacing w:val="9"/>
        </w:rPr>
        <w:t>A</w:t>
      </w:r>
      <w:r>
        <w:rPr>
          <w:rFonts w:eastAsia="楷体_GB2312" w:cs="楷体_GB2312"/>
          <w:spacing w:val="9"/>
        </w:rPr>
        <w:t>公司已获得外观设计专利权的几种</w:t>
      </w:r>
      <w:r>
        <w:rPr>
          <w:rFonts w:eastAsia="楷体_GB2312" w:cs="楷体_GB2312"/>
          <w:spacing w:val="8"/>
        </w:rPr>
        <w:t>“</w:t>
      </w:r>
      <w:r>
        <w:rPr>
          <w:rFonts w:eastAsia="楷体_GB2312" w:cs="楷体_GB2312"/>
          <w:spacing w:val="8"/>
        </w:rPr>
        <w:t>窗花粘贴</w:t>
      </w:r>
      <w:r>
        <w:rPr>
          <w:rFonts w:eastAsia="楷体_GB2312" w:cs="楷体_GB2312"/>
          <w:spacing w:val="8"/>
        </w:rPr>
        <w:t>”</w:t>
      </w:r>
      <w:r>
        <w:rPr>
          <w:rFonts w:eastAsia="楷体_GB2312" w:cs="楷体_GB2312"/>
          <w:spacing w:val="8"/>
        </w:rPr>
        <w:t>产品。由于</w:t>
      </w:r>
      <w:r>
        <w:rPr>
          <w:rFonts w:eastAsia="楷体_GB2312" w:cs="楷体_GB2312"/>
          <w:spacing w:val="8"/>
        </w:rPr>
        <w:t>B</w:t>
      </w:r>
      <w:r>
        <w:rPr>
          <w:rFonts w:eastAsia="楷体_GB2312" w:cs="楷体_GB2312"/>
          <w:spacing w:val="4"/>
        </w:rPr>
        <w:t>公司销售侵权产品的时间长，数量无法查清，获利无从知晓，</w:t>
      </w:r>
      <w:r>
        <w:rPr>
          <w:rFonts w:eastAsia="楷体_GB2312" w:cs="楷体_GB2312"/>
          <w:spacing w:val="3"/>
        </w:rPr>
        <w:t>因此</w:t>
      </w:r>
      <w:r>
        <w:rPr>
          <w:rFonts w:eastAsia="楷体_GB2312" w:cs="楷体_GB2312"/>
          <w:spacing w:val="3"/>
        </w:rPr>
        <w:t>A</w:t>
      </w:r>
      <w:r>
        <w:rPr>
          <w:rFonts w:eastAsia="楷体_GB2312" w:cs="楷体_GB2312"/>
          <w:spacing w:val="3"/>
        </w:rPr>
        <w:t>公司根据自己在</w:t>
      </w:r>
      <w:r>
        <w:rPr>
          <w:rFonts w:eastAsia="楷体_GB2312" w:cs="楷体_GB2312"/>
          <w:spacing w:val="21"/>
        </w:rPr>
        <w:t>1993</w:t>
      </w:r>
      <w:r>
        <w:rPr>
          <w:rFonts w:eastAsia="楷体_GB2312" w:cs="楷体_GB2312"/>
          <w:spacing w:val="21"/>
        </w:rPr>
        <w:t>年</w:t>
      </w:r>
      <w:r>
        <w:rPr>
          <w:rFonts w:eastAsia="楷体_GB2312" w:cs="楷体_GB2312"/>
          <w:spacing w:val="21"/>
        </w:rPr>
        <w:t>2</w:t>
      </w:r>
      <w:r>
        <w:rPr>
          <w:rFonts w:eastAsia="楷体_GB2312" w:cs="楷体_GB2312"/>
          <w:spacing w:val="21"/>
        </w:rPr>
        <w:t>月至</w:t>
      </w:r>
      <w:r>
        <w:rPr>
          <w:rFonts w:eastAsia="楷体_GB2312" w:cs="楷体_GB2312"/>
          <w:spacing w:val="21"/>
        </w:rPr>
        <w:t>1995</w:t>
      </w:r>
      <w:r>
        <w:rPr>
          <w:rFonts w:eastAsia="楷体_GB2312" w:cs="楷体_GB2312"/>
          <w:spacing w:val="21"/>
        </w:rPr>
        <w:t>年</w:t>
      </w:r>
      <w:r>
        <w:rPr>
          <w:rFonts w:eastAsia="楷体_GB2312" w:cs="楷体_GB2312"/>
          <w:spacing w:val="21"/>
        </w:rPr>
        <w:t>4</w:t>
      </w:r>
      <w:r>
        <w:rPr>
          <w:rFonts w:eastAsia="楷体_GB2312" w:cs="楷体_GB2312"/>
          <w:spacing w:val="21"/>
        </w:rPr>
        <w:t>月间专利产品的销售量由于</w:t>
      </w:r>
      <w:r>
        <w:rPr>
          <w:rFonts w:eastAsia="楷体_GB2312" w:cs="楷体_GB2312"/>
          <w:spacing w:val="21"/>
        </w:rPr>
        <w:t>B</w:t>
      </w:r>
      <w:r>
        <w:rPr>
          <w:rFonts w:eastAsia="楷体_GB2312" w:cs="楷体_GB2312"/>
          <w:spacing w:val="21"/>
        </w:rPr>
        <w:t>公司侵权而降价产生的损失</w:t>
      </w:r>
      <w:r>
        <w:rPr>
          <w:rFonts w:eastAsia="楷体_GB2312" w:cs="楷体_GB2312"/>
          <w:spacing w:val="6"/>
        </w:rPr>
        <w:t>1041624.79</w:t>
      </w:r>
      <w:r>
        <w:rPr>
          <w:rFonts w:eastAsia="楷体_GB2312" w:cs="楷体_GB2312"/>
          <w:spacing w:val="6"/>
        </w:rPr>
        <w:t>元，请求</w:t>
      </w:r>
      <w:r>
        <w:rPr>
          <w:rFonts w:eastAsia="楷体_GB2312" w:cs="楷体_GB2312"/>
          <w:spacing w:val="6"/>
        </w:rPr>
        <w:t>B</w:t>
      </w:r>
      <w:r>
        <w:rPr>
          <w:rFonts w:eastAsia="楷体_GB2312" w:cs="楷体_GB2312"/>
          <w:spacing w:val="6"/>
        </w:rPr>
        <w:t>公司予以赔偿。</w:t>
      </w:r>
    </w:p>
    <w:p w:rsidR="00800760" w:rsidRDefault="00235733">
      <w:pPr>
        <w:ind w:firstLine="436"/>
        <w:jc w:val="both"/>
        <w:rPr>
          <w:rFonts w:eastAsia="楷体_GB2312" w:cs="楷体_GB2312"/>
        </w:rPr>
      </w:pPr>
      <w:r>
        <w:rPr>
          <w:rFonts w:eastAsia="楷体_GB2312" w:cs="楷体_GB2312"/>
          <w:spacing w:val="4"/>
        </w:rPr>
        <w:t>经查明，窗花粘贴作为一种新型的装饰材料，最初上市时比较受欢迎，但该产品</w:t>
      </w:r>
      <w:r>
        <w:rPr>
          <w:rFonts w:eastAsia="楷体_GB2312" w:cs="楷体_GB2312"/>
          <w:spacing w:val="3"/>
        </w:rPr>
        <w:t>工艺简单，生产厂家较多，随着市场的饱和，人们的审美意识也发生了变化，尤其是</w:t>
      </w:r>
      <w:r>
        <w:rPr>
          <w:rFonts w:eastAsia="楷体_GB2312" w:cs="楷体_GB2312"/>
          <w:spacing w:val="4"/>
        </w:rPr>
        <w:t>产品销售好坏与产品图案设计变化有直接的关系，生产厂家根据市场</w:t>
      </w:r>
      <w:r>
        <w:rPr>
          <w:rFonts w:eastAsia="楷体_GB2312" w:cs="楷体_GB2312"/>
          <w:spacing w:val="3"/>
        </w:rPr>
        <w:t>需求降价是必然</w:t>
      </w:r>
      <w:r>
        <w:rPr>
          <w:rFonts w:eastAsia="楷体_GB2312" w:cs="楷体_GB2312"/>
          <w:spacing w:val="6"/>
        </w:rPr>
        <w:t>选择。因此，</w:t>
      </w:r>
      <w:r>
        <w:rPr>
          <w:rFonts w:eastAsia="楷体_GB2312" w:cs="楷体_GB2312" w:hint="eastAsia"/>
          <w:spacing w:val="6"/>
        </w:rPr>
        <w:t>处理</w:t>
      </w:r>
      <w:r>
        <w:rPr>
          <w:rFonts w:eastAsia="楷体_GB2312" w:cs="楷体_GB2312"/>
          <w:spacing w:val="6"/>
        </w:rPr>
        <w:t>部门认为，</w:t>
      </w:r>
      <w:r>
        <w:rPr>
          <w:rFonts w:eastAsia="楷体_GB2312" w:cs="楷体_GB2312"/>
          <w:spacing w:val="6"/>
        </w:rPr>
        <w:t>A</w:t>
      </w:r>
      <w:r>
        <w:rPr>
          <w:rFonts w:eastAsia="楷体_GB2312" w:cs="楷体_GB2312"/>
          <w:spacing w:val="6"/>
        </w:rPr>
        <w:t>公司将产品降价完全归责于</w:t>
      </w:r>
      <w:r>
        <w:rPr>
          <w:rFonts w:eastAsia="楷体_GB2312" w:cs="楷体_GB2312"/>
          <w:spacing w:val="6"/>
        </w:rPr>
        <w:t>B</w:t>
      </w:r>
      <w:r>
        <w:rPr>
          <w:rFonts w:eastAsia="楷体_GB2312" w:cs="楷体_GB2312"/>
          <w:spacing w:val="6"/>
        </w:rPr>
        <w:t>公司是不</w:t>
      </w:r>
      <w:r>
        <w:rPr>
          <w:rFonts w:eastAsia="楷体_GB2312" w:cs="楷体_GB2312"/>
          <w:spacing w:val="5"/>
        </w:rPr>
        <w:t>合理的。但</w:t>
      </w:r>
      <w:r>
        <w:rPr>
          <w:rFonts w:eastAsia="楷体_GB2312" w:cs="楷体_GB2312"/>
          <w:spacing w:val="5"/>
        </w:rPr>
        <w:t>B</w:t>
      </w:r>
      <w:r>
        <w:rPr>
          <w:rFonts w:eastAsia="楷体_GB2312" w:cs="楷体_GB2312"/>
          <w:spacing w:val="5"/>
        </w:rPr>
        <w:t>公司在两年多时间里，在同一地区大量仿造</w:t>
      </w:r>
      <w:r>
        <w:rPr>
          <w:rFonts w:eastAsia="楷体_GB2312" w:cs="楷体_GB2312"/>
          <w:spacing w:val="5"/>
        </w:rPr>
        <w:t>A</w:t>
      </w:r>
      <w:r>
        <w:rPr>
          <w:rFonts w:eastAsia="楷体_GB2312" w:cs="楷体_GB2312"/>
          <w:spacing w:val="5"/>
        </w:rPr>
        <w:t>公司拥有外观设计专利权的产品</w:t>
      </w:r>
      <w:r>
        <w:rPr>
          <w:rFonts w:eastAsia="楷体_GB2312" w:cs="楷体_GB2312"/>
          <w:spacing w:val="4"/>
        </w:rPr>
        <w:t>，对</w:t>
      </w:r>
      <w:r>
        <w:rPr>
          <w:rFonts w:eastAsia="楷体_GB2312" w:cs="楷体_GB2312"/>
          <w:spacing w:val="4"/>
        </w:rPr>
        <w:t>A</w:t>
      </w:r>
      <w:r>
        <w:rPr>
          <w:rFonts w:eastAsia="楷体_GB2312" w:cs="楷体_GB2312"/>
          <w:spacing w:val="4"/>
        </w:rPr>
        <w:t>公司专利产品的销售带来了重大影响，</w:t>
      </w:r>
      <w:r>
        <w:rPr>
          <w:rFonts w:eastAsia="楷体_GB2312" w:cs="楷体_GB2312"/>
          <w:spacing w:val="4"/>
        </w:rPr>
        <w:t>A</w:t>
      </w:r>
      <w:r>
        <w:rPr>
          <w:rFonts w:eastAsia="楷体_GB2312" w:cs="楷体_GB2312"/>
          <w:spacing w:val="4"/>
        </w:rPr>
        <w:t>公司不得不通过降价方法对</w:t>
      </w:r>
      <w:r>
        <w:rPr>
          <w:rFonts w:eastAsia="楷体_GB2312" w:cs="楷体_GB2312"/>
          <w:spacing w:val="3"/>
        </w:rPr>
        <w:t>抗</w:t>
      </w:r>
      <w:r>
        <w:rPr>
          <w:rFonts w:eastAsia="楷体_GB2312" w:cs="楷体_GB2312"/>
          <w:spacing w:val="3"/>
        </w:rPr>
        <w:t>B</w:t>
      </w:r>
      <w:r>
        <w:rPr>
          <w:rFonts w:eastAsia="楷体_GB2312" w:cs="楷体_GB2312"/>
          <w:spacing w:val="3"/>
        </w:rPr>
        <w:t>公司的侵权</w:t>
      </w:r>
      <w:r>
        <w:rPr>
          <w:rFonts w:eastAsia="楷体_GB2312" w:cs="楷体_GB2312"/>
          <w:spacing w:val="1"/>
        </w:rPr>
        <w:t>行为，由此带来损失也是必然的结果。经过分析，</w:t>
      </w:r>
      <w:r>
        <w:rPr>
          <w:rFonts w:eastAsia="楷体_GB2312" w:cs="楷体_GB2312" w:hint="eastAsia"/>
          <w:spacing w:val="1"/>
        </w:rPr>
        <w:t>处理</w:t>
      </w:r>
      <w:r>
        <w:rPr>
          <w:rFonts w:eastAsia="楷体_GB2312" w:cs="楷体_GB2312"/>
          <w:spacing w:val="1"/>
        </w:rPr>
        <w:t>部门最</w:t>
      </w:r>
      <w:r>
        <w:rPr>
          <w:rFonts w:eastAsia="楷体_GB2312" w:cs="楷体_GB2312"/>
          <w:spacing w:val="5"/>
        </w:rPr>
        <w:t>终</w:t>
      </w:r>
      <w:r>
        <w:rPr>
          <w:rFonts w:eastAsia="楷体_GB2312" w:cs="楷体_GB2312" w:hint="eastAsia"/>
          <w:spacing w:val="5"/>
        </w:rPr>
        <w:t>支持</w:t>
      </w:r>
      <w:r>
        <w:rPr>
          <w:rFonts w:eastAsia="楷体_GB2312" w:cs="楷体_GB2312"/>
          <w:spacing w:val="5"/>
        </w:rPr>
        <w:t>了</w:t>
      </w:r>
      <w:r>
        <w:rPr>
          <w:rFonts w:eastAsia="楷体_GB2312" w:cs="楷体_GB2312"/>
          <w:spacing w:val="5"/>
        </w:rPr>
        <w:t>A</w:t>
      </w:r>
      <w:r>
        <w:rPr>
          <w:rFonts w:eastAsia="楷体_GB2312" w:cs="楷体_GB2312"/>
        </w:rPr>
        <w:t>公司的请求，</w:t>
      </w:r>
      <w:r>
        <w:rPr>
          <w:rFonts w:eastAsia="楷体_GB2312" w:cs="楷体_GB2312"/>
          <w:spacing w:val="9"/>
        </w:rPr>
        <w:t>按照其请求额的</w:t>
      </w:r>
      <w:r>
        <w:rPr>
          <w:rFonts w:eastAsia="楷体_GB2312" w:cs="楷体_GB2312"/>
          <w:spacing w:val="9"/>
        </w:rPr>
        <w:t>1/3</w:t>
      </w:r>
      <w:r>
        <w:rPr>
          <w:rFonts w:eastAsia="楷体_GB2312" w:cs="楷体_GB2312" w:hint="eastAsia"/>
          <w:spacing w:val="9"/>
        </w:rPr>
        <w:t>，</w:t>
      </w:r>
      <w:r>
        <w:rPr>
          <w:rFonts w:eastAsia="楷体_GB2312" w:cs="楷体_GB2312"/>
          <w:spacing w:val="9"/>
        </w:rPr>
        <w:t>确定</w:t>
      </w:r>
      <w:r>
        <w:rPr>
          <w:rFonts w:eastAsia="楷体_GB2312" w:cs="楷体_GB2312"/>
          <w:spacing w:val="9"/>
        </w:rPr>
        <w:t>B</w:t>
      </w:r>
      <w:r>
        <w:rPr>
          <w:rFonts w:eastAsia="楷体_GB2312" w:cs="楷体_GB2312"/>
          <w:spacing w:val="9"/>
        </w:rPr>
        <w:t>公司赔偿</w:t>
      </w:r>
      <w:r>
        <w:rPr>
          <w:rFonts w:eastAsia="楷体_GB2312" w:cs="楷体_GB2312"/>
          <w:spacing w:val="9"/>
        </w:rPr>
        <w:t>A</w:t>
      </w:r>
      <w:r>
        <w:rPr>
          <w:rFonts w:eastAsia="楷体_GB2312" w:cs="楷体_GB2312"/>
          <w:spacing w:val="9"/>
        </w:rPr>
        <w:t>公司经济损失的数额为</w:t>
      </w:r>
      <w:r>
        <w:rPr>
          <w:rFonts w:eastAsia="楷体_GB2312" w:cs="楷体_GB2312"/>
          <w:spacing w:val="9"/>
        </w:rPr>
        <w:t>347208.2</w:t>
      </w:r>
      <w:r>
        <w:rPr>
          <w:rFonts w:eastAsia="楷体_GB2312" w:cs="楷体_GB2312"/>
          <w:spacing w:val="8"/>
        </w:rPr>
        <w:t>3</w:t>
      </w:r>
      <w:r>
        <w:rPr>
          <w:rFonts w:eastAsia="楷体_GB2312" w:cs="楷体_GB2312"/>
          <w:spacing w:val="8"/>
        </w:rPr>
        <w:t>元。</w:t>
      </w:r>
    </w:p>
    <w:p w:rsidR="00800760" w:rsidRDefault="00235733">
      <w:pPr>
        <w:pStyle w:val="af6"/>
        <w:spacing w:before="120"/>
        <w:ind w:firstLine="420"/>
      </w:pPr>
      <w:r>
        <w:t>【案例</w:t>
      </w:r>
      <w:r>
        <w:rPr>
          <w:rFonts w:hint="eastAsia"/>
        </w:rPr>
        <w:t>8</w:t>
      </w:r>
      <w:r>
        <w:t>-1-5】</w:t>
      </w:r>
    </w:p>
    <w:p w:rsidR="00800760" w:rsidRDefault="00235733">
      <w:pPr>
        <w:ind w:firstLine="432"/>
        <w:jc w:val="both"/>
        <w:rPr>
          <w:rFonts w:eastAsia="楷体_GB2312"/>
          <w:spacing w:val="3"/>
        </w:rPr>
      </w:pPr>
      <w:r>
        <w:rPr>
          <w:rFonts w:eastAsia="楷体_GB2312"/>
          <w:spacing w:val="3"/>
        </w:rPr>
        <w:t>B</w:t>
      </w:r>
      <w:r>
        <w:rPr>
          <w:rFonts w:eastAsia="楷体_GB2312"/>
          <w:spacing w:val="3"/>
        </w:rPr>
        <w:t>公司生产的仿制药</w:t>
      </w:r>
      <w:r>
        <w:rPr>
          <w:rFonts w:eastAsia="楷体_GB2312"/>
          <w:spacing w:val="3"/>
        </w:rPr>
        <w:t>B</w:t>
      </w:r>
      <w:r>
        <w:rPr>
          <w:rFonts w:eastAsia="楷体_GB2312"/>
          <w:spacing w:val="3"/>
        </w:rPr>
        <w:t>涉嫌侵犯</w:t>
      </w:r>
      <w:r>
        <w:rPr>
          <w:rFonts w:eastAsia="楷体_GB2312"/>
          <w:spacing w:val="3"/>
        </w:rPr>
        <w:t>A</w:t>
      </w:r>
      <w:r>
        <w:rPr>
          <w:rFonts w:eastAsia="楷体_GB2312"/>
          <w:spacing w:val="3"/>
        </w:rPr>
        <w:t>公司原研药</w:t>
      </w:r>
      <w:r>
        <w:rPr>
          <w:rFonts w:eastAsia="楷体_GB2312"/>
          <w:spacing w:val="3"/>
        </w:rPr>
        <w:t>A</w:t>
      </w:r>
      <w:r>
        <w:rPr>
          <w:rFonts w:eastAsia="楷体_GB2312"/>
          <w:spacing w:val="3"/>
        </w:rPr>
        <w:t>的专利权。针对</w:t>
      </w:r>
      <w:r>
        <w:rPr>
          <w:rFonts w:eastAsia="楷体_GB2312"/>
          <w:spacing w:val="3"/>
        </w:rPr>
        <w:t>B</w:t>
      </w:r>
      <w:r>
        <w:rPr>
          <w:rFonts w:eastAsia="楷体_GB2312"/>
          <w:spacing w:val="3"/>
        </w:rPr>
        <w:t>公司的仿制药</w:t>
      </w:r>
      <w:r>
        <w:rPr>
          <w:rFonts w:eastAsia="楷体_GB2312"/>
          <w:spacing w:val="3"/>
        </w:rPr>
        <w:t>B</w:t>
      </w:r>
      <w:r>
        <w:rPr>
          <w:rFonts w:eastAsia="楷体_GB2312"/>
          <w:spacing w:val="3"/>
        </w:rPr>
        <w:t>上市后对</w:t>
      </w:r>
      <w:r>
        <w:rPr>
          <w:rFonts w:eastAsia="楷体_GB2312"/>
          <w:spacing w:val="3"/>
        </w:rPr>
        <w:t>A</w:t>
      </w:r>
      <w:r>
        <w:rPr>
          <w:rFonts w:eastAsia="楷体_GB2312"/>
          <w:spacing w:val="3"/>
        </w:rPr>
        <w:t>公司利润的影响，</w:t>
      </w:r>
      <w:r>
        <w:rPr>
          <w:rFonts w:eastAsia="楷体_GB2312"/>
          <w:spacing w:val="3"/>
        </w:rPr>
        <w:t>A</w:t>
      </w:r>
      <w:r>
        <w:rPr>
          <w:rFonts w:eastAsia="楷体_GB2312"/>
          <w:spacing w:val="3"/>
        </w:rPr>
        <w:t>公司依照权利人的利润损失要求赔偿。</w:t>
      </w:r>
      <w:r>
        <w:rPr>
          <w:rFonts w:eastAsia="楷体_GB2312"/>
          <w:spacing w:val="3"/>
        </w:rPr>
        <w:t>A</w:t>
      </w:r>
      <w:r>
        <w:rPr>
          <w:rFonts w:eastAsia="楷体_GB2312"/>
          <w:spacing w:val="3"/>
        </w:rPr>
        <w:t>公司的具体计算过程如下：</w:t>
      </w:r>
    </w:p>
    <w:p w:rsidR="00800760" w:rsidRDefault="00235733">
      <w:pPr>
        <w:rPr>
          <w:rFonts w:eastAsia="楷体_GB2312"/>
        </w:rPr>
      </w:pPr>
      <w:bookmarkStart w:id="8930" w:name="bookmark220"/>
      <w:bookmarkEnd w:id="8930"/>
      <w:r>
        <w:rPr>
          <w:rFonts w:eastAsia="楷体_GB2312"/>
        </w:rPr>
        <w:t>(1)</w:t>
      </w:r>
      <w:r>
        <w:rPr>
          <w:rFonts w:eastAsia="楷体_GB2312"/>
        </w:rPr>
        <w:t>原研药</w:t>
      </w:r>
      <w:r>
        <w:rPr>
          <w:rFonts w:eastAsia="楷体_GB2312"/>
        </w:rPr>
        <w:t>A</w:t>
      </w:r>
      <w:r>
        <w:rPr>
          <w:rFonts w:eastAsia="楷体_GB2312"/>
        </w:rPr>
        <w:t>的市场需求</w:t>
      </w:r>
    </w:p>
    <w:p w:rsidR="00800760" w:rsidRDefault="00235733">
      <w:pPr>
        <w:rPr>
          <w:rFonts w:eastAsia="楷体_GB2312"/>
        </w:rPr>
      </w:pPr>
      <w:r>
        <w:rPr>
          <w:rFonts w:eastAsia="楷体_GB2312"/>
        </w:rPr>
        <w:t>原研药</w:t>
      </w:r>
      <w:r>
        <w:rPr>
          <w:rFonts w:eastAsia="楷体_GB2312"/>
        </w:rPr>
        <w:t>A</w:t>
      </w:r>
      <w:r>
        <w:rPr>
          <w:rFonts w:eastAsia="楷体_GB2312"/>
        </w:rPr>
        <w:t>从上市销售时就产生了巨大的市场需求。原研药</w:t>
      </w:r>
      <w:r>
        <w:rPr>
          <w:rFonts w:eastAsia="楷体_GB2312"/>
        </w:rPr>
        <w:t>A</w:t>
      </w:r>
      <w:r>
        <w:rPr>
          <w:rFonts w:eastAsia="楷体_GB2312"/>
        </w:rPr>
        <w:t>每季度都能为</w:t>
      </w:r>
      <w:r>
        <w:rPr>
          <w:rFonts w:eastAsia="楷体_GB2312"/>
        </w:rPr>
        <w:t>A</w:t>
      </w:r>
      <w:r>
        <w:rPr>
          <w:rFonts w:eastAsia="楷体_GB2312"/>
        </w:rPr>
        <w:t>公司带来</w:t>
      </w:r>
      <w:r>
        <w:rPr>
          <w:rFonts w:eastAsia="楷体_GB2312"/>
        </w:rPr>
        <w:t>2</w:t>
      </w:r>
      <w:r>
        <w:rPr>
          <w:rFonts w:eastAsia="楷体_GB2312"/>
        </w:rPr>
        <w:t>亿美元左右的收益，并已成为近年来</w:t>
      </w:r>
      <w:r>
        <w:rPr>
          <w:rFonts w:eastAsia="楷体_GB2312"/>
        </w:rPr>
        <w:t>A</w:t>
      </w:r>
      <w:r>
        <w:rPr>
          <w:rFonts w:eastAsia="楷体_GB2312"/>
        </w:rPr>
        <w:t>公司最能盈利的药品。在</w:t>
      </w:r>
      <w:r>
        <w:rPr>
          <w:rFonts w:eastAsia="楷体_GB2312"/>
        </w:rPr>
        <w:t>A</w:t>
      </w:r>
      <w:r>
        <w:rPr>
          <w:rFonts w:eastAsia="楷体_GB2312"/>
        </w:rPr>
        <w:t>公司的所有药品中其利润率最高，每一美元的销售几乎能保证</w:t>
      </w:r>
      <w:r>
        <w:rPr>
          <w:rFonts w:eastAsia="楷体_GB2312"/>
        </w:rPr>
        <w:t>85%~90%</w:t>
      </w:r>
      <w:r>
        <w:rPr>
          <w:rFonts w:eastAsia="楷体_GB2312"/>
        </w:rPr>
        <w:t>的盈利。</w:t>
      </w:r>
    </w:p>
    <w:p w:rsidR="00800760" w:rsidRDefault="00235733">
      <w:pPr>
        <w:rPr>
          <w:rFonts w:eastAsia="楷体_GB2312"/>
        </w:rPr>
      </w:pPr>
      <w:r>
        <w:rPr>
          <w:rFonts w:eastAsia="楷体_GB2312"/>
        </w:rPr>
        <w:t>(2)</w:t>
      </w:r>
      <w:r>
        <w:rPr>
          <w:rFonts w:eastAsia="楷体_GB2312"/>
        </w:rPr>
        <w:t>替代品</w:t>
      </w:r>
    </w:p>
    <w:p w:rsidR="00800760" w:rsidRDefault="00235733">
      <w:pPr>
        <w:rPr>
          <w:rFonts w:eastAsia="楷体_GB2312"/>
        </w:rPr>
      </w:pPr>
      <w:r>
        <w:rPr>
          <w:rFonts w:eastAsia="楷体_GB2312"/>
        </w:rPr>
        <w:t>原研药</w:t>
      </w:r>
      <w:r>
        <w:rPr>
          <w:rFonts w:eastAsia="楷体_GB2312"/>
        </w:rPr>
        <w:t>A</w:t>
      </w:r>
      <w:r>
        <w:rPr>
          <w:rFonts w:eastAsia="楷体_GB2312"/>
        </w:rPr>
        <w:t>并不存在真正的可替代品。原研药</w:t>
      </w:r>
      <w:r>
        <w:rPr>
          <w:rFonts w:eastAsia="楷体_GB2312"/>
        </w:rPr>
        <w:t>A</w:t>
      </w:r>
      <w:r>
        <w:rPr>
          <w:rFonts w:eastAsia="楷体_GB2312"/>
        </w:rPr>
        <w:t>本身被认为是最好的抗焦虑处方药。其他以苯二氮族的抗焦虑药为代表的</w:t>
      </w:r>
      <w:r>
        <w:rPr>
          <w:rFonts w:eastAsia="楷体_GB2312"/>
        </w:rPr>
        <w:t>“</w:t>
      </w:r>
      <w:r>
        <w:rPr>
          <w:rFonts w:eastAsia="楷体_GB2312"/>
        </w:rPr>
        <w:t>可能</w:t>
      </w:r>
      <w:r>
        <w:rPr>
          <w:rFonts w:eastAsia="楷体_GB2312"/>
        </w:rPr>
        <w:t>”</w:t>
      </w:r>
      <w:r>
        <w:rPr>
          <w:rFonts w:eastAsia="楷体_GB2312"/>
        </w:rPr>
        <w:t>的代替品，由于会产生依赖性，都有极大的风险，它们只会被医生用于前两到三周的治疗。相反，原研药</w:t>
      </w:r>
      <w:r>
        <w:rPr>
          <w:rFonts w:eastAsia="楷体_GB2312"/>
        </w:rPr>
        <w:t>A</w:t>
      </w:r>
      <w:r>
        <w:rPr>
          <w:rFonts w:eastAsia="楷体_GB2312"/>
        </w:rPr>
        <w:t>不会产生依赖性，而且对减轻由焦虑紊乱而产生的情绪和身体方面的症状也是安全有效的。</w:t>
      </w:r>
    </w:p>
    <w:p w:rsidR="00800760" w:rsidRDefault="00235733">
      <w:pPr>
        <w:rPr>
          <w:rFonts w:eastAsia="楷体_GB2312"/>
        </w:rPr>
      </w:pPr>
      <w:r>
        <w:rPr>
          <w:rFonts w:eastAsia="楷体_GB2312"/>
        </w:rPr>
        <w:t>(3)</w:t>
      </w:r>
      <w:r>
        <w:rPr>
          <w:rFonts w:eastAsia="楷体_GB2312"/>
        </w:rPr>
        <w:t>市场营销和生产能力</w:t>
      </w:r>
    </w:p>
    <w:p w:rsidR="00800760" w:rsidRDefault="00235733">
      <w:pPr>
        <w:rPr>
          <w:rFonts w:eastAsia="楷体_GB2312"/>
        </w:rPr>
      </w:pPr>
      <w:r>
        <w:rPr>
          <w:rFonts w:eastAsia="楷体_GB2312"/>
        </w:rPr>
        <w:t>A</w:t>
      </w:r>
      <w:r>
        <w:rPr>
          <w:rFonts w:eastAsia="楷体_GB2312"/>
        </w:rPr>
        <w:t>公司通过其下属部门和子公司构建了一个庞大的生产和销售药品、营养品、医疗器械和美容产品的网络。作为拥有一定资本实力的公司，</w:t>
      </w:r>
      <w:r>
        <w:rPr>
          <w:rFonts w:eastAsia="楷体_GB2312"/>
        </w:rPr>
        <w:t>A</w:t>
      </w:r>
      <w:r>
        <w:rPr>
          <w:rFonts w:eastAsia="楷体_GB2312"/>
        </w:rPr>
        <w:t>公司具有所需要的营销和生产能力。</w:t>
      </w:r>
    </w:p>
    <w:p w:rsidR="00800760" w:rsidRDefault="00235733">
      <w:pPr>
        <w:rPr>
          <w:rFonts w:eastAsia="楷体_GB2312"/>
        </w:rPr>
      </w:pPr>
      <w:r>
        <w:rPr>
          <w:rFonts w:eastAsia="楷体_GB2312"/>
        </w:rPr>
        <w:t>(4)</w:t>
      </w:r>
      <w:r>
        <w:rPr>
          <w:rFonts w:eastAsia="楷体_GB2312"/>
        </w:rPr>
        <w:t>利润损失</w:t>
      </w:r>
    </w:p>
    <w:p w:rsidR="00800760" w:rsidRDefault="00235733">
      <w:pPr>
        <w:rPr>
          <w:rFonts w:cs="楷体_GB2312"/>
        </w:rPr>
      </w:pPr>
      <w:r>
        <w:rPr>
          <w:rFonts w:eastAsia="楷体_GB2312"/>
        </w:rPr>
        <w:t>A</w:t>
      </w:r>
      <w:r>
        <w:rPr>
          <w:rFonts w:eastAsia="楷体_GB2312"/>
        </w:rPr>
        <w:t>公司</w:t>
      </w:r>
      <w:r>
        <w:rPr>
          <w:rFonts w:eastAsia="楷体_GB2312"/>
        </w:rPr>
        <w:t>2001</w:t>
      </w:r>
      <w:r>
        <w:rPr>
          <w:rFonts w:eastAsia="楷体_GB2312"/>
        </w:rPr>
        <w:t>年第二季度和第三季度的财报显示，因为竞争者</w:t>
      </w:r>
      <w:r>
        <w:rPr>
          <w:rFonts w:eastAsia="楷体_GB2312"/>
        </w:rPr>
        <w:t>B</w:t>
      </w:r>
      <w:r>
        <w:rPr>
          <w:rFonts w:eastAsia="楷体_GB2312"/>
        </w:rPr>
        <w:t>公司的仿制药</w:t>
      </w:r>
      <w:r>
        <w:rPr>
          <w:rFonts w:eastAsia="楷体_GB2312"/>
        </w:rPr>
        <w:t>B</w:t>
      </w:r>
      <w:r>
        <w:rPr>
          <w:rFonts w:eastAsia="楷体_GB2312" w:hint="eastAsia"/>
        </w:rPr>
        <w:t>，</w:t>
      </w:r>
      <w:r>
        <w:rPr>
          <w:rFonts w:eastAsia="楷体_GB2312"/>
        </w:rPr>
        <w:t>A</w:t>
      </w:r>
      <w:r>
        <w:rPr>
          <w:rFonts w:eastAsia="楷体_GB2312"/>
        </w:rPr>
        <w:t>公司的收入已经出现了巨大的损失。在</w:t>
      </w:r>
      <w:r>
        <w:rPr>
          <w:rFonts w:eastAsia="楷体_GB2312"/>
        </w:rPr>
        <w:t>2001</w:t>
      </w:r>
      <w:r>
        <w:rPr>
          <w:rFonts w:eastAsia="楷体_GB2312"/>
        </w:rPr>
        <w:t>年第二季度，原研药</w:t>
      </w:r>
      <w:r>
        <w:rPr>
          <w:rFonts w:eastAsia="楷体_GB2312"/>
        </w:rPr>
        <w:t>A</w:t>
      </w:r>
      <w:r>
        <w:rPr>
          <w:rFonts w:eastAsia="楷体_GB2312"/>
        </w:rPr>
        <w:t>的销量已经从</w:t>
      </w:r>
      <w:r>
        <w:rPr>
          <w:rFonts w:eastAsia="楷体_GB2312"/>
        </w:rPr>
        <w:t>2000</w:t>
      </w:r>
      <w:r>
        <w:rPr>
          <w:rFonts w:eastAsia="楷体_GB2312"/>
        </w:rPr>
        <w:t>年第三季度的</w:t>
      </w:r>
      <w:r>
        <w:rPr>
          <w:rFonts w:eastAsia="楷体_GB2312"/>
        </w:rPr>
        <w:t>1.75</w:t>
      </w:r>
      <w:r>
        <w:rPr>
          <w:rFonts w:eastAsia="楷体_GB2312"/>
        </w:rPr>
        <w:t>亿美元下滑到</w:t>
      </w:r>
      <w:r>
        <w:rPr>
          <w:rFonts w:eastAsia="楷体_GB2312"/>
        </w:rPr>
        <w:t>8900</w:t>
      </w:r>
      <w:r>
        <w:rPr>
          <w:rFonts w:eastAsia="楷体_GB2312"/>
        </w:rPr>
        <w:t>万美元，这主要是由于竞争者</w:t>
      </w:r>
      <w:r>
        <w:rPr>
          <w:rFonts w:eastAsia="楷体_GB2312"/>
        </w:rPr>
        <w:t>B</w:t>
      </w:r>
      <w:r>
        <w:rPr>
          <w:rFonts w:eastAsia="楷体_GB2312"/>
        </w:rPr>
        <w:t>公司的仿制药</w:t>
      </w:r>
      <w:r>
        <w:rPr>
          <w:rFonts w:eastAsia="楷体_GB2312"/>
        </w:rPr>
        <w:t>B</w:t>
      </w:r>
      <w:r>
        <w:rPr>
          <w:rFonts w:eastAsia="楷体_GB2312"/>
        </w:rPr>
        <w:t>造成的。在</w:t>
      </w:r>
      <w:r>
        <w:rPr>
          <w:rFonts w:eastAsia="楷体_GB2312"/>
        </w:rPr>
        <w:t>2001</w:t>
      </w:r>
      <w:r>
        <w:rPr>
          <w:rFonts w:eastAsia="楷体_GB2312"/>
        </w:rPr>
        <w:t>年第三季度，原研药</w:t>
      </w:r>
      <w:r>
        <w:rPr>
          <w:rFonts w:eastAsia="楷体_GB2312"/>
        </w:rPr>
        <w:t>A</w:t>
      </w:r>
      <w:r>
        <w:rPr>
          <w:rFonts w:eastAsia="楷体_GB2312"/>
        </w:rPr>
        <w:t>的销售额比上一年同期下降了</w:t>
      </w:r>
      <w:r>
        <w:rPr>
          <w:rFonts w:eastAsia="楷体_GB2312"/>
        </w:rPr>
        <w:t>84%</w:t>
      </w:r>
      <w:r>
        <w:rPr>
          <w:rFonts w:eastAsia="楷体_GB2312" w:hint="eastAsia"/>
        </w:rPr>
        <w:t>，</w:t>
      </w:r>
      <w:r>
        <w:rPr>
          <w:rFonts w:eastAsia="楷体_GB2312"/>
        </w:rPr>
        <w:t>从</w:t>
      </w:r>
      <w:r>
        <w:rPr>
          <w:rFonts w:eastAsia="楷体_GB2312"/>
        </w:rPr>
        <w:t>1.75</w:t>
      </w:r>
      <w:r>
        <w:rPr>
          <w:rFonts w:eastAsia="楷体_GB2312"/>
        </w:rPr>
        <w:t>亿美元下滑至</w:t>
      </w:r>
      <w:r>
        <w:rPr>
          <w:rFonts w:eastAsia="楷体_GB2312"/>
        </w:rPr>
        <w:t>2800</w:t>
      </w:r>
      <w:r>
        <w:rPr>
          <w:rFonts w:eastAsia="楷体_GB2312"/>
        </w:rPr>
        <w:t>万美元，这同样是由于仿制药品的竞争导致的，而这些仿制药品中大部分是由</w:t>
      </w:r>
      <w:r>
        <w:rPr>
          <w:rFonts w:eastAsia="楷体_GB2312"/>
        </w:rPr>
        <w:t>B</w:t>
      </w:r>
      <w:r>
        <w:rPr>
          <w:rFonts w:eastAsia="楷体_GB2312"/>
        </w:rPr>
        <w:t>公司生产的仿制药</w:t>
      </w:r>
      <w:r>
        <w:rPr>
          <w:rFonts w:eastAsia="楷体_GB2312"/>
        </w:rPr>
        <w:t>B</w:t>
      </w:r>
      <w:r>
        <w:rPr>
          <w:rFonts w:eastAsia="楷体_GB2312"/>
        </w:rPr>
        <w:t>。考虑到原研药</w:t>
      </w:r>
      <w:r>
        <w:rPr>
          <w:rFonts w:eastAsia="楷体_GB2312"/>
        </w:rPr>
        <w:t>A</w:t>
      </w:r>
      <w:r>
        <w:rPr>
          <w:rFonts w:eastAsia="楷体_GB2312"/>
        </w:rPr>
        <w:t>对</w:t>
      </w:r>
      <w:r>
        <w:rPr>
          <w:rFonts w:eastAsia="楷体_GB2312"/>
        </w:rPr>
        <w:t>A</w:t>
      </w:r>
      <w:r>
        <w:rPr>
          <w:rFonts w:eastAsia="楷体_GB2312"/>
        </w:rPr>
        <w:t>公司的重要作用，这些收入的减少肯定会影响</w:t>
      </w:r>
      <w:r>
        <w:rPr>
          <w:rFonts w:eastAsia="楷体_GB2312"/>
        </w:rPr>
        <w:t>A</w:t>
      </w:r>
      <w:r>
        <w:rPr>
          <w:rFonts w:eastAsia="楷体_GB2312"/>
        </w:rPr>
        <w:t>公司现在和将来的利润。从数据来看，</w:t>
      </w:r>
      <w:r>
        <w:rPr>
          <w:rFonts w:eastAsia="楷体_GB2312"/>
        </w:rPr>
        <w:t>A</w:t>
      </w:r>
      <w:r>
        <w:rPr>
          <w:rFonts w:eastAsia="楷体_GB2312"/>
        </w:rPr>
        <w:t>公司</w:t>
      </w:r>
      <w:r>
        <w:rPr>
          <w:rFonts w:eastAsia="楷体_GB2312"/>
        </w:rPr>
        <w:t>2002</w:t>
      </w:r>
      <w:r>
        <w:rPr>
          <w:rFonts w:eastAsia="楷体_GB2312"/>
        </w:rPr>
        <w:t>年利润增长率的预期是</w:t>
      </w:r>
      <w:r>
        <w:rPr>
          <w:rFonts w:eastAsia="楷体_GB2312"/>
        </w:rPr>
        <w:t>2001</w:t>
      </w:r>
      <w:r>
        <w:rPr>
          <w:rFonts w:eastAsia="楷体_GB2312"/>
        </w:rPr>
        <w:t>年的一半左右，原研药</w:t>
      </w:r>
      <w:r>
        <w:rPr>
          <w:rFonts w:eastAsia="楷体_GB2312"/>
        </w:rPr>
        <w:t>A</w:t>
      </w:r>
      <w:r>
        <w:rPr>
          <w:rFonts w:eastAsia="楷体_GB2312"/>
        </w:rPr>
        <w:t>的利润下滑是其中一个重要的原因。</w:t>
      </w:r>
    </w:p>
    <w:p w:rsidR="00800760" w:rsidRDefault="00235733">
      <w:pPr>
        <w:ind w:firstLine="432"/>
        <w:jc w:val="both"/>
        <w:rPr>
          <w:rFonts w:eastAsia="楷体_GB2312" w:cs="楷体_GB2312"/>
          <w:spacing w:val="3"/>
        </w:rPr>
      </w:pPr>
      <w:r>
        <w:rPr>
          <w:rFonts w:eastAsia="楷体_GB2312" w:cs="楷体_GB2312" w:hint="eastAsia"/>
          <w:spacing w:val="3"/>
        </w:rPr>
        <w:t>A</w:t>
      </w:r>
      <w:r>
        <w:rPr>
          <w:rFonts w:eastAsia="楷体_GB2312" w:cs="楷体_GB2312"/>
          <w:spacing w:val="3"/>
        </w:rPr>
        <w:t>公司的举证满足</w:t>
      </w:r>
      <w:r>
        <w:rPr>
          <w:rFonts w:eastAsia="楷体_GB2312" w:cs="楷体_GB2312"/>
          <w:spacing w:val="3"/>
        </w:rPr>
        <w:t>“</w:t>
      </w:r>
      <w:r>
        <w:rPr>
          <w:rFonts w:eastAsia="楷体_GB2312" w:cs="楷体_GB2312"/>
          <w:spacing w:val="3"/>
        </w:rPr>
        <w:t>四步检验法</w:t>
      </w:r>
      <w:r>
        <w:rPr>
          <w:rFonts w:eastAsia="楷体_GB2312" w:cs="楷体_GB2312"/>
          <w:spacing w:val="3"/>
        </w:rPr>
        <w:t>”</w:t>
      </w:r>
      <w:r>
        <w:rPr>
          <w:rFonts w:eastAsia="楷体_GB2312" w:cs="楷体_GB2312"/>
          <w:spacing w:val="3"/>
        </w:rPr>
        <w:t>的要求，可以作为计算权利人实际损失的依据。</w:t>
      </w:r>
    </w:p>
    <w:p w:rsidR="00800760" w:rsidRDefault="00235733">
      <w:pPr>
        <w:pStyle w:val="2"/>
        <w:spacing w:before="91"/>
        <w:ind w:firstLineChars="0" w:firstLine="0"/>
        <w:rPr>
          <w:rFonts w:ascii="Times New Roman" w:hAnsi="Times New Roman"/>
        </w:rPr>
      </w:pPr>
      <w:bookmarkStart w:id="8931" w:name="_Toc13152"/>
      <w:bookmarkStart w:id="8932" w:name="_Toc7435"/>
      <w:bookmarkStart w:id="8933" w:name="_Toc12130"/>
      <w:bookmarkStart w:id="8934" w:name="_Toc17792"/>
      <w:bookmarkStart w:id="8935" w:name="_Toc13010"/>
      <w:bookmarkStart w:id="8936" w:name="_Toc32703"/>
      <w:bookmarkStart w:id="8937" w:name="_Toc23900"/>
      <w:bookmarkStart w:id="8938" w:name="_Toc13687"/>
      <w:bookmarkStart w:id="8939" w:name="_Toc11705"/>
      <w:bookmarkStart w:id="8940" w:name="_Toc21138"/>
      <w:bookmarkStart w:id="8941" w:name="_Toc19281"/>
      <w:bookmarkStart w:id="8942" w:name="_Toc9203"/>
      <w:bookmarkStart w:id="8943" w:name="_Toc17633"/>
      <w:bookmarkStart w:id="8944" w:name="_Toc2090"/>
      <w:bookmarkStart w:id="8945" w:name="_Toc30731"/>
      <w:bookmarkStart w:id="8946" w:name="_Toc25600"/>
      <w:bookmarkStart w:id="8947" w:name="_Toc24062"/>
      <w:bookmarkStart w:id="8948" w:name="_Toc17552"/>
      <w:bookmarkStart w:id="8949" w:name="_Toc7325"/>
      <w:bookmarkStart w:id="8950" w:name="_Toc10017"/>
      <w:bookmarkStart w:id="8951" w:name="_Toc20904"/>
      <w:bookmarkStart w:id="8952" w:name="_Toc25271"/>
      <w:bookmarkStart w:id="8953" w:name="_Toc15290"/>
      <w:bookmarkStart w:id="8954" w:name="_Toc4095"/>
      <w:bookmarkStart w:id="8955" w:name="_Toc29855"/>
      <w:bookmarkStart w:id="8956" w:name="_Toc14483"/>
      <w:bookmarkStart w:id="8957" w:name="_Toc17394"/>
      <w:bookmarkStart w:id="8958" w:name="_Toc17725"/>
      <w:bookmarkStart w:id="8959" w:name="_Toc14387"/>
      <w:bookmarkStart w:id="8960" w:name="_Toc27210"/>
      <w:bookmarkStart w:id="8961" w:name="_Toc2649"/>
      <w:bookmarkStart w:id="8962" w:name="_Toc13312"/>
      <w:bookmarkStart w:id="8963" w:name="_Toc11497"/>
      <w:bookmarkStart w:id="8964" w:name="_Toc16450"/>
      <w:bookmarkStart w:id="8965" w:name="_Toc6689"/>
      <w:bookmarkStart w:id="8966" w:name="_Toc776"/>
      <w:bookmarkStart w:id="8967" w:name="_Toc229114540"/>
      <w:bookmarkStart w:id="8968" w:name="_Toc10380"/>
      <w:bookmarkStart w:id="8969" w:name="_Toc17511"/>
      <w:bookmarkStart w:id="8970" w:name="_Toc8744"/>
      <w:bookmarkStart w:id="8971" w:name="_Toc7494"/>
      <w:bookmarkStart w:id="8972" w:name="_Toc31744"/>
      <w:bookmarkStart w:id="8973" w:name="_Toc8095"/>
      <w:bookmarkStart w:id="8974" w:name="_Toc229225636"/>
      <w:r>
        <w:rPr>
          <w:rFonts w:ascii="Times New Roman" w:hAnsi="Times New Roman"/>
        </w:rPr>
        <w:t>第二节</w:t>
      </w:r>
      <w:r>
        <w:rPr>
          <w:rFonts w:ascii="Times New Roman" w:hAnsi="Times New Roman" w:hint="eastAsia"/>
        </w:rPr>
        <w:t xml:space="preserve">　</w:t>
      </w:r>
      <w:r>
        <w:rPr>
          <w:rFonts w:ascii="Times New Roman" w:hAnsi="Times New Roman"/>
        </w:rPr>
        <w:t>侵权人获得的利益</w:t>
      </w:r>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p>
    <w:p w:rsidR="00800760" w:rsidRDefault="00235733">
      <w:pPr>
        <w:ind w:firstLine="436"/>
        <w:rPr>
          <w:rFonts w:cs="宋体"/>
        </w:rPr>
      </w:pPr>
      <w:r>
        <w:rPr>
          <w:rFonts w:cs="宋体"/>
          <w:spacing w:val="4"/>
        </w:rPr>
        <w:t>侵权人获得的利益是指侵权人因侵犯专利权</w:t>
      </w:r>
      <w:r>
        <w:rPr>
          <w:rFonts w:cs="宋体"/>
          <w:spacing w:val="3"/>
        </w:rPr>
        <w:t>人的专利权而直接获得的利益。该利</w:t>
      </w:r>
      <w:r>
        <w:rPr>
          <w:rFonts w:cs="宋体"/>
          <w:spacing w:val="-1"/>
        </w:rPr>
        <w:t>益应当限于侵权人因侵犯专利权行为所获得的利益，不包含因其他原因所产生</w:t>
      </w:r>
      <w:r>
        <w:rPr>
          <w:rFonts w:cs="宋体"/>
          <w:spacing w:val="-2"/>
        </w:rPr>
        <w:t>的利益。</w:t>
      </w:r>
    </w:p>
    <w:p w:rsidR="00800760" w:rsidRDefault="00235733">
      <w:pPr>
        <w:pStyle w:val="3"/>
        <w:spacing w:before="240"/>
        <w:ind w:firstLineChars="0" w:firstLine="444"/>
        <w:rPr>
          <w:rFonts w:ascii="Times New Roman" w:hAnsi="Times New Roman"/>
        </w:rPr>
      </w:pPr>
      <w:bookmarkStart w:id="8975" w:name="_Toc25136"/>
      <w:bookmarkStart w:id="8976" w:name="_Toc28615"/>
      <w:bookmarkStart w:id="8977" w:name="_Toc24585"/>
      <w:bookmarkStart w:id="8978" w:name="_Toc17948"/>
      <w:bookmarkStart w:id="8979" w:name="_Toc13161"/>
      <w:bookmarkStart w:id="8980" w:name="_Toc947"/>
      <w:bookmarkStart w:id="8981" w:name="_Toc13273"/>
      <w:bookmarkStart w:id="8982" w:name="_Toc8411"/>
      <w:bookmarkStart w:id="8983" w:name="_Toc21003"/>
      <w:bookmarkStart w:id="8984" w:name="_Toc31806"/>
      <w:bookmarkStart w:id="8985" w:name="_Toc28167"/>
      <w:bookmarkStart w:id="8986" w:name="_Toc4067"/>
      <w:bookmarkStart w:id="8987" w:name="_Toc23839"/>
      <w:bookmarkStart w:id="8988" w:name="_Toc6410"/>
      <w:bookmarkStart w:id="8989" w:name="_Toc19751"/>
      <w:bookmarkStart w:id="8990" w:name="_Toc24494"/>
      <w:bookmarkStart w:id="8991" w:name="_Toc16049"/>
      <w:bookmarkStart w:id="8992" w:name="_Toc6700"/>
      <w:bookmarkStart w:id="8993" w:name="_Toc14307"/>
      <w:bookmarkStart w:id="8994" w:name="_Toc24633"/>
      <w:bookmarkStart w:id="8995" w:name="_Toc22533"/>
      <w:bookmarkStart w:id="8996" w:name="_Toc23005"/>
      <w:bookmarkStart w:id="8997" w:name="_Toc2057"/>
      <w:bookmarkStart w:id="8998" w:name="_Toc31657"/>
      <w:bookmarkStart w:id="8999" w:name="_Toc21610"/>
      <w:bookmarkStart w:id="9000" w:name="_Toc802"/>
      <w:bookmarkStart w:id="9001" w:name="_Toc18647"/>
      <w:bookmarkStart w:id="9002" w:name="_Toc158"/>
      <w:bookmarkStart w:id="9003" w:name="_Toc18354"/>
      <w:bookmarkStart w:id="9004" w:name="_Toc27155"/>
      <w:bookmarkStart w:id="9005" w:name="_Toc6817"/>
      <w:bookmarkStart w:id="9006" w:name="_Toc22138"/>
      <w:bookmarkStart w:id="9007" w:name="_Toc2493"/>
      <w:bookmarkStart w:id="9008" w:name="_Toc20316"/>
      <w:bookmarkStart w:id="9009" w:name="_Toc12961"/>
      <w:bookmarkStart w:id="9010" w:name="_Toc5309"/>
      <w:bookmarkStart w:id="9011" w:name="_Toc492"/>
      <w:bookmarkStart w:id="9012" w:name="_Toc14643"/>
      <w:bookmarkStart w:id="9013" w:name="_Toc13095"/>
      <w:bookmarkStart w:id="9014" w:name="_Toc24776"/>
      <w:bookmarkStart w:id="9015" w:name="_Toc17308"/>
      <w:bookmarkStart w:id="9016" w:name="_Toc23548"/>
      <w:bookmarkStart w:id="9017" w:name="_Toc229114541"/>
      <w:bookmarkStart w:id="9018" w:name="_Toc229225637"/>
      <w:r>
        <w:rPr>
          <w:rFonts w:ascii="Times New Roman" w:hAnsi="Times New Roman" w:hint="eastAsia"/>
        </w:rPr>
        <w:t>一、侵权人获得的利益的计算</w:t>
      </w:r>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p>
    <w:p w:rsidR="00800760" w:rsidRDefault="00235733">
      <w:pPr>
        <w:ind w:firstLine="436"/>
        <w:jc w:val="both"/>
        <w:rPr>
          <w:rFonts w:cs="宋体"/>
          <w:spacing w:val="4"/>
        </w:rPr>
      </w:pPr>
      <w:r>
        <w:rPr>
          <w:rFonts w:cs="宋体" w:hint="eastAsia"/>
          <w:spacing w:val="4"/>
        </w:rPr>
        <w:t>侵权人获得的利益可以按照侵权产品在市场上销售的数量乘以每件侵权产品的合理利润所得之积计算，或者按照侵权产品的销售总额乘以该时间段的营业利润率计算。</w:t>
      </w:r>
    </w:p>
    <w:p w:rsidR="00800760" w:rsidRDefault="00235733">
      <w:pPr>
        <w:ind w:firstLine="436"/>
        <w:jc w:val="both"/>
        <w:rPr>
          <w:rFonts w:cs="宋体"/>
          <w:spacing w:val="4"/>
        </w:rPr>
      </w:pPr>
      <w:bookmarkStart w:id="9019" w:name="bookmark221"/>
      <w:bookmarkEnd w:id="9019"/>
      <w:r>
        <w:rPr>
          <w:rFonts w:cs="宋体" w:hint="eastAsia"/>
          <w:spacing w:val="4"/>
        </w:rPr>
        <w:t>每件侵权产品的合理利润是指被控侵权人销售全部侵权产品的平均利润，即销售收入减去生产、销售成本后除以销售数量。每件侵权产品的合理利润可以按照侵权人的平均营业利润计算；对于完全以侵权产品为主业的侵权人，可以按照平均销售利润计算。平均营业利润是指营业收入减去营业成本的差额除以销售量，营业成本一般包括管理费、广告费、租金等。平均销售利润是指销售收入减去销售成本的差额除以销售量。</w:t>
      </w:r>
    </w:p>
    <w:p w:rsidR="00800760" w:rsidRDefault="00235733">
      <w:pPr>
        <w:ind w:firstLine="436"/>
        <w:jc w:val="both"/>
        <w:rPr>
          <w:rFonts w:cs="宋体"/>
          <w:spacing w:val="4"/>
        </w:rPr>
      </w:pPr>
      <w:r>
        <w:rPr>
          <w:rFonts w:cs="宋体" w:hint="eastAsia"/>
          <w:spacing w:val="4"/>
        </w:rPr>
        <w:t>营业利润率是指营业利润除以营业收入。营业利润率难以确定的，可以按照该行业或领域通常的利润率计算。</w:t>
      </w:r>
    </w:p>
    <w:p w:rsidR="00800760" w:rsidRDefault="00235733">
      <w:pPr>
        <w:ind w:firstLine="436"/>
        <w:jc w:val="both"/>
      </w:pPr>
      <w:r>
        <w:rPr>
          <w:rFonts w:cs="宋体" w:hint="eastAsia"/>
          <w:spacing w:val="4"/>
        </w:rPr>
        <w:t>上述利润、成本、费用、销售数量等可以根据审计报告、咨询报告或者发票等予以确定，也可参照侵权人订货合同中载明的进货成本以及销售合同中载明的销售价格或者通过进货单、报价单等证据予以确定。</w:t>
      </w:r>
    </w:p>
    <w:p w:rsidR="00800760" w:rsidRDefault="00235733">
      <w:pPr>
        <w:pStyle w:val="af6"/>
        <w:spacing w:before="120"/>
        <w:ind w:firstLineChars="0" w:firstLine="420"/>
        <w:rPr>
          <w:rFonts w:ascii="Times New Roman" w:hAnsi="Times New Roman"/>
        </w:rPr>
      </w:pPr>
      <w:r>
        <w:rPr>
          <w:rFonts w:ascii="Times New Roman" w:hAnsi="Times New Roman"/>
        </w:rPr>
        <w:t>【案例</w:t>
      </w:r>
      <w:r>
        <w:rPr>
          <w:rFonts w:ascii="Times New Roman" w:hAnsi="Times New Roman" w:hint="eastAsia"/>
        </w:rPr>
        <w:t>8</w:t>
      </w:r>
      <w:r>
        <w:rPr>
          <w:rFonts w:ascii="Times New Roman" w:hAnsi="Times New Roman"/>
        </w:rPr>
        <w:t>-2-1</w:t>
      </w:r>
      <w:r>
        <w:rPr>
          <w:rFonts w:ascii="Times New Roman" w:hAnsi="Times New Roman"/>
        </w:rPr>
        <w:t>】</w:t>
      </w:r>
    </w:p>
    <w:p w:rsidR="00800760" w:rsidRDefault="00235733">
      <w:pPr>
        <w:ind w:firstLine="432"/>
        <w:jc w:val="both"/>
        <w:rPr>
          <w:rFonts w:eastAsia="楷体_GB2312" w:cs="楷体_GB2312"/>
          <w:spacing w:val="3"/>
        </w:rPr>
      </w:pPr>
      <w:r>
        <w:rPr>
          <w:rFonts w:eastAsia="楷体_GB2312" w:cs="楷体_GB2312"/>
          <w:spacing w:val="3"/>
        </w:rPr>
        <w:t>A</w:t>
      </w:r>
      <w:r>
        <w:rPr>
          <w:rFonts w:eastAsia="楷体_GB2312" w:cs="楷体_GB2312" w:hint="eastAsia"/>
          <w:spacing w:val="3"/>
        </w:rPr>
        <w:t>公司生产的汽车后保险杠产品涉嫌侵犯</w:t>
      </w:r>
      <w:r>
        <w:rPr>
          <w:rFonts w:eastAsia="楷体_GB2312" w:cs="楷体_GB2312"/>
          <w:spacing w:val="3"/>
        </w:rPr>
        <w:t>B</w:t>
      </w:r>
      <w:r>
        <w:rPr>
          <w:rFonts w:eastAsia="楷体_GB2312" w:cs="楷体_GB2312"/>
          <w:spacing w:val="3"/>
        </w:rPr>
        <w:t>公司的</w:t>
      </w:r>
      <w:r>
        <w:rPr>
          <w:rFonts w:eastAsia="楷体_GB2312" w:cs="楷体_GB2312"/>
          <w:spacing w:val="3"/>
        </w:rPr>
        <w:t>“</w:t>
      </w:r>
      <w:r>
        <w:rPr>
          <w:rFonts w:eastAsia="楷体_GB2312" w:cs="楷体_GB2312"/>
          <w:spacing w:val="3"/>
        </w:rPr>
        <w:t>汽车保险杠</w:t>
      </w:r>
      <w:r>
        <w:rPr>
          <w:rFonts w:eastAsia="楷体_GB2312" w:cs="楷体_GB2312"/>
          <w:spacing w:val="3"/>
        </w:rPr>
        <w:t>”</w:t>
      </w:r>
      <w:r>
        <w:rPr>
          <w:rFonts w:eastAsia="楷体_GB2312" w:cs="楷体_GB2312"/>
          <w:spacing w:val="3"/>
        </w:rPr>
        <w:t>外观设计专利。被控侵权的后保险杠产品是安装于涉案汽车上的零部件。涉案汽车的整车制造者</w:t>
      </w:r>
      <w:r>
        <w:rPr>
          <w:rFonts w:eastAsia="楷体_GB2312" w:cs="楷体_GB2312"/>
          <w:spacing w:val="3"/>
        </w:rPr>
        <w:t>A</w:t>
      </w:r>
      <w:r>
        <w:rPr>
          <w:rFonts w:eastAsia="楷体_GB2312" w:cs="楷体_GB2312"/>
          <w:spacing w:val="3"/>
        </w:rPr>
        <w:t>公司设计确定了被控侵权产品的外观，且该产品是由</w:t>
      </w:r>
      <w:r>
        <w:rPr>
          <w:rFonts w:eastAsia="楷体_GB2312" w:cs="楷体_GB2312"/>
          <w:spacing w:val="3"/>
        </w:rPr>
        <w:t>A</w:t>
      </w:r>
      <w:r>
        <w:rPr>
          <w:rFonts w:eastAsia="楷体_GB2312" w:cs="楷体_GB2312"/>
          <w:spacing w:val="3"/>
        </w:rPr>
        <w:t>公司委托他人定制，专门用于组装涉案汽车。</w:t>
      </w:r>
      <w:r>
        <w:rPr>
          <w:rFonts w:eastAsia="楷体_GB2312" w:cs="楷体_GB2312"/>
          <w:spacing w:val="3"/>
        </w:rPr>
        <w:t>A</w:t>
      </w:r>
      <w:r>
        <w:rPr>
          <w:rFonts w:eastAsia="楷体_GB2312" w:cs="楷体_GB2312"/>
          <w:spacing w:val="3"/>
        </w:rPr>
        <w:t>公司将安装有被控侵权产品的涉案汽车以整车的形式进行销售，构成对被控侵权产品的销售。</w:t>
      </w:r>
    </w:p>
    <w:p w:rsidR="00800760" w:rsidRDefault="00235733">
      <w:pPr>
        <w:ind w:firstLine="432"/>
        <w:jc w:val="both"/>
        <w:rPr>
          <w:rFonts w:eastAsia="楷体_GB2312" w:cs="楷体_GB2312"/>
          <w:spacing w:val="3"/>
        </w:rPr>
      </w:pPr>
      <w:r>
        <w:rPr>
          <w:rFonts w:eastAsia="楷体_GB2312" w:cs="楷体_GB2312"/>
          <w:spacing w:val="3"/>
        </w:rPr>
        <w:t>在举证过程中，</w:t>
      </w:r>
      <w:r>
        <w:rPr>
          <w:rFonts w:eastAsia="楷体_GB2312" w:cs="楷体_GB2312"/>
          <w:spacing w:val="3"/>
        </w:rPr>
        <w:t>A</w:t>
      </w:r>
      <w:r>
        <w:rPr>
          <w:rFonts w:eastAsia="楷体_GB2312" w:cs="楷体_GB2312"/>
          <w:spacing w:val="3"/>
        </w:rPr>
        <w:t>公司提交了一份由某会计师事务所出具的《审计报告》及一份由某资产评估事务所作出的《</w:t>
      </w:r>
      <w:r>
        <w:rPr>
          <w:rFonts w:eastAsia="楷体_GB2312" w:cs="楷体_GB2312"/>
          <w:spacing w:val="3"/>
        </w:rPr>
        <w:t>A</w:t>
      </w:r>
      <w:r>
        <w:rPr>
          <w:rFonts w:eastAsia="楷体_GB2312" w:cs="楷体_GB2312"/>
          <w:spacing w:val="3"/>
        </w:rPr>
        <w:t>公司因专利侵权纠纷造成利润损失评估咨询报告书》</w:t>
      </w:r>
      <w:r>
        <w:rPr>
          <w:rFonts w:eastAsia="楷体_GB2312" w:cs="楷体_GB2312"/>
          <w:spacing w:val="3"/>
        </w:rPr>
        <w:t>(</w:t>
      </w:r>
      <w:r>
        <w:rPr>
          <w:rFonts w:eastAsia="楷体_GB2312" w:cs="楷体_GB2312"/>
          <w:spacing w:val="3"/>
        </w:rPr>
        <w:t>以下简称《咨询报告书》</w:t>
      </w:r>
      <w:r>
        <w:rPr>
          <w:rFonts w:eastAsia="楷体_GB2312" w:cs="楷体_GB2312"/>
          <w:spacing w:val="3"/>
        </w:rPr>
        <w:t>)</w:t>
      </w:r>
      <w:r>
        <w:rPr>
          <w:rFonts w:eastAsia="楷体_GB2312" w:cs="楷体_GB2312"/>
          <w:spacing w:val="3"/>
        </w:rPr>
        <w:t>。《审计报告》中载明</w:t>
      </w:r>
      <w:r>
        <w:rPr>
          <w:rFonts w:eastAsia="楷体_GB2312" w:cs="楷体_GB2312"/>
          <w:spacing w:val="3"/>
        </w:rPr>
        <w:t>A</w:t>
      </w:r>
      <w:r>
        <w:rPr>
          <w:rFonts w:eastAsia="楷体_GB2312" w:cs="楷体_GB2312"/>
          <w:spacing w:val="3"/>
        </w:rPr>
        <w:t>公司制造的某车自</w:t>
      </w:r>
      <w:r>
        <w:rPr>
          <w:rFonts w:eastAsia="楷体_GB2312" w:cs="楷体_GB2312"/>
          <w:spacing w:val="3"/>
        </w:rPr>
        <w:t>2003</w:t>
      </w:r>
      <w:r>
        <w:rPr>
          <w:rFonts w:eastAsia="楷体_GB2312" w:cs="楷体_GB2312"/>
          <w:spacing w:val="3"/>
        </w:rPr>
        <w:t>年</w:t>
      </w:r>
      <w:r>
        <w:rPr>
          <w:rFonts w:eastAsia="楷体_GB2312" w:cs="楷体_GB2312"/>
          <w:spacing w:val="3"/>
        </w:rPr>
        <w:t>10</w:t>
      </w:r>
      <w:r>
        <w:rPr>
          <w:rFonts w:eastAsia="楷体_GB2312" w:cs="楷体_GB2312"/>
          <w:spacing w:val="3"/>
        </w:rPr>
        <w:t>月至</w:t>
      </w:r>
      <w:r>
        <w:rPr>
          <w:rFonts w:eastAsia="楷体_GB2312" w:cs="楷体_GB2312"/>
          <w:spacing w:val="3"/>
        </w:rPr>
        <w:t>2007</w:t>
      </w:r>
      <w:r>
        <w:rPr>
          <w:rFonts w:eastAsia="楷体_GB2312" w:cs="楷体_GB2312"/>
          <w:spacing w:val="3"/>
        </w:rPr>
        <w:t>年</w:t>
      </w:r>
      <w:r>
        <w:rPr>
          <w:rFonts w:eastAsia="楷体_GB2312" w:cs="楷体_GB2312"/>
          <w:spacing w:val="3"/>
        </w:rPr>
        <w:t>3</w:t>
      </w:r>
      <w:r>
        <w:rPr>
          <w:rFonts w:eastAsia="楷体_GB2312" w:cs="楷体_GB2312"/>
          <w:spacing w:val="3"/>
        </w:rPr>
        <w:t>月共销售了</w:t>
      </w:r>
      <w:r>
        <w:rPr>
          <w:rFonts w:eastAsia="楷体_GB2312" w:cs="楷体_GB2312"/>
          <w:spacing w:val="3"/>
        </w:rPr>
        <w:t>16442</w:t>
      </w:r>
      <w:r>
        <w:rPr>
          <w:rFonts w:eastAsia="楷体_GB2312" w:cs="楷体_GB2312"/>
          <w:spacing w:val="3"/>
        </w:rPr>
        <w:t>辆。《咨询报告书》中载明了</w:t>
      </w:r>
      <w:r>
        <w:rPr>
          <w:rFonts w:eastAsia="楷体_GB2312" w:cs="楷体_GB2312"/>
          <w:spacing w:val="3"/>
        </w:rPr>
        <w:t>2004</w:t>
      </w:r>
      <w:r>
        <w:rPr>
          <w:rFonts w:eastAsia="楷体_GB2312" w:cs="楷体_GB2312"/>
          <w:spacing w:val="3"/>
        </w:rPr>
        <w:t>年</w:t>
      </w:r>
      <w:r>
        <w:rPr>
          <w:rFonts w:eastAsia="楷体_GB2312" w:cs="楷体_GB2312"/>
          <w:spacing w:val="3"/>
        </w:rPr>
        <w:t>2</w:t>
      </w:r>
      <w:r>
        <w:rPr>
          <w:rFonts w:eastAsia="楷体_GB2312" w:cs="楷体_GB2312"/>
          <w:spacing w:val="3"/>
        </w:rPr>
        <w:t>月至</w:t>
      </w:r>
      <w:r>
        <w:rPr>
          <w:rFonts w:eastAsia="楷体_GB2312" w:cs="楷体_GB2312"/>
          <w:spacing w:val="3"/>
        </w:rPr>
        <w:t>5</w:t>
      </w:r>
      <w:r>
        <w:rPr>
          <w:rFonts w:eastAsia="楷体_GB2312" w:cs="楷体_GB2312"/>
          <w:spacing w:val="3"/>
        </w:rPr>
        <w:t>月</w:t>
      </w:r>
      <w:r>
        <w:rPr>
          <w:rFonts w:eastAsia="楷体_GB2312" w:cs="楷体_GB2312"/>
          <w:spacing w:val="3"/>
        </w:rPr>
        <w:t>A</w:t>
      </w:r>
      <w:r>
        <w:rPr>
          <w:rFonts w:eastAsia="楷体_GB2312" w:cs="楷体_GB2312"/>
          <w:spacing w:val="3"/>
        </w:rPr>
        <w:t>公司汽车损益情况表，以</w:t>
      </w:r>
      <w:r>
        <w:rPr>
          <w:rFonts w:eastAsia="楷体_GB2312" w:cs="楷体_GB2312"/>
          <w:spacing w:val="3"/>
        </w:rPr>
        <w:t>2004</w:t>
      </w:r>
      <w:r>
        <w:rPr>
          <w:rFonts w:eastAsia="楷体_GB2312" w:cs="楷体_GB2312"/>
          <w:spacing w:val="3"/>
        </w:rPr>
        <w:t>年</w:t>
      </w:r>
      <w:r>
        <w:rPr>
          <w:rFonts w:eastAsia="楷体_GB2312" w:cs="楷体_GB2312"/>
          <w:spacing w:val="3"/>
        </w:rPr>
        <w:t>2</w:t>
      </w:r>
      <w:r>
        <w:rPr>
          <w:rFonts w:eastAsia="楷体_GB2312" w:cs="楷体_GB2312"/>
          <w:spacing w:val="3"/>
        </w:rPr>
        <w:t>月为例，其销量为</w:t>
      </w:r>
      <w:r>
        <w:rPr>
          <w:rFonts w:eastAsia="楷体_GB2312" w:cs="楷体_GB2312"/>
          <w:spacing w:val="3"/>
        </w:rPr>
        <w:t>1218</w:t>
      </w:r>
      <w:r>
        <w:rPr>
          <w:rFonts w:eastAsia="楷体_GB2312" w:cs="楷体_GB2312"/>
          <w:spacing w:val="3"/>
        </w:rPr>
        <w:t>辆，销售收入</w:t>
      </w:r>
      <w:r>
        <w:rPr>
          <w:rFonts w:eastAsia="楷体_GB2312" w:cs="楷体_GB2312"/>
          <w:spacing w:val="3"/>
        </w:rPr>
        <w:t>9743</w:t>
      </w:r>
      <w:r>
        <w:rPr>
          <w:rFonts w:eastAsia="楷体_GB2312" w:cs="楷体_GB2312"/>
          <w:spacing w:val="3"/>
        </w:rPr>
        <w:t>万元，销售成本为</w:t>
      </w:r>
      <w:r>
        <w:rPr>
          <w:rFonts w:eastAsia="楷体_GB2312" w:cs="楷体_GB2312"/>
          <w:spacing w:val="3"/>
        </w:rPr>
        <w:t>7045</w:t>
      </w:r>
      <w:r>
        <w:rPr>
          <w:rFonts w:eastAsia="楷体_GB2312" w:cs="楷体_GB2312"/>
          <w:spacing w:val="3"/>
        </w:rPr>
        <w:t>万元，最终每辆车的利润损失为</w:t>
      </w:r>
      <w:r>
        <w:rPr>
          <w:rFonts w:eastAsia="楷体_GB2312" w:cs="楷体_GB2312"/>
          <w:spacing w:val="3"/>
        </w:rPr>
        <w:t>2.21</w:t>
      </w:r>
      <w:r>
        <w:rPr>
          <w:rFonts w:eastAsia="楷体_GB2312" w:cs="楷体_GB2312"/>
          <w:spacing w:val="3"/>
        </w:rPr>
        <w:t>万元。</w:t>
      </w:r>
    </w:p>
    <w:p w:rsidR="00800760" w:rsidRDefault="00235733">
      <w:pPr>
        <w:ind w:firstLine="432"/>
        <w:jc w:val="both"/>
        <w:rPr>
          <w:rFonts w:eastAsia="楷体" w:cs="楷体"/>
        </w:rPr>
      </w:pPr>
      <w:r>
        <w:rPr>
          <w:rFonts w:eastAsia="楷体_GB2312" w:cs="楷体_GB2312" w:hint="eastAsia"/>
          <w:spacing w:val="3"/>
        </w:rPr>
        <w:t>处理</w:t>
      </w:r>
      <w:r>
        <w:rPr>
          <w:rFonts w:eastAsia="楷体_GB2312" w:cs="楷体_GB2312"/>
          <w:spacing w:val="3"/>
        </w:rPr>
        <w:t>部门认为，根据</w:t>
      </w:r>
      <w:r>
        <w:rPr>
          <w:rFonts w:eastAsia="楷体_GB2312" w:cs="楷体_GB2312"/>
          <w:spacing w:val="3"/>
        </w:rPr>
        <w:t>A</w:t>
      </w:r>
      <w:r>
        <w:rPr>
          <w:rFonts w:eastAsia="楷体_GB2312" w:cs="楷体_GB2312"/>
          <w:spacing w:val="3"/>
        </w:rPr>
        <w:t>公司提交的《审计报告》及《咨询报告书》</w:t>
      </w:r>
      <w:r>
        <w:rPr>
          <w:rFonts w:eastAsia="楷体_GB2312" w:cs="楷体_GB2312" w:hint="eastAsia"/>
          <w:spacing w:val="3"/>
        </w:rPr>
        <w:t>，</w:t>
      </w:r>
      <w:r>
        <w:rPr>
          <w:rFonts w:eastAsia="楷体_GB2312" w:cs="楷体_GB2312"/>
          <w:spacing w:val="3"/>
        </w:rPr>
        <w:t>可以确定每辆车的销售成本、整车利润及销售数量；同时，根据</w:t>
      </w:r>
      <w:r>
        <w:rPr>
          <w:rFonts w:eastAsia="楷体_GB2312" w:cs="楷体_GB2312"/>
          <w:spacing w:val="3"/>
        </w:rPr>
        <w:t>A</w:t>
      </w:r>
      <w:r>
        <w:rPr>
          <w:rFonts w:eastAsia="楷体_GB2312" w:cs="楷体_GB2312"/>
          <w:spacing w:val="3"/>
        </w:rPr>
        <w:t>公司提交的由第三人</w:t>
      </w:r>
      <w:r>
        <w:rPr>
          <w:rFonts w:eastAsia="楷体_GB2312" w:cs="楷体_GB2312"/>
          <w:spacing w:val="3"/>
        </w:rPr>
        <w:t>C</w:t>
      </w:r>
      <w:r>
        <w:rPr>
          <w:rFonts w:eastAsia="楷体_GB2312" w:cs="楷体_GB2312"/>
          <w:spacing w:val="3"/>
        </w:rPr>
        <w:t>公司向</w:t>
      </w:r>
      <w:r>
        <w:rPr>
          <w:rFonts w:eastAsia="楷体_GB2312" w:cs="楷体_GB2312"/>
          <w:spacing w:val="3"/>
        </w:rPr>
        <w:t>A</w:t>
      </w:r>
      <w:r>
        <w:rPr>
          <w:rFonts w:eastAsia="楷体_GB2312" w:cs="楷体_GB2312"/>
          <w:spacing w:val="3"/>
        </w:rPr>
        <w:t>公司开具的发票，后保险杠单价为</w:t>
      </w:r>
      <w:r>
        <w:rPr>
          <w:rFonts w:eastAsia="楷体_GB2312" w:cs="楷体_GB2312"/>
          <w:spacing w:val="3"/>
        </w:rPr>
        <w:t>286.32</w:t>
      </w:r>
      <w:r>
        <w:rPr>
          <w:rFonts w:eastAsia="楷体_GB2312" w:cs="楷体_GB2312"/>
          <w:spacing w:val="3"/>
        </w:rPr>
        <w:t>元，由此可以确定该产品在整车中所占比重。据此，确定</w:t>
      </w:r>
      <w:r>
        <w:rPr>
          <w:rFonts w:eastAsia="楷体_GB2312" w:cs="楷体_GB2312"/>
          <w:spacing w:val="3"/>
        </w:rPr>
        <w:t>A</w:t>
      </w:r>
      <w:r>
        <w:rPr>
          <w:rFonts w:eastAsia="楷体_GB2312" w:cs="楷体_GB2312"/>
          <w:spacing w:val="3"/>
        </w:rPr>
        <w:t>公司制造销售侵权产品所获得的利润为</w:t>
      </w:r>
      <w:r>
        <w:rPr>
          <w:rFonts w:eastAsia="楷体_GB2312" w:cs="楷体_GB2312"/>
          <w:spacing w:val="3"/>
        </w:rPr>
        <w:t>172</w:t>
      </w:r>
      <w:r>
        <w:rPr>
          <w:rFonts w:eastAsia="楷体_GB2312" w:cs="楷体_GB2312"/>
          <w:spacing w:val="3"/>
        </w:rPr>
        <w:t>万元。</w:t>
      </w:r>
    </w:p>
    <w:p w:rsidR="00800760" w:rsidRDefault="00235733">
      <w:pPr>
        <w:pStyle w:val="af6"/>
        <w:spacing w:before="120"/>
        <w:ind w:firstLineChars="0" w:firstLine="420"/>
        <w:rPr>
          <w:rFonts w:ascii="Times New Roman" w:hAnsi="Times New Roman"/>
        </w:rPr>
      </w:pPr>
      <w:r>
        <w:rPr>
          <w:rFonts w:ascii="Times New Roman" w:hAnsi="Times New Roman"/>
        </w:rPr>
        <w:t>【案例</w:t>
      </w:r>
      <w:r>
        <w:rPr>
          <w:rFonts w:ascii="Times New Roman" w:hAnsi="Times New Roman" w:hint="eastAsia"/>
        </w:rPr>
        <w:t>8</w:t>
      </w:r>
      <w:r>
        <w:rPr>
          <w:rFonts w:ascii="Times New Roman" w:hAnsi="Times New Roman"/>
        </w:rPr>
        <w:t>-2-2</w:t>
      </w:r>
      <w:r>
        <w:rPr>
          <w:rFonts w:ascii="Times New Roman" w:hAnsi="Times New Roman"/>
        </w:rPr>
        <w:t>】</w:t>
      </w:r>
    </w:p>
    <w:p w:rsidR="00800760" w:rsidRDefault="00235733">
      <w:pPr>
        <w:ind w:firstLine="432"/>
        <w:jc w:val="both"/>
        <w:rPr>
          <w:rFonts w:eastAsia="楷体_GB2312" w:cs="楷体_GB2312"/>
          <w:spacing w:val="3"/>
        </w:rPr>
      </w:pPr>
      <w:r>
        <w:rPr>
          <w:rFonts w:eastAsia="楷体_GB2312" w:cs="楷体_GB2312"/>
          <w:spacing w:val="3"/>
        </w:rPr>
        <w:t>某进出口贸易有限公司和某地毯有限公司</w:t>
      </w:r>
      <w:r>
        <w:rPr>
          <w:rFonts w:eastAsia="楷体_GB2312" w:cs="楷体_GB2312"/>
          <w:spacing w:val="3"/>
        </w:rPr>
        <w:t>(</w:t>
      </w:r>
      <w:r>
        <w:rPr>
          <w:rFonts w:eastAsia="楷体_GB2312" w:cs="楷体_GB2312"/>
          <w:spacing w:val="3"/>
        </w:rPr>
        <w:t>以下简称</w:t>
      </w:r>
      <w:r>
        <w:rPr>
          <w:rFonts w:eastAsia="楷体_GB2312" w:cs="楷体_GB2312"/>
          <w:spacing w:val="3"/>
        </w:rPr>
        <w:t>“</w:t>
      </w:r>
      <w:r>
        <w:rPr>
          <w:rFonts w:eastAsia="楷体_GB2312" w:cs="楷体_GB2312"/>
          <w:spacing w:val="3"/>
        </w:rPr>
        <w:t>被请求人</w:t>
      </w:r>
      <w:r>
        <w:rPr>
          <w:rFonts w:eastAsia="楷体_GB2312" w:cs="楷体_GB2312"/>
          <w:spacing w:val="3"/>
        </w:rPr>
        <w:t>”)</w:t>
      </w:r>
      <w:r>
        <w:rPr>
          <w:rFonts w:eastAsia="楷体_GB2312" w:cs="楷体_GB2312"/>
          <w:spacing w:val="3"/>
        </w:rPr>
        <w:t>涉嫌侵犯</w:t>
      </w:r>
      <w:r>
        <w:rPr>
          <w:rFonts w:eastAsia="楷体_GB2312" w:cs="楷体_GB2312" w:hint="eastAsia"/>
          <w:spacing w:val="3"/>
        </w:rPr>
        <w:t>甲</w:t>
      </w:r>
      <w:r>
        <w:rPr>
          <w:rFonts w:eastAsia="楷体_GB2312" w:cs="楷体_GB2312"/>
          <w:spacing w:val="3"/>
        </w:rPr>
        <w:t>的外观设计专利权。经查证，被请求人为履行出口合同生产并销售出口侵权产品，</w:t>
      </w:r>
      <w:bookmarkStart w:id="9020" w:name="bookmark222"/>
      <w:bookmarkEnd w:id="9020"/>
      <w:r>
        <w:rPr>
          <w:rFonts w:eastAsia="楷体_GB2312" w:cs="楷体_GB2312"/>
          <w:spacing w:val="3"/>
        </w:rPr>
        <w:t>挤占了</w:t>
      </w:r>
      <w:r>
        <w:rPr>
          <w:rFonts w:eastAsia="楷体_GB2312" w:cs="楷体_GB2312" w:hint="eastAsia"/>
          <w:spacing w:val="3"/>
        </w:rPr>
        <w:t>甲</w:t>
      </w:r>
      <w:r>
        <w:rPr>
          <w:rFonts w:eastAsia="楷体_GB2312" w:cs="楷体_GB2312"/>
          <w:spacing w:val="3"/>
        </w:rPr>
        <w:t>本应享有的市场份额，应就其给</w:t>
      </w:r>
      <w:r>
        <w:rPr>
          <w:rFonts w:eastAsia="楷体_GB2312" w:cs="楷体_GB2312" w:hint="eastAsia"/>
          <w:spacing w:val="3"/>
        </w:rPr>
        <w:t>甲</w:t>
      </w:r>
      <w:r>
        <w:rPr>
          <w:rFonts w:eastAsia="楷体_GB2312" w:cs="楷体_GB2312"/>
          <w:spacing w:val="3"/>
        </w:rPr>
        <w:t>造成的实际损失承担相应的赔偿责任。</w:t>
      </w:r>
    </w:p>
    <w:p w:rsidR="00800760" w:rsidRDefault="00235733">
      <w:pPr>
        <w:ind w:firstLine="432"/>
        <w:jc w:val="both"/>
        <w:rPr>
          <w:rFonts w:eastAsia="楷体_GB2312" w:cs="楷体_GB2312"/>
          <w:spacing w:val="3"/>
        </w:rPr>
      </w:pPr>
      <w:r>
        <w:rPr>
          <w:rFonts w:eastAsia="楷体_GB2312" w:cs="楷体_GB2312" w:hint="eastAsia"/>
          <w:spacing w:val="3"/>
        </w:rPr>
        <w:t>处理</w:t>
      </w:r>
      <w:r>
        <w:rPr>
          <w:rFonts w:eastAsia="楷体_GB2312" w:cs="楷体_GB2312"/>
          <w:spacing w:val="3"/>
        </w:rPr>
        <w:t>部门认为，根据已被海关扣押的侵权产品共计</w:t>
      </w:r>
      <w:r>
        <w:rPr>
          <w:rFonts w:eastAsia="楷体_GB2312" w:cs="楷体_GB2312"/>
          <w:spacing w:val="3"/>
        </w:rPr>
        <w:t>6930</w:t>
      </w:r>
      <w:r>
        <w:rPr>
          <w:rFonts w:eastAsia="楷体_GB2312" w:cs="楷体_GB2312"/>
          <w:spacing w:val="3"/>
        </w:rPr>
        <w:t>个、价款约</w:t>
      </w:r>
      <w:r>
        <w:rPr>
          <w:rFonts w:eastAsia="楷体_GB2312" w:cs="楷体_GB2312"/>
          <w:spacing w:val="3"/>
        </w:rPr>
        <w:t>11</w:t>
      </w:r>
      <w:r>
        <w:rPr>
          <w:rFonts w:eastAsia="楷体_GB2312" w:cs="楷体_GB2312"/>
          <w:spacing w:val="3"/>
        </w:rPr>
        <w:t>万美元可知，每件侵权产品的价格约为</w:t>
      </w:r>
      <w:r>
        <w:rPr>
          <w:rFonts w:eastAsia="楷体_GB2312" w:cs="楷体_GB2312"/>
          <w:spacing w:val="3"/>
        </w:rPr>
        <w:t>19</w:t>
      </w:r>
      <w:r>
        <w:rPr>
          <w:rFonts w:eastAsia="楷体_GB2312" w:cs="楷体_GB2312"/>
          <w:spacing w:val="3"/>
        </w:rPr>
        <w:t>美元，约合</w:t>
      </w:r>
      <w:r>
        <w:rPr>
          <w:rFonts w:eastAsia="楷体_GB2312" w:cs="楷体_GB2312"/>
          <w:spacing w:val="3"/>
        </w:rPr>
        <w:t>132</w:t>
      </w:r>
      <w:r>
        <w:rPr>
          <w:rFonts w:eastAsia="楷体_GB2312" w:cs="楷体_GB2312"/>
          <w:spacing w:val="3"/>
        </w:rPr>
        <w:t>元人民币。扣除</w:t>
      </w:r>
      <w:r>
        <w:rPr>
          <w:rFonts w:eastAsia="楷体_GB2312" w:cs="楷体_GB2312" w:hint="eastAsia"/>
          <w:spacing w:val="3"/>
        </w:rPr>
        <w:t>甲</w:t>
      </w:r>
      <w:r>
        <w:rPr>
          <w:rFonts w:eastAsia="楷体_GB2312" w:cs="楷体_GB2312"/>
          <w:spacing w:val="3"/>
        </w:rPr>
        <w:t>提交的经审计的成本</w:t>
      </w:r>
      <w:r>
        <w:rPr>
          <w:rFonts w:eastAsia="楷体_GB2312" w:cs="楷体_GB2312"/>
          <w:spacing w:val="3"/>
        </w:rPr>
        <w:t>78</w:t>
      </w:r>
      <w:r>
        <w:rPr>
          <w:rFonts w:eastAsia="楷体_GB2312" w:cs="楷体_GB2312"/>
          <w:spacing w:val="3"/>
        </w:rPr>
        <w:t>元人民币左右，每件侵权产品的利润约为</w:t>
      </w:r>
      <w:r>
        <w:rPr>
          <w:rFonts w:eastAsia="楷体_GB2312" w:cs="楷体_GB2312"/>
          <w:spacing w:val="3"/>
        </w:rPr>
        <w:t>54</w:t>
      </w:r>
      <w:r>
        <w:rPr>
          <w:rFonts w:eastAsia="楷体_GB2312" w:cs="楷体_GB2312"/>
          <w:spacing w:val="3"/>
        </w:rPr>
        <w:t>元人民币，利润率为</w:t>
      </w:r>
      <w:r>
        <w:rPr>
          <w:rFonts w:eastAsia="楷体_GB2312" w:cs="楷体_GB2312"/>
          <w:spacing w:val="3"/>
        </w:rPr>
        <w:t>41%</w:t>
      </w:r>
      <w:r>
        <w:rPr>
          <w:rFonts w:eastAsia="楷体_GB2312" w:cs="楷体_GB2312"/>
          <w:spacing w:val="3"/>
        </w:rPr>
        <w:t>。另外，双方均认可被请求人实际已出口的侵权产品为</w:t>
      </w:r>
      <w:r>
        <w:rPr>
          <w:rFonts w:eastAsia="楷体_GB2312" w:cs="楷体_GB2312"/>
          <w:spacing w:val="3"/>
        </w:rPr>
        <w:t>36</w:t>
      </w:r>
      <w:r>
        <w:rPr>
          <w:rFonts w:eastAsia="楷体_GB2312" w:cs="楷体_GB2312"/>
          <w:spacing w:val="3"/>
        </w:rPr>
        <w:t>万美元左右。据此确定被请求人因侵权所获得的利润应为</w:t>
      </w:r>
      <w:r>
        <w:rPr>
          <w:rFonts w:eastAsia="楷体_GB2312" w:cs="楷体_GB2312"/>
          <w:spacing w:val="3"/>
        </w:rPr>
        <w:t>122</w:t>
      </w:r>
      <w:r>
        <w:rPr>
          <w:rFonts w:eastAsia="楷体_GB2312" w:cs="楷体_GB2312"/>
          <w:spacing w:val="3"/>
        </w:rPr>
        <w:t>万元人民币左右。</w:t>
      </w:r>
    </w:p>
    <w:p w:rsidR="00800760" w:rsidRDefault="00235733">
      <w:pPr>
        <w:pStyle w:val="af6"/>
        <w:spacing w:before="120"/>
        <w:ind w:firstLineChars="0" w:firstLine="420"/>
        <w:rPr>
          <w:rFonts w:ascii="Times New Roman" w:hAnsi="Times New Roman"/>
        </w:rPr>
      </w:pPr>
      <w:r>
        <w:rPr>
          <w:rFonts w:ascii="Times New Roman" w:hAnsi="Times New Roman"/>
        </w:rPr>
        <w:t>【案例</w:t>
      </w:r>
      <w:r>
        <w:rPr>
          <w:rFonts w:ascii="Times New Roman" w:hAnsi="Times New Roman" w:hint="eastAsia"/>
        </w:rPr>
        <w:t>8</w:t>
      </w:r>
      <w:r>
        <w:rPr>
          <w:rFonts w:ascii="Times New Roman" w:hAnsi="Times New Roman"/>
        </w:rPr>
        <w:t>-2-3</w:t>
      </w:r>
      <w:r>
        <w:rPr>
          <w:rFonts w:ascii="Times New Roman" w:hAnsi="Times New Roman"/>
        </w:rPr>
        <w:t>】</w:t>
      </w:r>
    </w:p>
    <w:p w:rsidR="00800760" w:rsidRDefault="00235733">
      <w:pPr>
        <w:ind w:firstLine="432"/>
        <w:jc w:val="both"/>
        <w:rPr>
          <w:rFonts w:eastAsia="楷体_GB2312" w:cs="楷体_GB2312"/>
          <w:spacing w:val="3"/>
        </w:rPr>
      </w:pPr>
      <w:r>
        <w:rPr>
          <w:rFonts w:eastAsia="楷体_GB2312" w:cs="楷体_GB2312"/>
          <w:spacing w:val="3"/>
        </w:rPr>
        <w:t>A</w:t>
      </w:r>
      <w:r>
        <w:rPr>
          <w:rFonts w:eastAsia="楷体_GB2312" w:cs="楷体_GB2312" w:hint="eastAsia"/>
          <w:spacing w:val="3"/>
        </w:rPr>
        <w:t>公司主张，</w:t>
      </w:r>
      <w:r>
        <w:rPr>
          <w:rFonts w:eastAsia="楷体_GB2312" w:cs="楷体_GB2312"/>
          <w:spacing w:val="3"/>
        </w:rPr>
        <w:t>B</w:t>
      </w:r>
      <w:r>
        <w:rPr>
          <w:rFonts w:eastAsia="楷体_GB2312" w:cs="楷体_GB2312" w:hint="eastAsia"/>
          <w:spacing w:val="3"/>
        </w:rPr>
        <w:t>医院、</w:t>
      </w:r>
      <w:r>
        <w:rPr>
          <w:rFonts w:eastAsia="楷体_GB2312" w:cs="楷体_GB2312"/>
          <w:spacing w:val="3"/>
        </w:rPr>
        <w:t>C</w:t>
      </w:r>
      <w:r>
        <w:rPr>
          <w:rFonts w:eastAsia="楷体_GB2312" w:cs="楷体_GB2312"/>
          <w:spacing w:val="3"/>
        </w:rPr>
        <w:t>公司侵犯了其外观设计专利权。经查证，</w:t>
      </w:r>
      <w:r>
        <w:rPr>
          <w:rFonts w:eastAsia="楷体_GB2312" w:cs="楷体_GB2312"/>
          <w:spacing w:val="3"/>
        </w:rPr>
        <w:t>B</w:t>
      </w:r>
      <w:r>
        <w:rPr>
          <w:rFonts w:eastAsia="楷体_GB2312" w:cs="楷体_GB2312"/>
          <w:spacing w:val="3"/>
        </w:rPr>
        <w:t>医院与</w:t>
      </w:r>
      <w:r>
        <w:rPr>
          <w:rFonts w:eastAsia="楷体_GB2312" w:cs="楷体_GB2312"/>
          <w:spacing w:val="3"/>
        </w:rPr>
        <w:t>C</w:t>
      </w:r>
      <w:r>
        <w:rPr>
          <w:rFonts w:eastAsia="楷体_GB2312" w:cs="楷体_GB2312"/>
          <w:spacing w:val="3"/>
        </w:rPr>
        <w:t>公司先后签订并已实际履行了两份《铸铁花饰栏杆加工制作安装合同》。根据合同中的约定可推算出</w:t>
      </w:r>
      <w:r>
        <w:rPr>
          <w:rFonts w:eastAsia="楷体_GB2312" w:cs="楷体_GB2312"/>
          <w:spacing w:val="3"/>
        </w:rPr>
        <w:t>C</w:t>
      </w:r>
      <w:r>
        <w:rPr>
          <w:rFonts w:eastAsia="楷体_GB2312" w:cs="楷体_GB2312"/>
          <w:spacing w:val="3"/>
        </w:rPr>
        <w:t>公司的合同利益，该合同约定可以作为依据确定</w:t>
      </w:r>
      <w:r>
        <w:rPr>
          <w:rFonts w:eastAsia="楷体_GB2312" w:cs="楷体_GB2312"/>
          <w:spacing w:val="3"/>
        </w:rPr>
        <w:t>C</w:t>
      </w:r>
      <w:r>
        <w:rPr>
          <w:rFonts w:eastAsia="楷体_GB2312" w:cs="楷体_GB2312"/>
          <w:spacing w:val="3"/>
        </w:rPr>
        <w:t>公司具体的赔偿数额。</w:t>
      </w:r>
    </w:p>
    <w:p w:rsidR="00800760" w:rsidRDefault="00235733">
      <w:pPr>
        <w:pStyle w:val="3"/>
        <w:spacing w:before="240"/>
        <w:ind w:firstLine="444"/>
        <w:rPr>
          <w:rFonts w:ascii="Times New Roman" w:hAnsi="Times New Roman"/>
        </w:rPr>
      </w:pPr>
      <w:bookmarkStart w:id="9021" w:name="_Toc32128"/>
      <w:bookmarkStart w:id="9022" w:name="_Toc11634"/>
      <w:bookmarkStart w:id="9023" w:name="_Toc27405"/>
      <w:bookmarkStart w:id="9024" w:name="_Toc5622"/>
      <w:bookmarkStart w:id="9025" w:name="_Toc17050"/>
      <w:bookmarkStart w:id="9026" w:name="_Toc15820"/>
      <w:bookmarkStart w:id="9027" w:name="_Toc891"/>
      <w:bookmarkStart w:id="9028" w:name="_Toc2366"/>
      <w:bookmarkStart w:id="9029" w:name="_Toc19928"/>
      <w:bookmarkStart w:id="9030" w:name="_Toc23216"/>
      <w:bookmarkStart w:id="9031" w:name="_Toc7443"/>
      <w:bookmarkStart w:id="9032" w:name="_Toc18386"/>
      <w:bookmarkStart w:id="9033" w:name="_Toc21599"/>
      <w:bookmarkStart w:id="9034" w:name="_Toc8378"/>
      <w:bookmarkStart w:id="9035" w:name="_Toc5886"/>
      <w:bookmarkStart w:id="9036" w:name="_Toc2606"/>
      <w:bookmarkStart w:id="9037" w:name="_Toc4430"/>
      <w:bookmarkStart w:id="9038" w:name="_Toc229114542"/>
      <w:bookmarkStart w:id="9039" w:name="_Toc16272"/>
      <w:bookmarkStart w:id="9040" w:name="_Toc32174"/>
      <w:bookmarkStart w:id="9041" w:name="_Toc22883"/>
      <w:bookmarkStart w:id="9042" w:name="_Toc19307"/>
      <w:bookmarkStart w:id="9043" w:name="_Toc3937"/>
      <w:bookmarkStart w:id="9044" w:name="_Toc29059"/>
      <w:bookmarkStart w:id="9045" w:name="_Toc17313"/>
      <w:bookmarkStart w:id="9046" w:name="_Toc16753"/>
      <w:bookmarkStart w:id="9047" w:name="_Toc4193"/>
      <w:bookmarkStart w:id="9048" w:name="_Toc8485"/>
      <w:bookmarkStart w:id="9049" w:name="_Toc9289"/>
      <w:bookmarkStart w:id="9050" w:name="_Toc20365"/>
      <w:bookmarkStart w:id="9051" w:name="_Toc5896"/>
      <w:bookmarkStart w:id="9052" w:name="_Toc15982"/>
      <w:bookmarkStart w:id="9053" w:name="_Toc26597"/>
      <w:bookmarkStart w:id="9054" w:name="_Toc20377"/>
      <w:bookmarkStart w:id="9055" w:name="_Toc32076"/>
      <w:bookmarkStart w:id="9056" w:name="_Toc24515"/>
      <w:bookmarkStart w:id="9057" w:name="_Toc4244"/>
      <w:bookmarkStart w:id="9058" w:name="_Toc27698"/>
      <w:bookmarkStart w:id="9059" w:name="_Toc14355"/>
      <w:bookmarkStart w:id="9060" w:name="_Toc32713"/>
      <w:bookmarkStart w:id="9061" w:name="_Toc31009"/>
      <w:bookmarkStart w:id="9062" w:name="_Toc20705"/>
      <w:bookmarkStart w:id="9063" w:name="_Toc19788"/>
      <w:bookmarkStart w:id="9064" w:name="_Toc229225638"/>
      <w:r>
        <w:rPr>
          <w:rFonts w:ascii="Times New Roman" w:hAnsi="Times New Roman"/>
        </w:rPr>
        <w:t>二、确定侵权人获得的利益时的考虑因素</w:t>
      </w:r>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p>
    <w:p w:rsidR="00800760" w:rsidRDefault="00235733">
      <w:pPr>
        <w:ind w:firstLine="436"/>
        <w:jc w:val="both"/>
        <w:rPr>
          <w:rFonts w:cs="宋体"/>
          <w:spacing w:val="4"/>
        </w:rPr>
      </w:pPr>
      <w:r>
        <w:rPr>
          <w:rFonts w:cs="宋体"/>
          <w:spacing w:val="4"/>
        </w:rPr>
        <w:t>在确定侵权人获得的利益时，也要考虑专利对于整个产品利润的贡献，排除侵权人因侵权行为之外的其他原因，如广告宣传或市场地位等获得的利益，并从侵权人的侵权产品总销售金额中扣除管理费、广告费、租金等费用。</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一</w:t>
      </w:r>
      <w:r>
        <w:rPr>
          <w:rFonts w:ascii="Times New Roman" w:hAnsi="Times New Roman"/>
        </w:rPr>
        <w:t>)</w:t>
      </w:r>
      <w:r>
        <w:rPr>
          <w:rFonts w:ascii="Times New Roman" w:hAnsi="Times New Roman"/>
        </w:rPr>
        <w:t>专利对于整个产品利润的贡献</w:t>
      </w:r>
    </w:p>
    <w:p w:rsidR="00800760" w:rsidRDefault="00235733">
      <w:pPr>
        <w:ind w:firstLine="436"/>
        <w:jc w:val="both"/>
        <w:rPr>
          <w:rFonts w:cs="宋体"/>
          <w:spacing w:val="4"/>
        </w:rPr>
      </w:pPr>
      <w:r>
        <w:rPr>
          <w:rFonts w:cs="宋体"/>
          <w:spacing w:val="4"/>
        </w:rPr>
        <w:t>侵犯发明、实用新型专利权的产品系另一产品的零部件时，如果该产品有单独的销售价格和利润，应当按该产品的全部利润确定合理利润，并据此计算损害赔偿金额；如果该产品没有单独的销售价格和利润，则应当根据成品的利润乘以该零部件在实现成品利润中的作用比重确定合理利润。</w:t>
      </w:r>
    </w:p>
    <w:p w:rsidR="00800760" w:rsidRDefault="00235733">
      <w:pPr>
        <w:ind w:firstLine="436"/>
        <w:jc w:val="both"/>
        <w:rPr>
          <w:rFonts w:cs="宋体"/>
          <w:spacing w:val="4"/>
        </w:rPr>
      </w:pPr>
      <w:r>
        <w:rPr>
          <w:rFonts w:cs="宋体"/>
          <w:spacing w:val="4"/>
        </w:rPr>
        <w:t>侵犯外观设计专利权的产品为包装物时，应当按照包装物本身的价值及其在实现被包装产品利润中的作用等因素确定专利产品的合理利润。</w:t>
      </w:r>
    </w:p>
    <w:p w:rsidR="00800760" w:rsidRDefault="00235733">
      <w:pPr>
        <w:ind w:firstLine="436"/>
        <w:jc w:val="both"/>
        <w:rPr>
          <w:rFonts w:cs="宋体"/>
        </w:rPr>
      </w:pPr>
      <w:r>
        <w:rPr>
          <w:rFonts w:cs="宋体"/>
          <w:spacing w:val="4"/>
        </w:rPr>
        <w:t>权利人应当举证证明专利产品在实现成品利润中的作用比重；作用比重无法确定的，由管理专利工作的部门酌定。</w:t>
      </w:r>
    </w:p>
    <w:p w:rsidR="00800760" w:rsidRDefault="00235733">
      <w:pPr>
        <w:pStyle w:val="af6"/>
        <w:spacing w:before="120"/>
        <w:ind w:firstLineChars="0" w:firstLine="420"/>
        <w:rPr>
          <w:rFonts w:ascii="Times New Roman" w:hAnsi="Times New Roman"/>
        </w:rPr>
      </w:pPr>
      <w:r>
        <w:rPr>
          <w:rFonts w:ascii="Times New Roman" w:hAnsi="Times New Roman"/>
        </w:rPr>
        <w:t>【案例</w:t>
      </w:r>
      <w:r>
        <w:rPr>
          <w:rFonts w:ascii="Times New Roman" w:hAnsi="Times New Roman" w:hint="eastAsia"/>
        </w:rPr>
        <w:t>8</w:t>
      </w:r>
      <w:r>
        <w:rPr>
          <w:rFonts w:ascii="Times New Roman" w:hAnsi="Times New Roman"/>
        </w:rPr>
        <w:t>-2-4</w:t>
      </w:r>
      <w:r>
        <w:rPr>
          <w:rFonts w:ascii="Times New Roman" w:hAnsi="Times New Roman"/>
        </w:rPr>
        <w:t>】</w:t>
      </w:r>
    </w:p>
    <w:p w:rsidR="00800760" w:rsidRDefault="00235733">
      <w:pPr>
        <w:ind w:firstLine="432"/>
        <w:jc w:val="both"/>
        <w:rPr>
          <w:rFonts w:eastAsia="楷体_GB2312" w:cs="楷体_GB2312"/>
          <w:spacing w:val="3"/>
        </w:rPr>
      </w:pPr>
      <w:r>
        <w:rPr>
          <w:rFonts w:eastAsia="楷体_GB2312" w:cs="楷体_GB2312"/>
          <w:spacing w:val="3"/>
        </w:rPr>
        <w:t>A</w:t>
      </w:r>
      <w:r>
        <w:rPr>
          <w:rFonts w:eastAsia="楷体_GB2312" w:cs="楷体_GB2312" w:hint="eastAsia"/>
          <w:spacing w:val="3"/>
        </w:rPr>
        <w:t>公司为“一种蚊香盒”实用新型专利的独占被许可人。</w:t>
      </w:r>
      <w:r>
        <w:rPr>
          <w:rFonts w:eastAsia="楷体_GB2312" w:cs="楷体_GB2312"/>
          <w:spacing w:val="3"/>
        </w:rPr>
        <w:t>B</w:t>
      </w:r>
      <w:r>
        <w:rPr>
          <w:rFonts w:eastAsia="楷体_GB2312" w:cs="楷体_GB2312"/>
          <w:spacing w:val="3"/>
        </w:rPr>
        <w:t>公司生产、销售的盒装蚊香产品被控构成专利侵权。</w:t>
      </w:r>
      <w:r>
        <w:rPr>
          <w:rFonts w:eastAsia="楷体_GB2312" w:cs="楷体_GB2312"/>
          <w:spacing w:val="3"/>
        </w:rPr>
        <w:t>A</w:t>
      </w:r>
      <w:r>
        <w:rPr>
          <w:rFonts w:eastAsia="楷体_GB2312" w:cs="楷体_GB2312"/>
          <w:spacing w:val="3"/>
        </w:rPr>
        <w:t>公司没有提供有效证据证明其在被侵权期间因侵权所受到的具体损失，以侵权人</w:t>
      </w:r>
      <w:r>
        <w:rPr>
          <w:rFonts w:eastAsia="楷体_GB2312" w:cs="楷体_GB2312"/>
          <w:spacing w:val="3"/>
        </w:rPr>
        <w:t>B</w:t>
      </w:r>
      <w:r>
        <w:rPr>
          <w:rFonts w:eastAsia="楷体_GB2312" w:cs="楷体_GB2312"/>
          <w:spacing w:val="3"/>
        </w:rPr>
        <w:t>公司在侵权期间因侵权所获得的具体利益来确定赔偿数额。</w:t>
      </w:r>
    </w:p>
    <w:p w:rsidR="00800760" w:rsidRDefault="00235733">
      <w:pPr>
        <w:ind w:firstLine="432"/>
        <w:jc w:val="both"/>
        <w:rPr>
          <w:rFonts w:eastAsia="楷体_GB2312" w:cs="楷体_GB2312"/>
          <w:spacing w:val="3"/>
        </w:rPr>
      </w:pPr>
      <w:r>
        <w:rPr>
          <w:rFonts w:eastAsia="楷体_GB2312" w:cs="楷体_GB2312" w:hint="eastAsia"/>
          <w:spacing w:val="3"/>
        </w:rPr>
        <w:t>处理</w:t>
      </w:r>
      <w:r>
        <w:rPr>
          <w:rFonts w:eastAsia="楷体_GB2312" w:cs="楷体_GB2312"/>
          <w:spacing w:val="3"/>
        </w:rPr>
        <w:t>部门通过以下步骤计算</w:t>
      </w:r>
      <w:r>
        <w:rPr>
          <w:rFonts w:eastAsia="楷体_GB2312" w:cs="楷体_GB2312"/>
          <w:spacing w:val="3"/>
        </w:rPr>
        <w:t>B</w:t>
      </w:r>
      <w:r>
        <w:rPr>
          <w:rFonts w:eastAsia="楷体_GB2312" w:cs="楷体_GB2312"/>
          <w:spacing w:val="3"/>
        </w:rPr>
        <w:t>公司的非法获利：</w:t>
      </w:r>
    </w:p>
    <w:p w:rsidR="00800760" w:rsidRDefault="00235733">
      <w:pPr>
        <w:ind w:firstLine="432"/>
        <w:jc w:val="both"/>
        <w:rPr>
          <w:rFonts w:eastAsia="楷体_GB2312" w:cs="楷体_GB2312"/>
          <w:spacing w:val="3"/>
        </w:rPr>
      </w:pPr>
      <w:bookmarkStart w:id="9065" w:name="bookmark223"/>
      <w:bookmarkEnd w:id="9065"/>
      <w:r>
        <w:rPr>
          <w:rFonts w:eastAsia="楷体_GB2312" w:cs="楷体_GB2312"/>
          <w:spacing w:val="3"/>
        </w:rPr>
        <w:t>(1)B</w:t>
      </w:r>
      <w:r>
        <w:rPr>
          <w:rFonts w:eastAsia="楷体_GB2312" w:cs="楷体_GB2312"/>
          <w:spacing w:val="3"/>
        </w:rPr>
        <w:t>公司共生产了被控产品</w:t>
      </w:r>
      <w:r>
        <w:rPr>
          <w:rFonts w:eastAsia="楷体_GB2312" w:cs="楷体_GB2312"/>
          <w:spacing w:val="3"/>
        </w:rPr>
        <w:t>1500</w:t>
      </w:r>
      <w:r>
        <w:rPr>
          <w:rFonts w:eastAsia="楷体_GB2312" w:cs="楷体_GB2312"/>
          <w:spacing w:val="3"/>
        </w:rPr>
        <w:t>万只；</w:t>
      </w:r>
    </w:p>
    <w:p w:rsidR="00800760" w:rsidRDefault="00235733">
      <w:pPr>
        <w:ind w:firstLine="432"/>
        <w:jc w:val="both"/>
        <w:rPr>
          <w:rFonts w:eastAsia="楷体_GB2312" w:cs="楷体_GB2312"/>
          <w:spacing w:val="3"/>
        </w:rPr>
      </w:pPr>
      <w:r>
        <w:rPr>
          <w:rFonts w:eastAsia="楷体_GB2312" w:cs="楷体_GB2312"/>
          <w:spacing w:val="3"/>
        </w:rPr>
        <w:t>(2)</w:t>
      </w:r>
      <w:r>
        <w:rPr>
          <w:rFonts w:eastAsia="楷体_GB2312" w:cs="楷体_GB2312"/>
          <w:spacing w:val="3"/>
        </w:rPr>
        <w:t>经查明，</w:t>
      </w:r>
      <w:r>
        <w:rPr>
          <w:rFonts w:eastAsia="楷体_GB2312" w:cs="楷体_GB2312"/>
          <w:spacing w:val="3"/>
        </w:rPr>
        <w:t>B</w:t>
      </w:r>
      <w:r>
        <w:rPr>
          <w:rFonts w:eastAsia="楷体_GB2312" w:cs="楷体_GB2312"/>
          <w:spacing w:val="3"/>
        </w:rPr>
        <w:t>公司出售的被控产品每盒单价为</w:t>
      </w:r>
      <w:r>
        <w:rPr>
          <w:rFonts w:eastAsia="楷体_GB2312" w:cs="楷体_GB2312"/>
          <w:spacing w:val="3"/>
        </w:rPr>
        <w:t>1.475</w:t>
      </w:r>
      <w:r>
        <w:rPr>
          <w:rFonts w:eastAsia="楷体_GB2312" w:cs="楷体_GB2312"/>
          <w:spacing w:val="3"/>
        </w:rPr>
        <w:t>元；</w:t>
      </w:r>
    </w:p>
    <w:p w:rsidR="00800760" w:rsidRDefault="00235733">
      <w:pPr>
        <w:ind w:firstLine="432"/>
        <w:jc w:val="both"/>
        <w:rPr>
          <w:rFonts w:eastAsia="楷体_GB2312" w:cs="楷体_GB2312"/>
          <w:spacing w:val="3"/>
        </w:rPr>
      </w:pPr>
      <w:r>
        <w:rPr>
          <w:rFonts w:eastAsia="楷体_GB2312" w:cs="楷体_GB2312"/>
          <w:spacing w:val="3"/>
        </w:rPr>
        <w:t>(3)</w:t>
      </w:r>
      <w:r>
        <w:rPr>
          <w:rFonts w:eastAsia="楷体_GB2312" w:cs="楷体_GB2312"/>
          <w:spacing w:val="3"/>
        </w:rPr>
        <w:t>因</w:t>
      </w:r>
      <w:r>
        <w:rPr>
          <w:rFonts w:eastAsia="楷体_GB2312" w:cs="楷体_GB2312"/>
          <w:spacing w:val="3"/>
        </w:rPr>
        <w:t>B</w:t>
      </w:r>
      <w:r>
        <w:rPr>
          <w:rFonts w:eastAsia="楷体_GB2312" w:cs="楷体_GB2312"/>
          <w:spacing w:val="3"/>
        </w:rPr>
        <w:t>公司并没有提供被控产品的利润情况，按照通常商品利润为</w:t>
      </w:r>
      <w:r>
        <w:rPr>
          <w:rFonts w:eastAsia="楷体_GB2312" w:cs="楷体_GB2312"/>
          <w:spacing w:val="3"/>
        </w:rPr>
        <w:t>10%</w:t>
      </w:r>
      <w:r>
        <w:rPr>
          <w:rFonts w:eastAsia="楷体_GB2312" w:cs="楷体_GB2312" w:hint="eastAsia"/>
          <w:spacing w:val="3"/>
        </w:rPr>
        <w:t>-</w:t>
      </w:r>
      <w:r>
        <w:rPr>
          <w:rFonts w:eastAsia="楷体_GB2312" w:cs="楷体_GB2312"/>
          <w:spacing w:val="3"/>
        </w:rPr>
        <w:t>20%</w:t>
      </w:r>
      <w:r>
        <w:rPr>
          <w:rFonts w:eastAsia="楷体_GB2312" w:cs="楷体_GB2312"/>
          <w:spacing w:val="3"/>
        </w:rPr>
        <w:t>计算，</w:t>
      </w:r>
      <w:r>
        <w:rPr>
          <w:rFonts w:eastAsia="楷体_GB2312" w:cs="楷体_GB2312"/>
          <w:spacing w:val="3"/>
        </w:rPr>
        <w:t>B</w:t>
      </w:r>
      <w:r>
        <w:rPr>
          <w:rFonts w:eastAsia="楷体_GB2312" w:cs="楷体_GB2312"/>
          <w:spacing w:val="3"/>
        </w:rPr>
        <w:t>公司生产销售</w:t>
      </w:r>
      <w:r>
        <w:rPr>
          <w:rFonts w:eastAsia="楷体_GB2312" w:cs="楷体_GB2312"/>
          <w:spacing w:val="3"/>
        </w:rPr>
        <w:t>1500</w:t>
      </w:r>
      <w:r>
        <w:rPr>
          <w:rFonts w:eastAsia="楷体_GB2312" w:cs="楷体_GB2312"/>
          <w:spacing w:val="3"/>
        </w:rPr>
        <w:t>万只蚊香及蚊香盒可获得的利润为</w:t>
      </w:r>
      <w:r>
        <w:rPr>
          <w:rFonts w:eastAsia="楷体_GB2312" w:cs="楷体_GB2312"/>
          <w:spacing w:val="3"/>
        </w:rPr>
        <w:t>2212500</w:t>
      </w:r>
      <w:r>
        <w:rPr>
          <w:rFonts w:eastAsia="楷体_GB2312" w:cs="楷体_GB2312" w:hint="eastAsia"/>
          <w:spacing w:val="3"/>
        </w:rPr>
        <w:t>-</w:t>
      </w:r>
      <w:r>
        <w:rPr>
          <w:rFonts w:eastAsia="楷体_GB2312" w:cs="楷体_GB2312"/>
          <w:spacing w:val="3"/>
        </w:rPr>
        <w:t>4425000</w:t>
      </w:r>
      <w:r>
        <w:rPr>
          <w:rFonts w:eastAsia="楷体_GB2312" w:cs="楷体_GB2312"/>
          <w:spacing w:val="3"/>
        </w:rPr>
        <w:t>元；</w:t>
      </w:r>
    </w:p>
    <w:p w:rsidR="00800760" w:rsidRDefault="00235733">
      <w:pPr>
        <w:ind w:firstLine="432"/>
        <w:jc w:val="both"/>
        <w:rPr>
          <w:rFonts w:eastAsia="楷体" w:cs="楷体"/>
        </w:rPr>
      </w:pPr>
      <w:r>
        <w:rPr>
          <w:rFonts w:eastAsia="楷体_GB2312" w:cs="楷体_GB2312"/>
          <w:spacing w:val="3"/>
        </w:rPr>
        <w:t>(4)</w:t>
      </w:r>
      <w:r>
        <w:rPr>
          <w:rFonts w:eastAsia="楷体_GB2312" w:cs="楷体_GB2312"/>
          <w:spacing w:val="3"/>
        </w:rPr>
        <w:t>被控产品中的利润包括被控侵权产品蚊香盒及蚊香两部分，应排除蚊香盒中所包含的蚊香利润比例，酌情裁量，最终确定赔偿非法获利</w:t>
      </w:r>
      <w:r>
        <w:rPr>
          <w:rFonts w:eastAsia="楷体_GB2312" w:cs="楷体_GB2312"/>
          <w:spacing w:val="3"/>
        </w:rPr>
        <w:t>220</w:t>
      </w:r>
      <w:r>
        <w:rPr>
          <w:rFonts w:eastAsia="楷体_GB2312" w:cs="楷体_GB2312"/>
          <w:spacing w:val="3"/>
        </w:rPr>
        <w:t>万元。</w:t>
      </w:r>
    </w:p>
    <w:p w:rsidR="00800760" w:rsidRDefault="00235733">
      <w:pPr>
        <w:pStyle w:val="af6"/>
        <w:spacing w:before="120"/>
        <w:ind w:firstLineChars="0" w:firstLine="420"/>
        <w:rPr>
          <w:rFonts w:ascii="Times New Roman" w:hAnsi="Times New Roman"/>
        </w:rPr>
      </w:pPr>
      <w:r>
        <w:rPr>
          <w:rFonts w:ascii="Times New Roman" w:hAnsi="Times New Roman"/>
        </w:rPr>
        <w:t>【案例</w:t>
      </w:r>
      <w:r>
        <w:rPr>
          <w:rFonts w:ascii="Times New Roman" w:hAnsi="Times New Roman" w:hint="eastAsia"/>
        </w:rPr>
        <w:t>8</w:t>
      </w:r>
      <w:r>
        <w:rPr>
          <w:rFonts w:ascii="Times New Roman" w:hAnsi="Times New Roman"/>
        </w:rPr>
        <w:t>-2-5</w:t>
      </w:r>
      <w:r>
        <w:rPr>
          <w:rFonts w:ascii="Times New Roman" w:hAnsi="Times New Roman"/>
        </w:rPr>
        <w:t>】</w:t>
      </w:r>
    </w:p>
    <w:p w:rsidR="00800760" w:rsidRDefault="00235733">
      <w:pPr>
        <w:spacing w:before="238"/>
        <w:ind w:firstLine="432"/>
        <w:jc w:val="both"/>
        <w:rPr>
          <w:rFonts w:eastAsia="楷体" w:cs="楷体"/>
        </w:rPr>
      </w:pPr>
      <w:r>
        <w:rPr>
          <w:rFonts w:eastAsia="楷体_GB2312" w:cs="楷体_GB2312"/>
          <w:spacing w:val="3"/>
        </w:rPr>
        <w:t>A</w:t>
      </w:r>
      <w:r>
        <w:rPr>
          <w:rFonts w:eastAsia="楷体_GB2312" w:cs="楷体_GB2312" w:hint="eastAsia"/>
          <w:spacing w:val="3"/>
        </w:rPr>
        <w:t>公司涉嫌侵犯</w:t>
      </w:r>
      <w:r>
        <w:rPr>
          <w:rFonts w:eastAsia="楷体_GB2312" w:cs="楷体_GB2312"/>
          <w:spacing w:val="3"/>
        </w:rPr>
        <w:t>B</w:t>
      </w:r>
      <w:r>
        <w:rPr>
          <w:rFonts w:eastAsia="楷体_GB2312" w:cs="楷体_GB2312"/>
          <w:spacing w:val="3"/>
        </w:rPr>
        <w:t>公司的专利权。在确定侵权人获得的利益时，</w:t>
      </w:r>
      <w:r>
        <w:rPr>
          <w:rFonts w:eastAsia="楷体_GB2312" w:cs="楷体_GB2312" w:hint="eastAsia"/>
          <w:spacing w:val="3"/>
        </w:rPr>
        <w:t>处理</w:t>
      </w:r>
      <w:r>
        <w:rPr>
          <w:rFonts w:eastAsia="楷体_GB2312" w:cs="楷体_GB2312"/>
          <w:spacing w:val="3"/>
        </w:rPr>
        <w:t>部门认定，</w:t>
      </w:r>
      <w:r>
        <w:rPr>
          <w:rFonts w:eastAsia="楷体_GB2312" w:cs="楷体_GB2312"/>
          <w:spacing w:val="3"/>
        </w:rPr>
        <w:t>A</w:t>
      </w:r>
      <w:r>
        <w:rPr>
          <w:rFonts w:eastAsia="楷体_GB2312" w:cs="楷体_GB2312"/>
          <w:spacing w:val="3"/>
        </w:rPr>
        <w:t>公司的</w:t>
      </w:r>
      <w:r>
        <w:rPr>
          <w:rFonts w:eastAsia="楷体_GB2312" w:cs="楷体_GB2312"/>
          <w:spacing w:val="3"/>
        </w:rPr>
        <w:t>“</w:t>
      </w:r>
      <w:r>
        <w:rPr>
          <w:rFonts w:eastAsia="楷体_GB2312" w:cs="楷体_GB2312"/>
          <w:spacing w:val="3"/>
        </w:rPr>
        <w:t>防火卷帘</w:t>
      </w:r>
      <w:r>
        <w:rPr>
          <w:rFonts w:eastAsia="楷体_GB2312" w:cs="楷体_GB2312"/>
          <w:spacing w:val="3"/>
        </w:rPr>
        <w:t>”</w:t>
      </w:r>
      <w:r>
        <w:rPr>
          <w:rFonts w:eastAsia="楷体_GB2312" w:cs="楷体_GB2312"/>
          <w:spacing w:val="3"/>
        </w:rPr>
        <w:t>实际包括被控侵权产品</w:t>
      </w:r>
      <w:r>
        <w:rPr>
          <w:rFonts w:eastAsia="楷体_GB2312" w:cs="楷体_GB2312"/>
          <w:spacing w:val="3"/>
        </w:rPr>
        <w:t>“</w:t>
      </w:r>
      <w:r>
        <w:rPr>
          <w:rFonts w:eastAsia="楷体_GB2312" w:cs="楷体_GB2312"/>
          <w:spacing w:val="3"/>
        </w:rPr>
        <w:t>无机布基特级防火卷帘产品</w:t>
      </w:r>
      <w:r>
        <w:rPr>
          <w:rFonts w:eastAsia="楷体_GB2312" w:cs="楷体_GB2312"/>
          <w:spacing w:val="3"/>
        </w:rPr>
        <w:t>”</w:t>
      </w:r>
      <w:r>
        <w:rPr>
          <w:rFonts w:eastAsia="楷体_GB2312" w:cs="楷体_GB2312"/>
          <w:spacing w:val="3"/>
        </w:rPr>
        <w:t>及与涉案专利无关的</w:t>
      </w:r>
      <w:r>
        <w:rPr>
          <w:rFonts w:eastAsia="楷体_GB2312" w:cs="楷体_GB2312"/>
          <w:spacing w:val="3"/>
        </w:rPr>
        <w:t>“</w:t>
      </w:r>
      <w:r>
        <w:rPr>
          <w:rFonts w:eastAsia="楷体_GB2312" w:cs="楷体_GB2312"/>
          <w:spacing w:val="3"/>
        </w:rPr>
        <w:t>无机布基防火卷帘产品</w:t>
      </w:r>
      <w:r>
        <w:rPr>
          <w:rFonts w:eastAsia="楷体_GB2312" w:cs="楷体_GB2312"/>
          <w:spacing w:val="3"/>
        </w:rPr>
        <w:t>”</w:t>
      </w:r>
      <w:r>
        <w:rPr>
          <w:rFonts w:eastAsia="楷体_GB2312" w:cs="楷体_GB2312"/>
          <w:spacing w:val="3"/>
        </w:rPr>
        <w:t>两部分，在以侵权人因侵权所获得的利益来确定赔偿额时，应当排除防火卷帘中</w:t>
      </w:r>
      <w:r>
        <w:rPr>
          <w:rFonts w:eastAsia="楷体_GB2312" w:cs="楷体_GB2312"/>
          <w:spacing w:val="3"/>
        </w:rPr>
        <w:t>“</w:t>
      </w:r>
      <w:r>
        <w:rPr>
          <w:rFonts w:eastAsia="楷体_GB2312" w:cs="楷体_GB2312"/>
          <w:spacing w:val="3"/>
        </w:rPr>
        <w:t>无机布基防火卷帘产品</w:t>
      </w:r>
      <w:r>
        <w:rPr>
          <w:rFonts w:eastAsia="楷体_GB2312" w:cs="楷体_GB2312"/>
          <w:spacing w:val="3"/>
        </w:rPr>
        <w:t>”</w:t>
      </w:r>
      <w:r>
        <w:rPr>
          <w:rFonts w:eastAsia="楷体_GB2312" w:cs="楷体_GB2312"/>
          <w:spacing w:val="3"/>
        </w:rPr>
        <w:t>的利润比例。故应当从经审计的产品毛利</w:t>
      </w:r>
      <w:r>
        <w:rPr>
          <w:rFonts w:eastAsia="楷体_GB2312" w:cs="楷体_GB2312"/>
          <w:spacing w:val="3"/>
        </w:rPr>
        <w:t>1079251.61</w:t>
      </w:r>
      <w:r>
        <w:rPr>
          <w:rFonts w:eastAsia="楷体_GB2312" w:cs="楷体_GB2312"/>
          <w:spacing w:val="3"/>
        </w:rPr>
        <w:t>元中扣除非侵权产品的销售毛利</w:t>
      </w:r>
      <w:r>
        <w:rPr>
          <w:rFonts w:eastAsia="楷体_GB2312" w:cs="楷体_GB2312"/>
          <w:spacing w:val="3"/>
        </w:rPr>
        <w:t>168416.8</w:t>
      </w:r>
      <w:r>
        <w:rPr>
          <w:rFonts w:eastAsia="楷体_GB2312" w:cs="楷体_GB2312"/>
          <w:spacing w:val="3"/>
        </w:rPr>
        <w:t>元，最终确定</w:t>
      </w:r>
      <w:r>
        <w:rPr>
          <w:rFonts w:eastAsia="楷体_GB2312" w:cs="楷体_GB2312"/>
          <w:spacing w:val="3"/>
        </w:rPr>
        <w:t>A</w:t>
      </w:r>
      <w:r>
        <w:rPr>
          <w:rFonts w:eastAsia="楷体_GB2312" w:cs="楷体_GB2312"/>
          <w:spacing w:val="3"/>
        </w:rPr>
        <w:t>公司销售被控侵权产品所得毛利为</w:t>
      </w:r>
      <w:r>
        <w:rPr>
          <w:rFonts w:eastAsia="楷体_GB2312" w:cs="楷体_GB2312"/>
          <w:spacing w:val="3"/>
        </w:rPr>
        <w:t>899163.1</w:t>
      </w:r>
      <w:r>
        <w:rPr>
          <w:rFonts w:eastAsia="楷体_GB2312" w:cs="楷体_GB2312"/>
          <w:spacing w:val="3"/>
        </w:rPr>
        <w:t>元。</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二</w:t>
      </w:r>
      <w:r>
        <w:rPr>
          <w:rFonts w:ascii="Times New Roman" w:hAnsi="Times New Roman"/>
        </w:rPr>
        <w:t>)</w:t>
      </w:r>
      <w:r>
        <w:rPr>
          <w:rFonts w:ascii="Times New Roman" w:hAnsi="Times New Roman"/>
        </w:rPr>
        <w:t>需要扣除的费用</w:t>
      </w:r>
    </w:p>
    <w:p w:rsidR="00800760" w:rsidRDefault="00235733">
      <w:pPr>
        <w:ind w:firstLine="436"/>
        <w:jc w:val="both"/>
        <w:rPr>
          <w:rFonts w:cs="宋体"/>
          <w:spacing w:val="4"/>
        </w:rPr>
      </w:pPr>
      <w:r>
        <w:rPr>
          <w:rFonts w:cs="宋体"/>
          <w:spacing w:val="4"/>
        </w:rPr>
        <w:t>侵权人获得的利益应当从侵权人的侵权产品总销售金额中扣除管理费、广告费、租金等费用。</w:t>
      </w:r>
    </w:p>
    <w:p w:rsidR="00800760" w:rsidRDefault="00235733">
      <w:pPr>
        <w:pStyle w:val="af6"/>
        <w:spacing w:before="120"/>
        <w:ind w:firstLineChars="0" w:firstLine="420"/>
        <w:rPr>
          <w:rFonts w:ascii="Times New Roman" w:hAnsi="Times New Roman"/>
        </w:rPr>
      </w:pPr>
      <w:r>
        <w:rPr>
          <w:rFonts w:ascii="Times New Roman" w:hAnsi="Times New Roman"/>
        </w:rPr>
        <w:t>【案例</w:t>
      </w:r>
      <w:r>
        <w:rPr>
          <w:rFonts w:ascii="Times New Roman" w:hAnsi="Times New Roman" w:hint="eastAsia"/>
        </w:rPr>
        <w:t>8</w:t>
      </w:r>
      <w:r>
        <w:rPr>
          <w:rFonts w:ascii="Times New Roman" w:hAnsi="Times New Roman"/>
        </w:rPr>
        <w:t>-2-6</w:t>
      </w:r>
      <w:r>
        <w:rPr>
          <w:rFonts w:ascii="Times New Roman" w:hAnsi="Times New Roman"/>
        </w:rPr>
        <w:t>】</w:t>
      </w:r>
    </w:p>
    <w:p w:rsidR="00800760" w:rsidRDefault="00235733">
      <w:pPr>
        <w:ind w:firstLine="432"/>
        <w:jc w:val="both"/>
        <w:rPr>
          <w:rFonts w:eastAsia="楷体_GB2312" w:cs="楷体_GB2312"/>
          <w:spacing w:val="3"/>
        </w:rPr>
      </w:pPr>
      <w:r>
        <w:rPr>
          <w:rFonts w:eastAsia="楷体_GB2312" w:cs="楷体_GB2312"/>
          <w:spacing w:val="3"/>
        </w:rPr>
        <w:t>A</w:t>
      </w:r>
      <w:r>
        <w:rPr>
          <w:rFonts w:eastAsia="楷体_GB2312" w:cs="楷体_GB2312"/>
          <w:spacing w:val="3"/>
        </w:rPr>
        <w:t>公司销售的淋浴喷头侵犯了</w:t>
      </w:r>
      <w:r>
        <w:rPr>
          <w:rFonts w:eastAsia="楷体_GB2312" w:cs="楷体_GB2312"/>
          <w:spacing w:val="3"/>
        </w:rPr>
        <w:t>B</w:t>
      </w:r>
      <w:r>
        <w:rPr>
          <w:rFonts w:eastAsia="楷体_GB2312" w:cs="楷体_GB2312"/>
          <w:spacing w:val="3"/>
        </w:rPr>
        <w:t>公司享有专利权的喷雾嘴。经查明，</w:t>
      </w:r>
      <w:r>
        <w:rPr>
          <w:rFonts w:eastAsia="楷体_GB2312" w:cs="楷体_GB2312"/>
          <w:spacing w:val="3"/>
        </w:rPr>
        <w:t>A</w:t>
      </w:r>
      <w:r>
        <w:rPr>
          <w:rFonts w:eastAsia="楷体_GB2312" w:cs="楷体_GB2312"/>
          <w:spacing w:val="3"/>
        </w:rPr>
        <w:t>公司订购了在某地预先包装的淋浴喷头，然后在甲国进行销售和提供售后服务。</w:t>
      </w:r>
    </w:p>
    <w:p w:rsidR="00800760" w:rsidRDefault="00235733">
      <w:pPr>
        <w:ind w:firstLine="432"/>
        <w:jc w:val="both"/>
        <w:rPr>
          <w:rFonts w:eastAsia="楷体_GB2312" w:cs="楷体_GB2312"/>
          <w:spacing w:val="3"/>
        </w:rPr>
      </w:pPr>
      <w:r>
        <w:rPr>
          <w:rFonts w:eastAsia="楷体_GB2312" w:cs="楷体_GB2312"/>
          <w:spacing w:val="3"/>
        </w:rPr>
        <w:t>司法机关适用</w:t>
      </w:r>
      <w:r>
        <w:rPr>
          <w:rFonts w:eastAsia="楷体_GB2312" w:cs="楷体_GB2312"/>
          <w:spacing w:val="3"/>
        </w:rPr>
        <w:t>“</w:t>
      </w:r>
      <w:r>
        <w:rPr>
          <w:rFonts w:eastAsia="楷体_GB2312" w:cs="楷体_GB2312"/>
          <w:spacing w:val="3"/>
        </w:rPr>
        <w:t>侵权人获得的利益</w:t>
      </w:r>
      <w:r>
        <w:rPr>
          <w:rFonts w:eastAsia="楷体_GB2312" w:cs="楷体_GB2312"/>
          <w:spacing w:val="3"/>
        </w:rPr>
        <w:t>”</w:t>
      </w:r>
      <w:r>
        <w:rPr>
          <w:rFonts w:eastAsia="楷体_GB2312" w:cs="楷体_GB2312"/>
          <w:spacing w:val="3"/>
        </w:rPr>
        <w:t>法计算侵权赔偿，具体的计算方法是：分别计算出</w:t>
      </w:r>
      <w:r>
        <w:rPr>
          <w:rFonts w:eastAsia="楷体_GB2312" w:cs="楷体_GB2312"/>
          <w:spacing w:val="3"/>
        </w:rPr>
        <w:t>A</w:t>
      </w:r>
      <w:r>
        <w:rPr>
          <w:rFonts w:eastAsia="楷体_GB2312" w:cs="楷体_GB2312"/>
          <w:spacing w:val="3"/>
        </w:rPr>
        <w:t>公司的总销售额</w:t>
      </w:r>
      <w:r>
        <w:rPr>
          <w:rFonts w:eastAsia="楷体_GB2312" w:cs="楷体_GB2312"/>
          <w:spacing w:val="3"/>
        </w:rPr>
        <w:t>(</w:t>
      </w:r>
      <w:r>
        <w:rPr>
          <w:rFonts w:eastAsia="楷体_GB2312" w:cs="楷体_GB2312"/>
          <w:spacing w:val="3"/>
        </w:rPr>
        <w:t>收入</w:t>
      </w:r>
      <w:r>
        <w:rPr>
          <w:rFonts w:eastAsia="楷体_GB2312" w:cs="楷体_GB2312"/>
          <w:spacing w:val="3"/>
        </w:rPr>
        <w:t>)</w:t>
      </w:r>
      <w:r>
        <w:rPr>
          <w:rFonts w:eastAsia="楷体_GB2312" w:cs="楷体_GB2312"/>
          <w:spacing w:val="3"/>
        </w:rPr>
        <w:t>和可扣除的成本，由</w:t>
      </w:r>
      <w:r>
        <w:rPr>
          <w:rFonts w:eastAsia="楷体_GB2312" w:cs="楷体_GB2312"/>
          <w:spacing w:val="3"/>
        </w:rPr>
        <w:t>“</w:t>
      </w:r>
      <w:r>
        <w:rPr>
          <w:rFonts w:eastAsia="楷体_GB2312" w:cs="楷体_GB2312"/>
          <w:spacing w:val="3"/>
        </w:rPr>
        <w:t>收入</w:t>
      </w:r>
      <w:r>
        <w:rPr>
          <w:rFonts w:eastAsia="楷体_GB2312" w:cs="楷体_GB2312"/>
          <w:spacing w:val="3"/>
        </w:rPr>
        <w:t>”</w:t>
      </w:r>
      <w:r>
        <w:rPr>
          <w:rFonts w:eastAsia="楷体_GB2312" w:cs="楷体_GB2312"/>
          <w:spacing w:val="3"/>
        </w:rPr>
        <w:t>减去</w:t>
      </w:r>
      <w:r>
        <w:rPr>
          <w:rFonts w:eastAsia="楷体_GB2312" w:cs="楷体_GB2312"/>
          <w:spacing w:val="3"/>
        </w:rPr>
        <w:t>“</w:t>
      </w:r>
      <w:r>
        <w:rPr>
          <w:rFonts w:eastAsia="楷体_GB2312" w:cs="楷体_GB2312"/>
          <w:spacing w:val="3"/>
        </w:rPr>
        <w:t>成本</w:t>
      </w:r>
      <w:r>
        <w:rPr>
          <w:rFonts w:eastAsia="楷体_GB2312" w:cs="楷体_GB2312"/>
          <w:spacing w:val="3"/>
        </w:rPr>
        <w:t>”</w:t>
      </w:r>
      <w:r>
        <w:rPr>
          <w:rFonts w:eastAsia="楷体_GB2312" w:cs="楷体_GB2312"/>
          <w:spacing w:val="3"/>
        </w:rPr>
        <w:t>得出</w:t>
      </w:r>
      <w:r>
        <w:rPr>
          <w:rFonts w:eastAsia="楷体_GB2312" w:cs="楷体_GB2312"/>
          <w:spacing w:val="3"/>
        </w:rPr>
        <w:t>“</w:t>
      </w:r>
      <w:r>
        <w:rPr>
          <w:rFonts w:eastAsia="楷体_GB2312" w:cs="楷体_GB2312"/>
          <w:spacing w:val="3"/>
        </w:rPr>
        <w:t>净利润</w:t>
      </w:r>
      <w:r>
        <w:rPr>
          <w:rFonts w:eastAsia="楷体_GB2312" w:cs="楷体_GB2312"/>
          <w:spacing w:val="3"/>
        </w:rPr>
        <w:t>”</w:t>
      </w:r>
      <w:r>
        <w:rPr>
          <w:rFonts w:eastAsia="楷体_GB2312" w:cs="楷体_GB2312"/>
          <w:spacing w:val="3"/>
        </w:rPr>
        <w:t>。计算过程如下：</w:t>
      </w:r>
    </w:p>
    <w:p w:rsidR="00800760" w:rsidRDefault="00235733">
      <w:pPr>
        <w:ind w:firstLine="432"/>
        <w:jc w:val="both"/>
        <w:rPr>
          <w:rFonts w:eastAsia="楷体_GB2312" w:cs="楷体_GB2312"/>
          <w:spacing w:val="3"/>
        </w:rPr>
      </w:pPr>
      <w:r>
        <w:rPr>
          <w:rFonts w:eastAsia="楷体_GB2312" w:cs="楷体_GB2312"/>
          <w:spacing w:val="3"/>
        </w:rPr>
        <w:t>(1)</w:t>
      </w:r>
      <w:r>
        <w:rPr>
          <w:rFonts w:eastAsia="楷体_GB2312" w:cs="楷体_GB2312"/>
          <w:spacing w:val="3"/>
        </w:rPr>
        <w:t>总收入：</w:t>
      </w:r>
      <w:r>
        <w:rPr>
          <w:rFonts w:eastAsia="楷体_GB2312" w:cs="楷体_GB2312"/>
          <w:spacing w:val="3"/>
        </w:rPr>
        <w:t>1020873.30</w:t>
      </w:r>
      <w:r>
        <w:rPr>
          <w:rFonts w:eastAsia="楷体_GB2312" w:cs="楷体_GB2312"/>
          <w:spacing w:val="3"/>
        </w:rPr>
        <w:t>元。</w:t>
      </w:r>
    </w:p>
    <w:p w:rsidR="00800760" w:rsidRDefault="00235733">
      <w:pPr>
        <w:ind w:firstLine="432"/>
        <w:jc w:val="both"/>
        <w:rPr>
          <w:rFonts w:eastAsia="楷体_GB2312" w:cs="楷体_GB2312"/>
          <w:spacing w:val="3"/>
        </w:rPr>
      </w:pPr>
      <w:r>
        <w:rPr>
          <w:rFonts w:eastAsia="楷体_GB2312" w:cs="楷体_GB2312"/>
          <w:spacing w:val="3"/>
        </w:rPr>
        <w:t>(2)</w:t>
      </w:r>
      <w:r>
        <w:rPr>
          <w:rFonts w:eastAsia="楷体_GB2312" w:cs="楷体_GB2312"/>
          <w:spacing w:val="3"/>
        </w:rPr>
        <w:t>可扣除的成本：</w:t>
      </w:r>
    </w:p>
    <w:p w:rsidR="00800760" w:rsidRDefault="00235733">
      <w:pPr>
        <w:ind w:firstLine="432"/>
        <w:jc w:val="both"/>
        <w:rPr>
          <w:rFonts w:eastAsia="楷体_GB2312" w:cs="楷体_GB2312"/>
          <w:spacing w:val="3"/>
        </w:rPr>
      </w:pPr>
      <w:r>
        <w:rPr>
          <w:rFonts w:eastAsia="楷体_GB2312" w:cs="楷体_GB2312"/>
          <w:spacing w:val="3"/>
        </w:rPr>
        <w:t>生产成本：</w:t>
      </w:r>
      <w:r>
        <w:rPr>
          <w:rFonts w:eastAsia="楷体_GB2312" w:cs="楷体_GB2312"/>
          <w:spacing w:val="3"/>
        </w:rPr>
        <w:t>450570.57</w:t>
      </w:r>
      <w:r>
        <w:rPr>
          <w:rFonts w:eastAsia="楷体_GB2312" w:cs="楷体_GB2312"/>
          <w:spacing w:val="3"/>
        </w:rPr>
        <w:t>元；管理成本：</w:t>
      </w:r>
      <w:r>
        <w:rPr>
          <w:rFonts w:eastAsia="楷体_GB2312" w:cs="楷体_GB2312"/>
          <w:spacing w:val="3"/>
        </w:rPr>
        <w:t>6737.76</w:t>
      </w:r>
      <w:r>
        <w:rPr>
          <w:rFonts w:eastAsia="楷体_GB2312" w:cs="楷体_GB2312"/>
          <w:spacing w:val="3"/>
        </w:rPr>
        <w:t>元；</w:t>
      </w:r>
    </w:p>
    <w:p w:rsidR="00800760" w:rsidRDefault="00235733">
      <w:pPr>
        <w:ind w:firstLine="432"/>
        <w:jc w:val="both"/>
        <w:rPr>
          <w:rFonts w:eastAsia="楷体_GB2312" w:cs="楷体_GB2312"/>
          <w:spacing w:val="3"/>
        </w:rPr>
      </w:pPr>
      <w:r>
        <w:rPr>
          <w:rFonts w:eastAsia="楷体_GB2312" w:cs="楷体_GB2312"/>
          <w:spacing w:val="3"/>
        </w:rPr>
        <w:t>可变销售成本</w:t>
      </w:r>
      <w:r>
        <w:rPr>
          <w:rFonts w:eastAsia="楷体_GB2312" w:cs="楷体_GB2312"/>
          <w:spacing w:val="3"/>
        </w:rPr>
        <w:t>(</w:t>
      </w:r>
      <w:r>
        <w:rPr>
          <w:rFonts w:eastAsia="楷体_GB2312" w:cs="楷体_GB2312"/>
          <w:spacing w:val="3"/>
        </w:rPr>
        <w:t>如雇员福利、差旅、广告、印刷以及一般开支</w:t>
      </w:r>
      <w:r>
        <w:rPr>
          <w:rFonts w:eastAsia="楷体_GB2312" w:cs="楷体_GB2312"/>
          <w:spacing w:val="3"/>
        </w:rPr>
        <w:t>)</w:t>
      </w:r>
      <w:r>
        <w:rPr>
          <w:rFonts w:eastAsia="楷体_GB2312" w:cs="楷体_GB2312" w:hint="eastAsia"/>
          <w:spacing w:val="3"/>
        </w:rPr>
        <w:t>：</w:t>
      </w:r>
      <w:r>
        <w:rPr>
          <w:rFonts w:eastAsia="楷体_GB2312" w:cs="楷体_GB2312"/>
          <w:spacing w:val="3"/>
        </w:rPr>
        <w:t>4931.42</w:t>
      </w:r>
      <w:r>
        <w:rPr>
          <w:rFonts w:eastAsia="楷体_GB2312" w:cs="楷体_GB2312"/>
          <w:spacing w:val="3"/>
        </w:rPr>
        <w:t>元；财政支出</w:t>
      </w:r>
      <w:r>
        <w:rPr>
          <w:rFonts w:eastAsia="楷体_GB2312" w:cs="楷体_GB2312"/>
          <w:spacing w:val="3"/>
        </w:rPr>
        <w:t>(</w:t>
      </w:r>
      <w:r>
        <w:rPr>
          <w:rFonts w:eastAsia="楷体_GB2312" w:cs="楷体_GB2312"/>
          <w:spacing w:val="3"/>
        </w:rPr>
        <w:t>银行借贷利息、进口及销售侵权产品所支付的利息</w:t>
      </w:r>
      <w:r>
        <w:rPr>
          <w:rFonts w:eastAsia="楷体_GB2312" w:cs="楷体_GB2312"/>
          <w:spacing w:val="3"/>
        </w:rPr>
        <w:t>)</w:t>
      </w:r>
      <w:r>
        <w:rPr>
          <w:rFonts w:eastAsia="楷体_GB2312" w:cs="楷体_GB2312" w:hint="eastAsia"/>
          <w:spacing w:val="3"/>
        </w:rPr>
        <w:t>：</w:t>
      </w:r>
      <w:r>
        <w:rPr>
          <w:rFonts w:eastAsia="楷体_GB2312" w:cs="楷体_GB2312"/>
          <w:spacing w:val="3"/>
        </w:rPr>
        <w:t>19647.38</w:t>
      </w:r>
      <w:r>
        <w:rPr>
          <w:rFonts w:eastAsia="楷体_GB2312" w:cs="楷体_GB2312"/>
          <w:spacing w:val="3"/>
        </w:rPr>
        <w:t>元；</w:t>
      </w:r>
    </w:p>
    <w:p w:rsidR="00800760" w:rsidRDefault="00235733">
      <w:pPr>
        <w:ind w:firstLine="432"/>
        <w:jc w:val="both"/>
        <w:rPr>
          <w:rFonts w:eastAsia="楷体_GB2312" w:cs="楷体_GB2312"/>
          <w:spacing w:val="3"/>
        </w:rPr>
      </w:pPr>
      <w:r>
        <w:rPr>
          <w:rFonts w:eastAsia="楷体_GB2312" w:cs="楷体_GB2312"/>
          <w:spacing w:val="3"/>
        </w:rPr>
        <w:t>销售回扣：</w:t>
      </w:r>
      <w:r>
        <w:rPr>
          <w:rFonts w:eastAsia="楷体_GB2312" w:cs="楷体_GB2312"/>
          <w:spacing w:val="3"/>
        </w:rPr>
        <w:t>24191.33</w:t>
      </w:r>
      <w:r>
        <w:rPr>
          <w:rFonts w:eastAsia="楷体_GB2312" w:cs="楷体_GB2312"/>
          <w:spacing w:val="3"/>
        </w:rPr>
        <w:t>元；运输成本：</w:t>
      </w:r>
      <w:r>
        <w:rPr>
          <w:rFonts w:eastAsia="楷体_GB2312" w:cs="楷体_GB2312"/>
          <w:spacing w:val="3"/>
        </w:rPr>
        <w:t>1153.31</w:t>
      </w:r>
      <w:r>
        <w:rPr>
          <w:rFonts w:eastAsia="楷体_GB2312" w:cs="楷体_GB2312"/>
          <w:spacing w:val="3"/>
        </w:rPr>
        <w:t>元；</w:t>
      </w:r>
    </w:p>
    <w:p w:rsidR="00800760" w:rsidRDefault="00235733">
      <w:pPr>
        <w:ind w:firstLine="432"/>
        <w:jc w:val="both"/>
        <w:rPr>
          <w:rFonts w:eastAsia="楷体_GB2312" w:cs="楷体_GB2312"/>
          <w:spacing w:val="3"/>
        </w:rPr>
      </w:pPr>
      <w:r>
        <w:rPr>
          <w:rFonts w:eastAsia="楷体_GB2312" w:cs="楷体_GB2312"/>
          <w:spacing w:val="3"/>
        </w:rPr>
        <w:t>维修部成本</w:t>
      </w:r>
      <w:r>
        <w:rPr>
          <w:rFonts w:eastAsia="楷体_GB2312" w:cs="楷体_GB2312"/>
          <w:spacing w:val="3"/>
        </w:rPr>
        <w:t>(</w:t>
      </w:r>
      <w:r>
        <w:rPr>
          <w:rFonts w:eastAsia="楷体_GB2312" w:cs="楷体_GB2312"/>
          <w:spacing w:val="3"/>
        </w:rPr>
        <w:t>劳动、监管、航运、退货的运输、修理部件和设施</w:t>
      </w:r>
      <w:r>
        <w:rPr>
          <w:rFonts w:eastAsia="楷体_GB2312" w:cs="楷体_GB2312"/>
          <w:spacing w:val="3"/>
        </w:rPr>
        <w:t>)</w:t>
      </w:r>
      <w:r>
        <w:rPr>
          <w:rFonts w:eastAsia="楷体_GB2312" w:cs="楷体_GB2312" w:hint="eastAsia"/>
          <w:spacing w:val="3"/>
        </w:rPr>
        <w:t>：</w:t>
      </w:r>
      <w:r>
        <w:rPr>
          <w:rFonts w:eastAsia="楷体_GB2312" w:cs="楷体_GB2312"/>
          <w:spacing w:val="3"/>
        </w:rPr>
        <w:t>1466.71</w:t>
      </w:r>
      <w:r>
        <w:rPr>
          <w:rFonts w:eastAsia="楷体_GB2312" w:cs="楷体_GB2312"/>
          <w:spacing w:val="3"/>
        </w:rPr>
        <w:t>元；合作广告：</w:t>
      </w:r>
      <w:r>
        <w:rPr>
          <w:rFonts w:eastAsia="楷体_GB2312" w:cs="楷体_GB2312"/>
          <w:spacing w:val="3"/>
        </w:rPr>
        <w:t>143.80</w:t>
      </w:r>
      <w:r>
        <w:rPr>
          <w:rFonts w:eastAsia="楷体_GB2312" w:cs="楷体_GB2312"/>
          <w:spacing w:val="3"/>
        </w:rPr>
        <w:t>元。</w:t>
      </w:r>
    </w:p>
    <w:p w:rsidR="00800760" w:rsidRDefault="00235733">
      <w:pPr>
        <w:ind w:firstLine="432"/>
        <w:jc w:val="both"/>
        <w:rPr>
          <w:rFonts w:eastAsia="楷体_GB2312" w:cs="楷体_GB2312"/>
          <w:spacing w:val="3"/>
        </w:rPr>
      </w:pPr>
      <w:r>
        <w:rPr>
          <w:rFonts w:eastAsia="楷体_GB2312" w:cs="楷体_GB2312"/>
          <w:spacing w:val="3"/>
        </w:rPr>
        <w:t>(3)</w:t>
      </w:r>
      <w:r>
        <w:rPr>
          <w:rFonts w:eastAsia="楷体_GB2312" w:cs="楷体_GB2312"/>
          <w:spacing w:val="3"/>
        </w:rPr>
        <w:t>不可扣除的成本：</w:t>
      </w:r>
    </w:p>
    <w:p w:rsidR="00800760" w:rsidRDefault="00235733">
      <w:pPr>
        <w:ind w:firstLine="432"/>
        <w:jc w:val="both"/>
        <w:rPr>
          <w:rFonts w:eastAsia="楷体_GB2312" w:cs="楷体_GB2312"/>
          <w:spacing w:val="3"/>
        </w:rPr>
      </w:pPr>
      <w:r>
        <w:rPr>
          <w:rFonts w:eastAsia="楷体_GB2312" w:cs="楷体_GB2312"/>
          <w:spacing w:val="3"/>
        </w:rPr>
        <w:t>法律费用、模具成本、打印成本、生产被销毁的侵权产品的成本、海运成本。</w:t>
      </w:r>
    </w:p>
    <w:p w:rsidR="00800760" w:rsidRDefault="00235733">
      <w:pPr>
        <w:ind w:firstLine="432"/>
        <w:jc w:val="both"/>
        <w:rPr>
          <w:rFonts w:eastAsia="楷体_GB2312" w:cs="楷体_GB2312"/>
          <w:spacing w:val="3"/>
        </w:rPr>
      </w:pPr>
      <w:r>
        <w:rPr>
          <w:rFonts w:eastAsia="楷体_GB2312" w:cs="楷体_GB2312"/>
          <w:spacing w:val="3"/>
        </w:rPr>
        <w:t>(4)</w:t>
      </w:r>
      <w:r>
        <w:rPr>
          <w:rFonts w:eastAsia="楷体_GB2312" w:cs="楷体_GB2312"/>
          <w:spacing w:val="3"/>
        </w:rPr>
        <w:t>最终确定</w:t>
      </w:r>
      <w:r>
        <w:rPr>
          <w:rFonts w:eastAsia="楷体_GB2312" w:cs="楷体_GB2312"/>
          <w:spacing w:val="3"/>
        </w:rPr>
        <w:t>A</w:t>
      </w:r>
      <w:r>
        <w:rPr>
          <w:rFonts w:eastAsia="楷体_GB2312" w:cs="楷体_GB2312"/>
          <w:spacing w:val="3"/>
        </w:rPr>
        <w:t>公司的净利润额为：</w:t>
      </w:r>
      <w:r>
        <w:rPr>
          <w:rFonts w:eastAsia="楷体_GB2312" w:cs="楷体_GB2312"/>
          <w:spacing w:val="3"/>
        </w:rPr>
        <w:t>512031.02</w:t>
      </w:r>
      <w:r>
        <w:rPr>
          <w:rFonts w:eastAsia="楷体_GB2312" w:cs="楷体_GB2312"/>
          <w:spacing w:val="3"/>
        </w:rPr>
        <w:t>元。</w:t>
      </w:r>
    </w:p>
    <w:p w:rsidR="00800760" w:rsidRDefault="00235733">
      <w:pPr>
        <w:pStyle w:val="3"/>
        <w:spacing w:before="240"/>
        <w:ind w:firstLine="444"/>
        <w:rPr>
          <w:rFonts w:ascii="Times New Roman" w:hAnsi="Times New Roman"/>
        </w:rPr>
      </w:pPr>
      <w:bookmarkStart w:id="9066" w:name="_Toc7201"/>
      <w:bookmarkStart w:id="9067" w:name="_Toc3889"/>
      <w:bookmarkStart w:id="9068" w:name="_Toc8589"/>
      <w:bookmarkStart w:id="9069" w:name="_Toc31344"/>
      <w:bookmarkStart w:id="9070" w:name="_Toc14838"/>
      <w:bookmarkStart w:id="9071" w:name="_Toc20603"/>
      <w:bookmarkStart w:id="9072" w:name="_Toc28882"/>
      <w:bookmarkStart w:id="9073" w:name="_Toc27752"/>
      <w:bookmarkStart w:id="9074" w:name="_Toc639"/>
      <w:bookmarkStart w:id="9075" w:name="_Toc14501"/>
      <w:bookmarkStart w:id="9076" w:name="_Toc17678"/>
      <w:bookmarkStart w:id="9077" w:name="_Toc27604"/>
      <w:bookmarkStart w:id="9078" w:name="_Toc8546"/>
      <w:bookmarkStart w:id="9079" w:name="_Toc27925"/>
      <w:bookmarkStart w:id="9080" w:name="_Toc19223"/>
      <w:bookmarkStart w:id="9081" w:name="_Toc30242"/>
      <w:bookmarkStart w:id="9082" w:name="_Toc27632"/>
      <w:bookmarkStart w:id="9083" w:name="_Toc10890"/>
      <w:bookmarkStart w:id="9084" w:name="_Toc19775"/>
      <w:bookmarkStart w:id="9085" w:name="_Toc30495"/>
      <w:bookmarkStart w:id="9086" w:name="_Toc12765"/>
      <w:bookmarkStart w:id="9087" w:name="_Toc12880"/>
      <w:bookmarkStart w:id="9088" w:name="_Toc26477"/>
      <w:bookmarkStart w:id="9089" w:name="_Toc19341"/>
      <w:bookmarkStart w:id="9090" w:name="_Toc7188"/>
      <w:bookmarkStart w:id="9091" w:name="_Toc471"/>
      <w:bookmarkStart w:id="9092" w:name="_Toc24479"/>
      <w:bookmarkStart w:id="9093" w:name="_Toc7105"/>
      <w:bookmarkStart w:id="9094" w:name="_Toc9132"/>
      <w:bookmarkStart w:id="9095" w:name="_Toc29967"/>
      <w:bookmarkStart w:id="9096" w:name="_Toc32317"/>
      <w:bookmarkStart w:id="9097" w:name="_Toc32719"/>
      <w:bookmarkStart w:id="9098" w:name="_Toc680"/>
      <w:bookmarkStart w:id="9099" w:name="_Toc3262"/>
      <w:bookmarkStart w:id="9100" w:name="_Toc13508"/>
      <w:bookmarkStart w:id="9101" w:name="_Toc7856"/>
      <w:bookmarkStart w:id="9102" w:name="_Toc26656"/>
      <w:bookmarkStart w:id="9103" w:name="_Toc20594"/>
      <w:bookmarkStart w:id="9104" w:name="_Toc229114543"/>
      <w:bookmarkStart w:id="9105" w:name="_Toc13839"/>
      <w:bookmarkStart w:id="9106" w:name="_Toc17155"/>
      <w:bookmarkStart w:id="9107" w:name="_Toc29924"/>
      <w:bookmarkStart w:id="9108" w:name="_Toc26966"/>
      <w:bookmarkStart w:id="9109" w:name="_Toc229225639"/>
      <w:r>
        <w:rPr>
          <w:rFonts w:ascii="Times New Roman" w:hAnsi="Times New Roman"/>
        </w:rPr>
        <w:t>三、侵权人获得的利益的举证责任分配</w:t>
      </w:r>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p>
    <w:p w:rsidR="00800760" w:rsidRDefault="00235733">
      <w:pPr>
        <w:ind w:firstLine="436"/>
        <w:jc w:val="both"/>
        <w:rPr>
          <w:rFonts w:cs="宋体"/>
          <w:spacing w:val="4"/>
        </w:rPr>
      </w:pPr>
      <w:r>
        <w:rPr>
          <w:rFonts w:cs="宋体"/>
          <w:spacing w:val="4"/>
        </w:rPr>
        <w:t>原则上，权利人应当对其主张的侵权人获得的利益，以及侵权与所获利益之间存在的直接因果关系承担举证责任。</w:t>
      </w:r>
    </w:p>
    <w:p w:rsidR="00800760" w:rsidRDefault="00235733">
      <w:pPr>
        <w:ind w:firstLine="436"/>
        <w:jc w:val="both"/>
        <w:rPr>
          <w:rFonts w:cs="宋体"/>
        </w:rPr>
      </w:pPr>
      <w:r>
        <w:rPr>
          <w:rFonts w:cs="宋体"/>
          <w:spacing w:val="4"/>
        </w:rPr>
        <w:t>为确定侵权人获得的利益，在权利人已经尽力举证，但与专利侵权行为相关的账簿、资料主要由侵权人掌握的情况下，管理专利工作的部门可以责令侵权人提供与专利侵权行为相关的账簿、资料。侵权人无正当理由拒不提供或者提供虚假的账簿、资料的，可以根据权利人的主张和提供的证据认定赔偿数额。</w:t>
      </w:r>
    </w:p>
    <w:p w:rsidR="00800760" w:rsidRDefault="00235733">
      <w:pPr>
        <w:pStyle w:val="af6"/>
        <w:spacing w:before="120"/>
        <w:ind w:firstLine="420"/>
      </w:pPr>
      <w:r>
        <w:rPr>
          <w:rFonts w:hint="eastAsia"/>
        </w:rPr>
        <w:t>【案例8</w:t>
      </w:r>
      <w:r>
        <w:t>-2-7</w:t>
      </w:r>
      <w:r>
        <w:rPr>
          <w:rFonts w:hint="eastAsia"/>
        </w:rPr>
        <w:t>】</w:t>
      </w:r>
    </w:p>
    <w:p w:rsidR="00800760" w:rsidRDefault="00235733">
      <w:pPr>
        <w:ind w:firstLine="432"/>
        <w:jc w:val="both"/>
        <w:rPr>
          <w:rFonts w:eastAsia="楷体_GB2312" w:cs="楷体_GB2312"/>
          <w:spacing w:val="3"/>
        </w:rPr>
      </w:pPr>
      <w:r>
        <w:rPr>
          <w:rFonts w:eastAsia="楷体_GB2312" w:cs="楷体_GB2312"/>
          <w:spacing w:val="3"/>
        </w:rPr>
        <w:t>2012</w:t>
      </w:r>
      <w:r>
        <w:rPr>
          <w:rFonts w:eastAsia="楷体_GB2312" w:cs="楷体_GB2312"/>
          <w:spacing w:val="3"/>
        </w:rPr>
        <w:t>年</w:t>
      </w:r>
      <w:r>
        <w:rPr>
          <w:rFonts w:eastAsia="楷体_GB2312" w:cs="楷体_GB2312"/>
          <w:spacing w:val="3"/>
        </w:rPr>
        <w:t>8</w:t>
      </w:r>
      <w:r>
        <w:rPr>
          <w:rFonts w:eastAsia="楷体_GB2312" w:cs="楷体_GB2312"/>
          <w:spacing w:val="3"/>
        </w:rPr>
        <w:t>月，</w:t>
      </w:r>
      <w:r>
        <w:rPr>
          <w:rFonts w:eastAsia="楷体_GB2312" w:cs="楷体_GB2312"/>
          <w:spacing w:val="3"/>
        </w:rPr>
        <w:t>A</w:t>
      </w:r>
      <w:r>
        <w:rPr>
          <w:rFonts w:eastAsia="楷体_GB2312" w:cs="楷体_GB2312"/>
          <w:spacing w:val="3"/>
        </w:rPr>
        <w:t>公司以侵犯专利权为由，要求</w:t>
      </w:r>
      <w:r>
        <w:rPr>
          <w:rFonts w:eastAsia="楷体_GB2312" w:cs="楷体_GB2312"/>
          <w:spacing w:val="3"/>
        </w:rPr>
        <w:t>B</w:t>
      </w:r>
      <w:r>
        <w:rPr>
          <w:rFonts w:eastAsia="楷体_GB2312" w:cs="楷体_GB2312"/>
          <w:spacing w:val="3"/>
        </w:rPr>
        <w:t>公司停止生产被控侵权产品，并赔偿损失</w:t>
      </w:r>
      <w:r>
        <w:rPr>
          <w:rFonts w:eastAsia="楷体_GB2312" w:cs="楷体_GB2312"/>
          <w:spacing w:val="3"/>
        </w:rPr>
        <w:t>100</w:t>
      </w:r>
      <w:r>
        <w:rPr>
          <w:rFonts w:eastAsia="楷体_GB2312" w:cs="楷体_GB2312"/>
          <w:spacing w:val="3"/>
        </w:rPr>
        <w:t>万元。经查明，指定的会计师事务所出具的审计报告核定了</w:t>
      </w:r>
      <w:r>
        <w:rPr>
          <w:rFonts w:eastAsia="楷体_GB2312" w:cs="楷体_GB2312"/>
          <w:spacing w:val="3"/>
        </w:rPr>
        <w:t>B</w:t>
      </w:r>
      <w:r>
        <w:rPr>
          <w:rFonts w:eastAsia="楷体_GB2312" w:cs="楷体_GB2312"/>
          <w:spacing w:val="3"/>
        </w:rPr>
        <w:t>公司的销售额，但该审计报告没有确定</w:t>
      </w:r>
      <w:r>
        <w:rPr>
          <w:rFonts w:eastAsia="楷体_GB2312" w:cs="楷体_GB2312"/>
          <w:spacing w:val="3"/>
        </w:rPr>
        <w:t>B</w:t>
      </w:r>
      <w:r>
        <w:rPr>
          <w:rFonts w:eastAsia="楷体_GB2312" w:cs="楷体_GB2312"/>
          <w:spacing w:val="3"/>
        </w:rPr>
        <w:t>公司的实际利润。</w:t>
      </w:r>
      <w:r>
        <w:rPr>
          <w:rFonts w:eastAsia="楷体_GB2312" w:cs="楷体_GB2312"/>
          <w:spacing w:val="3"/>
        </w:rPr>
        <w:t>A</w:t>
      </w:r>
      <w:r>
        <w:rPr>
          <w:rFonts w:eastAsia="楷体_GB2312" w:cs="楷体_GB2312"/>
          <w:spacing w:val="3"/>
        </w:rPr>
        <w:t>公司根据有关证据主张</w:t>
      </w:r>
      <w:r>
        <w:rPr>
          <w:rFonts w:eastAsia="楷体_GB2312" w:cs="楷体_GB2312"/>
          <w:spacing w:val="3"/>
        </w:rPr>
        <w:t>B</w:t>
      </w:r>
      <w:r>
        <w:rPr>
          <w:rFonts w:eastAsia="楷体_GB2312" w:cs="楷体_GB2312"/>
          <w:spacing w:val="3"/>
        </w:rPr>
        <w:t>公司的利润率在</w:t>
      </w:r>
      <w:r>
        <w:rPr>
          <w:rFonts w:eastAsia="楷体_GB2312" w:cs="楷体_GB2312"/>
          <w:spacing w:val="3"/>
        </w:rPr>
        <w:t>20%</w:t>
      </w:r>
      <w:r>
        <w:rPr>
          <w:rFonts w:eastAsia="楷体_GB2312" w:cs="楷体_GB2312"/>
          <w:spacing w:val="3"/>
        </w:rPr>
        <w:t>以上，遂增加索赔额至</w:t>
      </w:r>
      <w:r>
        <w:rPr>
          <w:rFonts w:eastAsia="楷体_GB2312" w:cs="楷体_GB2312"/>
          <w:spacing w:val="3"/>
        </w:rPr>
        <w:t>230</w:t>
      </w:r>
      <w:r>
        <w:rPr>
          <w:rFonts w:eastAsia="楷体_GB2312" w:cs="楷体_GB2312"/>
          <w:spacing w:val="3"/>
        </w:rPr>
        <w:t>万元。</w:t>
      </w:r>
    </w:p>
    <w:p w:rsidR="00800760" w:rsidRDefault="00235733">
      <w:pPr>
        <w:ind w:firstLine="432"/>
        <w:jc w:val="both"/>
        <w:rPr>
          <w:rFonts w:eastAsia="楷体" w:cs="楷体"/>
        </w:rPr>
      </w:pPr>
      <w:r>
        <w:rPr>
          <w:rFonts w:eastAsia="楷体_GB2312" w:cs="楷体_GB2312" w:hint="eastAsia"/>
          <w:spacing w:val="3"/>
        </w:rPr>
        <w:t>处理</w:t>
      </w:r>
      <w:r>
        <w:rPr>
          <w:rFonts w:eastAsia="楷体_GB2312" w:cs="楷体_GB2312"/>
          <w:spacing w:val="3"/>
        </w:rPr>
        <w:t>部门认为，可以根据</w:t>
      </w:r>
      <w:r>
        <w:rPr>
          <w:rFonts w:eastAsia="楷体_GB2312" w:cs="楷体_GB2312"/>
          <w:spacing w:val="3"/>
        </w:rPr>
        <w:t>B</w:t>
      </w:r>
      <w:r>
        <w:rPr>
          <w:rFonts w:eastAsia="楷体_GB2312" w:cs="楷体_GB2312"/>
          <w:spacing w:val="3"/>
        </w:rPr>
        <w:t>公司于</w:t>
      </w:r>
      <w:r>
        <w:rPr>
          <w:rFonts w:eastAsia="楷体_GB2312" w:cs="楷体_GB2312"/>
          <w:spacing w:val="3"/>
        </w:rPr>
        <w:t>2010</w:t>
      </w:r>
      <w:r>
        <w:rPr>
          <w:rFonts w:eastAsia="楷体_GB2312" w:cs="楷体_GB2312"/>
          <w:spacing w:val="3"/>
        </w:rPr>
        <w:t>年</w:t>
      </w:r>
      <w:r>
        <w:rPr>
          <w:rFonts w:eastAsia="楷体_GB2312" w:cs="楷体_GB2312"/>
          <w:spacing w:val="3"/>
        </w:rPr>
        <w:t>8</w:t>
      </w:r>
      <w:r>
        <w:rPr>
          <w:rFonts w:eastAsia="楷体_GB2312" w:cs="楷体_GB2312"/>
          <w:spacing w:val="3"/>
        </w:rPr>
        <w:t>月至</w:t>
      </w:r>
      <w:r>
        <w:rPr>
          <w:rFonts w:eastAsia="楷体_GB2312" w:cs="楷体_GB2312"/>
          <w:spacing w:val="3"/>
        </w:rPr>
        <w:t>2012</w:t>
      </w:r>
      <w:r>
        <w:rPr>
          <w:rFonts w:eastAsia="楷体_GB2312" w:cs="楷体_GB2312"/>
          <w:spacing w:val="3"/>
        </w:rPr>
        <w:t>年</w:t>
      </w:r>
      <w:r>
        <w:rPr>
          <w:rFonts w:eastAsia="楷体_GB2312" w:cs="楷体_GB2312"/>
          <w:spacing w:val="3"/>
        </w:rPr>
        <w:t>7</w:t>
      </w:r>
      <w:r>
        <w:rPr>
          <w:rFonts w:eastAsia="楷体_GB2312" w:cs="楷体_GB2312"/>
          <w:spacing w:val="3"/>
        </w:rPr>
        <w:t>月期间销售侵权产品所获得的营业利润来确定赔偿数额，该营业利润可以根据各时间段的侵权产品销售额乘以该时间段的营业利润率所得之积计算。因</w:t>
      </w:r>
      <w:r>
        <w:rPr>
          <w:rFonts w:eastAsia="楷体_GB2312" w:cs="楷体_GB2312"/>
          <w:spacing w:val="3"/>
        </w:rPr>
        <w:t>B</w:t>
      </w:r>
      <w:r>
        <w:rPr>
          <w:rFonts w:eastAsia="楷体_GB2312" w:cs="楷体_GB2312"/>
          <w:spacing w:val="3"/>
        </w:rPr>
        <w:t>公司拒绝提供成本账目，无法直接得出</w:t>
      </w:r>
      <w:r>
        <w:rPr>
          <w:rFonts w:eastAsia="楷体_GB2312" w:cs="楷体_GB2312"/>
          <w:spacing w:val="3"/>
        </w:rPr>
        <w:t>B</w:t>
      </w:r>
      <w:r>
        <w:rPr>
          <w:rFonts w:eastAsia="楷体_GB2312" w:cs="楷体_GB2312"/>
          <w:spacing w:val="3"/>
        </w:rPr>
        <w:t>公司销售涉案侵权产品的营业利润率，故可将</w:t>
      </w:r>
      <w:r>
        <w:rPr>
          <w:rFonts w:eastAsia="楷体_GB2312" w:cs="楷体_GB2312"/>
          <w:spacing w:val="3"/>
        </w:rPr>
        <w:t>B</w:t>
      </w:r>
      <w:r>
        <w:rPr>
          <w:rFonts w:eastAsia="楷体_GB2312" w:cs="楷体_GB2312"/>
          <w:spacing w:val="3"/>
        </w:rPr>
        <w:t>公司销售全部产品的平均营业利润率认定为可作计算依据的营业利润率，得出</w:t>
      </w:r>
      <w:r>
        <w:rPr>
          <w:rFonts w:eastAsia="楷体_GB2312" w:cs="楷体_GB2312"/>
          <w:spacing w:val="3"/>
        </w:rPr>
        <w:t>350</w:t>
      </w:r>
      <w:r>
        <w:rPr>
          <w:rFonts w:eastAsia="楷体_GB2312" w:cs="楷体_GB2312"/>
          <w:spacing w:val="3"/>
        </w:rPr>
        <w:t>万元的侵权所获利益数额。由于这一数额高于</w:t>
      </w:r>
      <w:r>
        <w:rPr>
          <w:rFonts w:eastAsia="楷体_GB2312" w:cs="楷体_GB2312"/>
          <w:spacing w:val="3"/>
        </w:rPr>
        <w:t>A</w:t>
      </w:r>
      <w:r>
        <w:rPr>
          <w:rFonts w:eastAsia="楷体_GB2312" w:cs="楷体_GB2312"/>
          <w:spacing w:val="3"/>
        </w:rPr>
        <w:t>公司请求的</w:t>
      </w:r>
      <w:r>
        <w:rPr>
          <w:rFonts w:eastAsia="楷体_GB2312" w:cs="楷体_GB2312"/>
          <w:spacing w:val="3"/>
        </w:rPr>
        <w:t>230</w:t>
      </w:r>
      <w:r>
        <w:rPr>
          <w:rFonts w:eastAsia="楷体_GB2312" w:cs="楷体_GB2312"/>
          <w:spacing w:val="3"/>
        </w:rPr>
        <w:t>万元，故以</w:t>
      </w:r>
      <w:r>
        <w:rPr>
          <w:rFonts w:eastAsia="楷体_GB2312" w:cs="楷体_GB2312"/>
          <w:spacing w:val="3"/>
        </w:rPr>
        <w:t>A</w:t>
      </w:r>
      <w:r>
        <w:rPr>
          <w:rFonts w:eastAsia="楷体_GB2312" w:cs="楷体_GB2312"/>
          <w:spacing w:val="3"/>
        </w:rPr>
        <w:t>公司主张的赔偿数额为依据，确定</w:t>
      </w:r>
      <w:r>
        <w:rPr>
          <w:rFonts w:eastAsia="楷体_GB2312" w:cs="楷体_GB2312"/>
          <w:spacing w:val="3"/>
        </w:rPr>
        <w:t>B</w:t>
      </w:r>
      <w:r>
        <w:rPr>
          <w:rFonts w:eastAsia="楷体_GB2312" w:cs="楷体_GB2312"/>
          <w:spacing w:val="3"/>
        </w:rPr>
        <w:t>公司的赔偿数额为</w:t>
      </w:r>
      <w:r>
        <w:rPr>
          <w:rFonts w:eastAsia="楷体_GB2312" w:cs="楷体_GB2312"/>
          <w:spacing w:val="3"/>
        </w:rPr>
        <w:t>230</w:t>
      </w:r>
      <w:r>
        <w:rPr>
          <w:rFonts w:eastAsia="楷体_GB2312" w:cs="楷体_GB2312"/>
          <w:spacing w:val="3"/>
        </w:rPr>
        <w:t>万元。</w:t>
      </w:r>
    </w:p>
    <w:p w:rsidR="00800760" w:rsidRDefault="00235733">
      <w:pPr>
        <w:pStyle w:val="af6"/>
        <w:spacing w:before="120"/>
        <w:ind w:firstLine="420"/>
      </w:pPr>
      <w:r>
        <w:rPr>
          <w:rFonts w:hint="eastAsia"/>
        </w:rPr>
        <w:t>【案例8-</w:t>
      </w:r>
      <w:r>
        <w:t>2-8</w:t>
      </w:r>
      <w:r>
        <w:rPr>
          <w:rFonts w:hint="eastAsia"/>
        </w:rPr>
        <w:t>】</w:t>
      </w:r>
    </w:p>
    <w:p w:rsidR="00800760" w:rsidRDefault="00235733" w:rsidP="00144708">
      <w:pPr>
        <w:pStyle w:val="a5"/>
        <w:spacing w:line="353" w:lineRule="auto"/>
        <w:ind w:firstLine="432"/>
      </w:pPr>
      <w:r>
        <w:rPr>
          <w:rFonts w:eastAsia="楷体_GB2312" w:cs="楷体_GB2312"/>
          <w:spacing w:val="3"/>
        </w:rPr>
        <w:t>某公司涉嫌侵犯某太阳能研究所的专利权。</w:t>
      </w:r>
      <w:r>
        <w:rPr>
          <w:rFonts w:eastAsia="楷体_GB2312" w:cs="楷体_GB2312" w:hint="eastAsia"/>
          <w:spacing w:val="3"/>
        </w:rPr>
        <w:t>处理</w:t>
      </w:r>
      <w:r>
        <w:rPr>
          <w:rFonts w:eastAsia="楷体_GB2312" w:cs="楷体_GB2312"/>
          <w:spacing w:val="3"/>
        </w:rPr>
        <w:t>部门认为，由于某公司没有在规定的期限内提交自己生产、销售侵权产品的财务资料，因此视为其放弃了对某太阳能研究所提出的赔偿数额的抗辩权，最终参考某太阳能研究所的主张，确定了赔偿数额。</w:t>
      </w:r>
    </w:p>
    <w:p w:rsidR="00800760" w:rsidRDefault="00235733">
      <w:pPr>
        <w:pStyle w:val="2"/>
        <w:spacing w:before="91"/>
        <w:ind w:firstLineChars="0" w:firstLine="0"/>
        <w:rPr>
          <w:rFonts w:ascii="Times New Roman" w:hAnsi="Times New Roman"/>
        </w:rPr>
      </w:pPr>
      <w:bookmarkStart w:id="9110" w:name="bookmark224"/>
      <w:bookmarkStart w:id="9111" w:name="_Toc6417"/>
      <w:bookmarkStart w:id="9112" w:name="_Toc67"/>
      <w:bookmarkStart w:id="9113" w:name="_Toc16343"/>
      <w:bookmarkStart w:id="9114" w:name="_Toc19974"/>
      <w:bookmarkStart w:id="9115" w:name="_Toc30645"/>
      <w:bookmarkStart w:id="9116" w:name="_Toc8210"/>
      <w:bookmarkStart w:id="9117" w:name="_Toc26517"/>
      <w:bookmarkStart w:id="9118" w:name="_Toc17478"/>
      <w:bookmarkStart w:id="9119" w:name="_Toc1636"/>
      <w:bookmarkStart w:id="9120" w:name="_Toc29603"/>
      <w:bookmarkStart w:id="9121" w:name="_Toc21878"/>
      <w:bookmarkStart w:id="9122" w:name="_Toc12882"/>
      <w:bookmarkStart w:id="9123" w:name="_Toc14606"/>
      <w:bookmarkStart w:id="9124" w:name="_Toc7585"/>
      <w:bookmarkStart w:id="9125" w:name="_Toc21342"/>
      <w:bookmarkStart w:id="9126" w:name="_Toc16988"/>
      <w:bookmarkStart w:id="9127" w:name="_Toc2798"/>
      <w:bookmarkStart w:id="9128" w:name="_Toc22640"/>
      <w:bookmarkStart w:id="9129" w:name="_Toc82"/>
      <w:bookmarkStart w:id="9130" w:name="_Toc17194"/>
      <w:bookmarkStart w:id="9131" w:name="_Toc19524"/>
      <w:bookmarkStart w:id="9132" w:name="_Toc22586"/>
      <w:bookmarkStart w:id="9133" w:name="_Toc19921"/>
      <w:bookmarkStart w:id="9134" w:name="_Toc29341"/>
      <w:bookmarkStart w:id="9135" w:name="_Toc21825"/>
      <w:bookmarkStart w:id="9136" w:name="_Toc8760"/>
      <w:bookmarkStart w:id="9137" w:name="_Toc11152"/>
      <w:bookmarkStart w:id="9138" w:name="_Toc28563"/>
      <w:bookmarkStart w:id="9139" w:name="_Toc8158"/>
      <w:bookmarkStart w:id="9140" w:name="_Toc21778"/>
      <w:bookmarkStart w:id="9141" w:name="_Toc229114544"/>
      <w:bookmarkStart w:id="9142" w:name="_Toc3355"/>
      <w:bookmarkStart w:id="9143" w:name="_Toc12383"/>
      <w:bookmarkStart w:id="9144" w:name="_Toc5743"/>
      <w:bookmarkStart w:id="9145" w:name="_Toc14308"/>
      <w:bookmarkStart w:id="9146" w:name="_Toc13745"/>
      <w:bookmarkStart w:id="9147" w:name="_Toc22816"/>
      <w:bookmarkStart w:id="9148" w:name="_Toc3168"/>
      <w:bookmarkStart w:id="9149" w:name="_Toc22485"/>
      <w:bookmarkStart w:id="9150" w:name="_Toc22823"/>
      <w:bookmarkStart w:id="9151" w:name="_Toc19876"/>
      <w:bookmarkStart w:id="9152" w:name="_Toc10943"/>
      <w:bookmarkStart w:id="9153" w:name="_Toc12965"/>
      <w:bookmarkStart w:id="9154" w:name="_Toc229225640"/>
      <w:bookmarkEnd w:id="9110"/>
      <w:r>
        <w:rPr>
          <w:rFonts w:ascii="Times New Roman" w:hAnsi="Times New Roman"/>
        </w:rPr>
        <w:t>第三节</w:t>
      </w:r>
      <w:r>
        <w:rPr>
          <w:rFonts w:ascii="Times New Roman" w:hAnsi="Times New Roman" w:hint="eastAsia"/>
        </w:rPr>
        <w:t xml:space="preserve">　</w:t>
      </w:r>
      <w:r>
        <w:rPr>
          <w:rFonts w:ascii="Times New Roman" w:hAnsi="Times New Roman"/>
        </w:rPr>
        <w:t>专利许可使用费的合理倍数</w:t>
      </w:r>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p>
    <w:p w:rsidR="00800760" w:rsidRDefault="00235733">
      <w:pPr>
        <w:ind w:firstLine="436"/>
        <w:jc w:val="both"/>
        <w:rPr>
          <w:rFonts w:cs="宋体"/>
        </w:rPr>
      </w:pPr>
      <w:r>
        <w:rPr>
          <w:rFonts w:cs="宋体"/>
          <w:spacing w:val="4"/>
        </w:rPr>
        <w:t>专利许可使用费是指侵权行为发生时或相近时期，权利人许可他人实施其专利获</w:t>
      </w:r>
      <w:r>
        <w:rPr>
          <w:rFonts w:cs="宋体"/>
          <w:spacing w:val="3"/>
        </w:rPr>
        <w:t>得的报酬。在参照专利许可使用费的倍数为依据确定侵权赔偿数额时，侵权赔偿数额通常为专利许可使用费的</w:t>
      </w:r>
      <w:r>
        <w:rPr>
          <w:rFonts w:cs="宋体"/>
          <w:spacing w:val="3"/>
        </w:rPr>
        <w:t>1~</w:t>
      </w:r>
      <w:r>
        <w:rPr>
          <w:rFonts w:cs="宋体" w:hint="eastAsia"/>
          <w:spacing w:val="3"/>
        </w:rPr>
        <w:t>3</w:t>
      </w:r>
      <w:r>
        <w:rPr>
          <w:rFonts w:cs="宋体"/>
          <w:spacing w:val="3"/>
        </w:rPr>
        <w:t>倍</w:t>
      </w:r>
      <w:r>
        <w:rPr>
          <w:rFonts w:cs="宋体"/>
          <w:spacing w:val="10"/>
        </w:rPr>
        <w:t>。</w:t>
      </w:r>
    </w:p>
    <w:p w:rsidR="00800760" w:rsidRDefault="00235733" w:rsidP="00235733">
      <w:pPr>
        <w:pStyle w:val="3"/>
        <w:spacing w:before="240"/>
        <w:ind w:firstLineChars="190" w:firstLine="422"/>
        <w:rPr>
          <w:rFonts w:ascii="Times New Roman" w:hAnsi="Times New Roman"/>
        </w:rPr>
      </w:pPr>
      <w:bookmarkStart w:id="9155" w:name="_Toc229114545"/>
      <w:bookmarkStart w:id="9156" w:name="_Toc12513"/>
      <w:bookmarkStart w:id="9157" w:name="_Toc13651"/>
      <w:bookmarkStart w:id="9158" w:name="_Toc29817"/>
      <w:bookmarkStart w:id="9159" w:name="_Toc9366"/>
      <w:bookmarkStart w:id="9160" w:name="_Toc24625"/>
      <w:bookmarkStart w:id="9161" w:name="_Toc4117"/>
      <w:bookmarkStart w:id="9162" w:name="_Toc18073"/>
      <w:bookmarkStart w:id="9163" w:name="_Toc1064"/>
      <w:bookmarkStart w:id="9164" w:name="_Toc17718"/>
      <w:bookmarkStart w:id="9165" w:name="_Toc23627"/>
      <w:bookmarkStart w:id="9166" w:name="_Toc30362"/>
      <w:bookmarkStart w:id="9167" w:name="_Toc229225641"/>
      <w:r>
        <w:rPr>
          <w:rFonts w:ascii="Times New Roman" w:hAnsi="Times New Roman" w:hint="eastAsia"/>
        </w:rPr>
        <w:t>一、许可使用费的确定</w:t>
      </w:r>
      <w:bookmarkEnd w:id="9155"/>
      <w:bookmarkEnd w:id="9156"/>
      <w:bookmarkEnd w:id="9157"/>
      <w:bookmarkEnd w:id="9158"/>
      <w:bookmarkEnd w:id="9159"/>
      <w:bookmarkEnd w:id="9160"/>
      <w:bookmarkEnd w:id="9161"/>
      <w:bookmarkEnd w:id="9162"/>
      <w:bookmarkEnd w:id="9163"/>
      <w:bookmarkEnd w:id="9164"/>
      <w:bookmarkEnd w:id="9165"/>
      <w:bookmarkEnd w:id="9166"/>
      <w:bookmarkEnd w:id="9167"/>
    </w:p>
    <w:p w:rsidR="00800760" w:rsidRDefault="00235733">
      <w:pPr>
        <w:ind w:firstLine="436"/>
        <w:jc w:val="both"/>
        <w:rPr>
          <w:rFonts w:cs="宋体"/>
          <w:spacing w:val="4"/>
        </w:rPr>
      </w:pPr>
      <w:r>
        <w:rPr>
          <w:rFonts w:cs="宋体"/>
          <w:spacing w:val="4"/>
        </w:rPr>
        <w:t>权利人提供的向国家知识产权局备案的专利实施许可合同约定的许可使用费，通常可以直接认定为专利许可使用费。同一时期存在多项许可使用费的，按照许可使用费的平均值计算赔偿数额。</w:t>
      </w:r>
    </w:p>
    <w:p w:rsidR="00800760" w:rsidRDefault="00235733">
      <w:pPr>
        <w:pStyle w:val="af6"/>
        <w:spacing w:before="120"/>
        <w:ind w:firstLine="420"/>
      </w:pPr>
      <w:r>
        <w:rPr>
          <w:rFonts w:hint="eastAsia"/>
        </w:rPr>
        <w:t>【案例8-</w:t>
      </w:r>
      <w:r>
        <w:t>3-1</w:t>
      </w:r>
      <w:r>
        <w:rPr>
          <w:rFonts w:hint="eastAsia"/>
        </w:rPr>
        <w:t>】</w:t>
      </w:r>
    </w:p>
    <w:p w:rsidR="00800760" w:rsidRDefault="00235733">
      <w:pPr>
        <w:ind w:firstLine="432"/>
        <w:jc w:val="both"/>
        <w:rPr>
          <w:rFonts w:eastAsia="楷体_GB2312" w:cs="楷体_GB2312"/>
          <w:spacing w:val="3"/>
        </w:rPr>
      </w:pPr>
      <w:r>
        <w:rPr>
          <w:rFonts w:eastAsia="楷体_GB2312" w:cs="楷体_GB2312"/>
          <w:spacing w:val="3"/>
        </w:rPr>
        <w:t>A</w:t>
      </w:r>
      <w:r>
        <w:rPr>
          <w:rFonts w:eastAsia="楷体_GB2312" w:cs="楷体_GB2312"/>
          <w:spacing w:val="3"/>
        </w:rPr>
        <w:t>公司自</w:t>
      </w:r>
      <w:r>
        <w:rPr>
          <w:rFonts w:eastAsia="楷体_GB2312" w:cs="楷体_GB2312"/>
          <w:spacing w:val="3"/>
        </w:rPr>
        <w:t>2010</w:t>
      </w:r>
      <w:r>
        <w:rPr>
          <w:rFonts w:eastAsia="楷体_GB2312" w:cs="楷体_GB2312"/>
          <w:spacing w:val="3"/>
        </w:rPr>
        <w:t>年</w:t>
      </w:r>
      <w:r>
        <w:rPr>
          <w:rFonts w:eastAsia="楷体_GB2312" w:cs="楷体_GB2312"/>
          <w:spacing w:val="3"/>
        </w:rPr>
        <w:t>10</w:t>
      </w:r>
      <w:r>
        <w:rPr>
          <w:rFonts w:eastAsia="楷体_GB2312" w:cs="楷体_GB2312"/>
          <w:spacing w:val="3"/>
        </w:rPr>
        <w:t>月起取得了</w:t>
      </w:r>
      <w:r>
        <w:rPr>
          <w:rFonts w:eastAsia="楷体_GB2312" w:cs="楷体_GB2312"/>
          <w:spacing w:val="3"/>
        </w:rPr>
        <w:t>B</w:t>
      </w:r>
      <w:r>
        <w:rPr>
          <w:rFonts w:eastAsia="楷体_GB2312" w:cs="楷体_GB2312"/>
          <w:spacing w:val="3"/>
        </w:rPr>
        <w:t>公司</w:t>
      </w:r>
      <w:r>
        <w:rPr>
          <w:rFonts w:eastAsia="楷体_GB2312" w:cs="楷体_GB2312"/>
          <w:spacing w:val="3"/>
        </w:rPr>
        <w:t>“</w:t>
      </w:r>
      <w:r>
        <w:rPr>
          <w:rFonts w:eastAsia="楷体_GB2312" w:cs="楷体_GB2312"/>
          <w:spacing w:val="3"/>
        </w:rPr>
        <w:t>液体分配器</w:t>
      </w:r>
      <w:r>
        <w:rPr>
          <w:rFonts w:eastAsia="楷体_GB2312" w:cs="楷体_GB2312"/>
          <w:spacing w:val="3"/>
        </w:rPr>
        <w:t>”</w:t>
      </w:r>
      <w:r>
        <w:rPr>
          <w:rFonts w:eastAsia="楷体_GB2312" w:cs="楷体_GB2312"/>
          <w:spacing w:val="3"/>
        </w:rPr>
        <w:t>外观设计专利的独占实施许可权，并于</w:t>
      </w:r>
      <w:r>
        <w:rPr>
          <w:rFonts w:eastAsia="楷体_GB2312" w:cs="楷体_GB2312"/>
          <w:spacing w:val="3"/>
        </w:rPr>
        <w:t>2011</w:t>
      </w:r>
      <w:r>
        <w:rPr>
          <w:rFonts w:eastAsia="楷体_GB2312" w:cs="楷体_GB2312"/>
          <w:spacing w:val="3"/>
        </w:rPr>
        <w:t>年</w:t>
      </w:r>
      <w:r>
        <w:rPr>
          <w:rFonts w:eastAsia="楷体_GB2312" w:cs="楷体_GB2312"/>
          <w:spacing w:val="3"/>
        </w:rPr>
        <w:t>1</w:t>
      </w:r>
      <w:r>
        <w:rPr>
          <w:rFonts w:eastAsia="楷体_GB2312" w:cs="楷体_GB2312"/>
          <w:spacing w:val="3"/>
        </w:rPr>
        <w:t>月</w:t>
      </w:r>
      <w:r>
        <w:rPr>
          <w:rFonts w:eastAsia="楷体_GB2312" w:cs="楷体_GB2312"/>
          <w:spacing w:val="3"/>
        </w:rPr>
        <w:t>12</w:t>
      </w:r>
      <w:r>
        <w:rPr>
          <w:rFonts w:eastAsia="楷体_GB2312" w:cs="楷体_GB2312"/>
          <w:spacing w:val="3"/>
        </w:rPr>
        <w:t>日在国家知识产权局对该专利的独占许可进行了备案，许可期限至</w:t>
      </w:r>
      <w:r>
        <w:rPr>
          <w:rFonts w:eastAsia="楷体_GB2312" w:cs="楷体_GB2312"/>
          <w:spacing w:val="3"/>
        </w:rPr>
        <w:t>2015</w:t>
      </w:r>
      <w:r>
        <w:rPr>
          <w:rFonts w:eastAsia="楷体_GB2312" w:cs="楷体_GB2312"/>
          <w:spacing w:val="3"/>
        </w:rPr>
        <w:t>年</w:t>
      </w:r>
      <w:r>
        <w:rPr>
          <w:rFonts w:eastAsia="楷体_GB2312" w:cs="楷体_GB2312"/>
          <w:spacing w:val="3"/>
        </w:rPr>
        <w:t>10</w:t>
      </w:r>
      <w:r>
        <w:rPr>
          <w:rFonts w:eastAsia="楷体_GB2312" w:cs="楷体_GB2312"/>
          <w:spacing w:val="3"/>
        </w:rPr>
        <w:t>月</w:t>
      </w:r>
      <w:r>
        <w:rPr>
          <w:rFonts w:eastAsia="楷体_GB2312" w:cs="楷体_GB2312"/>
          <w:spacing w:val="3"/>
        </w:rPr>
        <w:t>11</w:t>
      </w:r>
      <w:r>
        <w:rPr>
          <w:rFonts w:eastAsia="楷体_GB2312" w:cs="楷体_GB2312"/>
          <w:spacing w:val="3"/>
        </w:rPr>
        <w:t>日，许可费为</w:t>
      </w:r>
      <w:r>
        <w:rPr>
          <w:rFonts w:eastAsia="楷体_GB2312" w:cs="楷体_GB2312"/>
          <w:spacing w:val="3"/>
        </w:rPr>
        <w:t>5</w:t>
      </w:r>
      <w:r>
        <w:rPr>
          <w:rFonts w:eastAsia="楷体_GB2312" w:cs="楷体_GB2312"/>
          <w:spacing w:val="3"/>
        </w:rPr>
        <w:t>万美元加上每季度销售额的</w:t>
      </w:r>
      <w:r>
        <w:rPr>
          <w:rFonts w:eastAsia="楷体_GB2312" w:cs="楷体_GB2312"/>
          <w:spacing w:val="3"/>
        </w:rPr>
        <w:t>5%</w:t>
      </w:r>
      <w:r>
        <w:rPr>
          <w:rFonts w:eastAsia="楷体_GB2312" w:cs="楷体_GB2312"/>
          <w:spacing w:val="3"/>
        </w:rPr>
        <w:t>。后</w:t>
      </w:r>
      <w:r>
        <w:rPr>
          <w:rFonts w:eastAsia="楷体_GB2312" w:cs="楷体_GB2312"/>
          <w:spacing w:val="3"/>
        </w:rPr>
        <w:t>A</w:t>
      </w:r>
      <w:r>
        <w:rPr>
          <w:rFonts w:eastAsia="楷体_GB2312" w:cs="楷体_GB2312"/>
          <w:spacing w:val="3"/>
        </w:rPr>
        <w:t>公司发现</w:t>
      </w:r>
      <w:r>
        <w:rPr>
          <w:rFonts w:eastAsia="楷体_GB2312" w:cs="楷体_GB2312" w:hint="eastAsia"/>
          <w:spacing w:val="3"/>
        </w:rPr>
        <w:t>甲</w:t>
      </w:r>
      <w:r>
        <w:rPr>
          <w:rFonts w:eastAsia="楷体_GB2312" w:cs="楷体_GB2312"/>
          <w:spacing w:val="3"/>
        </w:rPr>
        <w:t>生产、销售的产品涉嫌侵权。</w:t>
      </w:r>
    </w:p>
    <w:p w:rsidR="00800760" w:rsidRDefault="00235733">
      <w:pPr>
        <w:ind w:firstLine="432"/>
        <w:jc w:val="both"/>
        <w:rPr>
          <w:rFonts w:eastAsia="楷体_GB2312" w:cs="楷体_GB2312"/>
          <w:spacing w:val="3"/>
        </w:rPr>
      </w:pPr>
      <w:r>
        <w:rPr>
          <w:rFonts w:eastAsia="楷体_GB2312" w:cs="楷体_GB2312"/>
          <w:spacing w:val="3"/>
        </w:rPr>
        <w:t>在举证过程中，</w:t>
      </w:r>
      <w:r>
        <w:rPr>
          <w:rFonts w:eastAsia="楷体_GB2312" w:cs="楷体_GB2312"/>
          <w:spacing w:val="3"/>
        </w:rPr>
        <w:t>A</w:t>
      </w:r>
      <w:r>
        <w:rPr>
          <w:rFonts w:eastAsia="楷体_GB2312" w:cs="楷体_GB2312"/>
          <w:spacing w:val="3"/>
        </w:rPr>
        <w:t>公司提供了向国家知识产权局备案的上述专利实施许可协议，并参照其中确定的专利许可使用费，主张侵权人</w:t>
      </w:r>
      <w:r>
        <w:rPr>
          <w:rFonts w:eastAsia="楷体_GB2312" w:cs="楷体_GB2312" w:hint="eastAsia"/>
          <w:spacing w:val="3"/>
        </w:rPr>
        <w:t>甲</w:t>
      </w:r>
      <w:r>
        <w:rPr>
          <w:rFonts w:eastAsia="楷体_GB2312" w:cs="楷体_GB2312"/>
          <w:spacing w:val="3"/>
        </w:rPr>
        <w:t>应当向其赔偿</w:t>
      </w:r>
      <w:r>
        <w:rPr>
          <w:rFonts w:eastAsia="楷体_GB2312" w:cs="楷体_GB2312"/>
          <w:spacing w:val="3"/>
        </w:rPr>
        <w:t>15</w:t>
      </w:r>
      <w:r>
        <w:rPr>
          <w:rFonts w:eastAsia="楷体_GB2312" w:cs="楷体_GB2312"/>
          <w:spacing w:val="3"/>
        </w:rPr>
        <w:t>万元人民币。</w:t>
      </w:r>
      <w:r>
        <w:rPr>
          <w:rFonts w:eastAsia="楷体_GB2312" w:cs="楷体_GB2312"/>
          <w:spacing w:val="3"/>
        </w:rPr>
        <w:t>A</w:t>
      </w:r>
      <w:r>
        <w:rPr>
          <w:rFonts w:eastAsia="楷体_GB2312" w:cs="楷体_GB2312"/>
          <w:spacing w:val="3"/>
        </w:rPr>
        <w:t>公司的这一主张得到了支持。</w:t>
      </w:r>
    </w:p>
    <w:p w:rsidR="00800760" w:rsidRDefault="00235733">
      <w:pPr>
        <w:pStyle w:val="af6"/>
        <w:spacing w:before="120"/>
        <w:ind w:firstLine="420"/>
      </w:pPr>
      <w:r>
        <w:rPr>
          <w:rFonts w:hint="eastAsia"/>
        </w:rPr>
        <w:t>【案例8-</w:t>
      </w:r>
      <w:r>
        <w:t>3-2</w:t>
      </w:r>
      <w:r>
        <w:rPr>
          <w:rFonts w:hint="eastAsia"/>
        </w:rPr>
        <w:t>】</w:t>
      </w:r>
    </w:p>
    <w:p w:rsidR="00800760" w:rsidRDefault="00235733">
      <w:pPr>
        <w:ind w:firstLine="432"/>
        <w:jc w:val="both"/>
        <w:rPr>
          <w:rFonts w:eastAsia="楷体_GB2312" w:cs="楷体_GB2312"/>
          <w:spacing w:val="3"/>
        </w:rPr>
      </w:pPr>
      <w:r>
        <w:rPr>
          <w:rFonts w:eastAsia="楷体_GB2312" w:cs="楷体_GB2312"/>
          <w:spacing w:val="3"/>
        </w:rPr>
        <w:t>A</w:t>
      </w:r>
      <w:r>
        <w:rPr>
          <w:rFonts w:eastAsia="楷体_GB2312" w:cs="楷体_GB2312"/>
          <w:spacing w:val="3"/>
        </w:rPr>
        <w:t>公司于</w:t>
      </w:r>
      <w:r>
        <w:rPr>
          <w:rFonts w:eastAsia="楷体_GB2312" w:cs="楷体_GB2312"/>
          <w:spacing w:val="3"/>
        </w:rPr>
        <w:t>2000</w:t>
      </w:r>
      <w:r>
        <w:rPr>
          <w:rFonts w:eastAsia="楷体_GB2312" w:cs="楷体_GB2312"/>
          <w:spacing w:val="3"/>
        </w:rPr>
        <w:t>年</w:t>
      </w:r>
      <w:r>
        <w:rPr>
          <w:rFonts w:eastAsia="楷体_GB2312" w:cs="楷体_GB2312"/>
          <w:spacing w:val="3"/>
        </w:rPr>
        <w:t>12</w:t>
      </w:r>
      <w:r>
        <w:rPr>
          <w:rFonts w:eastAsia="楷体_GB2312" w:cs="楷体_GB2312"/>
          <w:spacing w:val="3"/>
        </w:rPr>
        <w:t>月</w:t>
      </w:r>
      <w:r>
        <w:rPr>
          <w:rFonts w:eastAsia="楷体_GB2312" w:cs="楷体_GB2312"/>
          <w:spacing w:val="3"/>
        </w:rPr>
        <w:t>20</w:t>
      </w:r>
      <w:r>
        <w:rPr>
          <w:rFonts w:eastAsia="楷体_GB2312" w:cs="楷体_GB2312"/>
          <w:spacing w:val="3"/>
        </w:rPr>
        <w:t>日向国家知识产权局申请了名称为</w:t>
      </w:r>
      <w:r>
        <w:rPr>
          <w:rFonts w:eastAsia="楷体_GB2312" w:cs="楷体_GB2312"/>
          <w:spacing w:val="3"/>
        </w:rPr>
        <w:t>“</w:t>
      </w:r>
      <w:r>
        <w:rPr>
          <w:rFonts w:eastAsia="楷体_GB2312" w:cs="楷体_GB2312"/>
          <w:spacing w:val="3"/>
        </w:rPr>
        <w:t>童车的轮毂</w:t>
      </w:r>
      <w:r>
        <w:rPr>
          <w:rFonts w:eastAsia="楷体_GB2312" w:cs="楷体_GB2312"/>
          <w:spacing w:val="3"/>
        </w:rPr>
        <w:t>”</w:t>
      </w:r>
      <w:r>
        <w:rPr>
          <w:rFonts w:eastAsia="楷体_GB2312" w:cs="楷体_GB2312"/>
          <w:spacing w:val="3"/>
        </w:rPr>
        <w:t>的外观设计专利，</w:t>
      </w:r>
      <w:r>
        <w:rPr>
          <w:rFonts w:eastAsia="楷体_GB2312" w:cs="楷体_GB2312"/>
          <w:spacing w:val="3"/>
        </w:rPr>
        <w:t>2001</w:t>
      </w:r>
      <w:r>
        <w:rPr>
          <w:rFonts w:eastAsia="楷体_GB2312" w:cs="楷体_GB2312"/>
          <w:spacing w:val="3"/>
        </w:rPr>
        <w:t>年</w:t>
      </w:r>
      <w:r>
        <w:rPr>
          <w:rFonts w:eastAsia="楷体_GB2312" w:cs="楷体_GB2312"/>
          <w:spacing w:val="3"/>
        </w:rPr>
        <w:t>6</w:t>
      </w:r>
      <w:r>
        <w:rPr>
          <w:rFonts w:eastAsia="楷体_GB2312" w:cs="楷体_GB2312"/>
          <w:spacing w:val="3"/>
        </w:rPr>
        <w:t>月</w:t>
      </w:r>
      <w:r>
        <w:rPr>
          <w:rFonts w:eastAsia="楷体_GB2312" w:cs="楷体_GB2312"/>
          <w:spacing w:val="3"/>
        </w:rPr>
        <w:t>30</w:t>
      </w:r>
      <w:r>
        <w:rPr>
          <w:rFonts w:eastAsia="楷体_GB2312" w:cs="楷体_GB2312"/>
          <w:spacing w:val="3"/>
        </w:rPr>
        <w:t>日获得授权。后</w:t>
      </w:r>
      <w:r>
        <w:rPr>
          <w:rFonts w:eastAsia="楷体_GB2312" w:cs="楷体_GB2312"/>
          <w:spacing w:val="3"/>
        </w:rPr>
        <w:t>A</w:t>
      </w:r>
      <w:r>
        <w:rPr>
          <w:rFonts w:eastAsia="楷体_GB2312" w:cs="楷体_GB2312"/>
          <w:spacing w:val="3"/>
        </w:rPr>
        <w:t>公司在市场上发现，</w:t>
      </w:r>
      <w:r>
        <w:rPr>
          <w:rFonts w:eastAsia="楷体_GB2312" w:cs="楷体_GB2312"/>
          <w:spacing w:val="3"/>
        </w:rPr>
        <w:t>B</w:t>
      </w:r>
      <w:r>
        <w:rPr>
          <w:rFonts w:eastAsia="楷体_GB2312" w:cs="楷体_GB2312"/>
          <w:spacing w:val="3"/>
        </w:rPr>
        <w:t>公司生产的产品与</w:t>
      </w:r>
      <w:r>
        <w:rPr>
          <w:rFonts w:eastAsia="楷体_GB2312" w:cs="楷体_GB2312"/>
          <w:spacing w:val="3"/>
        </w:rPr>
        <w:t>A</w:t>
      </w:r>
      <w:r>
        <w:rPr>
          <w:rFonts w:eastAsia="楷体_GB2312" w:cs="楷体_GB2312"/>
          <w:spacing w:val="3"/>
        </w:rPr>
        <w:t>公司的该专利相似，侵犯了其外观设计专利权，故要求</w:t>
      </w:r>
      <w:r>
        <w:rPr>
          <w:rFonts w:eastAsia="楷体_GB2312" w:cs="楷体_GB2312"/>
          <w:spacing w:val="3"/>
        </w:rPr>
        <w:t>B</w:t>
      </w:r>
      <w:r>
        <w:rPr>
          <w:rFonts w:eastAsia="楷体_GB2312" w:cs="楷体_GB2312"/>
          <w:spacing w:val="3"/>
        </w:rPr>
        <w:t>公司赔偿相关损失。</w:t>
      </w:r>
    </w:p>
    <w:p w:rsidR="00800760" w:rsidRDefault="00235733">
      <w:pPr>
        <w:pStyle w:val="a5"/>
        <w:spacing w:line="302" w:lineRule="auto"/>
        <w:ind w:firstLine="432"/>
      </w:pPr>
      <w:r>
        <w:rPr>
          <w:rFonts w:eastAsia="楷体_GB2312" w:cs="楷体_GB2312"/>
          <w:spacing w:val="3"/>
        </w:rPr>
        <w:t>关于赔偿损失的数额，</w:t>
      </w:r>
      <w:r>
        <w:rPr>
          <w:rFonts w:eastAsia="楷体_GB2312" w:cs="楷体_GB2312"/>
          <w:spacing w:val="3"/>
        </w:rPr>
        <w:t>A</w:t>
      </w:r>
      <w:r>
        <w:rPr>
          <w:rFonts w:eastAsia="楷体_GB2312" w:cs="楷体_GB2312"/>
          <w:spacing w:val="3"/>
        </w:rPr>
        <w:t>公司主张以专利许可他人的使用费作为赔偿依据。经查证，</w:t>
      </w:r>
      <w:r>
        <w:rPr>
          <w:rFonts w:eastAsia="楷体_GB2312" w:cs="楷体_GB2312"/>
          <w:spacing w:val="3"/>
        </w:rPr>
        <w:t>A</w:t>
      </w:r>
      <w:r>
        <w:rPr>
          <w:rFonts w:eastAsia="楷体_GB2312" w:cs="楷体_GB2312"/>
          <w:spacing w:val="3"/>
        </w:rPr>
        <w:t>公司提交的《专利实施许可合同》在国家知识产权局已备案并实际履行，且该合同与专利实施许可使用费银行进账单、发票、纳税凭证等可以相互印证。司法机关认定，该《专利实施许可合同》签订于诉讼发生前，且在国家知识产权局办理了备案并已实际履行，因此，其中约定的许可费用可以作为确定赔偿数额的依据，故据此确定赔偿数额为</w:t>
      </w:r>
      <w:r>
        <w:rPr>
          <w:rFonts w:eastAsia="楷体_GB2312" w:cs="楷体_GB2312"/>
          <w:spacing w:val="3"/>
        </w:rPr>
        <w:t>50</w:t>
      </w:r>
      <w:r>
        <w:rPr>
          <w:rFonts w:eastAsia="楷体_GB2312" w:cs="楷体_GB2312"/>
          <w:spacing w:val="3"/>
        </w:rPr>
        <w:t>万元。</w:t>
      </w:r>
    </w:p>
    <w:p w:rsidR="00800760" w:rsidRDefault="00235733">
      <w:pPr>
        <w:pStyle w:val="3"/>
        <w:spacing w:before="240"/>
        <w:ind w:firstLineChars="0" w:firstLine="444"/>
        <w:rPr>
          <w:rFonts w:ascii="Times New Roman" w:hAnsi="Times New Roman"/>
        </w:rPr>
      </w:pPr>
      <w:bookmarkStart w:id="9168" w:name="bookmark225"/>
      <w:bookmarkStart w:id="9169" w:name="_Toc13634"/>
      <w:bookmarkStart w:id="9170" w:name="_Toc20334"/>
      <w:bookmarkStart w:id="9171" w:name="_Toc129"/>
      <w:bookmarkStart w:id="9172" w:name="_Toc23969"/>
      <w:bookmarkStart w:id="9173" w:name="_Toc1198"/>
      <w:bookmarkStart w:id="9174" w:name="_Toc229114546"/>
      <w:bookmarkStart w:id="9175" w:name="_Toc31243"/>
      <w:bookmarkStart w:id="9176" w:name="_Toc117"/>
      <w:bookmarkStart w:id="9177" w:name="_Toc229225642"/>
      <w:bookmarkEnd w:id="9168"/>
      <w:r>
        <w:rPr>
          <w:rFonts w:ascii="Times New Roman" w:hAnsi="Times New Roman" w:hint="eastAsia"/>
        </w:rPr>
        <w:t>二、以许可使用费为依据确定赔偿数额时的注意事项</w:t>
      </w:r>
      <w:bookmarkEnd w:id="9169"/>
      <w:bookmarkEnd w:id="9170"/>
      <w:bookmarkEnd w:id="9171"/>
      <w:bookmarkEnd w:id="9172"/>
      <w:bookmarkEnd w:id="9173"/>
      <w:bookmarkEnd w:id="9174"/>
      <w:bookmarkEnd w:id="9175"/>
      <w:bookmarkEnd w:id="9176"/>
      <w:bookmarkEnd w:id="9177"/>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一</w:t>
      </w:r>
      <w:r>
        <w:rPr>
          <w:rFonts w:ascii="Times New Roman" w:hAnsi="Times New Roman"/>
        </w:rPr>
        <w:t>)</w:t>
      </w:r>
      <w:r>
        <w:rPr>
          <w:rFonts w:ascii="Times New Roman" w:hAnsi="Times New Roman"/>
        </w:rPr>
        <w:t>专利实施许可合同的当事人与权利人的关联关系</w:t>
      </w:r>
    </w:p>
    <w:p w:rsidR="00800760" w:rsidRDefault="00235733">
      <w:pPr>
        <w:ind w:firstLine="436"/>
        <w:jc w:val="both"/>
        <w:rPr>
          <w:rFonts w:cs="宋体"/>
          <w:spacing w:val="4"/>
        </w:rPr>
      </w:pPr>
      <w:r>
        <w:rPr>
          <w:rFonts w:cs="宋体"/>
          <w:spacing w:val="4"/>
        </w:rPr>
        <w:t>如果专利实施许可合同的一方当事人为权利人的关联方，不宜将其中约定的许可使用费直接作为专利许可使用费用于计算侵权赔偿数额。</w:t>
      </w:r>
    </w:p>
    <w:p w:rsidR="00800760" w:rsidRDefault="00235733">
      <w:pPr>
        <w:pStyle w:val="af6"/>
        <w:spacing w:before="120"/>
        <w:ind w:firstLine="420"/>
      </w:pPr>
      <w:r>
        <w:t>【案例</w:t>
      </w:r>
      <w:r>
        <w:rPr>
          <w:rFonts w:hint="eastAsia"/>
        </w:rPr>
        <w:t>8</w:t>
      </w:r>
      <w:r>
        <w:t>-3-3】</w:t>
      </w:r>
    </w:p>
    <w:p w:rsidR="00800760" w:rsidRDefault="00235733">
      <w:pPr>
        <w:ind w:firstLine="432"/>
        <w:jc w:val="both"/>
        <w:rPr>
          <w:rFonts w:eastAsia="楷体_GB2312" w:cs="楷体_GB2312"/>
          <w:spacing w:val="3"/>
        </w:rPr>
      </w:pPr>
      <w:r>
        <w:rPr>
          <w:rFonts w:eastAsia="楷体_GB2312" w:cs="楷体_GB2312"/>
          <w:spacing w:val="3"/>
        </w:rPr>
        <w:t>2006</w:t>
      </w:r>
      <w:r>
        <w:rPr>
          <w:rFonts w:eastAsia="楷体_GB2312" w:cs="楷体_GB2312"/>
          <w:spacing w:val="3"/>
        </w:rPr>
        <w:t>年</w:t>
      </w:r>
      <w:r>
        <w:rPr>
          <w:rFonts w:eastAsia="楷体_GB2312" w:cs="楷体_GB2312"/>
          <w:spacing w:val="3"/>
        </w:rPr>
        <w:t>6</w:t>
      </w:r>
      <w:r>
        <w:rPr>
          <w:rFonts w:eastAsia="楷体_GB2312" w:cs="楷体_GB2312"/>
          <w:spacing w:val="3"/>
        </w:rPr>
        <w:t>月</w:t>
      </w:r>
      <w:r>
        <w:rPr>
          <w:rFonts w:eastAsia="楷体_GB2312" w:cs="楷体_GB2312"/>
          <w:spacing w:val="3"/>
        </w:rPr>
        <w:t>6</w:t>
      </w:r>
      <w:r>
        <w:rPr>
          <w:rFonts w:eastAsia="楷体_GB2312" w:cs="楷体_GB2312"/>
          <w:spacing w:val="3"/>
        </w:rPr>
        <w:t>日，</w:t>
      </w:r>
      <w:r>
        <w:rPr>
          <w:rFonts w:eastAsia="楷体_GB2312" w:cs="楷体_GB2312"/>
          <w:spacing w:val="3"/>
        </w:rPr>
        <w:t>C</w:t>
      </w:r>
      <w:r>
        <w:rPr>
          <w:rFonts w:eastAsia="楷体_GB2312" w:cs="楷体_GB2312"/>
          <w:spacing w:val="3"/>
        </w:rPr>
        <w:t>公司与</w:t>
      </w:r>
      <w:r>
        <w:rPr>
          <w:rFonts w:eastAsia="楷体_GB2312" w:cs="楷体_GB2312"/>
          <w:spacing w:val="3"/>
        </w:rPr>
        <w:t>A</w:t>
      </w:r>
      <w:r>
        <w:rPr>
          <w:rFonts w:eastAsia="楷体_GB2312" w:cs="楷体_GB2312"/>
          <w:spacing w:val="3"/>
        </w:rPr>
        <w:t>公司签订《专利实施许可合同》</w:t>
      </w:r>
      <w:r>
        <w:rPr>
          <w:rFonts w:eastAsia="楷体_GB2312" w:cs="楷体_GB2312" w:hint="eastAsia"/>
          <w:spacing w:val="3"/>
        </w:rPr>
        <w:t>，</w:t>
      </w:r>
      <w:r>
        <w:rPr>
          <w:rFonts w:eastAsia="楷体_GB2312" w:cs="楷体_GB2312"/>
          <w:spacing w:val="3"/>
        </w:rPr>
        <w:t>约定由</w:t>
      </w:r>
      <w:r>
        <w:rPr>
          <w:rFonts w:eastAsia="楷体_GB2312" w:cs="楷体_GB2312"/>
          <w:spacing w:val="3"/>
        </w:rPr>
        <w:t>A</w:t>
      </w:r>
      <w:r>
        <w:rPr>
          <w:rFonts w:eastAsia="楷体_GB2312" w:cs="楷体_GB2312"/>
          <w:spacing w:val="3"/>
        </w:rPr>
        <w:t>公司独占许可使用涉案专利，许可使用费为</w:t>
      </w:r>
      <w:r>
        <w:rPr>
          <w:rFonts w:eastAsia="楷体_GB2312" w:cs="楷体_GB2312"/>
          <w:spacing w:val="3"/>
        </w:rPr>
        <w:t>90000</w:t>
      </w:r>
      <w:r>
        <w:rPr>
          <w:rFonts w:eastAsia="楷体_GB2312" w:cs="楷体_GB2312"/>
          <w:spacing w:val="3"/>
        </w:rPr>
        <w:t>美元，合同有效期为</w:t>
      </w:r>
      <w:r>
        <w:rPr>
          <w:rFonts w:eastAsia="楷体_GB2312" w:cs="楷体_GB2312"/>
          <w:spacing w:val="3"/>
        </w:rPr>
        <w:t>2006</w:t>
      </w:r>
      <w:r>
        <w:rPr>
          <w:rFonts w:eastAsia="楷体_GB2312" w:cs="楷体_GB2312"/>
          <w:spacing w:val="3"/>
        </w:rPr>
        <w:t>年</w:t>
      </w:r>
      <w:r>
        <w:rPr>
          <w:rFonts w:eastAsia="楷体_GB2312" w:cs="楷体_GB2312"/>
          <w:spacing w:val="3"/>
        </w:rPr>
        <w:t>6</w:t>
      </w:r>
      <w:r>
        <w:rPr>
          <w:rFonts w:eastAsia="楷体_GB2312" w:cs="楷体_GB2312"/>
          <w:spacing w:val="3"/>
        </w:rPr>
        <w:t>月</w:t>
      </w:r>
      <w:r>
        <w:rPr>
          <w:rFonts w:eastAsia="楷体_GB2312" w:cs="楷体_GB2312"/>
          <w:spacing w:val="3"/>
        </w:rPr>
        <w:t>6</w:t>
      </w:r>
      <w:r>
        <w:rPr>
          <w:rFonts w:eastAsia="楷体_GB2312" w:cs="楷体_GB2312"/>
          <w:spacing w:val="3"/>
        </w:rPr>
        <w:t>日至</w:t>
      </w:r>
      <w:r>
        <w:rPr>
          <w:rFonts w:eastAsia="楷体_GB2312" w:cs="楷体_GB2312"/>
          <w:spacing w:val="3"/>
        </w:rPr>
        <w:t>2014</w:t>
      </w:r>
      <w:r>
        <w:rPr>
          <w:rFonts w:eastAsia="楷体_GB2312" w:cs="楷体_GB2312"/>
          <w:spacing w:val="3"/>
        </w:rPr>
        <w:t>年</w:t>
      </w:r>
      <w:r>
        <w:rPr>
          <w:rFonts w:eastAsia="楷体_GB2312" w:cs="楷体_GB2312"/>
          <w:spacing w:val="3"/>
        </w:rPr>
        <w:t>3</w:t>
      </w:r>
      <w:r>
        <w:rPr>
          <w:rFonts w:eastAsia="楷体_GB2312" w:cs="楷体_GB2312"/>
          <w:spacing w:val="3"/>
        </w:rPr>
        <w:t>月</w:t>
      </w:r>
      <w:r>
        <w:rPr>
          <w:rFonts w:eastAsia="楷体_GB2312" w:cs="楷体_GB2312"/>
          <w:spacing w:val="3"/>
        </w:rPr>
        <w:t>12</w:t>
      </w:r>
      <w:r>
        <w:rPr>
          <w:rFonts w:eastAsia="楷体_GB2312" w:cs="楷体_GB2312"/>
          <w:spacing w:val="3"/>
        </w:rPr>
        <w:t>日。</w:t>
      </w:r>
      <w:r>
        <w:rPr>
          <w:rFonts w:eastAsia="楷体_GB2312" w:cs="楷体_GB2312"/>
          <w:spacing w:val="3"/>
        </w:rPr>
        <w:t>2007</w:t>
      </w:r>
      <w:r>
        <w:rPr>
          <w:rFonts w:eastAsia="楷体_GB2312" w:cs="楷体_GB2312"/>
          <w:spacing w:val="3"/>
        </w:rPr>
        <w:t>年</w:t>
      </w:r>
      <w:r>
        <w:rPr>
          <w:rFonts w:eastAsia="楷体_GB2312" w:cs="楷体_GB2312"/>
          <w:spacing w:val="3"/>
        </w:rPr>
        <w:t>6</w:t>
      </w:r>
      <w:r>
        <w:rPr>
          <w:rFonts w:eastAsia="楷体_GB2312" w:cs="楷体_GB2312"/>
          <w:spacing w:val="3"/>
        </w:rPr>
        <w:t>月</w:t>
      </w:r>
      <w:r>
        <w:rPr>
          <w:rFonts w:eastAsia="楷体_GB2312" w:cs="楷体_GB2312"/>
          <w:spacing w:val="3"/>
        </w:rPr>
        <w:t>14</w:t>
      </w:r>
      <w:r>
        <w:rPr>
          <w:rFonts w:eastAsia="楷体_GB2312" w:cs="楷体_GB2312"/>
          <w:spacing w:val="3"/>
        </w:rPr>
        <w:t>日，双方将上述合同报国家知识产权局备案。</w:t>
      </w:r>
      <w:r>
        <w:rPr>
          <w:rFonts w:eastAsia="楷体_GB2312" w:cs="楷体_GB2312"/>
          <w:spacing w:val="3"/>
        </w:rPr>
        <w:t>A</w:t>
      </w:r>
      <w:r>
        <w:rPr>
          <w:rFonts w:eastAsia="楷体_GB2312" w:cs="楷体_GB2312"/>
          <w:spacing w:val="3"/>
        </w:rPr>
        <w:t>公司依据与专利权人的实施许可合同，享有涉案实用新型专利的独占许可使用权。</w:t>
      </w:r>
    </w:p>
    <w:p w:rsidR="00800760" w:rsidRDefault="00235733">
      <w:pPr>
        <w:ind w:firstLine="432"/>
        <w:jc w:val="both"/>
        <w:rPr>
          <w:rFonts w:eastAsia="楷体_GB2312" w:cs="楷体_GB2312"/>
          <w:spacing w:val="3"/>
        </w:rPr>
      </w:pPr>
      <w:r>
        <w:rPr>
          <w:rFonts w:eastAsia="楷体_GB2312" w:cs="楷体_GB2312"/>
          <w:spacing w:val="3"/>
        </w:rPr>
        <w:t>在合同有效期内，</w:t>
      </w:r>
      <w:r>
        <w:rPr>
          <w:rFonts w:eastAsia="楷体_GB2312" w:cs="楷体_GB2312"/>
          <w:spacing w:val="3"/>
        </w:rPr>
        <w:t>A</w:t>
      </w:r>
      <w:r>
        <w:rPr>
          <w:rFonts w:eastAsia="楷体_GB2312" w:cs="楷体_GB2312"/>
          <w:spacing w:val="3"/>
        </w:rPr>
        <w:t>公司认为</w:t>
      </w:r>
      <w:r>
        <w:rPr>
          <w:rFonts w:eastAsia="楷体_GB2312" w:cs="楷体_GB2312"/>
          <w:spacing w:val="3"/>
        </w:rPr>
        <w:t>B</w:t>
      </w:r>
      <w:r>
        <w:rPr>
          <w:rFonts w:eastAsia="楷体_GB2312" w:cs="楷体_GB2312"/>
          <w:spacing w:val="3"/>
        </w:rPr>
        <w:t>公司侵犯该专利权。</w:t>
      </w:r>
      <w:r>
        <w:rPr>
          <w:rFonts w:eastAsia="楷体_GB2312" w:cs="楷体_GB2312"/>
          <w:spacing w:val="3"/>
        </w:rPr>
        <w:t>B</w:t>
      </w:r>
      <w:r>
        <w:rPr>
          <w:rFonts w:eastAsia="楷体_GB2312" w:cs="楷体_GB2312"/>
          <w:spacing w:val="3"/>
        </w:rPr>
        <w:t>公司举证证明合同双方</w:t>
      </w:r>
      <w:r>
        <w:rPr>
          <w:rFonts w:eastAsia="楷体_GB2312" w:cs="楷体_GB2312"/>
          <w:spacing w:val="3"/>
        </w:rPr>
        <w:t>C</w:t>
      </w:r>
      <w:r>
        <w:rPr>
          <w:rFonts w:eastAsia="楷体_GB2312" w:cs="楷体_GB2312"/>
          <w:spacing w:val="3"/>
        </w:rPr>
        <w:t>公司与</w:t>
      </w:r>
      <w:r>
        <w:rPr>
          <w:rFonts w:eastAsia="楷体_GB2312" w:cs="楷体_GB2312"/>
          <w:spacing w:val="3"/>
        </w:rPr>
        <w:t>A</w:t>
      </w:r>
      <w:r>
        <w:rPr>
          <w:rFonts w:eastAsia="楷体_GB2312" w:cs="楷体_GB2312"/>
          <w:spacing w:val="3"/>
        </w:rPr>
        <w:t>公司有关联关系，故对合同的真实性提出异议。经查证，</w:t>
      </w:r>
      <w:r>
        <w:rPr>
          <w:rFonts w:eastAsia="楷体_GB2312" w:cs="楷体_GB2312"/>
          <w:spacing w:val="3"/>
        </w:rPr>
        <w:t>A</w:t>
      </w:r>
      <w:r>
        <w:rPr>
          <w:rFonts w:eastAsia="楷体_GB2312" w:cs="楷体_GB2312"/>
          <w:spacing w:val="3"/>
        </w:rPr>
        <w:t>公司为</w:t>
      </w:r>
      <w:r>
        <w:rPr>
          <w:rFonts w:eastAsia="楷体_GB2312" w:cs="楷体_GB2312"/>
          <w:spacing w:val="3"/>
        </w:rPr>
        <w:t>C</w:t>
      </w:r>
      <w:r>
        <w:rPr>
          <w:rFonts w:eastAsia="楷体_GB2312" w:cs="楷体_GB2312"/>
          <w:spacing w:val="3"/>
        </w:rPr>
        <w:t>公司的子公司，二者存在密切关联关系，故未将《专利实施许可合同》中约定的许可使用费</w:t>
      </w:r>
      <w:r>
        <w:rPr>
          <w:rFonts w:eastAsia="楷体_GB2312" w:cs="楷体_GB2312"/>
          <w:spacing w:val="3"/>
        </w:rPr>
        <w:t>90000</w:t>
      </w:r>
      <w:r>
        <w:rPr>
          <w:rFonts w:eastAsia="楷体_GB2312" w:cs="楷体_GB2312"/>
          <w:spacing w:val="3"/>
        </w:rPr>
        <w:t>美元作为确定赔偿数额的依据。</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二</w:t>
      </w:r>
      <w:r>
        <w:rPr>
          <w:rFonts w:ascii="Times New Roman" w:hAnsi="Times New Roman"/>
        </w:rPr>
        <w:t>)</w:t>
      </w:r>
      <w:r>
        <w:rPr>
          <w:rFonts w:ascii="Times New Roman" w:hAnsi="Times New Roman"/>
        </w:rPr>
        <w:t>专利实施许可合同是否实际履行</w:t>
      </w:r>
    </w:p>
    <w:p w:rsidR="00800760" w:rsidRDefault="00235733">
      <w:pPr>
        <w:ind w:firstLine="436"/>
        <w:jc w:val="both"/>
        <w:rPr>
          <w:rFonts w:cs="宋体"/>
          <w:spacing w:val="4"/>
        </w:rPr>
      </w:pPr>
      <w:r>
        <w:rPr>
          <w:rFonts w:cs="宋体"/>
          <w:spacing w:val="4"/>
        </w:rPr>
        <w:t>《专利实施许可合同》未实际履行的，不宜将其中约定的许可使用费直接作为专利许可使用费用于计算侵权赔偿数额。</w:t>
      </w:r>
    </w:p>
    <w:p w:rsidR="00800760" w:rsidRDefault="00235733">
      <w:pPr>
        <w:pStyle w:val="af6"/>
        <w:spacing w:before="120"/>
        <w:ind w:firstLine="420"/>
      </w:pPr>
      <w:r>
        <w:t>【案例</w:t>
      </w:r>
      <w:r>
        <w:rPr>
          <w:rFonts w:hint="eastAsia"/>
        </w:rPr>
        <w:t>8</w:t>
      </w:r>
      <w:r>
        <w:t>-3-4】</w:t>
      </w:r>
    </w:p>
    <w:p w:rsidR="00800760" w:rsidRDefault="00235733">
      <w:pPr>
        <w:ind w:firstLine="432"/>
        <w:jc w:val="both"/>
        <w:rPr>
          <w:rFonts w:eastAsia="楷体_GB2312" w:cs="楷体_GB2312"/>
          <w:spacing w:val="3"/>
        </w:rPr>
      </w:pPr>
      <w:r>
        <w:rPr>
          <w:rFonts w:eastAsia="楷体_GB2312" w:cs="楷体_GB2312"/>
          <w:spacing w:val="3"/>
        </w:rPr>
        <w:t>A</w:t>
      </w:r>
      <w:r>
        <w:rPr>
          <w:rFonts w:eastAsia="楷体_GB2312" w:cs="楷体_GB2312" w:hint="eastAsia"/>
          <w:spacing w:val="3"/>
        </w:rPr>
        <w:t>公司和</w:t>
      </w:r>
      <w:r>
        <w:rPr>
          <w:rFonts w:eastAsia="楷体_GB2312" w:cs="楷体_GB2312"/>
          <w:spacing w:val="3"/>
        </w:rPr>
        <w:t>B</w:t>
      </w:r>
      <w:r>
        <w:rPr>
          <w:rFonts w:eastAsia="楷体_GB2312" w:cs="楷体_GB2312"/>
          <w:spacing w:val="3"/>
        </w:rPr>
        <w:t>公司涉嫌侵犯</w:t>
      </w:r>
      <w:r>
        <w:rPr>
          <w:rFonts w:eastAsia="楷体_GB2312" w:cs="楷体_GB2312" w:hint="eastAsia"/>
          <w:spacing w:val="3"/>
        </w:rPr>
        <w:t>甲</w:t>
      </w:r>
      <w:r>
        <w:rPr>
          <w:rFonts w:eastAsia="楷体_GB2312" w:cs="楷体_GB2312"/>
          <w:spacing w:val="3"/>
        </w:rPr>
        <w:t>的</w:t>
      </w:r>
      <w:r>
        <w:rPr>
          <w:rFonts w:eastAsia="楷体_GB2312" w:cs="楷体_GB2312"/>
          <w:spacing w:val="3"/>
        </w:rPr>
        <w:t>“</w:t>
      </w:r>
      <w:r>
        <w:rPr>
          <w:rFonts w:eastAsia="楷体_GB2312" w:cs="楷体_GB2312"/>
          <w:spacing w:val="3"/>
        </w:rPr>
        <w:t>食物绞碎机</w:t>
      </w:r>
      <w:r>
        <w:rPr>
          <w:rFonts w:eastAsia="楷体_GB2312" w:cs="楷体_GB2312"/>
          <w:spacing w:val="3"/>
        </w:rPr>
        <w:t>”</w:t>
      </w:r>
      <w:r>
        <w:rPr>
          <w:rFonts w:eastAsia="楷体_GB2312" w:cs="楷体_GB2312"/>
          <w:spacing w:val="3"/>
        </w:rPr>
        <w:t>外观设计专利权。经查明，</w:t>
      </w:r>
      <w:r>
        <w:rPr>
          <w:rFonts w:eastAsia="楷体_GB2312" w:cs="楷体_GB2312" w:hint="eastAsia"/>
          <w:spacing w:val="3"/>
        </w:rPr>
        <w:t>甲</w:t>
      </w:r>
      <w:r>
        <w:rPr>
          <w:rFonts w:eastAsia="楷体_GB2312" w:cs="楷体_GB2312"/>
          <w:spacing w:val="3"/>
        </w:rPr>
        <w:t>提交的专利实施许可合同中虽然约定了专利许可费用，但是没有证据证明该合同约定的费用合理并已实际履行，故不能据此确定赔偿数额。</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三</w:t>
      </w:r>
      <w:r>
        <w:rPr>
          <w:rFonts w:ascii="Times New Roman" w:hAnsi="Times New Roman"/>
        </w:rPr>
        <w:t>)</w:t>
      </w:r>
      <w:r>
        <w:rPr>
          <w:rFonts w:ascii="Times New Roman" w:hAnsi="Times New Roman"/>
        </w:rPr>
        <w:t>专利实施许可合同中约定的许可使用费是否合理</w:t>
      </w:r>
    </w:p>
    <w:p w:rsidR="00800760" w:rsidRDefault="00235733">
      <w:pPr>
        <w:ind w:firstLine="436"/>
        <w:jc w:val="both"/>
        <w:rPr>
          <w:rFonts w:cs="宋体"/>
          <w:spacing w:val="4"/>
        </w:rPr>
      </w:pPr>
      <w:r>
        <w:rPr>
          <w:rFonts w:cs="宋体"/>
          <w:spacing w:val="4"/>
        </w:rPr>
        <w:t>专利实施许可合同中约定的许可使用费明显低于或高于正常的许可使用费的，不宜将其中约定的许可使用费直接作为专利许可使用费用于计算侵权赔偿数额。</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四</w:t>
      </w:r>
      <w:r>
        <w:rPr>
          <w:rFonts w:ascii="Times New Roman" w:hAnsi="Times New Roman"/>
        </w:rPr>
        <w:t>)</w:t>
      </w:r>
      <w:r>
        <w:rPr>
          <w:rFonts w:ascii="Times New Roman" w:hAnsi="Times New Roman"/>
        </w:rPr>
        <w:t>确定合理倍数时需要考虑多个因素</w:t>
      </w:r>
    </w:p>
    <w:p w:rsidR="00800760" w:rsidRDefault="00235733">
      <w:pPr>
        <w:ind w:firstLine="436"/>
        <w:jc w:val="both"/>
        <w:rPr>
          <w:rFonts w:cs="宋体"/>
          <w:spacing w:val="4"/>
        </w:rPr>
      </w:pPr>
      <w:r>
        <w:rPr>
          <w:rFonts w:cs="宋体"/>
          <w:spacing w:val="4"/>
        </w:rPr>
        <w:t>确定具体的合理倍数时，应当结合考虑专利权的类别，侵权人侵权的性质、规模、持续时间、地域范围，专利许可的性质、范围、时间、使用费数额等因素。</w:t>
      </w:r>
    </w:p>
    <w:p w:rsidR="00800760" w:rsidRDefault="00235733">
      <w:pPr>
        <w:ind w:firstLine="436"/>
        <w:jc w:val="both"/>
        <w:rPr>
          <w:rFonts w:cs="宋体"/>
          <w:spacing w:val="4"/>
        </w:rPr>
      </w:pPr>
      <w:r>
        <w:rPr>
          <w:rFonts w:cs="宋体"/>
          <w:spacing w:val="4"/>
        </w:rPr>
        <w:t>对于专利实施许可合同中一次性地或者包含多年专利使用费的，需要考察专利许可使用费的使用年限。</w:t>
      </w:r>
    </w:p>
    <w:p w:rsidR="00800760" w:rsidRDefault="00235733">
      <w:pPr>
        <w:pStyle w:val="af6"/>
        <w:spacing w:before="120"/>
        <w:ind w:firstLine="420"/>
      </w:pPr>
      <w:r>
        <w:t>【案例</w:t>
      </w:r>
      <w:r>
        <w:rPr>
          <w:rFonts w:hint="eastAsia"/>
        </w:rPr>
        <w:t>8</w:t>
      </w:r>
      <w:r>
        <w:t>-3-5】</w:t>
      </w:r>
    </w:p>
    <w:p w:rsidR="00800760" w:rsidRDefault="00235733">
      <w:pPr>
        <w:ind w:firstLine="432"/>
        <w:jc w:val="both"/>
        <w:rPr>
          <w:rFonts w:eastAsia="楷体_GB2312" w:cs="楷体_GB2312"/>
          <w:spacing w:val="3"/>
        </w:rPr>
      </w:pPr>
      <w:r>
        <w:rPr>
          <w:rFonts w:eastAsia="楷体_GB2312" w:cs="楷体_GB2312" w:hint="eastAsia"/>
          <w:spacing w:val="3"/>
        </w:rPr>
        <w:t>甲</w:t>
      </w:r>
      <w:r>
        <w:rPr>
          <w:rFonts w:eastAsia="楷体_GB2312" w:cs="楷体_GB2312"/>
          <w:spacing w:val="3"/>
        </w:rPr>
        <w:t>拥有名称为</w:t>
      </w:r>
      <w:r>
        <w:rPr>
          <w:rFonts w:eastAsia="楷体_GB2312" w:cs="楷体_GB2312"/>
          <w:spacing w:val="3"/>
        </w:rPr>
        <w:t>“</w:t>
      </w:r>
      <w:r>
        <w:rPr>
          <w:rFonts w:eastAsia="楷体_GB2312" w:cs="楷体_GB2312"/>
          <w:spacing w:val="3"/>
        </w:rPr>
        <w:t>自推进式水翼装置</w:t>
      </w:r>
      <w:r>
        <w:rPr>
          <w:rFonts w:eastAsia="楷体_GB2312" w:cs="楷体_GB2312"/>
          <w:spacing w:val="3"/>
        </w:rPr>
        <w:t>”</w:t>
      </w:r>
      <w:r>
        <w:rPr>
          <w:rFonts w:eastAsia="楷体_GB2312" w:cs="楷体_GB2312"/>
          <w:spacing w:val="3"/>
        </w:rPr>
        <w:t>的发明专利。</w:t>
      </w:r>
      <w:r>
        <w:rPr>
          <w:rFonts w:eastAsia="楷体_GB2312" w:cs="楷体_GB2312"/>
          <w:spacing w:val="3"/>
        </w:rPr>
        <w:t>2009</w:t>
      </w:r>
      <w:r>
        <w:rPr>
          <w:rFonts w:eastAsia="楷体_GB2312" w:cs="楷体_GB2312"/>
          <w:spacing w:val="3"/>
        </w:rPr>
        <w:t>年</w:t>
      </w:r>
      <w:r>
        <w:rPr>
          <w:rFonts w:eastAsia="楷体_GB2312" w:cs="楷体_GB2312"/>
          <w:spacing w:val="3"/>
        </w:rPr>
        <w:t>3</w:t>
      </w:r>
      <w:r>
        <w:rPr>
          <w:rFonts w:eastAsia="楷体_GB2312" w:cs="楷体_GB2312"/>
          <w:spacing w:val="3"/>
        </w:rPr>
        <w:t>月，国家知识产权局对</w:t>
      </w:r>
      <w:r>
        <w:rPr>
          <w:rFonts w:eastAsia="楷体_GB2312" w:cs="楷体_GB2312" w:hint="eastAsia"/>
          <w:spacing w:val="3"/>
        </w:rPr>
        <w:t>甲</w:t>
      </w:r>
      <w:r>
        <w:rPr>
          <w:rFonts w:eastAsia="楷体_GB2312" w:cs="楷体_GB2312"/>
          <w:spacing w:val="3"/>
        </w:rPr>
        <w:t>与</w:t>
      </w:r>
      <w:r>
        <w:rPr>
          <w:rFonts w:eastAsia="楷体_GB2312" w:cs="楷体_GB2312"/>
          <w:spacing w:val="3"/>
        </w:rPr>
        <w:t>A</w:t>
      </w:r>
      <w:r>
        <w:rPr>
          <w:rFonts w:eastAsia="楷体_GB2312" w:cs="楷体_GB2312"/>
          <w:spacing w:val="3"/>
        </w:rPr>
        <w:t>公司的实施许可合同出具备案证明，其中载明许可合同的有效期为</w:t>
      </w:r>
      <w:r>
        <w:rPr>
          <w:rFonts w:eastAsia="楷体_GB2312" w:cs="楷体_GB2312"/>
          <w:spacing w:val="3"/>
        </w:rPr>
        <w:t>2009</w:t>
      </w:r>
      <w:r>
        <w:rPr>
          <w:rFonts w:eastAsia="楷体_GB2312" w:cs="楷体_GB2312"/>
          <w:spacing w:val="3"/>
        </w:rPr>
        <w:t>年</w:t>
      </w:r>
      <w:r>
        <w:rPr>
          <w:rFonts w:eastAsia="楷体_GB2312" w:cs="楷体_GB2312"/>
          <w:spacing w:val="3"/>
        </w:rPr>
        <w:t>2</w:t>
      </w:r>
      <w:r>
        <w:rPr>
          <w:rFonts w:eastAsia="楷体_GB2312" w:cs="楷体_GB2312"/>
          <w:spacing w:val="3"/>
        </w:rPr>
        <w:t>月</w:t>
      </w:r>
      <w:r>
        <w:rPr>
          <w:rFonts w:eastAsia="楷体_GB2312" w:cs="楷体_GB2312"/>
          <w:spacing w:val="3"/>
        </w:rPr>
        <w:t>19</w:t>
      </w:r>
      <w:r>
        <w:rPr>
          <w:rFonts w:eastAsia="楷体_GB2312" w:cs="楷体_GB2312"/>
          <w:spacing w:val="3"/>
        </w:rPr>
        <w:t>日至</w:t>
      </w:r>
      <w:r>
        <w:rPr>
          <w:rFonts w:eastAsia="楷体_GB2312" w:cs="楷体_GB2312"/>
          <w:spacing w:val="3"/>
        </w:rPr>
        <w:t>2023</w:t>
      </w:r>
      <w:r>
        <w:rPr>
          <w:rFonts w:eastAsia="楷体_GB2312" w:cs="楷体_GB2312"/>
          <w:spacing w:val="3"/>
        </w:rPr>
        <w:t>年</w:t>
      </w:r>
      <w:r>
        <w:rPr>
          <w:rFonts w:eastAsia="楷体_GB2312" w:cs="楷体_GB2312"/>
          <w:spacing w:val="3"/>
        </w:rPr>
        <w:t>11</w:t>
      </w:r>
      <w:r>
        <w:rPr>
          <w:rFonts w:eastAsia="楷体_GB2312" w:cs="楷体_GB2312"/>
          <w:spacing w:val="3"/>
        </w:rPr>
        <w:t>月</w:t>
      </w:r>
      <w:r>
        <w:rPr>
          <w:rFonts w:eastAsia="楷体_GB2312" w:cs="楷体_GB2312"/>
          <w:spacing w:val="3"/>
        </w:rPr>
        <w:t>25</w:t>
      </w:r>
      <w:r>
        <w:rPr>
          <w:rFonts w:eastAsia="楷体_GB2312" w:cs="楷体_GB2312"/>
          <w:spacing w:val="3"/>
        </w:rPr>
        <w:t>日，使用费总计</w:t>
      </w:r>
      <w:r>
        <w:rPr>
          <w:rFonts w:eastAsia="楷体_GB2312" w:cs="楷体_GB2312"/>
          <w:spacing w:val="3"/>
        </w:rPr>
        <w:t>25</w:t>
      </w:r>
      <w:r>
        <w:rPr>
          <w:rFonts w:eastAsia="楷体_GB2312" w:cs="楷体_GB2312"/>
          <w:spacing w:val="3"/>
        </w:rPr>
        <w:t>万元，分期付款。</w:t>
      </w:r>
      <w:r>
        <w:rPr>
          <w:rFonts w:eastAsia="楷体_GB2312" w:cs="楷体_GB2312"/>
          <w:spacing w:val="3"/>
        </w:rPr>
        <w:t>2009</w:t>
      </w:r>
      <w:r>
        <w:rPr>
          <w:rFonts w:eastAsia="楷体_GB2312" w:cs="楷体_GB2312"/>
          <w:spacing w:val="3"/>
        </w:rPr>
        <w:t>年</w:t>
      </w:r>
      <w:r>
        <w:rPr>
          <w:rFonts w:eastAsia="楷体_GB2312" w:cs="楷体_GB2312"/>
          <w:spacing w:val="3"/>
        </w:rPr>
        <w:t>5</w:t>
      </w:r>
      <w:r>
        <w:rPr>
          <w:rFonts w:eastAsia="楷体_GB2312" w:cs="楷体_GB2312"/>
          <w:spacing w:val="3"/>
        </w:rPr>
        <w:t>月，</w:t>
      </w:r>
      <w:r>
        <w:rPr>
          <w:rFonts w:eastAsia="楷体_GB2312" w:cs="楷体_GB2312"/>
          <w:spacing w:val="3"/>
        </w:rPr>
        <w:t>B</w:t>
      </w:r>
      <w:r>
        <w:rPr>
          <w:rFonts w:eastAsia="楷体_GB2312" w:cs="楷体_GB2312"/>
          <w:spacing w:val="3"/>
        </w:rPr>
        <w:t>公司销售涉嫌侵权产品。关于赔偿的具体数额，</w:t>
      </w:r>
      <w:r>
        <w:rPr>
          <w:rFonts w:eastAsia="楷体_GB2312" w:cs="楷体_GB2312" w:hint="eastAsia"/>
          <w:spacing w:val="3"/>
        </w:rPr>
        <w:t>甲</w:t>
      </w:r>
      <w:r>
        <w:rPr>
          <w:rFonts w:eastAsia="楷体_GB2312" w:cs="楷体_GB2312"/>
          <w:spacing w:val="3"/>
        </w:rPr>
        <w:t>主张参照上述许可合同中专利许可使用费</w:t>
      </w:r>
      <w:r>
        <w:rPr>
          <w:rFonts w:eastAsia="楷体_GB2312" w:cs="楷体_GB2312"/>
          <w:spacing w:val="3"/>
        </w:rPr>
        <w:t>25</w:t>
      </w:r>
      <w:r>
        <w:rPr>
          <w:rFonts w:eastAsia="楷体_GB2312" w:cs="楷体_GB2312"/>
          <w:spacing w:val="3"/>
        </w:rPr>
        <w:t>万元的</w:t>
      </w:r>
      <w:r>
        <w:rPr>
          <w:rFonts w:eastAsia="楷体_GB2312" w:cs="楷体_GB2312"/>
          <w:spacing w:val="3"/>
        </w:rPr>
        <w:t>1</w:t>
      </w:r>
      <w:r>
        <w:rPr>
          <w:rFonts w:eastAsia="楷体_GB2312" w:cs="楷体_GB2312" w:hint="eastAsia"/>
          <w:spacing w:val="3"/>
        </w:rPr>
        <w:t>-</w:t>
      </w:r>
      <w:r>
        <w:rPr>
          <w:rFonts w:eastAsia="楷体_GB2312" w:cs="楷体_GB2312"/>
          <w:spacing w:val="3"/>
        </w:rPr>
        <w:t>3</w:t>
      </w:r>
      <w:r>
        <w:rPr>
          <w:rFonts w:eastAsia="楷体_GB2312" w:cs="楷体_GB2312"/>
          <w:spacing w:val="3"/>
        </w:rPr>
        <w:t>倍进行赔偿，但因该案的专利许可使用费的使用年限为涉案专利的剩余期限，使用年限超过</w:t>
      </w:r>
      <w:r>
        <w:rPr>
          <w:rFonts w:eastAsia="楷体_GB2312" w:cs="楷体_GB2312"/>
          <w:spacing w:val="3"/>
        </w:rPr>
        <w:t>14</w:t>
      </w:r>
      <w:r>
        <w:rPr>
          <w:rFonts w:eastAsia="楷体_GB2312" w:cs="楷体_GB2312"/>
          <w:spacing w:val="3"/>
        </w:rPr>
        <w:t>年，如赔偿数额直接参照专利许可使用费总数的</w:t>
      </w:r>
      <w:r>
        <w:rPr>
          <w:rFonts w:eastAsia="楷体_GB2312" w:cs="楷体_GB2312"/>
          <w:spacing w:val="3"/>
        </w:rPr>
        <w:t>1</w:t>
      </w:r>
      <w:r>
        <w:rPr>
          <w:rFonts w:eastAsia="楷体_GB2312" w:cs="楷体_GB2312" w:hint="eastAsia"/>
          <w:spacing w:val="3"/>
        </w:rPr>
        <w:t>～</w:t>
      </w:r>
      <w:r>
        <w:rPr>
          <w:rFonts w:eastAsia="楷体_GB2312" w:cs="楷体_GB2312"/>
          <w:spacing w:val="3"/>
        </w:rPr>
        <w:t>3</w:t>
      </w:r>
      <w:r>
        <w:rPr>
          <w:rFonts w:eastAsia="楷体_GB2312" w:cs="楷体_GB2312"/>
          <w:spacing w:val="3"/>
        </w:rPr>
        <w:t>倍确定赔偿数额，明显不合理。从公平角度考虑，赔偿数额应当参照每年平均的专利许可使用费以及侵权时间。</w:t>
      </w:r>
    </w:p>
    <w:p w:rsidR="00800760" w:rsidRDefault="00235733">
      <w:pPr>
        <w:pStyle w:val="2"/>
        <w:spacing w:before="95"/>
        <w:ind w:firstLineChars="0" w:firstLine="0"/>
        <w:rPr>
          <w:rFonts w:ascii="Times New Roman" w:hAnsi="Times New Roman"/>
        </w:rPr>
      </w:pPr>
      <w:bookmarkStart w:id="9178" w:name="_Toc11494"/>
      <w:bookmarkStart w:id="9179" w:name="_Toc31635"/>
      <w:bookmarkStart w:id="9180" w:name="_Toc17542"/>
      <w:bookmarkStart w:id="9181" w:name="_Toc7430"/>
      <w:bookmarkStart w:id="9182" w:name="_Toc26718"/>
      <w:bookmarkStart w:id="9183" w:name="_Toc9710"/>
      <w:bookmarkStart w:id="9184" w:name="_Toc1866"/>
      <w:bookmarkStart w:id="9185" w:name="_Toc30451"/>
      <w:bookmarkStart w:id="9186" w:name="_Toc21482"/>
      <w:bookmarkStart w:id="9187" w:name="_Toc7824"/>
      <w:bookmarkStart w:id="9188" w:name="_Toc11988"/>
      <w:bookmarkStart w:id="9189" w:name="_Toc18019"/>
      <w:bookmarkStart w:id="9190" w:name="_Toc16409"/>
      <w:bookmarkStart w:id="9191" w:name="_Toc19139"/>
      <w:bookmarkStart w:id="9192" w:name="_Toc20552"/>
      <w:bookmarkStart w:id="9193" w:name="_Toc19749"/>
      <w:bookmarkStart w:id="9194" w:name="_Toc10273"/>
      <w:bookmarkStart w:id="9195" w:name="_Toc1251"/>
      <w:bookmarkStart w:id="9196" w:name="_Toc30632"/>
      <w:bookmarkStart w:id="9197" w:name="_Toc16377"/>
      <w:bookmarkStart w:id="9198" w:name="_Toc25016"/>
      <w:bookmarkStart w:id="9199" w:name="_Toc12112"/>
      <w:bookmarkStart w:id="9200" w:name="_Toc9260"/>
      <w:bookmarkStart w:id="9201" w:name="_Toc11651"/>
      <w:bookmarkStart w:id="9202" w:name="_Toc6409"/>
      <w:bookmarkStart w:id="9203" w:name="_Toc6299"/>
      <w:bookmarkStart w:id="9204" w:name="_Toc7711"/>
      <w:bookmarkStart w:id="9205" w:name="_Toc1997"/>
      <w:bookmarkStart w:id="9206" w:name="_Toc19662"/>
      <w:bookmarkStart w:id="9207" w:name="_Toc27981"/>
      <w:bookmarkStart w:id="9208" w:name="_Toc2548"/>
      <w:bookmarkStart w:id="9209" w:name="_Toc21696"/>
      <w:bookmarkStart w:id="9210" w:name="_Toc25863"/>
      <w:bookmarkStart w:id="9211" w:name="_Toc25684"/>
      <w:bookmarkStart w:id="9212" w:name="_Toc15320"/>
      <w:bookmarkStart w:id="9213" w:name="_Toc1062"/>
      <w:bookmarkStart w:id="9214" w:name="_Toc229114547"/>
      <w:bookmarkStart w:id="9215" w:name="_Toc3643"/>
      <w:bookmarkStart w:id="9216" w:name="_Toc18109"/>
      <w:bookmarkStart w:id="9217" w:name="_Toc7839"/>
      <w:bookmarkStart w:id="9218" w:name="_Toc6771"/>
      <w:bookmarkStart w:id="9219" w:name="_Toc14638"/>
      <w:bookmarkStart w:id="9220" w:name="_Toc15040"/>
      <w:bookmarkStart w:id="9221" w:name="_Toc229225643"/>
      <w:r>
        <w:rPr>
          <w:rFonts w:ascii="Times New Roman" w:hAnsi="Times New Roman"/>
        </w:rPr>
        <w:t>第</w:t>
      </w:r>
      <w:r>
        <w:rPr>
          <w:rFonts w:ascii="Times New Roman" w:hAnsi="Times New Roman" w:hint="eastAsia"/>
        </w:rPr>
        <w:t>四</w:t>
      </w:r>
      <w:r>
        <w:rPr>
          <w:rFonts w:ascii="Times New Roman" w:hAnsi="Times New Roman"/>
        </w:rPr>
        <w:t>节</w:t>
      </w:r>
      <w:r>
        <w:rPr>
          <w:rFonts w:ascii="Times New Roman" w:hAnsi="Times New Roman" w:hint="eastAsia"/>
        </w:rPr>
        <w:t xml:space="preserve">　</w:t>
      </w:r>
      <w:r>
        <w:rPr>
          <w:rFonts w:ascii="Times New Roman" w:hAnsi="Times New Roman"/>
        </w:rPr>
        <w:t>法定赔偿</w:t>
      </w:r>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p>
    <w:p w:rsidR="00800760" w:rsidRDefault="00235733">
      <w:pPr>
        <w:ind w:firstLine="416"/>
        <w:jc w:val="both"/>
        <w:rPr>
          <w:rFonts w:cs="宋体"/>
          <w:spacing w:val="-1"/>
        </w:rPr>
      </w:pPr>
      <w:r>
        <w:rPr>
          <w:rFonts w:cs="宋体"/>
          <w:spacing w:val="-1"/>
        </w:rPr>
        <w:t>权利人直接主张适用《专利法》第</w:t>
      </w:r>
      <w:r>
        <w:rPr>
          <w:rFonts w:cs="宋体" w:hint="eastAsia"/>
          <w:spacing w:val="-1"/>
        </w:rPr>
        <w:t>七十一</w:t>
      </w:r>
      <w:r>
        <w:rPr>
          <w:rFonts w:cs="宋体"/>
          <w:spacing w:val="-1"/>
        </w:rPr>
        <w:t>条第二款确定赔偿数额，或者权利人的损失、侵权人获得的利益和专利许可使用费均难以确定的，可以根据专利权的类型、侵权行为的性质和情节、专利技术或设计的市场价值等因素，依据《专利法》规定的法定赔偿数额予以确定。</w:t>
      </w:r>
    </w:p>
    <w:p w:rsidR="00800760" w:rsidRDefault="00235733">
      <w:pPr>
        <w:pStyle w:val="3"/>
        <w:spacing w:before="240"/>
        <w:ind w:firstLine="444"/>
        <w:rPr>
          <w:rFonts w:ascii="Times New Roman" w:hAnsi="Times New Roman"/>
        </w:rPr>
      </w:pPr>
      <w:bookmarkStart w:id="9222" w:name="bookmark226"/>
      <w:bookmarkStart w:id="9223" w:name="_Toc15521"/>
      <w:bookmarkStart w:id="9224" w:name="_Toc17264"/>
      <w:bookmarkStart w:id="9225" w:name="_Toc20296"/>
      <w:bookmarkStart w:id="9226" w:name="_Toc28186"/>
      <w:bookmarkStart w:id="9227" w:name="_Toc1710"/>
      <w:bookmarkStart w:id="9228" w:name="_Toc8335"/>
      <w:bookmarkStart w:id="9229" w:name="_Toc8333"/>
      <w:bookmarkStart w:id="9230" w:name="_Toc28132"/>
      <w:bookmarkStart w:id="9231" w:name="_Toc13393"/>
      <w:bookmarkStart w:id="9232" w:name="_Toc15237"/>
      <w:bookmarkStart w:id="9233" w:name="_Toc229114548"/>
      <w:bookmarkStart w:id="9234" w:name="_Toc23291"/>
      <w:bookmarkStart w:id="9235" w:name="_Toc229225644"/>
      <w:bookmarkEnd w:id="9222"/>
      <w:r>
        <w:rPr>
          <w:rFonts w:ascii="Times New Roman" w:hAnsi="Times New Roman"/>
        </w:rPr>
        <w:t>一、确定法定赔偿数额的方法</w:t>
      </w:r>
      <w:bookmarkEnd w:id="9223"/>
      <w:bookmarkEnd w:id="9224"/>
      <w:bookmarkEnd w:id="9225"/>
      <w:bookmarkEnd w:id="9226"/>
      <w:bookmarkEnd w:id="9227"/>
      <w:bookmarkEnd w:id="9228"/>
      <w:bookmarkEnd w:id="9229"/>
      <w:bookmarkEnd w:id="9230"/>
      <w:bookmarkEnd w:id="9231"/>
      <w:bookmarkEnd w:id="9232"/>
      <w:bookmarkEnd w:id="9233"/>
      <w:bookmarkEnd w:id="9234"/>
      <w:bookmarkEnd w:id="9235"/>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一</w:t>
      </w:r>
      <w:r>
        <w:rPr>
          <w:rFonts w:ascii="Times New Roman" w:hAnsi="Times New Roman"/>
        </w:rPr>
        <w:t>)</w:t>
      </w:r>
      <w:r>
        <w:rPr>
          <w:rFonts w:ascii="Times New Roman" w:hAnsi="Times New Roman"/>
        </w:rPr>
        <w:t>市场法</w:t>
      </w:r>
    </w:p>
    <w:p w:rsidR="00800760" w:rsidRDefault="00235733">
      <w:pPr>
        <w:ind w:firstLine="416"/>
        <w:jc w:val="both"/>
        <w:rPr>
          <w:rFonts w:cs="宋体"/>
          <w:spacing w:val="-1"/>
        </w:rPr>
      </w:pPr>
      <w:r>
        <w:rPr>
          <w:rFonts w:cs="宋体"/>
          <w:spacing w:val="-1"/>
        </w:rPr>
        <w:t>市场法，是指利用市场上相同或类似专利技术或设计的近期交易价格为参照，结合其他相关影响因素对专利技术或设计的市场价值进行评估。</w:t>
      </w:r>
    </w:p>
    <w:p w:rsidR="00800760" w:rsidRDefault="00235733">
      <w:pPr>
        <w:ind w:firstLine="416"/>
        <w:jc w:val="both"/>
        <w:rPr>
          <w:rFonts w:cs="宋体"/>
          <w:spacing w:val="-1"/>
        </w:rPr>
      </w:pPr>
      <w:r>
        <w:rPr>
          <w:rFonts w:cs="宋体"/>
          <w:spacing w:val="-1"/>
        </w:rPr>
        <w:t>采用该方法对侵权损害赔偿数额进行评估时，可以按照以下程序进行：</w:t>
      </w:r>
    </w:p>
    <w:p w:rsidR="00800760" w:rsidRDefault="00235733">
      <w:pPr>
        <w:ind w:firstLine="416"/>
        <w:jc w:val="both"/>
        <w:rPr>
          <w:rFonts w:cs="宋体"/>
          <w:spacing w:val="-1"/>
        </w:rPr>
      </w:pPr>
      <w:r>
        <w:rPr>
          <w:rFonts w:cs="宋体"/>
          <w:spacing w:val="-1"/>
        </w:rPr>
        <w:t>(1)</w:t>
      </w:r>
      <w:r>
        <w:rPr>
          <w:rFonts w:cs="宋体"/>
          <w:spacing w:val="-1"/>
        </w:rPr>
        <w:t>选择参照物；</w:t>
      </w:r>
    </w:p>
    <w:p w:rsidR="00800760" w:rsidRDefault="00235733">
      <w:pPr>
        <w:ind w:firstLine="416"/>
        <w:jc w:val="both"/>
        <w:rPr>
          <w:rFonts w:cs="宋体"/>
          <w:spacing w:val="-1"/>
        </w:rPr>
      </w:pPr>
      <w:r>
        <w:rPr>
          <w:rFonts w:cs="宋体"/>
          <w:spacing w:val="-1"/>
        </w:rPr>
        <w:t>(2)</w:t>
      </w:r>
      <w:r>
        <w:rPr>
          <w:rFonts w:cs="宋体"/>
          <w:spacing w:val="-1"/>
        </w:rPr>
        <w:t>在评估对象与参照物之间选择比较因素；</w:t>
      </w:r>
    </w:p>
    <w:p w:rsidR="00800760" w:rsidRDefault="00235733">
      <w:pPr>
        <w:ind w:firstLine="416"/>
        <w:jc w:val="both"/>
        <w:rPr>
          <w:rFonts w:cs="宋体"/>
          <w:spacing w:val="-1"/>
        </w:rPr>
      </w:pPr>
      <w:r>
        <w:rPr>
          <w:rFonts w:cs="宋体"/>
          <w:spacing w:val="-1"/>
        </w:rPr>
        <w:t>(3)</w:t>
      </w:r>
      <w:r>
        <w:rPr>
          <w:rFonts w:cs="宋体"/>
          <w:spacing w:val="-1"/>
        </w:rPr>
        <w:t>指标对比、量化差异；</w:t>
      </w:r>
    </w:p>
    <w:p w:rsidR="00800760" w:rsidRDefault="00235733">
      <w:pPr>
        <w:ind w:firstLine="416"/>
        <w:jc w:val="both"/>
        <w:rPr>
          <w:rFonts w:cs="宋体"/>
          <w:spacing w:val="-1"/>
        </w:rPr>
      </w:pPr>
      <w:r>
        <w:rPr>
          <w:rFonts w:cs="宋体"/>
          <w:spacing w:val="-1"/>
        </w:rPr>
        <w:t>(4)</w:t>
      </w:r>
      <w:r>
        <w:rPr>
          <w:rFonts w:cs="宋体"/>
          <w:spacing w:val="-1"/>
        </w:rPr>
        <w:t>在各参照物成交价格的基础上调整已经量化的对比指标差异；</w:t>
      </w:r>
    </w:p>
    <w:p w:rsidR="00800760" w:rsidRDefault="00235733">
      <w:pPr>
        <w:ind w:firstLine="416"/>
        <w:jc w:val="both"/>
        <w:rPr>
          <w:rFonts w:cs="宋体"/>
          <w:spacing w:val="-1"/>
        </w:rPr>
      </w:pPr>
      <w:r>
        <w:rPr>
          <w:rFonts w:cs="宋体"/>
          <w:spacing w:val="-1"/>
        </w:rPr>
        <w:t>(5)</w:t>
      </w:r>
      <w:r>
        <w:rPr>
          <w:rFonts w:cs="宋体"/>
          <w:spacing w:val="-1"/>
        </w:rPr>
        <w:t>综合分析确定评估结果；</w:t>
      </w:r>
    </w:p>
    <w:p w:rsidR="00800760" w:rsidRDefault="00235733">
      <w:pPr>
        <w:ind w:firstLine="416"/>
        <w:jc w:val="both"/>
        <w:rPr>
          <w:rFonts w:cs="宋体"/>
          <w:spacing w:val="-1"/>
        </w:rPr>
      </w:pPr>
      <w:r>
        <w:rPr>
          <w:rFonts w:cs="宋体"/>
          <w:spacing w:val="-1"/>
        </w:rPr>
        <w:t>(6)</w:t>
      </w:r>
      <w:r>
        <w:rPr>
          <w:rFonts w:cs="宋体"/>
          <w:spacing w:val="-1"/>
        </w:rPr>
        <w:t>运用市场法估计单项专利权应考虑的可比因素；</w:t>
      </w:r>
    </w:p>
    <w:p w:rsidR="00800760" w:rsidRDefault="00235733">
      <w:pPr>
        <w:ind w:firstLine="416"/>
        <w:jc w:val="both"/>
        <w:rPr>
          <w:rFonts w:cs="宋体"/>
          <w:spacing w:val="-1"/>
        </w:rPr>
      </w:pPr>
      <w:r>
        <w:rPr>
          <w:rFonts w:cs="宋体"/>
          <w:spacing w:val="-1"/>
        </w:rPr>
        <w:t>(7)</w:t>
      </w:r>
      <w:r>
        <w:rPr>
          <w:rFonts w:cs="宋体"/>
          <w:spacing w:val="-1"/>
        </w:rPr>
        <w:t>将通过市场法评估出来的相关专利权价值与该专利可能的损害赔偿数额进行比较，确定二者是等同还是有差异，最终确定法定赔偿额。</w:t>
      </w:r>
    </w:p>
    <w:p w:rsidR="00800760" w:rsidRDefault="00235733">
      <w:pPr>
        <w:ind w:firstLine="416"/>
        <w:jc w:val="both"/>
        <w:rPr>
          <w:rFonts w:cs="宋体"/>
          <w:spacing w:val="-1"/>
        </w:rPr>
      </w:pPr>
      <w:r>
        <w:rPr>
          <w:rFonts w:cs="宋体"/>
          <w:spacing w:val="-1"/>
        </w:rPr>
        <w:t>运用市场法确定法定赔偿额时，通常可以根据经济发展程度相类似地区对类似性质的被请求人企业就类似专利产品价值的侵权损害赔偿判决，或者参考类似请求人在本地区对类似性质被请求人的相类似产品的损害赔偿数额的判决先例，确定最终的损害赔偿额。</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二</w:t>
      </w:r>
      <w:r>
        <w:rPr>
          <w:rFonts w:ascii="Times New Roman" w:hAnsi="Times New Roman"/>
        </w:rPr>
        <w:t>)</w:t>
      </w:r>
      <w:r>
        <w:rPr>
          <w:rFonts w:ascii="Times New Roman" w:hAnsi="Times New Roman"/>
        </w:rPr>
        <w:t>收益法</w:t>
      </w:r>
    </w:p>
    <w:p w:rsidR="00800760" w:rsidRDefault="00235733">
      <w:pPr>
        <w:ind w:firstLine="416"/>
        <w:jc w:val="both"/>
        <w:rPr>
          <w:rFonts w:cs="宋体"/>
          <w:spacing w:val="-1"/>
        </w:rPr>
      </w:pPr>
      <w:r>
        <w:rPr>
          <w:rFonts w:cs="宋体"/>
          <w:spacing w:val="-1"/>
        </w:rPr>
        <w:t>专利技术或设计已经用于商业经营的，可以通过估算专利技术或设计在相同期限的经营中的收益比例，确定赔偿数额。</w:t>
      </w:r>
    </w:p>
    <w:p w:rsidR="00800760" w:rsidRDefault="00235733">
      <w:pPr>
        <w:ind w:firstLine="416"/>
        <w:jc w:val="both"/>
        <w:rPr>
          <w:rFonts w:cs="宋体"/>
          <w:spacing w:val="-1"/>
        </w:rPr>
      </w:pPr>
      <w:r>
        <w:rPr>
          <w:rFonts w:cs="宋体"/>
          <w:spacing w:val="-1"/>
        </w:rPr>
        <w:t>采用该方法进行评估时，可以按照以下程序进行：</w:t>
      </w:r>
    </w:p>
    <w:p w:rsidR="00800760" w:rsidRDefault="00235733">
      <w:pPr>
        <w:ind w:firstLine="416"/>
        <w:jc w:val="both"/>
        <w:rPr>
          <w:rFonts w:cs="宋体"/>
          <w:spacing w:val="-1"/>
        </w:rPr>
      </w:pPr>
      <w:r>
        <w:rPr>
          <w:rFonts w:cs="宋体"/>
          <w:spacing w:val="-1"/>
        </w:rPr>
        <w:t>(1)</w:t>
      </w:r>
      <w:r>
        <w:rPr>
          <w:rFonts w:cs="宋体"/>
          <w:spacing w:val="-1"/>
        </w:rPr>
        <w:t>收集验证与评估对象未来预期收益有关的数据资料，包括经营前景、财务状况、市场形势以及经营风险等</w:t>
      </w:r>
      <w:r>
        <w:rPr>
          <w:rFonts w:cs="宋体" w:hint="eastAsia"/>
          <w:spacing w:val="-1"/>
        </w:rPr>
        <w:t>；</w:t>
      </w:r>
    </w:p>
    <w:p w:rsidR="00800760" w:rsidRDefault="00235733">
      <w:pPr>
        <w:ind w:firstLine="416"/>
        <w:jc w:val="both"/>
        <w:rPr>
          <w:rFonts w:cs="宋体"/>
          <w:spacing w:val="-1"/>
        </w:rPr>
      </w:pPr>
      <w:r>
        <w:rPr>
          <w:rFonts w:cs="宋体"/>
          <w:spacing w:val="-1"/>
        </w:rPr>
        <w:t>(2)</w:t>
      </w:r>
      <w:r>
        <w:rPr>
          <w:rFonts w:cs="宋体"/>
          <w:spacing w:val="-1"/>
        </w:rPr>
        <w:t>分析测算评估对象未来预期收益</w:t>
      </w:r>
      <w:r>
        <w:rPr>
          <w:rFonts w:cs="宋体" w:hint="eastAsia"/>
          <w:spacing w:val="-1"/>
        </w:rPr>
        <w:t>；</w:t>
      </w:r>
    </w:p>
    <w:p w:rsidR="00800760" w:rsidRDefault="00235733">
      <w:pPr>
        <w:ind w:firstLine="416"/>
        <w:jc w:val="both"/>
        <w:rPr>
          <w:rFonts w:cs="宋体"/>
          <w:spacing w:val="-1"/>
        </w:rPr>
      </w:pPr>
      <w:r>
        <w:rPr>
          <w:rFonts w:cs="宋体"/>
          <w:spacing w:val="-1"/>
        </w:rPr>
        <w:t>(3)</w:t>
      </w:r>
      <w:r>
        <w:rPr>
          <w:rFonts w:cs="宋体"/>
          <w:spacing w:val="-1"/>
        </w:rPr>
        <w:t>确定折现率或资本化率</w:t>
      </w:r>
      <w:r>
        <w:rPr>
          <w:rFonts w:cs="宋体" w:hint="eastAsia"/>
          <w:spacing w:val="-1"/>
        </w:rPr>
        <w:t>；</w:t>
      </w:r>
    </w:p>
    <w:p w:rsidR="00800760" w:rsidRDefault="00235733">
      <w:pPr>
        <w:ind w:firstLine="416"/>
        <w:jc w:val="both"/>
        <w:rPr>
          <w:rFonts w:cs="宋体"/>
          <w:spacing w:val="-1"/>
        </w:rPr>
      </w:pPr>
      <w:r>
        <w:rPr>
          <w:rFonts w:cs="宋体"/>
          <w:spacing w:val="-1"/>
        </w:rPr>
        <w:t>(4)</w:t>
      </w:r>
      <w:r>
        <w:rPr>
          <w:rFonts w:cs="宋体"/>
          <w:spacing w:val="-1"/>
        </w:rPr>
        <w:t>以所确定折现率将被评估专利预测收益折算成现值</w:t>
      </w:r>
      <w:r>
        <w:rPr>
          <w:rFonts w:cs="宋体" w:hint="eastAsia"/>
          <w:spacing w:val="-1"/>
        </w:rPr>
        <w:t>；</w:t>
      </w:r>
    </w:p>
    <w:p w:rsidR="00800760" w:rsidRDefault="00235733">
      <w:pPr>
        <w:ind w:firstLine="416"/>
        <w:jc w:val="both"/>
        <w:rPr>
          <w:rFonts w:cs="宋体"/>
          <w:spacing w:val="-1"/>
        </w:rPr>
      </w:pPr>
      <w:r>
        <w:rPr>
          <w:rFonts w:cs="宋体"/>
          <w:spacing w:val="-1"/>
        </w:rPr>
        <w:t>(5)</w:t>
      </w:r>
      <w:r>
        <w:rPr>
          <w:rFonts w:cs="宋体"/>
          <w:spacing w:val="-1"/>
        </w:rPr>
        <w:t>分析确定评估结果</w:t>
      </w:r>
      <w:r>
        <w:rPr>
          <w:rFonts w:cs="宋体" w:hint="eastAsia"/>
          <w:spacing w:val="-1"/>
        </w:rPr>
        <w:t>；</w:t>
      </w:r>
    </w:p>
    <w:p w:rsidR="00800760" w:rsidRDefault="00235733">
      <w:pPr>
        <w:ind w:firstLine="416"/>
        <w:jc w:val="both"/>
        <w:rPr>
          <w:rFonts w:cs="宋体"/>
          <w:spacing w:val="-1"/>
        </w:rPr>
      </w:pPr>
      <w:r>
        <w:rPr>
          <w:rFonts w:cs="宋体"/>
          <w:spacing w:val="-1"/>
        </w:rPr>
        <w:t>(6)</w:t>
      </w:r>
      <w:r>
        <w:rPr>
          <w:rFonts w:cs="宋体"/>
          <w:spacing w:val="-1"/>
        </w:rPr>
        <w:t>将通过收益法评估出来的相关专利权价值与该专利可能的损害赔偿数额进行比较，确定二者是等同还是有差异，最终确定法定赔偿额。</w:t>
      </w:r>
    </w:p>
    <w:p w:rsidR="00800760" w:rsidRDefault="00235733">
      <w:pPr>
        <w:pStyle w:val="4"/>
        <w:spacing w:before="240"/>
        <w:ind w:firstLine="444"/>
        <w:rPr>
          <w:rFonts w:ascii="Times New Roman" w:hAnsi="Times New Roman"/>
        </w:rPr>
      </w:pPr>
      <w:r>
        <w:rPr>
          <w:rFonts w:ascii="Times New Roman" w:hAnsi="Times New Roman"/>
        </w:rPr>
        <w:t>(</w:t>
      </w:r>
      <w:r>
        <w:rPr>
          <w:rFonts w:ascii="Times New Roman" w:hAnsi="Times New Roman"/>
        </w:rPr>
        <w:t>三</w:t>
      </w:r>
      <w:r>
        <w:rPr>
          <w:rFonts w:ascii="Times New Roman" w:hAnsi="Times New Roman"/>
        </w:rPr>
        <w:t>)</w:t>
      </w:r>
      <w:r>
        <w:rPr>
          <w:rFonts w:ascii="Times New Roman" w:hAnsi="Times New Roman"/>
        </w:rPr>
        <w:t>成本法</w:t>
      </w:r>
    </w:p>
    <w:p w:rsidR="00800760" w:rsidRDefault="00235733">
      <w:pPr>
        <w:ind w:firstLine="416"/>
        <w:jc w:val="both"/>
        <w:rPr>
          <w:rFonts w:cs="宋体"/>
          <w:spacing w:val="-1"/>
        </w:rPr>
      </w:pPr>
      <w:r>
        <w:rPr>
          <w:rFonts w:cs="宋体"/>
          <w:spacing w:val="-1"/>
        </w:rPr>
        <w:t>专利技术或设计的研发成本可以确定的，可以根据该成本的合理比例确定赔偿数额。</w:t>
      </w:r>
    </w:p>
    <w:p w:rsidR="00800760" w:rsidRDefault="00235733">
      <w:pPr>
        <w:pStyle w:val="3"/>
        <w:spacing w:before="240"/>
        <w:ind w:firstLine="444"/>
        <w:rPr>
          <w:rFonts w:ascii="Times New Roman" w:hAnsi="Times New Roman"/>
        </w:rPr>
      </w:pPr>
      <w:bookmarkStart w:id="9236" w:name="_Toc6211"/>
      <w:bookmarkStart w:id="9237" w:name="_Toc350"/>
      <w:bookmarkStart w:id="9238" w:name="_Toc29268"/>
      <w:bookmarkStart w:id="9239" w:name="_Toc9638"/>
      <w:bookmarkStart w:id="9240" w:name="_Toc9924"/>
      <w:bookmarkStart w:id="9241" w:name="_Toc14353"/>
      <w:bookmarkStart w:id="9242" w:name="_Toc229114549"/>
      <w:bookmarkStart w:id="9243" w:name="_Toc18301"/>
      <w:bookmarkStart w:id="9244" w:name="_Toc21801"/>
      <w:bookmarkStart w:id="9245" w:name="_Toc6008"/>
      <w:bookmarkStart w:id="9246" w:name="_Toc10494"/>
      <w:bookmarkStart w:id="9247" w:name="_Toc816"/>
      <w:bookmarkStart w:id="9248" w:name="_Toc229225645"/>
      <w:r>
        <w:rPr>
          <w:rFonts w:ascii="Times New Roman" w:hAnsi="Times New Roman"/>
        </w:rPr>
        <w:t>二、需要考虑的其他因素</w:t>
      </w:r>
      <w:bookmarkEnd w:id="9236"/>
      <w:bookmarkEnd w:id="9237"/>
      <w:bookmarkEnd w:id="9238"/>
      <w:bookmarkEnd w:id="9239"/>
      <w:bookmarkEnd w:id="9240"/>
      <w:bookmarkEnd w:id="9241"/>
      <w:bookmarkEnd w:id="9242"/>
      <w:bookmarkEnd w:id="9243"/>
      <w:bookmarkEnd w:id="9244"/>
      <w:bookmarkEnd w:id="9245"/>
      <w:bookmarkEnd w:id="9246"/>
      <w:bookmarkEnd w:id="9247"/>
      <w:bookmarkEnd w:id="9248"/>
    </w:p>
    <w:p w:rsidR="00800760" w:rsidRDefault="00235733">
      <w:pPr>
        <w:ind w:firstLine="416"/>
        <w:jc w:val="both"/>
        <w:rPr>
          <w:rFonts w:cs="宋体"/>
          <w:spacing w:val="-1"/>
        </w:rPr>
      </w:pPr>
      <w:r>
        <w:rPr>
          <w:rFonts w:cs="宋体"/>
          <w:spacing w:val="-1"/>
        </w:rPr>
        <w:t>除上述市场法、收益法、成本法外，对专利技术进行评估需综合考虑以下因素：</w:t>
      </w:r>
    </w:p>
    <w:p w:rsidR="00800760" w:rsidRDefault="00235733">
      <w:pPr>
        <w:ind w:firstLine="416"/>
        <w:jc w:val="both"/>
        <w:rPr>
          <w:rFonts w:cs="宋体"/>
          <w:spacing w:val="-1"/>
        </w:rPr>
      </w:pPr>
      <w:r>
        <w:rPr>
          <w:rFonts w:cs="宋体"/>
          <w:spacing w:val="-1"/>
        </w:rPr>
        <w:t>(1)</w:t>
      </w:r>
      <w:r>
        <w:rPr>
          <w:rFonts w:cs="宋体"/>
          <w:spacing w:val="-1"/>
        </w:rPr>
        <w:t>权利人可能的实际损失，或者侵权人可能的侵权所得。即对权利人的实际损失或侵权人侵权所得的数额有一个合理的估计，其是确定法定赔偿额的基础，可有效防止自由裁量的随意性。</w:t>
      </w:r>
    </w:p>
    <w:p w:rsidR="00800760" w:rsidRDefault="00235733">
      <w:pPr>
        <w:ind w:firstLine="416"/>
        <w:jc w:val="both"/>
        <w:rPr>
          <w:rFonts w:cs="宋体"/>
          <w:spacing w:val="-1"/>
        </w:rPr>
      </w:pPr>
      <w:r>
        <w:rPr>
          <w:rFonts w:cs="宋体"/>
          <w:spacing w:val="-1"/>
        </w:rPr>
        <w:t>(2)</w:t>
      </w:r>
      <w:r>
        <w:rPr>
          <w:rFonts w:cs="宋体"/>
          <w:spacing w:val="-1"/>
        </w:rPr>
        <w:t>专利权的类型和创新程度。即需考虑专利属于发明、实用新型还是外观设计专利。一般来说，专利的创新程度和技术含量越高，对生产效率和质量的影响越大；发明专利的侵权赔偿额应为最高，实用新型专利次之，外观设计专利再次。</w:t>
      </w:r>
    </w:p>
    <w:p w:rsidR="00800760" w:rsidRDefault="00235733">
      <w:pPr>
        <w:ind w:firstLine="416"/>
        <w:jc w:val="both"/>
        <w:rPr>
          <w:rFonts w:cs="宋体"/>
          <w:spacing w:val="-1"/>
        </w:rPr>
      </w:pPr>
      <w:r>
        <w:rPr>
          <w:rFonts w:cs="宋体"/>
          <w:spacing w:val="-1"/>
        </w:rPr>
        <w:t>(3)</w:t>
      </w:r>
      <w:r>
        <w:rPr>
          <w:rFonts w:cs="宋体"/>
          <w:spacing w:val="-1"/>
        </w:rPr>
        <w:t>专利权的价值。即需考虑专利技术的创造性、显著性、技术研发成本、技术实施情况、市场上同类产品的平均利润等因素。</w:t>
      </w:r>
    </w:p>
    <w:p w:rsidR="00800760" w:rsidRDefault="00235733">
      <w:pPr>
        <w:ind w:firstLine="416"/>
        <w:jc w:val="both"/>
        <w:rPr>
          <w:rFonts w:cs="宋体"/>
          <w:spacing w:val="-1"/>
        </w:rPr>
      </w:pPr>
      <w:r>
        <w:rPr>
          <w:rFonts w:cs="宋体"/>
          <w:spacing w:val="-1"/>
        </w:rPr>
        <w:t>(4)</w:t>
      </w:r>
      <w:r>
        <w:rPr>
          <w:rFonts w:cs="宋体"/>
          <w:spacing w:val="-1"/>
        </w:rPr>
        <w:t>侵权行为的性质。即考虑是直接侵权还是间接侵权、是生产过程中的侵权还是销售过程中的侵权、是初次侵权还是重复侵权等因素。</w:t>
      </w:r>
    </w:p>
    <w:p w:rsidR="00800760" w:rsidRDefault="00235733">
      <w:pPr>
        <w:ind w:firstLine="416"/>
        <w:jc w:val="both"/>
        <w:rPr>
          <w:rFonts w:cs="宋体"/>
          <w:spacing w:val="-1"/>
        </w:rPr>
      </w:pPr>
      <w:r>
        <w:rPr>
          <w:rFonts w:cs="宋体"/>
          <w:spacing w:val="-1"/>
        </w:rPr>
        <w:t>(5)</w:t>
      </w:r>
      <w:r>
        <w:rPr>
          <w:rFonts w:cs="宋体"/>
          <w:spacing w:val="-1"/>
        </w:rPr>
        <w:t>侵权行为的情节。即考虑侵权行为的次数、侵权行为持续的时间和空间程度、权利人发出侵权警告后侵权人的行为表现、侵权行为的组织化程度等因素。</w:t>
      </w:r>
    </w:p>
    <w:p w:rsidR="00800760" w:rsidRDefault="00235733">
      <w:pPr>
        <w:ind w:firstLine="416"/>
        <w:jc w:val="both"/>
        <w:rPr>
          <w:rFonts w:cs="宋体"/>
          <w:spacing w:val="-1"/>
        </w:rPr>
      </w:pPr>
      <w:r>
        <w:rPr>
          <w:rFonts w:cs="宋体"/>
          <w:spacing w:val="-1"/>
        </w:rPr>
        <w:t>(6)</w:t>
      </w:r>
      <w:r>
        <w:rPr>
          <w:rFonts w:cs="宋体"/>
          <w:spacing w:val="-1"/>
        </w:rPr>
        <w:t>侵权行为的损害后果。即应根据侵权行为对权利人的商业利润、商业声誉、社会评价的影响等进行衡量。</w:t>
      </w:r>
    </w:p>
    <w:p w:rsidR="00800760" w:rsidRDefault="00235733">
      <w:pPr>
        <w:ind w:firstLine="416"/>
        <w:jc w:val="both"/>
        <w:rPr>
          <w:rFonts w:cs="宋体"/>
          <w:spacing w:val="-1"/>
        </w:rPr>
      </w:pPr>
      <w:r>
        <w:rPr>
          <w:rFonts w:cs="宋体"/>
          <w:spacing w:val="-1"/>
        </w:rPr>
        <w:t>(7)</w:t>
      </w:r>
      <w:r>
        <w:rPr>
          <w:rFonts w:cs="宋体"/>
          <w:spacing w:val="-1"/>
        </w:rPr>
        <w:t>侵权人的主观过错程度。主观因素决定过错程度，并影响责任的大小和归属；过错越大，对权利人造成的损失可能越严重。</w:t>
      </w:r>
    </w:p>
    <w:p w:rsidR="00800760" w:rsidRDefault="00235733">
      <w:pPr>
        <w:ind w:firstLine="416"/>
        <w:jc w:val="both"/>
        <w:rPr>
          <w:rFonts w:cs="宋体"/>
          <w:spacing w:val="-1"/>
        </w:rPr>
      </w:pPr>
      <w:r>
        <w:rPr>
          <w:rFonts w:cs="宋体"/>
          <w:spacing w:val="-1"/>
        </w:rPr>
        <w:t>(8)</w:t>
      </w:r>
      <w:r>
        <w:rPr>
          <w:rFonts w:cs="宋体"/>
          <w:spacing w:val="-1"/>
        </w:rPr>
        <w:t>作为部件的专利产品在整个产品中所起的作用。通常专利产品在整个产品中的作用越大，价值越高。</w:t>
      </w:r>
    </w:p>
    <w:p w:rsidR="00800760" w:rsidRDefault="00235733">
      <w:pPr>
        <w:ind w:firstLine="416"/>
        <w:jc w:val="both"/>
        <w:rPr>
          <w:rFonts w:cs="宋体"/>
          <w:spacing w:val="-1"/>
        </w:rPr>
      </w:pPr>
      <w:r>
        <w:rPr>
          <w:rFonts w:cs="宋体"/>
          <w:spacing w:val="-1"/>
        </w:rPr>
        <w:t>(9)</w:t>
      </w:r>
      <w:r>
        <w:rPr>
          <w:rFonts w:cs="宋体"/>
          <w:spacing w:val="-1"/>
        </w:rPr>
        <w:t>同类专利的合理转让费、许可使用费。</w:t>
      </w:r>
    </w:p>
    <w:p w:rsidR="00800760" w:rsidRDefault="00235733">
      <w:pPr>
        <w:ind w:firstLine="416"/>
        <w:jc w:val="both"/>
        <w:rPr>
          <w:rFonts w:cs="宋体"/>
          <w:spacing w:val="-1"/>
        </w:rPr>
      </w:pPr>
      <w:r>
        <w:rPr>
          <w:rFonts w:cs="宋体"/>
          <w:spacing w:val="-1"/>
        </w:rPr>
        <w:t>(10)</w:t>
      </w:r>
      <w:r>
        <w:rPr>
          <w:rFonts w:cs="宋体"/>
          <w:spacing w:val="-1"/>
        </w:rPr>
        <w:t>其他可能影响确定赔偿数额的因素。例如，专利是否经过无效宣告程序，并且已被国家知识产权局维持有效；专利属于基础专利还是从属专利，从属专利的价值往往低于基础专利；市场上是否有可替代产品或更新产品。</w:t>
      </w:r>
    </w:p>
    <w:p w:rsidR="00800760" w:rsidRDefault="00235733">
      <w:pPr>
        <w:pStyle w:val="af6"/>
        <w:spacing w:before="120"/>
        <w:ind w:firstLine="420"/>
      </w:pPr>
      <w:r>
        <w:rPr>
          <w:rFonts w:hint="eastAsia"/>
        </w:rPr>
        <w:t>【案例8</w:t>
      </w:r>
      <w:r>
        <w:t>-</w:t>
      </w:r>
      <w:r>
        <w:rPr>
          <w:rFonts w:hint="eastAsia"/>
        </w:rPr>
        <w:t>4</w:t>
      </w:r>
      <w:r>
        <w:t>-1</w:t>
      </w:r>
      <w:r>
        <w:rPr>
          <w:rFonts w:hint="eastAsia"/>
        </w:rPr>
        <w:t>】</w:t>
      </w:r>
    </w:p>
    <w:p w:rsidR="00800760" w:rsidRDefault="00235733">
      <w:pPr>
        <w:ind w:firstLine="432"/>
        <w:jc w:val="both"/>
        <w:rPr>
          <w:rFonts w:eastAsia="楷体_GB2312" w:cs="楷体_GB2312"/>
          <w:spacing w:val="3"/>
        </w:rPr>
      </w:pPr>
      <w:r>
        <w:rPr>
          <w:rFonts w:eastAsia="楷体_GB2312" w:cs="楷体_GB2312" w:hint="eastAsia"/>
          <w:spacing w:val="3"/>
        </w:rPr>
        <w:t>甲</w:t>
      </w:r>
      <w:r>
        <w:rPr>
          <w:rFonts w:eastAsia="楷体_GB2312" w:cs="楷体_GB2312"/>
          <w:spacing w:val="3"/>
        </w:rPr>
        <w:t>于</w:t>
      </w:r>
      <w:r>
        <w:rPr>
          <w:rFonts w:eastAsia="楷体_GB2312" w:cs="楷体_GB2312"/>
          <w:spacing w:val="3"/>
        </w:rPr>
        <w:t>2005</w:t>
      </w:r>
      <w:r>
        <w:rPr>
          <w:rFonts w:eastAsia="楷体_GB2312" w:cs="楷体_GB2312"/>
          <w:spacing w:val="3"/>
        </w:rPr>
        <w:t>年</w:t>
      </w:r>
      <w:r>
        <w:rPr>
          <w:rFonts w:eastAsia="楷体_GB2312" w:cs="楷体_GB2312"/>
          <w:spacing w:val="3"/>
        </w:rPr>
        <w:t>5</w:t>
      </w:r>
      <w:r>
        <w:rPr>
          <w:rFonts w:eastAsia="楷体_GB2312" w:cs="楷体_GB2312"/>
          <w:spacing w:val="3"/>
        </w:rPr>
        <w:t>月</w:t>
      </w:r>
      <w:r>
        <w:rPr>
          <w:rFonts w:eastAsia="楷体_GB2312" w:cs="楷体_GB2312"/>
          <w:spacing w:val="3"/>
        </w:rPr>
        <w:t>18</w:t>
      </w:r>
      <w:r>
        <w:rPr>
          <w:rFonts w:eastAsia="楷体_GB2312" w:cs="楷体_GB2312"/>
          <w:spacing w:val="3"/>
        </w:rPr>
        <w:t>日就其设计的</w:t>
      </w:r>
      <w:r>
        <w:rPr>
          <w:rFonts w:eastAsia="楷体_GB2312" w:cs="楷体_GB2312"/>
          <w:spacing w:val="3"/>
        </w:rPr>
        <w:t>“</w:t>
      </w:r>
      <w:r>
        <w:rPr>
          <w:rFonts w:eastAsia="楷体_GB2312" w:cs="楷体_GB2312"/>
          <w:spacing w:val="3"/>
        </w:rPr>
        <w:t>鼠标</w:t>
      </w:r>
      <w:r>
        <w:rPr>
          <w:rFonts w:eastAsia="楷体_GB2312" w:cs="楷体_GB2312"/>
          <w:spacing w:val="3"/>
        </w:rPr>
        <w:t>”</w:t>
      </w:r>
      <w:r>
        <w:rPr>
          <w:rFonts w:eastAsia="楷体_GB2312" w:cs="楷体_GB2312"/>
          <w:spacing w:val="3"/>
        </w:rPr>
        <w:t>向国家知识产权局提出外观设计专利申请，</w:t>
      </w:r>
      <w:r>
        <w:rPr>
          <w:rFonts w:eastAsia="楷体_GB2312" w:cs="楷体_GB2312"/>
          <w:spacing w:val="3"/>
        </w:rPr>
        <w:t>2006</w:t>
      </w:r>
      <w:r>
        <w:rPr>
          <w:rFonts w:eastAsia="楷体_GB2312" w:cs="楷体_GB2312"/>
          <w:spacing w:val="3"/>
        </w:rPr>
        <w:t>年</w:t>
      </w:r>
      <w:r>
        <w:rPr>
          <w:rFonts w:eastAsia="楷体_GB2312" w:cs="楷体_GB2312"/>
          <w:spacing w:val="3"/>
        </w:rPr>
        <w:t>5</w:t>
      </w:r>
      <w:r>
        <w:rPr>
          <w:rFonts w:eastAsia="楷体_GB2312" w:cs="楷体_GB2312"/>
          <w:spacing w:val="3"/>
        </w:rPr>
        <w:t>月</w:t>
      </w:r>
      <w:r>
        <w:rPr>
          <w:rFonts w:eastAsia="楷体_GB2312" w:cs="楷体_GB2312"/>
          <w:spacing w:val="3"/>
        </w:rPr>
        <w:t>3</w:t>
      </w:r>
      <w:r>
        <w:rPr>
          <w:rFonts w:eastAsia="楷体_GB2312" w:cs="楷体_GB2312"/>
          <w:spacing w:val="3"/>
        </w:rPr>
        <w:t>日授权公告。</w:t>
      </w:r>
      <w:r>
        <w:rPr>
          <w:rFonts w:eastAsia="楷体_GB2312" w:cs="楷体_GB2312"/>
          <w:spacing w:val="3"/>
        </w:rPr>
        <w:t>A</w:t>
      </w:r>
      <w:r>
        <w:rPr>
          <w:rFonts w:eastAsia="楷体_GB2312" w:cs="楷体_GB2312"/>
          <w:spacing w:val="3"/>
        </w:rPr>
        <w:t>公司涉嫌侵犯权利人陆某的外观设计专利权。</w:t>
      </w:r>
    </w:p>
    <w:p w:rsidR="00800760" w:rsidRDefault="00235733">
      <w:pPr>
        <w:ind w:firstLine="432"/>
        <w:jc w:val="both"/>
        <w:rPr>
          <w:rFonts w:eastAsia="楷体_GB2312" w:cs="楷体_GB2312"/>
          <w:spacing w:val="3"/>
        </w:rPr>
      </w:pPr>
      <w:bookmarkStart w:id="9249" w:name="bookmark227"/>
      <w:bookmarkEnd w:id="9249"/>
      <w:r>
        <w:rPr>
          <w:rFonts w:eastAsia="楷体_GB2312" w:cs="楷体_GB2312"/>
          <w:spacing w:val="3"/>
        </w:rPr>
        <w:t>在确定损害赔偿额时，鉴于权利人</w:t>
      </w:r>
      <w:r>
        <w:rPr>
          <w:rFonts w:eastAsia="楷体_GB2312" w:cs="楷体_GB2312" w:hint="eastAsia"/>
          <w:spacing w:val="3"/>
        </w:rPr>
        <w:t>甲</w:t>
      </w:r>
      <w:r>
        <w:rPr>
          <w:rFonts w:eastAsia="楷体_GB2312" w:cs="楷体_GB2312"/>
          <w:spacing w:val="3"/>
        </w:rPr>
        <w:t>因被侵权所受到的损失、侵权人</w:t>
      </w:r>
      <w:r>
        <w:rPr>
          <w:rFonts w:eastAsia="楷体_GB2312" w:cs="楷体_GB2312"/>
          <w:spacing w:val="3"/>
        </w:rPr>
        <w:t>A</w:t>
      </w:r>
      <w:r>
        <w:rPr>
          <w:rFonts w:eastAsia="楷体_GB2312" w:cs="楷体_GB2312"/>
          <w:spacing w:val="3"/>
        </w:rPr>
        <w:t>公司因侵权所获得的利益均难以确定，也没有专利许可使用费可以参照，因此，应综合考虑该案的下列因素确定侵权人</w:t>
      </w:r>
      <w:r>
        <w:rPr>
          <w:rFonts w:eastAsia="楷体_GB2312" w:cs="楷体_GB2312"/>
          <w:spacing w:val="3"/>
        </w:rPr>
        <w:t>A</w:t>
      </w:r>
      <w:r>
        <w:rPr>
          <w:rFonts w:eastAsia="楷体_GB2312" w:cs="楷体_GB2312"/>
          <w:spacing w:val="3"/>
        </w:rPr>
        <w:t>公司的赔偿数额：</w:t>
      </w:r>
    </w:p>
    <w:p w:rsidR="00800760" w:rsidRDefault="00235733">
      <w:pPr>
        <w:ind w:firstLine="432"/>
        <w:jc w:val="both"/>
        <w:rPr>
          <w:rFonts w:eastAsia="楷体_GB2312" w:cs="楷体_GB2312"/>
          <w:spacing w:val="3"/>
        </w:rPr>
      </w:pPr>
      <w:r>
        <w:rPr>
          <w:rFonts w:eastAsia="楷体_GB2312" w:cs="楷体_GB2312"/>
          <w:spacing w:val="3"/>
        </w:rPr>
        <w:t>(1)</w:t>
      </w:r>
      <w:r>
        <w:rPr>
          <w:rFonts w:eastAsia="楷体_GB2312" w:cs="楷体_GB2312"/>
          <w:spacing w:val="3"/>
        </w:rPr>
        <w:t>该案所涉的专利为外观设计专利。</w:t>
      </w:r>
    </w:p>
    <w:p w:rsidR="00800760" w:rsidRDefault="00235733">
      <w:pPr>
        <w:ind w:firstLine="432"/>
        <w:jc w:val="both"/>
        <w:rPr>
          <w:rFonts w:eastAsia="楷体_GB2312" w:cs="楷体_GB2312"/>
          <w:spacing w:val="3"/>
        </w:rPr>
      </w:pPr>
      <w:r>
        <w:rPr>
          <w:rFonts w:eastAsia="楷体_GB2312" w:cs="楷体_GB2312"/>
          <w:spacing w:val="3"/>
        </w:rPr>
        <w:t>(2)</w:t>
      </w:r>
      <w:r>
        <w:rPr>
          <w:rFonts w:eastAsia="楷体_GB2312" w:cs="楷体_GB2312"/>
          <w:spacing w:val="3"/>
        </w:rPr>
        <w:t>该案被控侵权产品是在</w:t>
      </w:r>
      <w:r>
        <w:rPr>
          <w:rFonts w:eastAsia="楷体_GB2312" w:cs="楷体_GB2312"/>
          <w:spacing w:val="3"/>
        </w:rPr>
        <w:t>A</w:t>
      </w:r>
      <w:r>
        <w:rPr>
          <w:rFonts w:eastAsia="楷体_GB2312" w:cs="楷体_GB2312"/>
          <w:spacing w:val="3"/>
        </w:rPr>
        <w:t>公司的住所地公证购买的，因此</w:t>
      </w:r>
      <w:r>
        <w:rPr>
          <w:rFonts w:eastAsia="楷体_GB2312" w:cs="楷体_GB2312"/>
          <w:spacing w:val="3"/>
        </w:rPr>
        <w:t>A</w:t>
      </w:r>
      <w:r>
        <w:rPr>
          <w:rFonts w:eastAsia="楷体_GB2312" w:cs="楷体_GB2312"/>
          <w:spacing w:val="3"/>
        </w:rPr>
        <w:t>公司存在销售被控侵权产品的行为。</w:t>
      </w:r>
    </w:p>
    <w:p w:rsidR="00800760" w:rsidRDefault="00235733">
      <w:pPr>
        <w:ind w:firstLine="432"/>
        <w:jc w:val="both"/>
        <w:rPr>
          <w:rFonts w:eastAsia="楷体_GB2312" w:cs="楷体_GB2312"/>
          <w:spacing w:val="3"/>
        </w:rPr>
      </w:pPr>
      <w:r>
        <w:rPr>
          <w:rFonts w:eastAsia="楷体_GB2312" w:cs="楷体_GB2312"/>
          <w:spacing w:val="3"/>
        </w:rPr>
        <w:t>(3)A</w:t>
      </w:r>
      <w:r>
        <w:rPr>
          <w:rFonts w:eastAsia="楷体_GB2312" w:cs="楷体_GB2312"/>
          <w:spacing w:val="3"/>
        </w:rPr>
        <w:t>公司的经营范围包括电脑、手机周边产品的生产及销售，即</w:t>
      </w:r>
      <w:r>
        <w:rPr>
          <w:rFonts w:eastAsia="楷体_GB2312" w:cs="楷体_GB2312"/>
          <w:spacing w:val="3"/>
        </w:rPr>
        <w:t>A</w:t>
      </w:r>
      <w:r>
        <w:rPr>
          <w:rFonts w:eastAsia="楷体_GB2312" w:cs="楷体_GB2312"/>
          <w:spacing w:val="3"/>
        </w:rPr>
        <w:t>公司具有生产包括鼠标在内的电脑、手机周边产品的资质和能力；公证购买时取得的</w:t>
      </w:r>
      <w:r>
        <w:rPr>
          <w:rFonts w:eastAsia="楷体_GB2312" w:cs="楷体_GB2312"/>
          <w:spacing w:val="3"/>
        </w:rPr>
        <w:t>A</w:t>
      </w:r>
      <w:r>
        <w:rPr>
          <w:rFonts w:eastAsia="楷体_GB2312" w:cs="楷体_GB2312"/>
          <w:spacing w:val="3"/>
        </w:rPr>
        <w:t>公司法定代表人</w:t>
      </w:r>
      <w:r>
        <w:rPr>
          <w:rFonts w:eastAsia="楷体_GB2312" w:cs="楷体_GB2312" w:hint="eastAsia"/>
          <w:spacing w:val="3"/>
        </w:rPr>
        <w:t>乙</w:t>
      </w:r>
      <w:r>
        <w:rPr>
          <w:rFonts w:eastAsia="楷体_GB2312" w:cs="楷体_GB2312"/>
          <w:spacing w:val="3"/>
        </w:rPr>
        <w:t>的名片上明确记载</w:t>
      </w:r>
      <w:r>
        <w:rPr>
          <w:rFonts w:eastAsia="楷体_GB2312" w:cs="楷体_GB2312"/>
          <w:spacing w:val="3"/>
        </w:rPr>
        <w:t>“</w:t>
      </w:r>
      <w:r>
        <w:rPr>
          <w:rFonts w:eastAsia="楷体_GB2312" w:cs="楷体_GB2312"/>
          <w:spacing w:val="3"/>
        </w:rPr>
        <w:t>某市</w:t>
      </w:r>
      <w:r>
        <w:rPr>
          <w:rFonts w:eastAsia="楷体_GB2312" w:cs="楷体_GB2312"/>
          <w:spacing w:val="3"/>
        </w:rPr>
        <w:t>A</w:t>
      </w:r>
      <w:r>
        <w:rPr>
          <w:rFonts w:eastAsia="楷体_GB2312" w:cs="楷体_GB2312"/>
          <w:spacing w:val="3"/>
        </w:rPr>
        <w:t>电子有限公司，工厂地址：某市某区某镇某村学生工业园</w:t>
      </w:r>
      <w:r>
        <w:rPr>
          <w:rFonts w:eastAsia="楷体_GB2312" w:cs="楷体_GB2312"/>
          <w:spacing w:val="3"/>
        </w:rPr>
        <w:t>C</w:t>
      </w:r>
      <w:r>
        <w:rPr>
          <w:rFonts w:eastAsia="楷体_GB2312" w:cs="楷体_GB2312"/>
          <w:spacing w:val="3"/>
        </w:rPr>
        <w:t>栋</w:t>
      </w:r>
      <w:r>
        <w:rPr>
          <w:rFonts w:eastAsia="楷体_GB2312" w:cs="楷体_GB2312"/>
          <w:spacing w:val="3"/>
        </w:rPr>
        <w:t>4</w:t>
      </w:r>
      <w:r>
        <w:rPr>
          <w:rFonts w:eastAsia="楷体_GB2312" w:cs="楷体_GB2312"/>
          <w:spacing w:val="3"/>
        </w:rPr>
        <w:t>楼</w:t>
      </w:r>
      <w:r>
        <w:rPr>
          <w:rFonts w:eastAsia="楷体_GB2312" w:cs="楷体_GB2312"/>
          <w:spacing w:val="3"/>
        </w:rPr>
        <w:t>”</w:t>
      </w:r>
      <w:r>
        <w:rPr>
          <w:rFonts w:eastAsia="楷体_GB2312" w:cs="楷体_GB2312" w:hint="eastAsia"/>
          <w:spacing w:val="3"/>
        </w:rPr>
        <w:t>；</w:t>
      </w:r>
      <w:r>
        <w:rPr>
          <w:rFonts w:eastAsia="楷体_GB2312" w:cs="楷体_GB2312"/>
          <w:spacing w:val="3"/>
        </w:rPr>
        <w:t>A</w:t>
      </w:r>
      <w:r>
        <w:rPr>
          <w:rFonts w:eastAsia="楷体_GB2312" w:cs="楷体_GB2312"/>
          <w:spacing w:val="3"/>
        </w:rPr>
        <w:t>公司没有提供任何证据证明其销售的被控侵权产品具有合法来源。综合分析上述证据，可以推定该案被控侵权产品是由侵权人</w:t>
      </w:r>
      <w:r>
        <w:rPr>
          <w:rFonts w:eastAsia="楷体_GB2312" w:cs="楷体_GB2312"/>
          <w:spacing w:val="3"/>
        </w:rPr>
        <w:t>A</w:t>
      </w:r>
      <w:r>
        <w:rPr>
          <w:rFonts w:eastAsia="楷体_GB2312" w:cs="楷体_GB2312"/>
          <w:spacing w:val="3"/>
        </w:rPr>
        <w:t>公司制造的。</w:t>
      </w:r>
    </w:p>
    <w:p w:rsidR="00800760" w:rsidRDefault="00235733">
      <w:pPr>
        <w:ind w:firstLine="432"/>
        <w:jc w:val="both"/>
        <w:rPr>
          <w:rFonts w:eastAsia="楷体_GB2312" w:cs="楷体_GB2312"/>
          <w:spacing w:val="3"/>
        </w:rPr>
      </w:pPr>
      <w:r>
        <w:rPr>
          <w:rFonts w:eastAsia="楷体_GB2312" w:cs="楷体_GB2312"/>
          <w:spacing w:val="3"/>
        </w:rPr>
        <w:t>(4)</w:t>
      </w:r>
      <w:r>
        <w:rPr>
          <w:rFonts w:eastAsia="楷体_GB2312" w:cs="楷体_GB2312"/>
          <w:spacing w:val="3"/>
        </w:rPr>
        <w:t>被控侵权产品的销售价格。</w:t>
      </w:r>
    </w:p>
    <w:p w:rsidR="00800760" w:rsidRDefault="00235733">
      <w:pPr>
        <w:ind w:firstLine="432"/>
        <w:jc w:val="both"/>
        <w:rPr>
          <w:rFonts w:eastAsia="楷体_GB2312" w:cs="楷体_GB2312"/>
          <w:spacing w:val="3"/>
        </w:rPr>
      </w:pPr>
      <w:r>
        <w:rPr>
          <w:rFonts w:eastAsia="楷体_GB2312" w:cs="楷体_GB2312"/>
          <w:spacing w:val="3"/>
        </w:rPr>
        <w:t>(5)</w:t>
      </w:r>
      <w:r>
        <w:rPr>
          <w:rFonts w:eastAsia="楷体_GB2312" w:cs="楷体_GB2312" w:hint="eastAsia"/>
          <w:spacing w:val="3"/>
        </w:rPr>
        <w:t>甲</w:t>
      </w:r>
      <w:r>
        <w:rPr>
          <w:rFonts w:eastAsia="楷体_GB2312" w:cs="楷体_GB2312"/>
          <w:spacing w:val="3"/>
        </w:rPr>
        <w:t>为维护自己的合法权益所支出的合理的公证费、律师费、差旅费等。</w:t>
      </w:r>
    </w:p>
    <w:p w:rsidR="00800760" w:rsidRDefault="00235733">
      <w:pPr>
        <w:ind w:firstLine="432"/>
        <w:jc w:val="both"/>
        <w:rPr>
          <w:rFonts w:eastAsia="楷体_GB2312" w:cs="楷体_GB2312"/>
          <w:spacing w:val="3"/>
        </w:rPr>
      </w:pPr>
      <w:r>
        <w:rPr>
          <w:rFonts w:eastAsia="楷体_GB2312" w:cs="楷体_GB2312"/>
          <w:spacing w:val="3"/>
        </w:rPr>
        <w:t>经综合考虑上述因素后，</w:t>
      </w:r>
      <w:r>
        <w:rPr>
          <w:rFonts w:eastAsia="楷体_GB2312" w:cs="楷体_GB2312" w:hint="eastAsia"/>
          <w:spacing w:val="3"/>
        </w:rPr>
        <w:t>处理</w:t>
      </w:r>
      <w:r>
        <w:rPr>
          <w:rFonts w:eastAsia="楷体_GB2312" w:cs="楷体_GB2312"/>
          <w:spacing w:val="3"/>
        </w:rPr>
        <w:t>部门酌情确定</w:t>
      </w:r>
      <w:r>
        <w:rPr>
          <w:rFonts w:eastAsia="楷体_GB2312" w:cs="楷体_GB2312"/>
          <w:spacing w:val="3"/>
        </w:rPr>
        <w:t>A</w:t>
      </w:r>
      <w:r>
        <w:rPr>
          <w:rFonts w:eastAsia="楷体_GB2312" w:cs="楷体_GB2312"/>
          <w:spacing w:val="3"/>
        </w:rPr>
        <w:t>公司赔偿</w:t>
      </w:r>
      <w:r>
        <w:rPr>
          <w:rFonts w:eastAsia="楷体_GB2312" w:cs="楷体_GB2312" w:hint="eastAsia"/>
          <w:spacing w:val="3"/>
        </w:rPr>
        <w:t>甲</w:t>
      </w:r>
      <w:r>
        <w:rPr>
          <w:rFonts w:eastAsia="楷体_GB2312" w:cs="楷体_GB2312"/>
          <w:spacing w:val="3"/>
        </w:rPr>
        <w:t>经济损失及合理的维权费用共计</w:t>
      </w:r>
      <w:r>
        <w:rPr>
          <w:rFonts w:eastAsia="楷体_GB2312" w:cs="楷体_GB2312"/>
          <w:spacing w:val="3"/>
        </w:rPr>
        <w:t>8</w:t>
      </w:r>
      <w:r>
        <w:rPr>
          <w:rFonts w:eastAsia="楷体_GB2312" w:cs="楷体_GB2312"/>
          <w:spacing w:val="3"/>
        </w:rPr>
        <w:t>万元。</w:t>
      </w:r>
    </w:p>
    <w:p w:rsidR="00800760" w:rsidRDefault="00235733">
      <w:pPr>
        <w:pStyle w:val="af6"/>
        <w:spacing w:before="120"/>
        <w:ind w:firstLine="420"/>
      </w:pPr>
      <w:r>
        <w:t>【案例</w:t>
      </w:r>
      <w:r>
        <w:rPr>
          <w:rFonts w:hint="eastAsia"/>
        </w:rPr>
        <w:t>8</w:t>
      </w:r>
      <w:r>
        <w:t>-</w:t>
      </w:r>
      <w:r>
        <w:rPr>
          <w:rFonts w:hint="eastAsia"/>
        </w:rPr>
        <w:t>4</w:t>
      </w:r>
      <w:r>
        <w:t>-2】</w:t>
      </w:r>
    </w:p>
    <w:p w:rsidR="00800760" w:rsidRDefault="00235733">
      <w:pPr>
        <w:ind w:firstLine="432"/>
        <w:jc w:val="both"/>
        <w:rPr>
          <w:rFonts w:eastAsia="楷体_GB2312" w:cs="楷体_GB2312"/>
          <w:spacing w:val="3"/>
        </w:rPr>
      </w:pPr>
      <w:r>
        <w:rPr>
          <w:rFonts w:eastAsia="楷体_GB2312" w:cs="楷体_GB2312"/>
          <w:spacing w:val="3"/>
        </w:rPr>
        <w:t>某公司涉嫌侵犯</w:t>
      </w:r>
      <w:r>
        <w:rPr>
          <w:rFonts w:eastAsia="楷体_GB2312" w:cs="楷体_GB2312" w:hint="eastAsia"/>
          <w:spacing w:val="3"/>
        </w:rPr>
        <w:t>甲</w:t>
      </w:r>
      <w:r>
        <w:rPr>
          <w:rFonts w:eastAsia="楷体_GB2312" w:cs="楷体_GB2312"/>
          <w:spacing w:val="3"/>
        </w:rPr>
        <w:t>的专利权。</w:t>
      </w:r>
      <w:r>
        <w:rPr>
          <w:rFonts w:eastAsia="楷体_GB2312" w:cs="楷体_GB2312" w:hint="eastAsia"/>
          <w:spacing w:val="3"/>
        </w:rPr>
        <w:t>处理</w:t>
      </w:r>
      <w:r>
        <w:rPr>
          <w:rFonts w:eastAsia="楷体_GB2312" w:cs="楷体_GB2312"/>
          <w:spacing w:val="3"/>
        </w:rPr>
        <w:t>部门在确定法定赔偿额时综合考虑了以下几个因素：</w:t>
      </w:r>
      <w:r>
        <w:rPr>
          <w:rFonts w:eastAsia="楷体_GB2312" w:cs="楷体_GB2312"/>
          <w:spacing w:val="3"/>
        </w:rPr>
        <w:t>(1)</w:t>
      </w:r>
      <w:r>
        <w:rPr>
          <w:rFonts w:eastAsia="楷体_GB2312" w:cs="楷体_GB2312"/>
          <w:spacing w:val="3"/>
        </w:rPr>
        <w:t>被控侵权产品的利润。被控侵权产品的销售价为</w:t>
      </w:r>
      <w:r>
        <w:rPr>
          <w:rFonts w:eastAsia="楷体_GB2312" w:cs="楷体_GB2312"/>
          <w:spacing w:val="3"/>
        </w:rPr>
        <w:t>2800</w:t>
      </w:r>
      <w:r>
        <w:rPr>
          <w:rFonts w:eastAsia="楷体_GB2312" w:cs="楷体_GB2312"/>
          <w:spacing w:val="3"/>
        </w:rPr>
        <w:t>元</w:t>
      </w:r>
      <w:r>
        <w:rPr>
          <w:rFonts w:eastAsia="楷体_GB2312" w:cs="楷体_GB2312"/>
          <w:spacing w:val="3"/>
        </w:rPr>
        <w:t>/</w:t>
      </w:r>
      <w:r>
        <w:rPr>
          <w:rFonts w:eastAsia="楷体_GB2312" w:cs="楷体_GB2312"/>
          <w:spacing w:val="3"/>
        </w:rPr>
        <w:t>只，该公司自称该产品利润为销售价的</w:t>
      </w:r>
      <w:r>
        <w:rPr>
          <w:rFonts w:eastAsia="楷体_GB2312" w:cs="楷体_GB2312"/>
          <w:spacing w:val="3"/>
        </w:rPr>
        <w:t>20%</w:t>
      </w:r>
      <w:r>
        <w:rPr>
          <w:rFonts w:eastAsia="楷体_GB2312" w:cs="楷体_GB2312" w:hint="eastAsia"/>
          <w:spacing w:val="3"/>
        </w:rPr>
        <w:t>，</w:t>
      </w:r>
      <w:r>
        <w:rPr>
          <w:rFonts w:eastAsia="楷体_GB2312" w:cs="楷体_GB2312"/>
          <w:spacing w:val="3"/>
        </w:rPr>
        <w:t>故推算出被控侵权产品的利润为每只</w:t>
      </w:r>
      <w:r>
        <w:rPr>
          <w:rFonts w:eastAsia="楷体_GB2312" w:cs="楷体_GB2312"/>
          <w:spacing w:val="3"/>
        </w:rPr>
        <w:t>560</w:t>
      </w:r>
      <w:r>
        <w:rPr>
          <w:rFonts w:eastAsia="楷体_GB2312" w:cs="楷体_GB2312"/>
          <w:spacing w:val="3"/>
        </w:rPr>
        <w:t>元左右。</w:t>
      </w:r>
      <w:r>
        <w:rPr>
          <w:rFonts w:eastAsia="楷体_GB2312" w:cs="楷体_GB2312"/>
          <w:spacing w:val="3"/>
        </w:rPr>
        <w:t>(2)</w:t>
      </w:r>
      <w:r>
        <w:rPr>
          <w:rFonts w:eastAsia="楷体_GB2312" w:cs="楷体_GB2312"/>
          <w:spacing w:val="3"/>
        </w:rPr>
        <w:t>被控侵权产品的生产规模。根据该公司陈述，该公司每人每天可以做</w:t>
      </w:r>
      <w:r>
        <w:rPr>
          <w:rFonts w:eastAsia="楷体_GB2312" w:cs="楷体_GB2312"/>
          <w:spacing w:val="3"/>
        </w:rPr>
        <w:t>2</w:t>
      </w:r>
      <w:r>
        <w:rPr>
          <w:rFonts w:eastAsia="楷体_GB2312" w:cs="楷体_GB2312" w:hint="eastAsia"/>
          <w:spacing w:val="3"/>
        </w:rPr>
        <w:t>～</w:t>
      </w:r>
      <w:r>
        <w:rPr>
          <w:rFonts w:eastAsia="楷体_GB2312" w:cs="楷体_GB2312"/>
          <w:spacing w:val="3"/>
        </w:rPr>
        <w:t>3</w:t>
      </w:r>
      <w:r>
        <w:rPr>
          <w:rFonts w:eastAsia="楷体_GB2312" w:cs="楷体_GB2312"/>
          <w:spacing w:val="3"/>
        </w:rPr>
        <w:t>只支架，据此推算，该公司每人每年至少可以生产</w:t>
      </w:r>
      <w:r>
        <w:rPr>
          <w:rFonts w:eastAsia="楷体_GB2312" w:cs="楷体_GB2312"/>
          <w:spacing w:val="3"/>
        </w:rPr>
        <w:t>400</w:t>
      </w:r>
      <w:r>
        <w:rPr>
          <w:rFonts w:eastAsia="楷体_GB2312" w:cs="楷体_GB2312" w:hint="eastAsia"/>
          <w:spacing w:val="3"/>
        </w:rPr>
        <w:t>～</w:t>
      </w:r>
      <w:r>
        <w:rPr>
          <w:rFonts w:eastAsia="楷体_GB2312" w:cs="楷体_GB2312"/>
          <w:spacing w:val="3"/>
        </w:rPr>
        <w:t>600</w:t>
      </w:r>
      <w:r>
        <w:rPr>
          <w:rFonts w:eastAsia="楷体_GB2312" w:cs="楷体_GB2312"/>
          <w:spacing w:val="3"/>
        </w:rPr>
        <w:t>只支架。</w:t>
      </w:r>
      <w:r>
        <w:rPr>
          <w:rFonts w:eastAsia="楷体_GB2312" w:cs="楷体_GB2312"/>
          <w:spacing w:val="3"/>
        </w:rPr>
        <w:t>(3)</w:t>
      </w:r>
      <w:r>
        <w:rPr>
          <w:rFonts w:eastAsia="楷体_GB2312" w:cs="楷体_GB2312"/>
          <w:spacing w:val="3"/>
        </w:rPr>
        <w:t>侵权行为可能的持续时间。因被控侵权产品上标注的检验日期为</w:t>
      </w:r>
      <w:r>
        <w:rPr>
          <w:rFonts w:eastAsia="楷体_GB2312" w:cs="楷体_GB2312"/>
          <w:spacing w:val="3"/>
        </w:rPr>
        <w:t>2002</w:t>
      </w:r>
      <w:r>
        <w:rPr>
          <w:rFonts w:eastAsia="楷体_GB2312" w:cs="楷体_GB2312"/>
          <w:spacing w:val="3"/>
        </w:rPr>
        <w:t>年</w:t>
      </w:r>
      <w:r>
        <w:rPr>
          <w:rFonts w:eastAsia="楷体_GB2312" w:cs="楷体_GB2312"/>
          <w:spacing w:val="3"/>
        </w:rPr>
        <w:t>8</w:t>
      </w:r>
      <w:r>
        <w:rPr>
          <w:rFonts w:eastAsia="楷体_GB2312" w:cs="楷体_GB2312"/>
          <w:spacing w:val="3"/>
        </w:rPr>
        <w:t>月</w:t>
      </w:r>
      <w:r>
        <w:rPr>
          <w:rFonts w:eastAsia="楷体_GB2312" w:cs="楷体_GB2312"/>
          <w:spacing w:val="3"/>
        </w:rPr>
        <w:t>25</w:t>
      </w:r>
      <w:r>
        <w:rPr>
          <w:rFonts w:eastAsia="楷体_GB2312" w:cs="楷体_GB2312"/>
          <w:spacing w:val="3"/>
        </w:rPr>
        <w:t>日，且没有证据证明该公司在纠纷处理期间已停止被控侵权产品的生产，由此可以推定其生产被控侵权产品持续时间较长。综合上述各因素，酌情确定赔偿数额为</w:t>
      </w:r>
      <w:r>
        <w:rPr>
          <w:rFonts w:eastAsia="楷体_GB2312" w:cs="楷体_GB2312"/>
          <w:spacing w:val="3"/>
        </w:rPr>
        <w:t>30</w:t>
      </w:r>
      <w:r>
        <w:rPr>
          <w:rFonts w:eastAsia="楷体_GB2312" w:cs="楷体_GB2312"/>
          <w:spacing w:val="3"/>
        </w:rPr>
        <w:t>万元。</w:t>
      </w:r>
    </w:p>
    <w:p w:rsidR="00800760" w:rsidRDefault="00235733">
      <w:pPr>
        <w:pStyle w:val="af6"/>
        <w:spacing w:before="120"/>
        <w:ind w:firstLine="420"/>
      </w:pPr>
      <w:r>
        <w:rPr>
          <w:rFonts w:hint="eastAsia"/>
        </w:rPr>
        <w:t>【案例8-4</w:t>
      </w:r>
      <w:r>
        <w:t>-3</w:t>
      </w:r>
      <w:r>
        <w:rPr>
          <w:rFonts w:hint="eastAsia"/>
        </w:rPr>
        <w:t>】</w:t>
      </w:r>
    </w:p>
    <w:p w:rsidR="00800760" w:rsidRDefault="00235733">
      <w:pPr>
        <w:ind w:firstLine="432"/>
        <w:jc w:val="both"/>
        <w:rPr>
          <w:rFonts w:eastAsia="楷体_GB2312" w:cs="楷体_GB2312"/>
          <w:spacing w:val="3"/>
        </w:rPr>
      </w:pPr>
      <w:r>
        <w:rPr>
          <w:rFonts w:eastAsia="楷体_GB2312" w:cs="楷体_GB2312"/>
          <w:spacing w:val="3"/>
        </w:rPr>
        <w:t>B</w:t>
      </w:r>
      <w:r>
        <w:rPr>
          <w:rFonts w:eastAsia="楷体_GB2312" w:cs="楷体_GB2312" w:hint="eastAsia"/>
          <w:spacing w:val="3"/>
        </w:rPr>
        <w:t>公司涉嫌侵犯</w:t>
      </w:r>
      <w:r>
        <w:rPr>
          <w:rFonts w:eastAsia="楷体_GB2312" w:cs="楷体_GB2312"/>
          <w:spacing w:val="3"/>
        </w:rPr>
        <w:t>A</w:t>
      </w:r>
      <w:r>
        <w:rPr>
          <w:rFonts w:eastAsia="楷体_GB2312" w:cs="楷体_GB2312"/>
          <w:spacing w:val="3"/>
        </w:rPr>
        <w:t>公司的专利权。</w:t>
      </w:r>
      <w:r>
        <w:rPr>
          <w:rFonts w:eastAsia="楷体_GB2312" w:cs="楷体_GB2312" w:hint="eastAsia"/>
          <w:spacing w:val="3"/>
        </w:rPr>
        <w:t>处理</w:t>
      </w:r>
      <w:r>
        <w:rPr>
          <w:rFonts w:eastAsia="楷体_GB2312" w:cs="楷体_GB2312"/>
          <w:spacing w:val="3"/>
        </w:rPr>
        <w:t>部门依据</w:t>
      </w:r>
      <w:r>
        <w:rPr>
          <w:rFonts w:eastAsia="楷体_GB2312" w:cs="楷体_GB2312"/>
          <w:spacing w:val="3"/>
        </w:rPr>
        <w:t>A</w:t>
      </w:r>
      <w:r>
        <w:rPr>
          <w:rFonts w:eastAsia="楷体_GB2312" w:cs="楷体_GB2312"/>
          <w:spacing w:val="3"/>
        </w:rPr>
        <w:t>公司提交的</w:t>
      </w:r>
      <w:r>
        <w:rPr>
          <w:rFonts w:eastAsia="楷体_GB2312" w:cs="楷体_GB2312"/>
          <w:spacing w:val="3"/>
        </w:rPr>
        <w:t>B</w:t>
      </w:r>
      <w:r>
        <w:rPr>
          <w:rFonts w:eastAsia="楷体_GB2312" w:cs="楷体_GB2312"/>
          <w:spacing w:val="3"/>
        </w:rPr>
        <w:t>公司的资产负债表、损益表等证据材料，以及</w:t>
      </w:r>
      <w:r>
        <w:rPr>
          <w:rFonts w:eastAsia="楷体_GB2312" w:cs="楷体_GB2312"/>
          <w:spacing w:val="3"/>
        </w:rPr>
        <w:t>A</w:t>
      </w:r>
      <w:r>
        <w:rPr>
          <w:rFonts w:eastAsia="楷体_GB2312" w:cs="楷体_GB2312"/>
          <w:spacing w:val="3"/>
        </w:rPr>
        <w:t>公司与</w:t>
      </w:r>
      <w:r>
        <w:rPr>
          <w:rFonts w:eastAsia="楷体_GB2312" w:cs="楷体_GB2312"/>
          <w:spacing w:val="3"/>
        </w:rPr>
        <w:t>C</w:t>
      </w:r>
      <w:r>
        <w:rPr>
          <w:rFonts w:eastAsia="楷体_GB2312" w:cs="楷体_GB2312"/>
          <w:spacing w:val="3"/>
        </w:rPr>
        <w:t>公司、</w:t>
      </w:r>
      <w:r>
        <w:rPr>
          <w:rFonts w:eastAsia="楷体_GB2312" w:cs="楷体_GB2312"/>
          <w:spacing w:val="3"/>
        </w:rPr>
        <w:t>D</w:t>
      </w:r>
      <w:r>
        <w:rPr>
          <w:rFonts w:eastAsia="楷体_GB2312" w:cs="楷体_GB2312"/>
          <w:spacing w:val="3"/>
        </w:rPr>
        <w:t>公司签订的涉案专利技术许可协议中规定的许可使用费数额分别为</w:t>
      </w:r>
      <w:r>
        <w:rPr>
          <w:rFonts w:eastAsia="楷体_GB2312" w:cs="楷体_GB2312"/>
          <w:spacing w:val="3"/>
        </w:rPr>
        <w:t>150</w:t>
      </w:r>
      <w:r>
        <w:rPr>
          <w:rFonts w:eastAsia="楷体_GB2312" w:cs="楷体_GB2312"/>
          <w:spacing w:val="3"/>
        </w:rPr>
        <w:t>万元和</w:t>
      </w:r>
      <w:r>
        <w:rPr>
          <w:rFonts w:eastAsia="楷体_GB2312" w:cs="楷体_GB2312"/>
          <w:spacing w:val="3"/>
        </w:rPr>
        <w:t>60</w:t>
      </w:r>
      <w:r>
        <w:rPr>
          <w:rFonts w:eastAsia="楷体_GB2312" w:cs="楷体_GB2312"/>
          <w:spacing w:val="3"/>
        </w:rPr>
        <w:t>万元，综合</w:t>
      </w:r>
      <w:r>
        <w:rPr>
          <w:rFonts w:eastAsia="楷体_GB2312" w:cs="楷体_GB2312"/>
          <w:spacing w:val="3"/>
        </w:rPr>
        <w:t>B</w:t>
      </w:r>
      <w:r>
        <w:rPr>
          <w:rFonts w:eastAsia="楷体_GB2312" w:cs="楷体_GB2312"/>
          <w:spacing w:val="3"/>
        </w:rPr>
        <w:t>公司实施侵权行为的性质、规模、产品价格、一般市场利润、</w:t>
      </w:r>
      <w:r>
        <w:rPr>
          <w:rFonts w:eastAsia="楷体_GB2312" w:cs="楷体_GB2312"/>
          <w:spacing w:val="3"/>
        </w:rPr>
        <w:t>A</w:t>
      </w:r>
      <w:r>
        <w:rPr>
          <w:rFonts w:eastAsia="楷体_GB2312" w:cs="楷体_GB2312"/>
          <w:spacing w:val="3"/>
        </w:rPr>
        <w:t>公司的专利许可使用费等多种因素，酌情确定</w:t>
      </w:r>
      <w:r>
        <w:rPr>
          <w:rFonts w:eastAsia="楷体_GB2312" w:cs="楷体_GB2312"/>
          <w:spacing w:val="3"/>
        </w:rPr>
        <w:t>B</w:t>
      </w:r>
      <w:r>
        <w:rPr>
          <w:rFonts w:eastAsia="楷体_GB2312" w:cs="楷体_GB2312"/>
          <w:spacing w:val="3"/>
        </w:rPr>
        <w:t>公司赔偿</w:t>
      </w:r>
      <w:r>
        <w:rPr>
          <w:rFonts w:eastAsia="楷体_GB2312" w:cs="楷体_GB2312"/>
          <w:spacing w:val="3"/>
        </w:rPr>
        <w:t>A</w:t>
      </w:r>
      <w:r>
        <w:rPr>
          <w:rFonts w:eastAsia="楷体_GB2312" w:cs="楷体_GB2312"/>
          <w:spacing w:val="3"/>
        </w:rPr>
        <w:t>公司经济损失</w:t>
      </w:r>
      <w:r>
        <w:rPr>
          <w:rFonts w:eastAsia="楷体_GB2312" w:cs="楷体_GB2312"/>
          <w:spacing w:val="3"/>
        </w:rPr>
        <w:t>100</w:t>
      </w:r>
      <w:r>
        <w:rPr>
          <w:rFonts w:eastAsia="楷体_GB2312" w:cs="楷体_GB2312"/>
          <w:spacing w:val="3"/>
        </w:rPr>
        <w:t>万元。</w:t>
      </w:r>
    </w:p>
    <w:p w:rsidR="00800760" w:rsidRDefault="00235733">
      <w:pPr>
        <w:pStyle w:val="af6"/>
        <w:spacing w:before="120"/>
        <w:ind w:firstLine="420"/>
      </w:pPr>
      <w:bookmarkStart w:id="9250" w:name="bookmark228"/>
      <w:bookmarkEnd w:id="9250"/>
      <w:r>
        <w:rPr>
          <w:rFonts w:hint="eastAsia"/>
        </w:rPr>
        <w:t>【案例8-4</w:t>
      </w:r>
      <w:r>
        <w:t>-4</w:t>
      </w:r>
      <w:r>
        <w:rPr>
          <w:rFonts w:hint="eastAsia"/>
        </w:rPr>
        <w:t>】</w:t>
      </w:r>
    </w:p>
    <w:p w:rsidR="00800760" w:rsidRDefault="00235733">
      <w:pPr>
        <w:ind w:firstLine="432"/>
        <w:jc w:val="both"/>
        <w:rPr>
          <w:rFonts w:eastAsia="楷体_GB2312" w:cs="楷体_GB2312"/>
          <w:spacing w:val="3"/>
        </w:rPr>
      </w:pPr>
      <w:r>
        <w:rPr>
          <w:rFonts w:eastAsia="楷体_GB2312" w:cs="楷体_GB2312"/>
          <w:spacing w:val="3"/>
        </w:rPr>
        <w:t>B</w:t>
      </w:r>
      <w:r>
        <w:rPr>
          <w:rFonts w:eastAsia="楷体_GB2312" w:cs="楷体_GB2312" w:hint="eastAsia"/>
          <w:spacing w:val="3"/>
        </w:rPr>
        <w:t>公司涉嫌侵犯</w:t>
      </w:r>
      <w:r>
        <w:rPr>
          <w:rFonts w:eastAsia="楷体_GB2312" w:cs="楷体_GB2312"/>
          <w:spacing w:val="3"/>
        </w:rPr>
        <w:t>A</w:t>
      </w:r>
      <w:r>
        <w:rPr>
          <w:rFonts w:eastAsia="楷体_GB2312" w:cs="楷体_GB2312"/>
          <w:spacing w:val="3"/>
        </w:rPr>
        <w:t>公司的专利权。在确定损害赔偿数额时，</w:t>
      </w:r>
      <w:r>
        <w:rPr>
          <w:rFonts w:eastAsia="楷体_GB2312" w:cs="楷体_GB2312" w:hint="eastAsia"/>
          <w:spacing w:val="3"/>
        </w:rPr>
        <w:t>处理</w:t>
      </w:r>
      <w:r>
        <w:rPr>
          <w:rFonts w:eastAsia="楷体_GB2312" w:cs="楷体_GB2312"/>
          <w:spacing w:val="3"/>
        </w:rPr>
        <w:t>部门综合考虑了以下</w:t>
      </w:r>
      <w:r>
        <w:rPr>
          <w:rFonts w:eastAsia="楷体_GB2312" w:cs="楷体_GB2312"/>
          <w:spacing w:val="3"/>
        </w:rPr>
        <w:t>4</w:t>
      </w:r>
      <w:r>
        <w:rPr>
          <w:rFonts w:eastAsia="楷体_GB2312" w:cs="楷体_GB2312"/>
          <w:spacing w:val="3"/>
        </w:rPr>
        <w:t>个因素：</w:t>
      </w:r>
      <w:r>
        <w:rPr>
          <w:rFonts w:eastAsia="楷体_GB2312" w:cs="楷体_GB2312"/>
          <w:spacing w:val="3"/>
        </w:rPr>
        <w:t>(1)A</w:t>
      </w:r>
      <w:r>
        <w:rPr>
          <w:rFonts w:eastAsia="楷体_GB2312" w:cs="楷体_GB2312"/>
          <w:spacing w:val="3"/>
        </w:rPr>
        <w:t>公司专利的类别为外观设计专利，市场价值相对较低</w:t>
      </w:r>
      <w:r>
        <w:rPr>
          <w:rFonts w:eastAsia="楷体_GB2312" w:cs="楷体_GB2312" w:hint="eastAsia"/>
          <w:spacing w:val="3"/>
        </w:rPr>
        <w:t>。</w:t>
      </w:r>
      <w:r>
        <w:rPr>
          <w:rFonts w:eastAsia="楷体_GB2312" w:cs="楷体_GB2312"/>
          <w:spacing w:val="3"/>
        </w:rPr>
        <w:t>(2)A</w:t>
      </w:r>
      <w:r>
        <w:rPr>
          <w:rFonts w:eastAsia="楷体_GB2312" w:cs="楷体_GB2312"/>
          <w:spacing w:val="3"/>
        </w:rPr>
        <w:t>公司的酒瓶享有瓶贴、瓶形、瓶盖共</w:t>
      </w:r>
      <w:r>
        <w:rPr>
          <w:rFonts w:eastAsia="楷体_GB2312" w:cs="楷体_GB2312"/>
          <w:spacing w:val="3"/>
        </w:rPr>
        <w:t>3</w:t>
      </w:r>
      <w:r>
        <w:rPr>
          <w:rFonts w:eastAsia="楷体_GB2312" w:cs="楷体_GB2312"/>
          <w:spacing w:val="3"/>
        </w:rPr>
        <w:t>项外观设计专利，赔偿数额应考虑其他外观设计的份额</w:t>
      </w:r>
      <w:r>
        <w:rPr>
          <w:rFonts w:eastAsia="楷体_GB2312" w:cs="楷体_GB2312" w:hint="eastAsia"/>
          <w:spacing w:val="3"/>
        </w:rPr>
        <w:t>。</w:t>
      </w:r>
      <w:r>
        <w:rPr>
          <w:rFonts w:eastAsia="楷体_GB2312" w:cs="楷体_GB2312"/>
          <w:spacing w:val="3"/>
        </w:rPr>
        <w:t>(3)B</w:t>
      </w:r>
      <w:r>
        <w:rPr>
          <w:rFonts w:eastAsia="楷体_GB2312" w:cs="楷体_GB2312"/>
          <w:spacing w:val="3"/>
        </w:rPr>
        <w:t>公司的主观过错，即</w:t>
      </w:r>
      <w:r>
        <w:rPr>
          <w:rFonts w:eastAsia="楷体_GB2312" w:cs="楷体_GB2312"/>
          <w:spacing w:val="3"/>
        </w:rPr>
        <w:t>B</w:t>
      </w:r>
      <w:r>
        <w:rPr>
          <w:rFonts w:eastAsia="楷体_GB2312" w:cs="楷体_GB2312"/>
          <w:spacing w:val="3"/>
        </w:rPr>
        <w:t>公司在接到了酿酒专业协会的通知后立即对涉嫌侵权的瓶贴进行了回收</w:t>
      </w:r>
      <w:r>
        <w:rPr>
          <w:rFonts w:eastAsia="楷体_GB2312" w:cs="楷体_GB2312" w:hint="eastAsia"/>
          <w:spacing w:val="3"/>
        </w:rPr>
        <w:t>。</w:t>
      </w:r>
      <w:r>
        <w:rPr>
          <w:rFonts w:eastAsia="楷体_GB2312" w:cs="楷体_GB2312"/>
          <w:spacing w:val="3"/>
        </w:rPr>
        <w:t>(4)B</w:t>
      </w:r>
      <w:r>
        <w:rPr>
          <w:rFonts w:eastAsia="楷体_GB2312" w:cs="楷体_GB2312"/>
          <w:spacing w:val="3"/>
        </w:rPr>
        <w:t>公司侵权持续的时间较短。</w:t>
      </w:r>
    </w:p>
    <w:p w:rsidR="00800760" w:rsidRDefault="00235733">
      <w:pPr>
        <w:ind w:firstLine="432"/>
        <w:jc w:val="both"/>
        <w:rPr>
          <w:rFonts w:eastAsia="楷体_GB2312" w:cs="楷体_GB2312"/>
          <w:spacing w:val="3"/>
        </w:rPr>
      </w:pPr>
      <w:r>
        <w:rPr>
          <w:rFonts w:eastAsia="楷体_GB2312" w:cs="楷体_GB2312"/>
          <w:spacing w:val="3"/>
        </w:rPr>
        <w:t>根据以上因素酌情确定赔偿数额为</w:t>
      </w:r>
      <w:r>
        <w:rPr>
          <w:rFonts w:eastAsia="楷体_GB2312" w:cs="楷体_GB2312"/>
          <w:spacing w:val="3"/>
        </w:rPr>
        <w:t>5</w:t>
      </w:r>
      <w:r>
        <w:rPr>
          <w:rFonts w:eastAsia="楷体_GB2312" w:cs="楷体_GB2312"/>
          <w:spacing w:val="3"/>
        </w:rPr>
        <w:t>万元。</w:t>
      </w:r>
    </w:p>
    <w:p w:rsidR="00800760" w:rsidRDefault="00235733">
      <w:pPr>
        <w:pStyle w:val="2"/>
        <w:spacing w:before="91"/>
        <w:ind w:firstLineChars="0" w:firstLine="0"/>
        <w:rPr>
          <w:rFonts w:ascii="Times New Roman" w:hAnsi="Times New Roman"/>
        </w:rPr>
      </w:pPr>
      <w:bookmarkStart w:id="9251" w:name="_Toc18825"/>
      <w:bookmarkStart w:id="9252" w:name="_Toc8997"/>
      <w:bookmarkStart w:id="9253" w:name="_Toc24372"/>
      <w:bookmarkStart w:id="9254" w:name="_Toc4438"/>
      <w:bookmarkStart w:id="9255" w:name="_Toc11601"/>
      <w:bookmarkStart w:id="9256" w:name="_Toc14724"/>
      <w:bookmarkStart w:id="9257" w:name="_Toc21384"/>
      <w:bookmarkStart w:id="9258" w:name="_Toc1983"/>
      <w:bookmarkStart w:id="9259" w:name="_Toc14340"/>
      <w:bookmarkStart w:id="9260" w:name="_Toc25926"/>
      <w:bookmarkStart w:id="9261" w:name="_Toc32689"/>
      <w:bookmarkStart w:id="9262" w:name="_Toc1437"/>
      <w:bookmarkStart w:id="9263" w:name="_Toc31559"/>
      <w:bookmarkStart w:id="9264" w:name="_Toc645"/>
      <w:bookmarkStart w:id="9265" w:name="_Toc12331"/>
      <w:bookmarkStart w:id="9266" w:name="_Toc11263"/>
      <w:bookmarkStart w:id="9267" w:name="_Toc12853"/>
      <w:bookmarkStart w:id="9268" w:name="_Toc9122"/>
      <w:bookmarkStart w:id="9269" w:name="_Toc16586"/>
      <w:bookmarkStart w:id="9270" w:name="_Toc20037"/>
      <w:bookmarkStart w:id="9271" w:name="_Toc9127"/>
      <w:bookmarkStart w:id="9272" w:name="_Toc5833"/>
      <w:bookmarkStart w:id="9273" w:name="_Toc25840"/>
      <w:bookmarkStart w:id="9274" w:name="_Toc9383"/>
      <w:bookmarkStart w:id="9275" w:name="_Toc22783"/>
      <w:bookmarkStart w:id="9276" w:name="_Toc18614"/>
      <w:bookmarkStart w:id="9277" w:name="_Toc20661"/>
      <w:bookmarkStart w:id="9278" w:name="_Toc9853"/>
      <w:bookmarkStart w:id="9279" w:name="_Toc26314"/>
      <w:bookmarkStart w:id="9280" w:name="_Toc229114550"/>
      <w:bookmarkStart w:id="9281" w:name="_Toc30774"/>
      <w:bookmarkStart w:id="9282" w:name="_Toc15070"/>
      <w:bookmarkStart w:id="9283" w:name="_Toc5020"/>
      <w:bookmarkStart w:id="9284" w:name="_Toc26015"/>
      <w:bookmarkStart w:id="9285" w:name="_Toc31680"/>
      <w:bookmarkStart w:id="9286" w:name="_Toc30417"/>
      <w:bookmarkStart w:id="9287" w:name="_Toc7988"/>
      <w:bookmarkStart w:id="9288" w:name="_Toc24242"/>
      <w:bookmarkStart w:id="9289" w:name="_Toc32268"/>
      <w:bookmarkStart w:id="9290" w:name="_Toc7963"/>
      <w:bookmarkStart w:id="9291" w:name="_Toc15013"/>
      <w:bookmarkStart w:id="9292" w:name="_Toc24850"/>
      <w:bookmarkStart w:id="9293" w:name="_Toc758"/>
      <w:bookmarkStart w:id="9294" w:name="_Toc229225646"/>
      <w:r>
        <w:rPr>
          <w:rFonts w:ascii="Times New Roman" w:hAnsi="Times New Roman"/>
        </w:rPr>
        <w:t>第</w:t>
      </w:r>
      <w:r>
        <w:rPr>
          <w:rFonts w:ascii="Times New Roman" w:hAnsi="Times New Roman" w:hint="eastAsia"/>
        </w:rPr>
        <w:t>五</w:t>
      </w:r>
      <w:r>
        <w:rPr>
          <w:rFonts w:ascii="Times New Roman" w:hAnsi="Times New Roman"/>
        </w:rPr>
        <w:t>节</w:t>
      </w:r>
      <w:r>
        <w:rPr>
          <w:rFonts w:ascii="Times New Roman" w:hAnsi="Times New Roman" w:hint="eastAsia"/>
        </w:rPr>
        <w:t xml:space="preserve">　</w:t>
      </w:r>
      <w:r>
        <w:rPr>
          <w:rFonts w:ascii="Times New Roman" w:hAnsi="Times New Roman"/>
        </w:rPr>
        <w:t>合理开支</w:t>
      </w:r>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p>
    <w:p w:rsidR="00800760" w:rsidRDefault="00235733">
      <w:pPr>
        <w:ind w:firstLine="416"/>
        <w:jc w:val="both"/>
        <w:rPr>
          <w:rFonts w:cs="宋体"/>
        </w:rPr>
      </w:pPr>
      <w:r>
        <w:rPr>
          <w:rFonts w:cs="宋体"/>
          <w:spacing w:val="-1"/>
        </w:rPr>
        <w:t>合理开支是指权利人为制止侵权行为所必要而遭受的直接损失，一般包括公证费、</w:t>
      </w:r>
      <w:r>
        <w:rPr>
          <w:rFonts w:cs="宋体"/>
          <w:spacing w:val="3"/>
        </w:rPr>
        <w:t>调查取证费、交通食宿费、误工费、材料印制费等，不应包括上述费用在支付后获得</w:t>
      </w:r>
      <w:r>
        <w:rPr>
          <w:rFonts w:cs="宋体"/>
          <w:spacing w:val="-3"/>
        </w:rPr>
        <w:t>赔偿前期间的利息等间接损失。</w:t>
      </w:r>
    </w:p>
    <w:p w:rsidR="00800760" w:rsidRDefault="00235733">
      <w:pPr>
        <w:ind w:firstLine="448"/>
        <w:rPr>
          <w:rFonts w:cs="宋体"/>
        </w:rPr>
      </w:pPr>
      <w:r>
        <w:rPr>
          <w:rFonts w:cs="宋体"/>
          <w:spacing w:val="7"/>
        </w:rPr>
        <w:t>权利人应当举证证明其合理开支的数额，说明开支合</w:t>
      </w:r>
      <w:r>
        <w:rPr>
          <w:rFonts w:cs="宋体"/>
          <w:spacing w:val="6"/>
        </w:rPr>
        <w:t>理的理由并提交相关证据。</w:t>
      </w:r>
      <w:r>
        <w:rPr>
          <w:rFonts w:cs="宋体"/>
          <w:spacing w:val="-2"/>
        </w:rPr>
        <w:t>不合理的开支或者合理但缺乏证据支持的开支，不应由侵权人赔偿。</w:t>
      </w:r>
    </w:p>
    <w:p w:rsidR="00800760" w:rsidRDefault="00235733">
      <w:pPr>
        <w:ind w:firstLine="436"/>
        <w:rPr>
          <w:rFonts w:cs="宋体"/>
        </w:rPr>
      </w:pPr>
      <w:r>
        <w:rPr>
          <w:rFonts w:cs="宋体"/>
          <w:spacing w:val="4"/>
        </w:rPr>
        <w:t>权利人直接主张法定赔偿的，管理专利工作的部门确定的赔偿数额不得包括权利</w:t>
      </w:r>
      <w:r>
        <w:rPr>
          <w:rFonts w:cs="宋体"/>
          <w:spacing w:val="-3"/>
        </w:rPr>
        <w:t>人为制止侵权行为所支付的合理开支。</w:t>
      </w:r>
    </w:p>
    <w:p w:rsidR="00800760" w:rsidRDefault="00235733">
      <w:pPr>
        <w:pStyle w:val="af6"/>
        <w:spacing w:before="120"/>
        <w:ind w:firstLine="420"/>
      </w:pPr>
      <w:r>
        <w:rPr>
          <w:rFonts w:hint="eastAsia"/>
        </w:rPr>
        <w:t>【案例8</w:t>
      </w:r>
      <w:r>
        <w:t>-</w:t>
      </w:r>
      <w:r>
        <w:rPr>
          <w:rFonts w:hint="eastAsia"/>
        </w:rPr>
        <w:t>5</w:t>
      </w:r>
      <w:r>
        <w:t>-1</w:t>
      </w:r>
      <w:r>
        <w:rPr>
          <w:rFonts w:hint="eastAsia"/>
        </w:rPr>
        <w:t>】</w:t>
      </w:r>
    </w:p>
    <w:p w:rsidR="00590572" w:rsidRDefault="00235733">
      <w:pPr>
        <w:ind w:firstLine="432"/>
        <w:jc w:val="both"/>
        <w:rPr>
          <w:rFonts w:eastAsia="楷体_GB2312" w:cs="楷体_GB2312"/>
          <w:spacing w:val="3"/>
        </w:rPr>
      </w:pPr>
      <w:r>
        <w:rPr>
          <w:rFonts w:eastAsia="楷体_GB2312" w:cs="楷体_GB2312" w:hint="eastAsia"/>
          <w:spacing w:val="3"/>
        </w:rPr>
        <w:t>甲</w:t>
      </w:r>
      <w:r>
        <w:rPr>
          <w:rFonts w:eastAsia="楷体_GB2312" w:cs="楷体_GB2312"/>
          <w:spacing w:val="3"/>
        </w:rPr>
        <w:t>是名称为</w:t>
      </w:r>
      <w:r>
        <w:rPr>
          <w:rFonts w:eastAsia="楷体_GB2312" w:cs="楷体_GB2312"/>
          <w:spacing w:val="3"/>
        </w:rPr>
        <w:t>“</w:t>
      </w:r>
      <w:r>
        <w:rPr>
          <w:rFonts w:eastAsia="楷体_GB2312" w:cs="楷体_GB2312"/>
          <w:spacing w:val="3"/>
        </w:rPr>
        <w:t>灯罩</w:t>
      </w:r>
      <w:r>
        <w:rPr>
          <w:rFonts w:eastAsia="楷体_GB2312" w:cs="楷体_GB2312"/>
          <w:spacing w:val="3"/>
        </w:rPr>
        <w:t>(</w:t>
      </w:r>
      <w:r>
        <w:rPr>
          <w:rFonts w:eastAsia="楷体_GB2312" w:cs="楷体_GB2312"/>
          <w:spacing w:val="3"/>
        </w:rPr>
        <w:t>水晶腰鼓</w:t>
      </w:r>
      <w:r>
        <w:rPr>
          <w:rFonts w:eastAsia="楷体_GB2312" w:cs="楷体_GB2312"/>
          <w:spacing w:val="3"/>
        </w:rPr>
        <w:t>)”</w:t>
      </w:r>
      <w:r>
        <w:rPr>
          <w:rFonts w:eastAsia="楷体_GB2312" w:cs="楷体_GB2312"/>
          <w:spacing w:val="3"/>
        </w:rPr>
        <w:t>的外观设计的专利权人。</w:t>
      </w:r>
      <w:r>
        <w:rPr>
          <w:rFonts w:eastAsia="楷体_GB2312" w:cs="楷体_GB2312"/>
          <w:spacing w:val="3"/>
        </w:rPr>
        <w:t>A</w:t>
      </w:r>
      <w:r>
        <w:rPr>
          <w:rFonts w:eastAsia="楷体_GB2312" w:cs="楷体_GB2312"/>
          <w:spacing w:val="3"/>
        </w:rPr>
        <w:t>厂和</w:t>
      </w:r>
      <w:r>
        <w:rPr>
          <w:rFonts w:eastAsia="楷体_GB2312" w:cs="楷体_GB2312" w:hint="eastAsia"/>
          <w:spacing w:val="3"/>
        </w:rPr>
        <w:t>乙</w:t>
      </w:r>
      <w:r>
        <w:rPr>
          <w:rFonts w:eastAsia="楷体_GB2312" w:cs="楷体_GB2312"/>
          <w:spacing w:val="3"/>
        </w:rPr>
        <w:t>未经同意，擅自制造、销售该专利产品，侵害了</w:t>
      </w:r>
      <w:r>
        <w:rPr>
          <w:rFonts w:eastAsia="楷体_GB2312" w:cs="楷体_GB2312" w:hint="eastAsia"/>
          <w:spacing w:val="3"/>
        </w:rPr>
        <w:t>甲</w:t>
      </w:r>
      <w:r>
        <w:rPr>
          <w:rFonts w:eastAsia="楷体_GB2312" w:cs="楷体_GB2312"/>
          <w:spacing w:val="3"/>
        </w:rPr>
        <w:t>的外观设计专利权。</w:t>
      </w:r>
      <w:r>
        <w:rPr>
          <w:rFonts w:eastAsia="楷体_GB2312" w:cs="楷体_GB2312" w:hint="eastAsia"/>
          <w:spacing w:val="3"/>
        </w:rPr>
        <w:t>甲</w:t>
      </w:r>
      <w:r>
        <w:rPr>
          <w:rFonts w:eastAsia="楷体_GB2312" w:cs="楷体_GB2312"/>
          <w:spacing w:val="3"/>
        </w:rPr>
        <w:t>除要求</w:t>
      </w:r>
      <w:r>
        <w:rPr>
          <w:rFonts w:eastAsia="楷体_GB2312" w:cs="楷体_GB2312"/>
          <w:spacing w:val="3"/>
        </w:rPr>
        <w:t>A</w:t>
      </w:r>
      <w:r>
        <w:rPr>
          <w:rFonts w:eastAsia="楷体_GB2312" w:cs="楷体_GB2312"/>
          <w:spacing w:val="3"/>
        </w:rPr>
        <w:t>厂和</w:t>
      </w:r>
      <w:r>
        <w:rPr>
          <w:rFonts w:eastAsia="楷体_GB2312" w:cs="楷体_GB2312" w:hint="eastAsia"/>
          <w:spacing w:val="3"/>
        </w:rPr>
        <w:t>乙</w:t>
      </w:r>
      <w:r>
        <w:rPr>
          <w:rFonts w:eastAsia="楷体_GB2312" w:cs="楷体_GB2312"/>
          <w:spacing w:val="3"/>
        </w:rPr>
        <w:t>赔偿其经济损失外，还要求赔偿其合理费用，包含：为公证保全涉案证据支付的公证费</w:t>
      </w:r>
      <w:r>
        <w:rPr>
          <w:rFonts w:eastAsia="楷体_GB2312" w:cs="楷体_GB2312"/>
          <w:spacing w:val="3"/>
        </w:rPr>
        <w:t>2100</w:t>
      </w:r>
      <w:r>
        <w:rPr>
          <w:rFonts w:eastAsia="楷体_GB2312" w:cs="楷体_GB2312"/>
          <w:spacing w:val="3"/>
        </w:rPr>
        <w:t>元、照片冲洗费</w:t>
      </w:r>
      <w:r>
        <w:rPr>
          <w:rFonts w:eastAsia="楷体_GB2312" w:cs="楷体_GB2312"/>
          <w:spacing w:val="3"/>
        </w:rPr>
        <w:t>130</w:t>
      </w:r>
      <w:r>
        <w:rPr>
          <w:rFonts w:eastAsia="楷体_GB2312" w:cs="楷体_GB2312"/>
          <w:spacing w:val="3"/>
        </w:rPr>
        <w:t>元，以及购买侵权产品的费用</w:t>
      </w:r>
      <w:r>
        <w:rPr>
          <w:rFonts w:eastAsia="楷体_GB2312" w:cs="楷体_GB2312"/>
          <w:spacing w:val="3"/>
        </w:rPr>
        <w:t>1100</w:t>
      </w:r>
      <w:r>
        <w:rPr>
          <w:rFonts w:eastAsia="楷体_GB2312" w:cs="楷体_GB2312"/>
          <w:spacing w:val="3"/>
        </w:rPr>
        <w:t>元，合计</w:t>
      </w:r>
      <w:r>
        <w:rPr>
          <w:rFonts w:eastAsia="楷体_GB2312" w:cs="楷体_GB2312"/>
          <w:spacing w:val="3"/>
        </w:rPr>
        <w:t>3330</w:t>
      </w:r>
      <w:r>
        <w:rPr>
          <w:rFonts w:eastAsia="楷体_GB2312" w:cs="楷体_GB2312"/>
          <w:spacing w:val="3"/>
        </w:rPr>
        <w:t>元。在判定损害赔偿数额时，</w:t>
      </w:r>
      <w:r>
        <w:rPr>
          <w:rFonts w:eastAsia="楷体_GB2312" w:cs="楷体_GB2312" w:hint="eastAsia"/>
          <w:spacing w:val="3"/>
        </w:rPr>
        <w:t>处理</w:t>
      </w:r>
      <w:r>
        <w:rPr>
          <w:rFonts w:eastAsia="楷体_GB2312" w:cs="楷体_GB2312"/>
          <w:spacing w:val="3"/>
        </w:rPr>
        <w:t>部门综合考虑了涉案专利权的类型、</w:t>
      </w:r>
      <w:r>
        <w:rPr>
          <w:rFonts w:eastAsia="楷体_GB2312" w:cs="楷体_GB2312"/>
          <w:spacing w:val="3"/>
        </w:rPr>
        <w:t>A</w:t>
      </w:r>
      <w:r>
        <w:rPr>
          <w:rFonts w:eastAsia="楷体_GB2312" w:cs="楷体_GB2312"/>
          <w:spacing w:val="3"/>
        </w:rPr>
        <w:t>厂和</w:t>
      </w:r>
      <w:r>
        <w:rPr>
          <w:rFonts w:eastAsia="楷体_GB2312" w:cs="楷体_GB2312" w:hint="eastAsia"/>
          <w:spacing w:val="3"/>
        </w:rPr>
        <w:t>乙</w:t>
      </w:r>
      <w:r>
        <w:rPr>
          <w:rFonts w:eastAsia="楷体_GB2312" w:cs="楷体_GB2312"/>
          <w:spacing w:val="3"/>
        </w:rPr>
        <w:t>的主观过错、侵权行为情节以及侵权的时间等因素，确定</w:t>
      </w:r>
      <w:r>
        <w:rPr>
          <w:rFonts w:eastAsia="楷体_GB2312" w:cs="楷体_GB2312"/>
          <w:spacing w:val="3"/>
        </w:rPr>
        <w:t>A</w:t>
      </w:r>
      <w:r>
        <w:rPr>
          <w:rFonts w:eastAsia="楷体_GB2312" w:cs="楷体_GB2312"/>
          <w:spacing w:val="3"/>
        </w:rPr>
        <w:t>厂和</w:t>
      </w:r>
      <w:r>
        <w:rPr>
          <w:rFonts w:eastAsia="楷体_GB2312" w:cs="楷体_GB2312" w:hint="eastAsia"/>
          <w:spacing w:val="3"/>
        </w:rPr>
        <w:t>乙</w:t>
      </w:r>
      <w:r>
        <w:rPr>
          <w:rFonts w:eastAsia="楷体_GB2312" w:cs="楷体_GB2312"/>
          <w:spacing w:val="3"/>
        </w:rPr>
        <w:t>应赔偿</w:t>
      </w:r>
      <w:r>
        <w:rPr>
          <w:rFonts w:eastAsia="楷体_GB2312" w:cs="楷体_GB2312" w:hint="eastAsia"/>
          <w:spacing w:val="3"/>
        </w:rPr>
        <w:t>甲</w:t>
      </w:r>
      <w:r>
        <w:rPr>
          <w:rFonts w:eastAsia="楷体_GB2312" w:cs="楷体_GB2312"/>
          <w:spacing w:val="3"/>
        </w:rPr>
        <w:t>的经济损失为</w:t>
      </w:r>
      <w:r>
        <w:rPr>
          <w:rFonts w:eastAsia="楷体_GB2312" w:cs="楷体_GB2312"/>
          <w:spacing w:val="3"/>
        </w:rPr>
        <w:t>4</w:t>
      </w:r>
      <w:r>
        <w:rPr>
          <w:rFonts w:eastAsia="楷体_GB2312" w:cs="楷体_GB2312"/>
          <w:spacing w:val="3"/>
        </w:rPr>
        <w:t>万元。此外，鉴于</w:t>
      </w:r>
      <w:r>
        <w:rPr>
          <w:rFonts w:eastAsia="楷体_GB2312" w:cs="楷体_GB2312" w:hint="eastAsia"/>
          <w:spacing w:val="3"/>
        </w:rPr>
        <w:t>甲</w:t>
      </w:r>
      <w:r>
        <w:rPr>
          <w:rFonts w:eastAsia="楷体_GB2312" w:cs="楷体_GB2312"/>
          <w:spacing w:val="3"/>
        </w:rPr>
        <w:t>在进行证据公证保全时确实需要支付购买被诉侵权产品的费用、公证费等，而且其实际上也已经有费用支出，结合该案实际需要和公证机关的相关收费标准规定，综合确定</w:t>
      </w:r>
      <w:r>
        <w:rPr>
          <w:rFonts w:eastAsia="楷体_GB2312" w:cs="楷体_GB2312" w:hint="eastAsia"/>
          <w:spacing w:val="3"/>
        </w:rPr>
        <w:t>甲</w:t>
      </w:r>
      <w:r>
        <w:rPr>
          <w:rFonts w:eastAsia="楷体_GB2312" w:cs="楷体_GB2312"/>
          <w:spacing w:val="3"/>
        </w:rPr>
        <w:t>在该案中为制止侵权应支付的合理费用为</w:t>
      </w:r>
      <w:r>
        <w:rPr>
          <w:rFonts w:eastAsia="楷体_GB2312" w:cs="楷体_GB2312"/>
          <w:spacing w:val="3"/>
        </w:rPr>
        <w:t>1800</w:t>
      </w:r>
      <w:r>
        <w:rPr>
          <w:rFonts w:eastAsia="楷体_GB2312" w:cs="楷体_GB2312"/>
          <w:spacing w:val="3"/>
        </w:rPr>
        <w:t>元，该费用由</w:t>
      </w:r>
      <w:r>
        <w:rPr>
          <w:rFonts w:eastAsia="楷体_GB2312" w:cs="楷体_GB2312"/>
          <w:spacing w:val="3"/>
        </w:rPr>
        <w:t>A</w:t>
      </w:r>
      <w:r>
        <w:rPr>
          <w:rFonts w:eastAsia="楷体_GB2312" w:cs="楷体_GB2312"/>
          <w:spacing w:val="3"/>
        </w:rPr>
        <w:t>厂和</w:t>
      </w:r>
      <w:r>
        <w:rPr>
          <w:rFonts w:eastAsia="楷体_GB2312" w:cs="楷体_GB2312" w:hint="eastAsia"/>
          <w:spacing w:val="3"/>
        </w:rPr>
        <w:t>乙</w:t>
      </w:r>
      <w:r>
        <w:rPr>
          <w:rFonts w:eastAsia="楷体_GB2312" w:cs="楷体_GB2312"/>
          <w:spacing w:val="3"/>
        </w:rPr>
        <w:t>予以支付。</w:t>
      </w:r>
    </w:p>
    <w:p w:rsidR="00590572" w:rsidRDefault="00590572">
      <w:pPr>
        <w:spacing w:line="240" w:lineRule="auto"/>
        <w:ind w:firstLineChars="0" w:firstLine="0"/>
        <w:rPr>
          <w:rFonts w:eastAsia="楷体_GB2312" w:cs="楷体_GB2312"/>
          <w:spacing w:val="3"/>
        </w:rPr>
      </w:pPr>
      <w:r>
        <w:rPr>
          <w:rFonts w:eastAsia="楷体_GB2312" w:cs="楷体_GB2312"/>
          <w:spacing w:val="3"/>
        </w:rPr>
        <w:br w:type="page"/>
      </w:r>
    </w:p>
    <w:p w:rsidR="00590572" w:rsidRDefault="00590572" w:rsidP="00E0701A">
      <w:pPr>
        <w:pStyle w:val="1"/>
      </w:pPr>
      <w:bookmarkStart w:id="9295" w:name="_Toc229225647"/>
      <w:r>
        <w:t>第</w:t>
      </w:r>
      <w:r>
        <w:rPr>
          <w:rFonts w:hint="eastAsia"/>
        </w:rPr>
        <w:t>九</w:t>
      </w:r>
      <w:r>
        <w:t>章</w:t>
      </w:r>
      <w:r>
        <w:rPr>
          <w:rFonts w:hint="eastAsia"/>
        </w:rPr>
        <w:t xml:space="preserve">　其他专利纠纷的行政调解</w:t>
      </w:r>
      <w:bookmarkEnd w:id="9295"/>
    </w:p>
    <w:p w:rsidR="00590572" w:rsidRDefault="00590572" w:rsidP="00590572">
      <w:pPr>
        <w:ind w:firstLine="424"/>
        <w:jc w:val="both"/>
        <w:rPr>
          <w:rFonts w:cs="宋体"/>
          <w:spacing w:val="1"/>
        </w:rPr>
      </w:pPr>
      <w:r>
        <w:rPr>
          <w:rFonts w:cs="宋体"/>
          <w:spacing w:val="1"/>
        </w:rPr>
        <w:t>根据《专利法实施细则》第</w:t>
      </w:r>
      <w:r>
        <w:rPr>
          <w:rFonts w:cs="宋体" w:hint="eastAsia"/>
          <w:spacing w:val="1"/>
        </w:rPr>
        <w:t>一百零二</w:t>
      </w:r>
      <w:r>
        <w:rPr>
          <w:rFonts w:cs="宋体"/>
          <w:spacing w:val="1"/>
        </w:rPr>
        <w:t>条第一款第</w:t>
      </w:r>
      <w:r>
        <w:rPr>
          <w:rFonts w:cs="宋体" w:hint="eastAsia"/>
          <w:spacing w:val="1"/>
        </w:rPr>
        <w:t>（五）</w:t>
      </w:r>
      <w:r>
        <w:rPr>
          <w:rFonts w:cs="宋体"/>
          <w:spacing w:val="1"/>
        </w:rPr>
        <w:t>项的规定，管理专利工作的部门应当事人请求，可以对</w:t>
      </w:r>
      <w:r>
        <w:rPr>
          <w:rFonts w:cs="宋体" w:hint="eastAsia"/>
          <w:spacing w:val="1"/>
        </w:rPr>
        <w:t>其他专利纠纷</w:t>
      </w:r>
      <w:r>
        <w:rPr>
          <w:rFonts w:cs="宋体"/>
          <w:spacing w:val="1"/>
        </w:rPr>
        <w:t>进行调解。</w:t>
      </w:r>
    </w:p>
    <w:p w:rsidR="00590572" w:rsidRDefault="00590572" w:rsidP="00590572">
      <w:pPr>
        <w:pStyle w:val="2"/>
        <w:spacing w:before="91"/>
        <w:ind w:firstLineChars="0" w:firstLine="0"/>
        <w:rPr>
          <w:rFonts w:ascii="Times New Roman" w:hAnsi="Times New Roman"/>
        </w:rPr>
      </w:pPr>
      <w:bookmarkStart w:id="9296" w:name="_Toc229225648"/>
      <w:r>
        <w:rPr>
          <w:rFonts w:ascii="Times New Roman" w:hAnsi="Times New Roman"/>
        </w:rPr>
        <w:t>第一节</w:t>
      </w:r>
      <w:r>
        <w:rPr>
          <w:rFonts w:ascii="Times New Roman" w:hAnsi="Times New Roman" w:hint="eastAsia"/>
        </w:rPr>
        <w:t xml:space="preserve">　其他专利纠纷的常见类型</w:t>
      </w:r>
      <w:bookmarkEnd w:id="9296"/>
    </w:p>
    <w:p w:rsidR="00590572" w:rsidRDefault="00590572" w:rsidP="00590572">
      <w:pPr>
        <w:ind w:firstLine="424"/>
        <w:jc w:val="both"/>
        <w:rPr>
          <w:rFonts w:cs="宋体"/>
          <w:spacing w:val="1"/>
        </w:rPr>
      </w:pPr>
      <w:r>
        <w:rPr>
          <w:rFonts w:cs="宋体" w:hint="eastAsia"/>
          <w:spacing w:val="1"/>
        </w:rPr>
        <w:t>其他专利纠纷主要涉及专利合同纠纷，常见的如专利申请权转让合同纠纷、专利权转让合同、专利实施许可合同纠纷等。</w:t>
      </w:r>
    </w:p>
    <w:p w:rsidR="00590572" w:rsidRDefault="00590572" w:rsidP="00590572">
      <w:pPr>
        <w:pStyle w:val="3"/>
        <w:spacing w:before="240"/>
        <w:ind w:firstLine="444"/>
        <w:rPr>
          <w:rFonts w:ascii="Times New Roman" w:hAnsi="Times New Roman"/>
        </w:rPr>
      </w:pPr>
      <w:bookmarkStart w:id="9297" w:name="_Toc229225649"/>
      <w:r>
        <w:rPr>
          <w:rFonts w:ascii="Times New Roman" w:hAnsi="Times New Roman"/>
        </w:rPr>
        <w:t>一、</w:t>
      </w:r>
      <w:r>
        <w:rPr>
          <w:rFonts w:ascii="Times New Roman" w:hAnsi="Times New Roman" w:hint="eastAsia"/>
        </w:rPr>
        <w:t>合同的基本概念</w:t>
      </w:r>
      <w:bookmarkEnd w:id="9297"/>
    </w:p>
    <w:p w:rsidR="00590572" w:rsidRDefault="00590572" w:rsidP="00590572">
      <w:pPr>
        <w:ind w:firstLine="424"/>
        <w:jc w:val="both"/>
        <w:rPr>
          <w:rFonts w:cs="宋体"/>
          <w:spacing w:val="1"/>
        </w:rPr>
      </w:pPr>
      <w:r>
        <w:rPr>
          <w:rFonts w:cs="宋体" w:hint="eastAsia"/>
          <w:spacing w:val="1"/>
        </w:rPr>
        <w:t>合同是平等主体的自然人、法人或其他组织之间设立、变更、终止民事法律关系的协议，具有法律约束力。合同遵循自愿、平等、公平和诚实信用原则，体现各方真实意思表示。</w:t>
      </w:r>
    </w:p>
    <w:p w:rsidR="00590572" w:rsidRDefault="00590572" w:rsidP="00590572">
      <w:pPr>
        <w:ind w:firstLine="424"/>
        <w:jc w:val="both"/>
        <w:rPr>
          <w:rFonts w:cs="宋体"/>
          <w:spacing w:val="1"/>
        </w:rPr>
      </w:pPr>
      <w:r>
        <w:rPr>
          <w:rFonts w:cs="宋体" w:hint="eastAsia"/>
          <w:spacing w:val="1"/>
        </w:rPr>
        <w:t>合同的成立基于当事人就主要条款达成一致，其生效通常自成立时开始，但附条件或期限的合同需满足特定条件或期限后方可生效。合同的内容包括当事人、标的、数量、质量、价款或报酬、履行期限、地点和方式、违约责任及争议解决方法等。形式可以是书面、口头或其他法定形式。合同一旦生效，各方需按约定全面履行义务，违约方需承担相应的法律责任。</w:t>
      </w:r>
    </w:p>
    <w:p w:rsidR="00590572" w:rsidRDefault="00590572" w:rsidP="00590572">
      <w:pPr>
        <w:pStyle w:val="3"/>
        <w:spacing w:before="240"/>
        <w:ind w:firstLine="444"/>
        <w:rPr>
          <w:rFonts w:ascii="Times New Roman" w:hAnsi="Times New Roman"/>
        </w:rPr>
      </w:pPr>
      <w:bookmarkStart w:id="9298" w:name="_Toc229225650"/>
      <w:r>
        <w:rPr>
          <w:rFonts w:ascii="Times New Roman" w:hAnsi="Times New Roman" w:hint="eastAsia"/>
        </w:rPr>
        <w:t>二</w:t>
      </w:r>
      <w:r>
        <w:rPr>
          <w:rFonts w:ascii="Times New Roman" w:hAnsi="Times New Roman"/>
        </w:rPr>
        <w:t>、</w:t>
      </w:r>
      <w:r>
        <w:rPr>
          <w:rFonts w:ascii="Times New Roman" w:hAnsi="Times New Roman" w:hint="eastAsia"/>
        </w:rPr>
        <w:t>专利转让合同纠纷</w:t>
      </w:r>
      <w:bookmarkEnd w:id="9298"/>
    </w:p>
    <w:p w:rsidR="00590572" w:rsidRDefault="00590572" w:rsidP="00590572">
      <w:pPr>
        <w:ind w:firstLine="424"/>
        <w:jc w:val="both"/>
        <w:rPr>
          <w:rFonts w:cs="宋体"/>
          <w:spacing w:val="1"/>
        </w:rPr>
      </w:pPr>
      <w:r>
        <w:rPr>
          <w:rFonts w:cs="宋体" w:hint="eastAsia"/>
          <w:spacing w:val="1"/>
        </w:rPr>
        <w:t>专利转让合同是指合法拥有专利技术的权利人，为将其专利权让与他人，受让方按约支付转让费所订立的协议。具体来说，专利转让合同是出让方将其拥有的专利申请权或者专利权移转给受让方，而受让方则按约支付价金的协议。专利转让合同标的是专利技术的所有权。合同需明确转让的专利内容、范围、价款、双方权利义务等条款，并向国务院专利行政部门登记，由国务院专利行政部门予以公告。专利申请权或者专利权的转让自登记之日起生效。</w:t>
      </w:r>
    </w:p>
    <w:p w:rsidR="00590572" w:rsidRDefault="00590572" w:rsidP="00590572">
      <w:pPr>
        <w:ind w:firstLine="424"/>
        <w:jc w:val="both"/>
        <w:rPr>
          <w:rFonts w:cs="宋体"/>
          <w:spacing w:val="1"/>
        </w:rPr>
      </w:pPr>
      <w:r>
        <w:rPr>
          <w:rFonts w:cs="宋体" w:hint="eastAsia"/>
          <w:spacing w:val="1"/>
        </w:rPr>
        <w:t>专利转让合同的转让人</w:t>
      </w:r>
      <w:r>
        <w:rPr>
          <w:rFonts w:cs="宋体"/>
          <w:spacing w:val="1"/>
        </w:rPr>
        <w:t>包括合法的专利权人、专利申请人或者其他权利人；一项专利或专利申请有两个以上的共同专利权人或者专利申请人的，让与人应当为全体专利权人或专利申请人。</w:t>
      </w:r>
    </w:p>
    <w:p w:rsidR="00590572" w:rsidRDefault="00590572" w:rsidP="00590572">
      <w:pPr>
        <w:ind w:firstLine="424"/>
        <w:jc w:val="both"/>
        <w:rPr>
          <w:rFonts w:cs="宋体"/>
          <w:spacing w:val="1"/>
        </w:rPr>
      </w:pPr>
      <w:r>
        <w:rPr>
          <w:rFonts w:cs="宋体" w:hint="eastAsia"/>
          <w:spacing w:val="1"/>
        </w:rPr>
        <w:t>专利转让合同纠纷是指当事人就专利申请权或者专利权的转让所订立的合同而发生的纠纷，主要发生在合同订立、履行或终止阶段。具体包括：合同订立阶段因条款不明确或存在瑕疵引发的争议；合同履行阶段因转让价款支付、专利权移交或技术资料交付、</w:t>
      </w:r>
      <w:r>
        <w:rPr>
          <w:rFonts w:cs="宋体"/>
          <w:spacing w:val="1"/>
        </w:rPr>
        <w:t>转让手续未完善</w:t>
      </w:r>
      <w:r>
        <w:rPr>
          <w:rFonts w:cs="宋体" w:hint="eastAsia"/>
          <w:spacing w:val="1"/>
        </w:rPr>
        <w:t>等问题产生的纠纷；以及合同终止后因后续义务履行等问题引发的争议。这类纠纷通常涉及合同解释、履行情况或违约责任的认定，需通过协商、调解、仲裁或诉讼解决。</w:t>
      </w:r>
    </w:p>
    <w:p w:rsidR="00590572" w:rsidRDefault="00590572" w:rsidP="00590572">
      <w:pPr>
        <w:pStyle w:val="3"/>
        <w:spacing w:before="240"/>
        <w:ind w:firstLine="444"/>
        <w:rPr>
          <w:rFonts w:ascii="Times New Roman" w:hAnsi="Times New Roman"/>
        </w:rPr>
      </w:pPr>
      <w:bookmarkStart w:id="9299" w:name="_Toc229225651"/>
      <w:r>
        <w:rPr>
          <w:rFonts w:ascii="Times New Roman" w:hAnsi="Times New Roman" w:hint="eastAsia"/>
        </w:rPr>
        <w:t>三</w:t>
      </w:r>
      <w:r>
        <w:rPr>
          <w:rFonts w:ascii="Times New Roman" w:hAnsi="Times New Roman"/>
        </w:rPr>
        <w:t>、</w:t>
      </w:r>
      <w:r>
        <w:rPr>
          <w:rFonts w:ascii="Times New Roman" w:hAnsi="Times New Roman" w:hint="eastAsia"/>
        </w:rPr>
        <w:t>专利实施许可合同纠纷</w:t>
      </w:r>
      <w:bookmarkEnd w:id="9299"/>
    </w:p>
    <w:p w:rsidR="00590572" w:rsidRDefault="00590572" w:rsidP="00590572">
      <w:pPr>
        <w:ind w:firstLine="424"/>
        <w:jc w:val="both"/>
        <w:rPr>
          <w:rFonts w:cs="宋体"/>
          <w:spacing w:val="1"/>
        </w:rPr>
      </w:pPr>
      <w:r>
        <w:rPr>
          <w:rFonts w:cs="宋体"/>
          <w:spacing w:val="1"/>
        </w:rPr>
        <w:t>专利实施许可合同是</w:t>
      </w:r>
      <w:r>
        <w:rPr>
          <w:rFonts w:cs="宋体" w:hint="eastAsia"/>
          <w:spacing w:val="1"/>
        </w:rPr>
        <w:t>指合法拥有专利技术的权利人，为将其专利技术许可给他人实施，被许可方按约支付许可使用费所订立的协议。</w:t>
      </w:r>
      <w:r>
        <w:rPr>
          <w:rFonts w:cs="宋体"/>
          <w:spacing w:val="1"/>
        </w:rPr>
        <w:t>专利实施许可</w:t>
      </w:r>
      <w:r>
        <w:rPr>
          <w:rFonts w:cs="宋体" w:hint="eastAsia"/>
          <w:spacing w:val="1"/>
        </w:rPr>
        <w:t>合同标的是专利技术使用权。</w:t>
      </w:r>
      <w:r>
        <w:rPr>
          <w:rFonts w:cs="宋体"/>
          <w:spacing w:val="1"/>
        </w:rPr>
        <w:t>专利实施许可合同可以采取独占实施许可、排他实施许可</w:t>
      </w:r>
      <w:r>
        <w:rPr>
          <w:rFonts w:cs="宋体" w:hint="eastAsia"/>
          <w:spacing w:val="1"/>
        </w:rPr>
        <w:t>、</w:t>
      </w:r>
      <w:r>
        <w:rPr>
          <w:rFonts w:cs="宋体"/>
          <w:spacing w:val="1"/>
        </w:rPr>
        <w:t>普通实施许可</w:t>
      </w:r>
      <w:r>
        <w:rPr>
          <w:rFonts w:cs="宋体" w:hint="eastAsia"/>
          <w:spacing w:val="1"/>
        </w:rPr>
        <w:t>、分售性实施许可、交叉性实施许可</w:t>
      </w:r>
      <w:r>
        <w:rPr>
          <w:rFonts w:cs="宋体"/>
          <w:spacing w:val="1"/>
        </w:rPr>
        <w:t>等形式。每种许可又可以按照实施方式分为生产许可、使用许可和销售许可以及再转让许可等形式。</w:t>
      </w:r>
      <w:r>
        <w:rPr>
          <w:rFonts w:cs="宋体" w:hint="eastAsia"/>
          <w:spacing w:val="1"/>
        </w:rPr>
        <w:t>专利权人与他人订立的专利实施许可合同，应自合同生效之日起</w:t>
      </w:r>
      <w:r>
        <w:rPr>
          <w:rFonts w:cs="宋体"/>
          <w:spacing w:val="1"/>
        </w:rPr>
        <w:t>3</w:t>
      </w:r>
      <w:r>
        <w:rPr>
          <w:rFonts w:cs="宋体"/>
          <w:spacing w:val="1"/>
        </w:rPr>
        <w:t>个月内向国务院专利行政部门备案。</w:t>
      </w:r>
    </w:p>
    <w:p w:rsidR="00590572" w:rsidRDefault="00590572" w:rsidP="00590572">
      <w:pPr>
        <w:ind w:firstLine="424"/>
        <w:jc w:val="both"/>
        <w:rPr>
          <w:rFonts w:cs="宋体"/>
          <w:spacing w:val="1"/>
        </w:rPr>
      </w:pPr>
      <w:r>
        <w:rPr>
          <w:rFonts w:cs="宋体"/>
          <w:spacing w:val="1"/>
        </w:rPr>
        <w:t>专利实施许可合同的</w:t>
      </w:r>
      <w:r>
        <w:rPr>
          <w:rFonts w:cs="宋体" w:hint="eastAsia"/>
          <w:spacing w:val="1"/>
        </w:rPr>
        <w:t>许可人是掌握一定的专利技术并能够为他人提供该专利技术的自然人、法人或者其他组织，通常是专利的持有者，即专利权人</w:t>
      </w:r>
      <w:r>
        <w:rPr>
          <w:rFonts w:cs="宋体"/>
          <w:spacing w:val="1"/>
        </w:rPr>
        <w:t>；经专利权人特别授权的一方也可以作为</w:t>
      </w:r>
      <w:r>
        <w:rPr>
          <w:rFonts w:cs="宋体" w:hint="eastAsia"/>
          <w:spacing w:val="1"/>
        </w:rPr>
        <w:t>许可</w:t>
      </w:r>
      <w:r>
        <w:rPr>
          <w:rFonts w:cs="宋体"/>
          <w:spacing w:val="1"/>
        </w:rPr>
        <w:t>人对第三方许可</w:t>
      </w:r>
      <w:r>
        <w:rPr>
          <w:rFonts w:cs="宋体" w:hint="eastAsia"/>
          <w:spacing w:val="1"/>
        </w:rPr>
        <w:t>。</w:t>
      </w:r>
      <w:r>
        <w:rPr>
          <w:rFonts w:cs="宋体"/>
          <w:spacing w:val="1"/>
        </w:rPr>
        <w:t>一项专利或专利申请有两个以上的共同专利权人的，</w:t>
      </w:r>
      <w:r>
        <w:rPr>
          <w:rFonts w:cs="宋体" w:hint="eastAsia"/>
          <w:spacing w:val="1"/>
        </w:rPr>
        <w:t>专利权的共有人对权利的行使有约定的，从其约定。没有约定的，共有人可以单独实施或者以普通许可他人实施该专利；许可他人实施该专利的，收取的使用费应当在共有人之间分配</w:t>
      </w:r>
      <w:r>
        <w:rPr>
          <w:rFonts w:cs="宋体"/>
          <w:spacing w:val="1"/>
        </w:rPr>
        <w:t>。</w:t>
      </w:r>
    </w:p>
    <w:p w:rsidR="00590572" w:rsidRDefault="00590572" w:rsidP="00590572">
      <w:pPr>
        <w:ind w:firstLine="424"/>
        <w:jc w:val="both"/>
        <w:rPr>
          <w:rFonts w:cs="宋体"/>
          <w:spacing w:val="1"/>
        </w:rPr>
      </w:pPr>
      <w:r>
        <w:rPr>
          <w:rFonts w:cs="宋体" w:hint="eastAsia"/>
          <w:spacing w:val="1"/>
        </w:rPr>
        <w:t>专利实施许可合同仅在该专利权的存续期限内有效。专利权有效期限届满或者专利权被宣告无效的，专利权人不得就该专利权与他人订立专利实施许可合同。即</w:t>
      </w:r>
      <w:r>
        <w:rPr>
          <w:rFonts w:cs="宋体"/>
          <w:spacing w:val="1"/>
        </w:rPr>
        <w:t>专利实施许可合同的有效期不能超过专利权的存续期限。如果合同约定的有效期超过专利权期限，超过部分无效。</w:t>
      </w:r>
    </w:p>
    <w:p w:rsidR="00590572" w:rsidRDefault="00590572" w:rsidP="00144708">
      <w:pPr>
        <w:ind w:firstLine="424"/>
        <w:jc w:val="both"/>
      </w:pPr>
      <w:r>
        <w:rPr>
          <w:rFonts w:cs="宋体" w:hint="eastAsia"/>
          <w:spacing w:val="1"/>
        </w:rPr>
        <w:t>专利实施许可合同纠纷是指在专利实施许可合同中，许可方与被许可方因合同条款的解释、履行、违约或其他相关问题产生的纠纷，通常涉及</w:t>
      </w:r>
      <w:r>
        <w:rPr>
          <w:rFonts w:cs="宋体" w:hint="eastAsia"/>
          <w:spacing w:val="1"/>
          <w:lang w:val="zh-CN"/>
        </w:rPr>
        <w:t>条款的约定不明确或双方对条款的理解存在分歧、</w:t>
      </w:r>
      <w:r>
        <w:rPr>
          <w:rFonts w:cs="宋体" w:hint="eastAsia"/>
          <w:spacing w:val="1"/>
        </w:rPr>
        <w:t>合同履行不符合约定、权利侵害或利益分配不均等，常见争议事项包括许可范围、使用费支付、技术标准、合同</w:t>
      </w:r>
      <w:r>
        <w:rPr>
          <w:rFonts w:cs="宋体"/>
          <w:spacing w:val="1"/>
        </w:rPr>
        <w:t>期限、</w:t>
      </w:r>
      <w:r>
        <w:rPr>
          <w:rFonts w:cs="宋体" w:hint="eastAsia"/>
          <w:spacing w:val="1"/>
        </w:rPr>
        <w:t>保密义务等。</w:t>
      </w:r>
    </w:p>
    <w:p w:rsidR="00590572" w:rsidRDefault="00590572" w:rsidP="00590572">
      <w:pPr>
        <w:pStyle w:val="2"/>
        <w:spacing w:before="91"/>
        <w:ind w:firstLineChars="0" w:firstLine="0"/>
        <w:rPr>
          <w:rFonts w:ascii="Times New Roman" w:hAnsi="Times New Roman"/>
        </w:rPr>
      </w:pPr>
      <w:bookmarkStart w:id="9300" w:name="_Toc229225652"/>
      <w:r>
        <w:rPr>
          <w:rFonts w:ascii="Times New Roman" w:hAnsi="Times New Roman" w:hint="eastAsia"/>
        </w:rPr>
        <w:t>第二节　专利转让与许可合同纠纷的行政调解</w:t>
      </w:r>
      <w:bookmarkEnd w:id="9300"/>
    </w:p>
    <w:p w:rsidR="00590572" w:rsidRDefault="00590572" w:rsidP="00590572">
      <w:pPr>
        <w:topLinePunct/>
        <w:spacing w:after="240"/>
        <w:ind w:firstLine="424"/>
        <w:rPr>
          <w:rFonts w:cs="Arial"/>
          <w:szCs w:val="21"/>
          <w:lang w:val="en-US"/>
        </w:rPr>
      </w:pPr>
      <w:r>
        <w:rPr>
          <w:rFonts w:cs="宋体"/>
          <w:spacing w:val="1"/>
          <w:lang w:val="en-US"/>
        </w:rPr>
        <w:t>当发生专利合同纠纷时，当事人</w:t>
      </w:r>
      <w:r>
        <w:rPr>
          <w:rFonts w:cs="宋体" w:hint="eastAsia"/>
          <w:spacing w:val="1"/>
          <w:lang w:val="en-US"/>
        </w:rPr>
        <w:t>自愿接受调解的，</w:t>
      </w:r>
      <w:r>
        <w:rPr>
          <w:rFonts w:cs="宋体"/>
          <w:spacing w:val="1"/>
          <w:lang w:val="en-US"/>
        </w:rPr>
        <w:t>可以向</w:t>
      </w:r>
      <w:r>
        <w:rPr>
          <w:rFonts w:cs="宋体" w:hint="eastAsia"/>
          <w:spacing w:val="1"/>
          <w:lang w:val="en-US"/>
        </w:rPr>
        <w:t>管理专利工作的部门申请</w:t>
      </w:r>
      <w:r>
        <w:rPr>
          <w:rFonts w:cs="宋体"/>
          <w:spacing w:val="1"/>
          <w:lang w:val="en-US"/>
        </w:rPr>
        <w:t>调解，</w:t>
      </w:r>
      <w:r>
        <w:rPr>
          <w:rFonts w:cs="宋体" w:hint="eastAsia"/>
          <w:spacing w:val="1"/>
          <w:lang w:val="en-US"/>
        </w:rPr>
        <w:t>调解申请应当</w:t>
      </w:r>
      <w:r>
        <w:rPr>
          <w:rFonts w:cs="宋体"/>
          <w:spacing w:val="1"/>
          <w:lang w:val="en-US"/>
        </w:rPr>
        <w:t>以书面方式提出</w:t>
      </w:r>
      <w:r>
        <w:rPr>
          <w:rFonts w:cs="宋体" w:hint="eastAsia"/>
          <w:spacing w:val="1"/>
          <w:lang w:val="en-US"/>
        </w:rPr>
        <w:t>，</w:t>
      </w:r>
      <w:r>
        <w:rPr>
          <w:rFonts w:cs="宋体"/>
          <w:spacing w:val="1"/>
          <w:lang w:val="en-US"/>
        </w:rPr>
        <w:t>并说明纠纷的具体情况和调解要求。</w:t>
      </w:r>
    </w:p>
    <w:p w:rsidR="00590572" w:rsidRDefault="00590572" w:rsidP="00590572">
      <w:pPr>
        <w:pStyle w:val="3"/>
        <w:spacing w:before="240" w:after="240"/>
        <w:ind w:firstLine="444"/>
        <w:rPr>
          <w:rFonts w:ascii="Times New Roman" w:hAnsi="Times New Roman"/>
        </w:rPr>
      </w:pPr>
      <w:bookmarkStart w:id="9301" w:name="_Toc229225653"/>
      <w:r>
        <w:rPr>
          <w:rFonts w:ascii="Times New Roman" w:hAnsi="Times New Roman" w:hint="eastAsia"/>
        </w:rPr>
        <w:t>一、合同双方的权利与义务</w:t>
      </w:r>
      <w:r>
        <w:rPr>
          <w:rFonts w:ascii="MS Mincho" w:eastAsia="MS Mincho" w:hAnsi="MS Mincho" w:cs="MS Mincho" w:hint="eastAsia"/>
        </w:rPr>
        <w:t>‌</w:t>
      </w:r>
      <w:bookmarkEnd w:id="9301"/>
    </w:p>
    <w:p w:rsidR="00590572" w:rsidRDefault="00590572" w:rsidP="00590572">
      <w:pPr>
        <w:topLinePunct/>
        <w:ind w:firstLine="424"/>
        <w:rPr>
          <w:rFonts w:cs="宋体"/>
          <w:spacing w:val="1"/>
        </w:rPr>
      </w:pPr>
      <w:r>
        <w:rPr>
          <w:rFonts w:cs="宋体" w:hint="eastAsia"/>
          <w:spacing w:val="1"/>
        </w:rPr>
        <w:t>合同是双方或多方在自愿、平等的基础上，通过协商达成的一致协议，其主要内容包括当事人、标的、数量、质量、价款或报酬、履行期限、地点和方式、违约责任及争议解决等条款。合同的当事人应当履行合同约定的权利与义务。</w:t>
      </w:r>
    </w:p>
    <w:p w:rsidR="00590572" w:rsidRDefault="00590572" w:rsidP="00590572">
      <w:pPr>
        <w:topLinePunct/>
        <w:ind w:firstLine="424"/>
        <w:rPr>
          <w:rFonts w:cs="宋体"/>
          <w:spacing w:val="1"/>
        </w:rPr>
      </w:pPr>
      <w:r>
        <w:rPr>
          <w:rFonts w:cs="宋体" w:hint="eastAsia"/>
          <w:spacing w:val="1"/>
        </w:rPr>
        <w:t>专利转让合同的让与人和专利许可合同的许可人有权获得约定的转让</w:t>
      </w:r>
      <w:r>
        <w:rPr>
          <w:rFonts w:cs="宋体"/>
          <w:spacing w:val="1"/>
        </w:rPr>
        <w:t>或</w:t>
      </w:r>
      <w:r>
        <w:rPr>
          <w:rFonts w:cs="宋体" w:hint="eastAsia"/>
          <w:spacing w:val="1"/>
        </w:rPr>
        <w:t>许可费用，并需确保专利的有效性和合法性，让与人和</w:t>
      </w:r>
      <w:r>
        <w:rPr>
          <w:rFonts w:cs="宋体"/>
          <w:spacing w:val="1"/>
        </w:rPr>
        <w:t>许可人</w:t>
      </w:r>
      <w:r>
        <w:rPr>
          <w:rFonts w:cs="宋体" w:hint="eastAsia"/>
          <w:spacing w:val="1"/>
        </w:rPr>
        <w:t>应当保证自己是所提供的技术的合法拥有者，并保证所提供的技术完整、无误、有效，能够达到约定的目标。</w:t>
      </w:r>
    </w:p>
    <w:p w:rsidR="00590572" w:rsidRDefault="00590572" w:rsidP="00590572">
      <w:pPr>
        <w:topLinePunct/>
        <w:ind w:firstLine="424"/>
        <w:rPr>
          <w:rFonts w:cs="宋体"/>
          <w:spacing w:val="1"/>
        </w:rPr>
      </w:pPr>
      <w:r>
        <w:rPr>
          <w:rFonts w:cs="宋体" w:hint="eastAsia"/>
          <w:spacing w:val="1"/>
        </w:rPr>
        <w:t>专利实施许可合同的被许可人应当按照约定实施专利，并按照约定支付使用费，遵守合同规定的使用限制和保密义务。如无约定，专利实施许可合同的</w:t>
      </w:r>
      <w:r>
        <w:rPr>
          <w:rFonts w:cs="宋体"/>
          <w:spacing w:val="1"/>
        </w:rPr>
        <w:t>被许可人无权允许合同规定以外的任何单位或者个人实施该专利。</w:t>
      </w:r>
      <w:r>
        <w:rPr>
          <w:rFonts w:cs="宋体" w:hint="eastAsia"/>
          <w:spacing w:val="1"/>
        </w:rPr>
        <w:t>受让人或者被许可人按照约定实施专利侵害他人合法权益的，由让与人或者许可人承担责任，但是当事人另有约定的除外。</w:t>
      </w:r>
    </w:p>
    <w:p w:rsidR="00590572" w:rsidRDefault="00590572" w:rsidP="00590572">
      <w:pPr>
        <w:topLinePunct/>
        <w:ind w:firstLine="424"/>
        <w:rPr>
          <w:rFonts w:cs="宋体"/>
          <w:spacing w:val="1"/>
        </w:rPr>
      </w:pPr>
      <w:r>
        <w:rPr>
          <w:rFonts w:cs="宋体" w:hint="eastAsia"/>
          <w:spacing w:val="1"/>
        </w:rPr>
        <w:t>合同中所约定的如争议解决、违约责任等条款能够确保合同的顺利执行，充分保障合同当事人的合法权益。</w:t>
      </w:r>
    </w:p>
    <w:p w:rsidR="00590572" w:rsidRDefault="00590572" w:rsidP="00590572">
      <w:pPr>
        <w:pStyle w:val="3"/>
        <w:spacing w:before="240" w:after="240"/>
        <w:ind w:firstLineChars="0" w:firstLine="444"/>
        <w:rPr>
          <w:rFonts w:ascii="Times New Roman" w:eastAsiaTheme="minorEastAsia" w:hAnsi="Times New Roman" w:cs="黑体"/>
          <w:b/>
          <w:bCs/>
          <w:spacing w:val="18"/>
        </w:rPr>
      </w:pPr>
      <w:bookmarkStart w:id="9302" w:name="_Toc229225654"/>
      <w:r>
        <w:rPr>
          <w:rFonts w:ascii="Times New Roman" w:hAnsi="Times New Roman" w:hint="eastAsia"/>
        </w:rPr>
        <w:t>二、专利转让与许可</w:t>
      </w:r>
      <w:r>
        <w:rPr>
          <w:rFonts w:hint="eastAsia"/>
        </w:rPr>
        <w:t>合同纠纷行政调解案件的</w:t>
      </w:r>
      <w:r>
        <w:rPr>
          <w:rFonts w:eastAsia="MS Mincho" w:hAnsi="Times New Roman" w:cs="MS Mincho" w:hint="eastAsia"/>
          <w:bCs/>
          <w:spacing w:val="18"/>
        </w:rPr>
        <w:t>‌</w:t>
      </w:r>
      <w:r>
        <w:rPr>
          <w:rFonts w:cs="MS Mincho" w:hint="eastAsia"/>
          <w:bCs/>
          <w:spacing w:val="18"/>
        </w:rPr>
        <w:t>类型</w:t>
      </w:r>
      <w:bookmarkEnd w:id="9302"/>
    </w:p>
    <w:p w:rsidR="00590572" w:rsidRDefault="00590572" w:rsidP="00590572">
      <w:pPr>
        <w:topLinePunct/>
        <w:ind w:firstLine="424"/>
        <w:jc w:val="both"/>
        <w:rPr>
          <w:rFonts w:cs="宋体"/>
          <w:spacing w:val="1"/>
        </w:rPr>
      </w:pPr>
      <w:r>
        <w:rPr>
          <w:rFonts w:cs="宋体" w:hint="eastAsia"/>
          <w:spacing w:val="1"/>
        </w:rPr>
        <w:t>专利转让与许可合同纠纷主要涉及专利申请</w:t>
      </w:r>
      <w:r>
        <w:rPr>
          <w:rFonts w:cs="宋体"/>
          <w:spacing w:val="1"/>
        </w:rPr>
        <w:t>权或专利权</w:t>
      </w:r>
      <w:r>
        <w:rPr>
          <w:rFonts w:cs="宋体" w:hint="eastAsia"/>
          <w:spacing w:val="1"/>
        </w:rPr>
        <w:t>的转让、专利</w:t>
      </w:r>
      <w:r>
        <w:rPr>
          <w:rFonts w:cs="宋体"/>
          <w:spacing w:val="1"/>
        </w:rPr>
        <w:t>实施</w:t>
      </w:r>
      <w:r>
        <w:rPr>
          <w:rFonts w:cs="宋体" w:hint="eastAsia"/>
          <w:spacing w:val="1"/>
        </w:rPr>
        <w:t>许可等过程中因合同条款不明确、双方对合同条款理解不一致、当事人未履行或</w:t>
      </w:r>
      <w:r>
        <w:rPr>
          <w:rFonts w:cs="宋体"/>
          <w:spacing w:val="1"/>
        </w:rPr>
        <w:t>未完全履行</w:t>
      </w:r>
      <w:r>
        <w:rPr>
          <w:rFonts w:cs="宋体" w:hint="eastAsia"/>
          <w:spacing w:val="1"/>
        </w:rPr>
        <w:t>合同条款等原因而产生的争议</w:t>
      </w:r>
      <w:r>
        <w:rPr>
          <w:rFonts w:cs="宋体"/>
          <w:spacing w:val="1"/>
        </w:rPr>
        <w:t>‌</w:t>
      </w:r>
      <w:r>
        <w:rPr>
          <w:rFonts w:cs="宋体" w:hint="eastAsia"/>
          <w:spacing w:val="1"/>
        </w:rPr>
        <w:t>。</w:t>
      </w:r>
    </w:p>
    <w:p w:rsidR="00590572" w:rsidRDefault="00590572" w:rsidP="00590572">
      <w:pPr>
        <w:pStyle w:val="4"/>
        <w:spacing w:before="240"/>
        <w:ind w:firstLine="444"/>
        <w:rPr>
          <w:rFonts w:ascii="Times New Roman" w:hAnsi="Times New Roman"/>
        </w:rPr>
      </w:pPr>
      <w:r>
        <w:rPr>
          <w:rFonts w:ascii="Times New Roman" w:hAnsi="Times New Roman" w:hint="eastAsia"/>
        </w:rPr>
        <w:t>（一）因合同</w:t>
      </w:r>
      <w:r>
        <w:rPr>
          <w:rFonts w:ascii="Times New Roman" w:hAnsi="Times New Roman"/>
        </w:rPr>
        <w:t>条款不明确或解释争议产生的纠纷</w:t>
      </w:r>
    </w:p>
    <w:p w:rsidR="00590572" w:rsidRDefault="00590572" w:rsidP="00590572">
      <w:pPr>
        <w:topLinePunct/>
        <w:ind w:firstLine="424"/>
        <w:rPr>
          <w:rFonts w:cs="宋体"/>
          <w:spacing w:val="1"/>
        </w:rPr>
      </w:pPr>
      <w:r>
        <w:rPr>
          <w:rFonts w:cs="宋体"/>
          <w:spacing w:val="1"/>
        </w:rPr>
        <w:t>在专利合同的签订阶段，由于合同双方对权利、义务等条款的约定不明确，或者在后续执行过程中对合同条款的解释存在分歧，从而引发争议。例如，合同中关于专利使用范围、使用期限、使用费用等关键条款的模糊表述，都可能导致双方在后续执行中产生纠纷</w:t>
      </w:r>
      <w:r>
        <w:rPr>
          <w:rFonts w:cs="宋体"/>
          <w:spacing w:val="1"/>
        </w:rPr>
        <w:t>‌</w:t>
      </w:r>
      <w:r>
        <w:rPr>
          <w:rFonts w:cs="宋体"/>
          <w:spacing w:val="1"/>
        </w:rPr>
        <w:t>。</w:t>
      </w:r>
      <w:r>
        <w:rPr>
          <w:rFonts w:cs="宋体" w:hint="eastAsia"/>
          <w:spacing w:val="1"/>
        </w:rPr>
        <w:t>当事人对合同条款有争议的，可以依据《民法典》第一百四十二</w:t>
      </w:r>
      <w:r>
        <w:rPr>
          <w:rFonts w:cs="宋体"/>
          <w:spacing w:val="1"/>
        </w:rPr>
        <w:t>条第</w:t>
      </w:r>
      <w:r>
        <w:rPr>
          <w:rFonts w:cs="宋体" w:hint="eastAsia"/>
          <w:spacing w:val="1"/>
        </w:rPr>
        <w:t>一</w:t>
      </w:r>
      <w:r>
        <w:rPr>
          <w:rFonts w:cs="宋体"/>
          <w:spacing w:val="1"/>
        </w:rPr>
        <w:t>款的规定确定争议条款的含义。</w:t>
      </w:r>
    </w:p>
    <w:p w:rsidR="00590572" w:rsidRDefault="00590572" w:rsidP="00590572">
      <w:pPr>
        <w:topLinePunct/>
        <w:ind w:firstLine="424"/>
        <w:rPr>
          <w:szCs w:val="21"/>
        </w:rPr>
      </w:pPr>
      <w:r>
        <w:rPr>
          <w:rFonts w:cs="宋体" w:hint="eastAsia"/>
          <w:spacing w:val="1"/>
        </w:rPr>
        <w:t>《民法典》第一百四十二</w:t>
      </w:r>
      <w:r>
        <w:rPr>
          <w:rFonts w:cs="宋体"/>
          <w:spacing w:val="1"/>
        </w:rPr>
        <w:t>条第</w:t>
      </w:r>
      <w:r>
        <w:rPr>
          <w:rFonts w:cs="宋体" w:hint="eastAsia"/>
          <w:spacing w:val="1"/>
        </w:rPr>
        <w:t>一</w:t>
      </w:r>
      <w:r>
        <w:rPr>
          <w:rFonts w:cs="宋体"/>
          <w:spacing w:val="1"/>
        </w:rPr>
        <w:t>款规定：有相对人的意思表示的解释，应当按照所使用的词句，结合相关条款、行为的性质和目的、习惯以及诚信原则，确定意思表示的含义。</w:t>
      </w:r>
    </w:p>
    <w:p w:rsidR="00590572" w:rsidRDefault="00590572" w:rsidP="00590572">
      <w:pPr>
        <w:pStyle w:val="af6"/>
        <w:spacing w:before="120"/>
        <w:ind w:firstLine="420"/>
      </w:pPr>
      <w:r>
        <w:rPr>
          <w:rFonts w:hint="eastAsia"/>
        </w:rPr>
        <w:t>【案例9-2-1】</w:t>
      </w:r>
    </w:p>
    <w:p w:rsidR="00590572" w:rsidRDefault="00590572" w:rsidP="00590572">
      <w:pPr>
        <w:pStyle w:val="12"/>
        <w:topLinePunct/>
        <w:spacing w:line="336" w:lineRule="auto"/>
        <w:ind w:firstLine="428"/>
        <w:rPr>
          <w:rFonts w:ascii="Times New Roman" w:eastAsia="楷体_GB2312" w:hAnsi="Times New Roman" w:cs="楷体_GB2312"/>
          <w:spacing w:val="2"/>
          <w:sz w:val="21"/>
          <w:szCs w:val="21"/>
          <w:lang w:val="en-US"/>
        </w:rPr>
      </w:pPr>
      <w:r>
        <w:rPr>
          <w:rFonts w:ascii="Times New Roman" w:eastAsia="楷体_GB2312" w:hAnsi="Times New Roman" w:cs="楷体_GB2312" w:hint="eastAsia"/>
          <w:spacing w:val="2"/>
          <w:sz w:val="21"/>
          <w:szCs w:val="21"/>
          <w:lang w:val="en-US"/>
        </w:rPr>
        <w:t>甲拥有两项发明专利，并</w:t>
      </w:r>
      <w:r>
        <w:rPr>
          <w:rFonts w:ascii="Times New Roman" w:eastAsia="楷体_GB2312" w:hAnsi="Times New Roman" w:cs="楷体_GB2312"/>
          <w:spacing w:val="2"/>
          <w:sz w:val="21"/>
          <w:szCs w:val="21"/>
          <w:lang w:val="en-US"/>
        </w:rPr>
        <w:t>与</w:t>
      </w:r>
      <w:r>
        <w:rPr>
          <w:rFonts w:ascii="Times New Roman" w:eastAsia="楷体_GB2312" w:hAnsi="Times New Roman" w:cs="楷体_GB2312"/>
          <w:spacing w:val="2"/>
          <w:sz w:val="21"/>
          <w:szCs w:val="21"/>
          <w:lang w:val="en-US"/>
        </w:rPr>
        <w:t>A</w:t>
      </w:r>
      <w:r>
        <w:rPr>
          <w:rFonts w:ascii="Times New Roman" w:eastAsia="楷体_GB2312" w:hAnsi="Times New Roman" w:cs="楷体_GB2312"/>
          <w:spacing w:val="2"/>
          <w:sz w:val="21"/>
          <w:szCs w:val="21"/>
          <w:lang w:val="en-US"/>
        </w:rPr>
        <w:t>公司签订了一份</w:t>
      </w:r>
      <w:r>
        <w:rPr>
          <w:rFonts w:ascii="Times New Roman" w:eastAsia="楷体_GB2312" w:hAnsi="Times New Roman" w:cs="楷体_GB2312" w:hint="eastAsia"/>
          <w:spacing w:val="2"/>
          <w:sz w:val="21"/>
          <w:szCs w:val="21"/>
          <w:lang w:val="en-US"/>
        </w:rPr>
        <w:t>专利</w:t>
      </w:r>
      <w:r>
        <w:rPr>
          <w:rFonts w:ascii="Times New Roman" w:eastAsia="楷体_GB2312" w:hAnsi="Times New Roman" w:cs="楷体_GB2312"/>
          <w:spacing w:val="2"/>
          <w:sz w:val="21"/>
          <w:szCs w:val="21"/>
          <w:lang w:val="en-US"/>
        </w:rPr>
        <w:t>技术合同</w:t>
      </w:r>
      <w:r>
        <w:rPr>
          <w:rFonts w:ascii="Times New Roman" w:eastAsia="楷体_GB2312" w:hAnsi="Times New Roman" w:cs="楷体_GB2312" w:hint="eastAsia"/>
          <w:spacing w:val="2"/>
          <w:sz w:val="21"/>
          <w:szCs w:val="21"/>
          <w:lang w:val="en-US"/>
        </w:rPr>
        <w:t>。</w:t>
      </w:r>
      <w:r>
        <w:rPr>
          <w:rFonts w:ascii="Times New Roman" w:eastAsia="楷体_GB2312" w:hAnsi="Times New Roman" w:cs="楷体_GB2312"/>
          <w:spacing w:val="2"/>
          <w:sz w:val="21"/>
          <w:szCs w:val="21"/>
          <w:lang w:val="en-US"/>
        </w:rPr>
        <w:t>合同权利义务</w:t>
      </w:r>
      <w:r>
        <w:rPr>
          <w:rFonts w:ascii="Times New Roman" w:eastAsia="楷体_GB2312" w:hAnsi="Times New Roman" w:cs="楷体_GB2312" w:hint="eastAsia"/>
          <w:spacing w:val="2"/>
          <w:sz w:val="21"/>
          <w:szCs w:val="21"/>
          <w:lang w:val="en-US"/>
        </w:rPr>
        <w:t>包括</w:t>
      </w:r>
      <w:r>
        <w:rPr>
          <w:rFonts w:ascii="Times New Roman" w:eastAsia="楷体_GB2312" w:hAnsi="Times New Roman" w:cs="楷体_GB2312"/>
          <w:spacing w:val="2"/>
          <w:sz w:val="21"/>
          <w:szCs w:val="21"/>
          <w:lang w:val="en-US"/>
        </w:rPr>
        <w:t>技术合作</w:t>
      </w:r>
      <w:r>
        <w:rPr>
          <w:rFonts w:ascii="Times New Roman" w:eastAsia="楷体_GB2312" w:hAnsi="Times New Roman" w:cs="楷体_GB2312" w:hint="eastAsia"/>
          <w:spacing w:val="2"/>
          <w:sz w:val="21"/>
          <w:szCs w:val="21"/>
          <w:lang w:val="en-US"/>
        </w:rPr>
        <w:t>和</w:t>
      </w:r>
      <w:r>
        <w:rPr>
          <w:rFonts w:ascii="Times New Roman" w:eastAsia="楷体_GB2312" w:hAnsi="Times New Roman" w:cs="楷体_GB2312"/>
          <w:spacing w:val="2"/>
          <w:sz w:val="21"/>
          <w:szCs w:val="21"/>
          <w:lang w:val="en-US"/>
        </w:rPr>
        <w:t>技术转让，</w:t>
      </w:r>
      <w:r>
        <w:rPr>
          <w:rFonts w:ascii="Times New Roman" w:eastAsia="楷体_GB2312" w:hAnsi="Times New Roman" w:cs="楷体_GB2312" w:hint="eastAsia"/>
          <w:spacing w:val="2"/>
          <w:sz w:val="21"/>
          <w:szCs w:val="21"/>
          <w:lang w:val="en-US"/>
        </w:rPr>
        <w:t>甲</w:t>
      </w:r>
      <w:r>
        <w:rPr>
          <w:rFonts w:ascii="Times New Roman" w:eastAsia="楷体_GB2312" w:hAnsi="Times New Roman" w:cs="楷体_GB2312"/>
          <w:spacing w:val="2"/>
          <w:sz w:val="21"/>
          <w:szCs w:val="21"/>
          <w:lang w:val="en-US"/>
        </w:rPr>
        <w:t>负有提供涉案专利技术、配合产品研发的义务。合同中并未明确约定专利年费的缴纳义务主体。在合作期内，因未及时缴纳专利年费，导致所提供的两项专利失效。</w:t>
      </w:r>
    </w:p>
    <w:p w:rsidR="00590572" w:rsidRDefault="00590572" w:rsidP="00590572">
      <w:pPr>
        <w:rPr>
          <w:rFonts w:eastAsia="华文隶书" w:cs="MingLiU_HKSCS"/>
          <w:color w:val="000000"/>
          <w:szCs w:val="21"/>
          <w:lang w:val="zh-CN"/>
        </w:rPr>
      </w:pPr>
      <w:r>
        <w:rPr>
          <w:rFonts w:eastAsia="华文隶书" w:cs="MingLiU_HKSCS" w:hint="eastAsia"/>
          <w:color w:val="000000"/>
          <w:szCs w:val="21"/>
          <w:lang w:val="zh-CN"/>
        </w:rPr>
        <w:t>分析与评述</w:t>
      </w:r>
    </w:p>
    <w:p w:rsidR="00590572" w:rsidRDefault="00590572" w:rsidP="00590572">
      <w:pPr>
        <w:pStyle w:val="12"/>
        <w:topLinePunct/>
        <w:spacing w:line="336" w:lineRule="auto"/>
        <w:ind w:firstLine="428"/>
        <w:rPr>
          <w:rFonts w:ascii="Times New Roman" w:eastAsia="楷体_GB2312" w:hAnsi="Times New Roman" w:cs="楷体_GB2312"/>
          <w:spacing w:val="2"/>
          <w:sz w:val="21"/>
          <w:szCs w:val="21"/>
          <w:lang w:val="en-US"/>
        </w:rPr>
      </w:pPr>
      <w:r>
        <w:rPr>
          <w:rFonts w:ascii="Times New Roman" w:eastAsia="楷体_GB2312" w:hAnsi="Times New Roman" w:cs="楷体_GB2312"/>
          <w:spacing w:val="2"/>
          <w:sz w:val="21"/>
          <w:szCs w:val="21"/>
          <w:lang w:val="en-US"/>
        </w:rPr>
        <w:t>根据合同约定，协议所涉及的专利技术系双方合作的基础。合同并未对涉案专利年费的缴纳义务主体作出明确约定，</w:t>
      </w:r>
      <w:r>
        <w:rPr>
          <w:rFonts w:ascii="Times New Roman" w:eastAsia="楷体_GB2312" w:hAnsi="Times New Roman" w:cs="楷体_GB2312" w:hint="eastAsia"/>
          <w:spacing w:val="2"/>
          <w:sz w:val="21"/>
          <w:szCs w:val="21"/>
          <w:lang w:val="en-US"/>
        </w:rPr>
        <w:t>经查，</w:t>
      </w:r>
      <w:r>
        <w:rPr>
          <w:rFonts w:ascii="Times New Roman" w:eastAsia="楷体_GB2312" w:hAnsi="Times New Roman" w:cs="楷体_GB2312"/>
          <w:spacing w:val="2"/>
          <w:sz w:val="21"/>
          <w:szCs w:val="21"/>
          <w:lang w:val="en-US"/>
        </w:rPr>
        <w:t>双方当事人均存在曾经缴纳专利年费的情况，但</w:t>
      </w:r>
      <w:r>
        <w:rPr>
          <w:rFonts w:ascii="Times New Roman" w:eastAsia="楷体_GB2312" w:hAnsi="Times New Roman" w:cs="楷体_GB2312" w:hint="eastAsia"/>
          <w:spacing w:val="2"/>
          <w:sz w:val="21"/>
          <w:szCs w:val="21"/>
          <w:lang w:val="en-US"/>
        </w:rPr>
        <w:t>甲</w:t>
      </w:r>
      <w:r>
        <w:rPr>
          <w:rFonts w:ascii="Times New Roman" w:eastAsia="楷体_GB2312" w:hAnsi="Times New Roman" w:cs="楷体_GB2312"/>
          <w:spacing w:val="2"/>
          <w:sz w:val="21"/>
          <w:szCs w:val="21"/>
          <w:lang w:val="en-US"/>
        </w:rPr>
        <w:t>作为提供技术的一方以及专利权人，负有在合作期内维持其自身专利权有效的义务</w:t>
      </w:r>
      <w:r>
        <w:rPr>
          <w:rFonts w:ascii="Times New Roman" w:eastAsia="楷体_GB2312" w:hAnsi="Times New Roman" w:cs="楷体_GB2312" w:hint="eastAsia"/>
          <w:spacing w:val="2"/>
          <w:sz w:val="21"/>
          <w:szCs w:val="21"/>
          <w:lang w:val="en-US"/>
        </w:rPr>
        <w:t>，</w:t>
      </w:r>
      <w:r>
        <w:rPr>
          <w:rFonts w:ascii="Times New Roman" w:eastAsia="楷体_GB2312" w:hAnsi="Times New Roman" w:cs="楷体_GB2312"/>
          <w:spacing w:val="2"/>
          <w:sz w:val="21"/>
          <w:szCs w:val="21"/>
          <w:lang w:val="en-US"/>
        </w:rPr>
        <w:t>故</w:t>
      </w:r>
      <w:r>
        <w:rPr>
          <w:rFonts w:ascii="Times New Roman" w:eastAsia="楷体_GB2312" w:hAnsi="Times New Roman" w:cs="楷体_GB2312" w:hint="eastAsia"/>
          <w:spacing w:val="2"/>
          <w:sz w:val="21"/>
          <w:szCs w:val="21"/>
          <w:lang w:val="en-US"/>
        </w:rPr>
        <w:t>甲未及时缴纳专利年费而导致其所提供的两项专利在合作期内失效，构成违约</w:t>
      </w:r>
      <w:r>
        <w:rPr>
          <w:rFonts w:ascii="Times New Roman" w:eastAsia="楷体_GB2312" w:hAnsi="Times New Roman" w:cs="楷体_GB2312"/>
          <w:spacing w:val="2"/>
          <w:sz w:val="21"/>
          <w:szCs w:val="21"/>
          <w:lang w:val="en-US"/>
        </w:rPr>
        <w:t>。</w:t>
      </w:r>
    </w:p>
    <w:p w:rsidR="00590572" w:rsidRDefault="00590572" w:rsidP="00590572">
      <w:pPr>
        <w:pStyle w:val="4"/>
        <w:spacing w:before="240"/>
        <w:ind w:firstLine="444"/>
        <w:rPr>
          <w:rFonts w:ascii="Times New Roman" w:hAnsi="Times New Roman"/>
        </w:rPr>
      </w:pPr>
      <w:r>
        <w:rPr>
          <w:rFonts w:ascii="Times New Roman" w:hAnsi="Times New Roman" w:hint="eastAsia"/>
        </w:rPr>
        <w:t>（二）</w:t>
      </w:r>
      <w:r>
        <w:rPr>
          <w:rFonts w:ascii="Times New Roman" w:hAnsi="Times New Roman"/>
        </w:rPr>
        <w:t>合同</w:t>
      </w:r>
      <w:r>
        <w:rPr>
          <w:rFonts w:ascii="Times New Roman" w:hAnsi="Times New Roman" w:hint="eastAsia"/>
        </w:rPr>
        <w:t>履行违约产生的纠纷</w:t>
      </w:r>
    </w:p>
    <w:p w:rsidR="00590572" w:rsidRDefault="00590572" w:rsidP="00590572">
      <w:pPr>
        <w:topLinePunct/>
        <w:ind w:firstLine="424"/>
        <w:rPr>
          <w:rFonts w:cs="宋体"/>
          <w:spacing w:val="1"/>
        </w:rPr>
      </w:pPr>
      <w:r>
        <w:rPr>
          <w:rFonts w:cs="宋体"/>
          <w:spacing w:val="1"/>
        </w:rPr>
        <w:t>在专利合同的</w:t>
      </w:r>
      <w:r>
        <w:rPr>
          <w:rFonts w:cs="宋体" w:hint="eastAsia"/>
          <w:spacing w:val="1"/>
        </w:rPr>
        <w:t>执行阶段</w:t>
      </w:r>
      <w:r>
        <w:rPr>
          <w:rFonts w:cs="宋体"/>
          <w:spacing w:val="1"/>
        </w:rPr>
        <w:t>，由于合同双方在履行过程中未能按照约定执行，或者因其他外部因素导致合同无法继续履行，从而引发</w:t>
      </w:r>
      <w:r>
        <w:rPr>
          <w:rFonts w:cs="宋体" w:hint="eastAsia"/>
          <w:spacing w:val="1"/>
        </w:rPr>
        <w:t>纠纷</w:t>
      </w:r>
      <w:r>
        <w:rPr>
          <w:rFonts w:cs="宋体"/>
          <w:spacing w:val="1"/>
        </w:rPr>
        <w:t>。</w:t>
      </w:r>
      <w:r>
        <w:rPr>
          <w:rFonts w:cs="宋体" w:hint="eastAsia"/>
          <w:spacing w:val="1"/>
        </w:rPr>
        <w:t>常见情形包括未按约定支付许可费或转让费、未按约定提供技术支持、未按时交付技术资料、超出许可范围使用专利、未按约定及时实施专利技术、违反保密义务、违约时不履行违约责任、不采用合同中约定的争议解决方式处理争议等。</w:t>
      </w:r>
    </w:p>
    <w:p w:rsidR="00590572" w:rsidRDefault="00590572" w:rsidP="00590572">
      <w:pPr>
        <w:topLinePunct/>
        <w:ind w:firstLine="424"/>
        <w:rPr>
          <w:rFonts w:cs="宋体"/>
          <w:spacing w:val="1"/>
        </w:rPr>
      </w:pPr>
      <w:r>
        <w:rPr>
          <w:rFonts w:cs="宋体" w:hint="eastAsia"/>
          <w:spacing w:val="1"/>
        </w:rPr>
        <w:t>专利实施许可合同的许可人应当按照约定许可被许可人实施专利，交付实施专利有关的技术资料，提供必要的技术指导。专利转让合同的受让人和专利许可合同的被许可人应当按照约定的范围和期限，对让与人、许可人提供的技术中尚未公开的秘密部分，承担保密义务。当事人一方不履行合同义务或履行合同义务不符合约定，构成违约。专利实施许可合同的</w:t>
      </w:r>
      <w:r>
        <w:rPr>
          <w:rFonts w:cs="宋体"/>
          <w:spacing w:val="1"/>
        </w:rPr>
        <w:t>许可人未按照约定许可技术的，应当返还部分或者全部使用费，并应当承担违约责任；实施专利超越约定的范围的，违反约定擅自许可第三人实施该项专利的，应当停止违约行为，承担违约责任；违反约定的保密义务的，应当承担违约责任。</w:t>
      </w:r>
      <w:r>
        <w:rPr>
          <w:rFonts w:cs="宋体" w:hint="eastAsia"/>
          <w:spacing w:val="1"/>
        </w:rPr>
        <w:t>专利转让合同的</w:t>
      </w:r>
      <w:r>
        <w:rPr>
          <w:rFonts w:cs="宋体"/>
          <w:spacing w:val="1"/>
        </w:rPr>
        <w:t>让与人承担违约责任，参照适用</w:t>
      </w:r>
      <w:r>
        <w:rPr>
          <w:rFonts w:cs="宋体" w:hint="eastAsia"/>
          <w:spacing w:val="1"/>
        </w:rPr>
        <w:t>前述</w:t>
      </w:r>
      <w:r>
        <w:rPr>
          <w:rFonts w:cs="宋体"/>
          <w:spacing w:val="1"/>
        </w:rPr>
        <w:t>规定。</w:t>
      </w:r>
      <w:r>
        <w:rPr>
          <w:rFonts w:cs="宋体" w:hint="eastAsia"/>
          <w:spacing w:val="1"/>
        </w:rPr>
        <w:t>专利实施许可合同的</w:t>
      </w:r>
      <w:r>
        <w:rPr>
          <w:rFonts w:cs="宋体"/>
          <w:spacing w:val="1"/>
        </w:rPr>
        <w:t>被许可人未按照约定支付使用费的，应当补交使用费并按照约定支付违约金；不补交使用费或者支付违约金的，应当停止实施专利，交还技术资料，承担违约责任；实施专利超越约定的范围的，未经许可人同意擅自许可第三人实施该专利的，应当停止违约行为，承担违约责任；违反约定的保密义务的，应当承担违约责任。</w:t>
      </w:r>
      <w:r>
        <w:rPr>
          <w:rFonts w:cs="宋体" w:hint="eastAsia"/>
          <w:spacing w:val="1"/>
        </w:rPr>
        <w:t>专利转让合同的</w:t>
      </w:r>
      <w:r>
        <w:rPr>
          <w:rFonts w:cs="宋体"/>
          <w:spacing w:val="1"/>
        </w:rPr>
        <w:t>受让人承担违约责任，参照适用</w:t>
      </w:r>
      <w:r>
        <w:rPr>
          <w:rFonts w:cs="宋体" w:hint="eastAsia"/>
          <w:spacing w:val="1"/>
        </w:rPr>
        <w:t>前述</w:t>
      </w:r>
      <w:r>
        <w:rPr>
          <w:rFonts w:cs="宋体"/>
          <w:spacing w:val="1"/>
        </w:rPr>
        <w:t>规定。</w:t>
      </w:r>
    </w:p>
    <w:p w:rsidR="00590572" w:rsidRDefault="00590572" w:rsidP="00590572">
      <w:pPr>
        <w:topLinePunct/>
        <w:ind w:firstLine="424"/>
        <w:rPr>
          <w:szCs w:val="21"/>
        </w:rPr>
      </w:pPr>
      <w:r>
        <w:rPr>
          <w:rFonts w:cs="宋体" w:hint="eastAsia"/>
          <w:spacing w:val="1"/>
        </w:rPr>
        <w:t>合同因违约解除的，解除权人可以请求违约方承担违约责任，但是当事人另有约定的除外。违约方承担违约责任的方式主要有赔偿损失、支付违约金、继续履行、采取补救措施以及适用定金罚则等。</w:t>
      </w:r>
    </w:p>
    <w:p w:rsidR="00590572" w:rsidRDefault="00590572" w:rsidP="00590572">
      <w:pPr>
        <w:pStyle w:val="af6"/>
        <w:spacing w:before="120"/>
        <w:ind w:firstLine="420"/>
      </w:pPr>
      <w:r>
        <w:rPr>
          <w:rFonts w:hint="eastAsia"/>
        </w:rPr>
        <w:t>【案例9-2-2】</w:t>
      </w:r>
    </w:p>
    <w:p w:rsidR="00590572" w:rsidRDefault="00590572" w:rsidP="00590572">
      <w:pPr>
        <w:ind w:firstLine="436"/>
        <w:jc w:val="both"/>
        <w:rPr>
          <w:rFonts w:eastAsia="楷体" w:cs="楷体"/>
          <w:spacing w:val="4"/>
        </w:rPr>
      </w:pPr>
      <w:r>
        <w:rPr>
          <w:rFonts w:eastAsia="楷体_GB2312" w:cs="楷体_GB2312"/>
          <w:spacing w:val="4"/>
        </w:rPr>
        <w:t>A</w:t>
      </w:r>
      <w:r>
        <w:rPr>
          <w:rFonts w:eastAsia="楷体_GB2312" w:cs="楷体_GB2312"/>
          <w:spacing w:val="4"/>
        </w:rPr>
        <w:t>公司拥有一项发明专利，</w:t>
      </w:r>
      <w:r>
        <w:rPr>
          <w:rFonts w:eastAsia="楷体_GB2312" w:cs="楷体_GB2312" w:hint="eastAsia"/>
          <w:spacing w:val="4"/>
        </w:rPr>
        <w:t>其与</w:t>
      </w:r>
      <w:r>
        <w:rPr>
          <w:rFonts w:eastAsia="楷体_GB2312" w:cs="楷体_GB2312"/>
          <w:spacing w:val="4"/>
        </w:rPr>
        <w:t>B</w:t>
      </w:r>
      <w:r>
        <w:rPr>
          <w:rFonts w:eastAsia="楷体_GB2312" w:cs="楷体_GB2312"/>
          <w:spacing w:val="4"/>
        </w:rPr>
        <w:t>公司签订了一份专利许可合同，约定</w:t>
      </w:r>
      <w:r>
        <w:rPr>
          <w:rFonts w:eastAsia="楷体_GB2312" w:cs="楷体_GB2312"/>
          <w:spacing w:val="4"/>
        </w:rPr>
        <w:t>B</w:t>
      </w:r>
      <w:r>
        <w:rPr>
          <w:rFonts w:eastAsia="楷体_GB2312" w:cs="楷体_GB2312"/>
          <w:spacing w:val="4"/>
        </w:rPr>
        <w:t>公司支付高额许可费用，</w:t>
      </w:r>
      <w:r>
        <w:rPr>
          <w:rFonts w:eastAsia="楷体_GB2312" w:cs="楷体_GB2312"/>
          <w:spacing w:val="4"/>
        </w:rPr>
        <w:t>A</w:t>
      </w:r>
      <w:r>
        <w:rPr>
          <w:rFonts w:eastAsia="楷体_GB2312" w:cs="楷体_GB2312"/>
          <w:spacing w:val="4"/>
        </w:rPr>
        <w:t>公司授予</w:t>
      </w:r>
      <w:r>
        <w:rPr>
          <w:rFonts w:eastAsia="楷体_GB2312" w:cs="楷体_GB2312"/>
          <w:spacing w:val="4"/>
        </w:rPr>
        <w:t>B</w:t>
      </w:r>
      <w:r>
        <w:rPr>
          <w:rFonts w:eastAsia="楷体_GB2312" w:cs="楷体_GB2312"/>
          <w:spacing w:val="4"/>
        </w:rPr>
        <w:t>公司在中国境内的独占许可使用权，并提供必要的技术支持。合同还规定，</w:t>
      </w:r>
      <w:r>
        <w:rPr>
          <w:rFonts w:eastAsia="楷体_GB2312" w:cs="楷体_GB2312"/>
          <w:spacing w:val="4"/>
        </w:rPr>
        <w:t>B</w:t>
      </w:r>
      <w:r>
        <w:rPr>
          <w:rFonts w:eastAsia="楷体_GB2312" w:cs="楷体_GB2312"/>
          <w:spacing w:val="4"/>
        </w:rPr>
        <w:t>公司需按季度支付许可费用，</w:t>
      </w:r>
      <w:r>
        <w:rPr>
          <w:rFonts w:eastAsia="楷体_GB2312" w:cs="楷体_GB2312"/>
          <w:spacing w:val="4"/>
        </w:rPr>
        <w:t>A</w:t>
      </w:r>
      <w:r>
        <w:rPr>
          <w:rFonts w:eastAsia="楷体_GB2312" w:cs="楷体_GB2312"/>
          <w:spacing w:val="4"/>
        </w:rPr>
        <w:t>公司需确保专利的有效性并协助</w:t>
      </w:r>
      <w:r>
        <w:rPr>
          <w:rFonts w:eastAsia="楷体_GB2312" w:cs="楷体_GB2312"/>
          <w:spacing w:val="4"/>
        </w:rPr>
        <w:t>B</w:t>
      </w:r>
      <w:r>
        <w:rPr>
          <w:rFonts w:eastAsia="楷体_GB2312" w:cs="楷体_GB2312"/>
          <w:spacing w:val="4"/>
        </w:rPr>
        <w:t>公司解决技术问题。</w:t>
      </w:r>
      <w:r>
        <w:rPr>
          <w:rFonts w:eastAsia="楷体_GB2312" w:cs="楷体_GB2312"/>
          <w:spacing w:val="4"/>
        </w:rPr>
        <w:t>A</w:t>
      </w:r>
      <w:r>
        <w:rPr>
          <w:rFonts w:eastAsia="楷体_GB2312" w:cs="楷体_GB2312"/>
          <w:spacing w:val="4"/>
        </w:rPr>
        <w:t>公司认为</w:t>
      </w:r>
      <w:r>
        <w:rPr>
          <w:rFonts w:eastAsia="楷体_GB2312" w:cs="楷体_GB2312"/>
          <w:spacing w:val="4"/>
        </w:rPr>
        <w:t>B</w:t>
      </w:r>
      <w:r>
        <w:rPr>
          <w:rFonts w:eastAsia="楷体_GB2312" w:cs="楷体_GB2312"/>
          <w:spacing w:val="4"/>
        </w:rPr>
        <w:t>公司在合同履行过程中，因市场销售不佳，未能按合同约定按时</w:t>
      </w:r>
      <w:r>
        <w:rPr>
          <w:rFonts w:eastAsia="楷体_GB2312" w:cs="楷体_GB2312" w:hint="eastAsia"/>
          <w:spacing w:val="4"/>
        </w:rPr>
        <w:t>向</w:t>
      </w:r>
      <w:r>
        <w:rPr>
          <w:rFonts w:eastAsia="楷体_GB2312" w:cs="楷体_GB2312"/>
          <w:spacing w:val="4"/>
        </w:rPr>
        <w:t>A</w:t>
      </w:r>
      <w:r>
        <w:rPr>
          <w:rFonts w:eastAsia="楷体_GB2312" w:cs="楷体_GB2312"/>
          <w:spacing w:val="4"/>
        </w:rPr>
        <w:t>公司支付许可费用。</w:t>
      </w:r>
      <w:r>
        <w:rPr>
          <w:rFonts w:eastAsia="楷体_GB2312" w:cs="楷体_GB2312"/>
          <w:spacing w:val="4"/>
        </w:rPr>
        <w:t>A</w:t>
      </w:r>
      <w:r>
        <w:rPr>
          <w:rFonts w:eastAsia="楷体_GB2312" w:cs="楷体_GB2312"/>
          <w:spacing w:val="4"/>
        </w:rPr>
        <w:t>公司主张</w:t>
      </w:r>
      <w:r>
        <w:rPr>
          <w:rFonts w:eastAsia="楷体_GB2312" w:cs="楷体_GB2312"/>
          <w:spacing w:val="4"/>
        </w:rPr>
        <w:t>B</w:t>
      </w:r>
      <w:r>
        <w:rPr>
          <w:rFonts w:eastAsia="楷体_GB2312" w:cs="楷体_GB2312"/>
          <w:spacing w:val="4"/>
        </w:rPr>
        <w:t>公司未按</w:t>
      </w:r>
      <w:r>
        <w:rPr>
          <w:rFonts w:eastAsia="楷体_GB2312" w:cs="楷体_GB2312" w:hint="eastAsia"/>
          <w:spacing w:val="4"/>
        </w:rPr>
        <w:t>合同约定</w:t>
      </w:r>
      <w:r>
        <w:rPr>
          <w:rFonts w:eastAsia="楷体_GB2312" w:cs="楷体_GB2312"/>
          <w:spacing w:val="4"/>
        </w:rPr>
        <w:t>支付许可费用构成违约，要求</w:t>
      </w:r>
      <w:r>
        <w:rPr>
          <w:rFonts w:eastAsia="楷体_GB2312" w:cs="楷体_GB2312"/>
          <w:spacing w:val="4"/>
        </w:rPr>
        <w:t>B</w:t>
      </w:r>
      <w:r>
        <w:rPr>
          <w:rFonts w:eastAsia="楷体_GB2312" w:cs="楷体_GB2312"/>
          <w:spacing w:val="4"/>
        </w:rPr>
        <w:t>公司支付拖欠的费用及违约金，并解除合同。</w:t>
      </w:r>
      <w:r>
        <w:rPr>
          <w:rFonts w:eastAsia="楷体_GB2312" w:cs="楷体_GB2312"/>
          <w:spacing w:val="4"/>
        </w:rPr>
        <w:t>B</w:t>
      </w:r>
      <w:r>
        <w:rPr>
          <w:rFonts w:eastAsia="楷体_GB2312" w:cs="楷体_GB2312"/>
          <w:spacing w:val="4"/>
        </w:rPr>
        <w:t>公司认为</w:t>
      </w:r>
      <w:r>
        <w:rPr>
          <w:rFonts w:eastAsia="楷体_GB2312" w:cs="楷体_GB2312"/>
          <w:spacing w:val="4"/>
        </w:rPr>
        <w:t>A</w:t>
      </w:r>
      <w:r>
        <w:rPr>
          <w:rFonts w:eastAsia="楷体_GB2312" w:cs="楷体_GB2312"/>
          <w:spacing w:val="4"/>
        </w:rPr>
        <w:t>公司未按合同约定提供足够的技术支持，导致其生产过程中遇到技术难题无法解决，影响了产品的市场推广</w:t>
      </w:r>
      <w:r>
        <w:rPr>
          <w:rFonts w:eastAsia="楷体_GB2312" w:cs="楷体_GB2312" w:hint="eastAsia"/>
          <w:spacing w:val="4"/>
        </w:rPr>
        <w:t>，进而</w:t>
      </w:r>
      <w:r>
        <w:rPr>
          <w:rFonts w:eastAsia="楷体_GB2312" w:cs="楷体_GB2312"/>
          <w:spacing w:val="4"/>
        </w:rPr>
        <w:t>主张</w:t>
      </w:r>
      <w:r>
        <w:rPr>
          <w:rFonts w:eastAsia="楷体_GB2312" w:cs="楷体_GB2312"/>
          <w:spacing w:val="4"/>
        </w:rPr>
        <w:t>A</w:t>
      </w:r>
      <w:r>
        <w:rPr>
          <w:rFonts w:eastAsia="楷体_GB2312" w:cs="楷体_GB2312"/>
          <w:spacing w:val="4"/>
        </w:rPr>
        <w:t>公司未提供充分的技术支持，导致其无法有效实施专利，要求</w:t>
      </w:r>
      <w:r>
        <w:rPr>
          <w:rFonts w:eastAsia="楷体_GB2312" w:cs="楷体_GB2312"/>
          <w:spacing w:val="4"/>
        </w:rPr>
        <w:t>A</w:t>
      </w:r>
      <w:r>
        <w:rPr>
          <w:rFonts w:eastAsia="楷体_GB2312" w:cs="楷体_GB2312"/>
          <w:spacing w:val="4"/>
        </w:rPr>
        <w:t>公司承担违约责任并赔偿损失。</w:t>
      </w:r>
    </w:p>
    <w:p w:rsidR="00590572" w:rsidRDefault="00590572" w:rsidP="00590572">
      <w:pPr>
        <w:rPr>
          <w:rFonts w:eastAsia="华文隶书" w:cs="MingLiU_HKSCS"/>
          <w:color w:val="000000"/>
          <w:szCs w:val="21"/>
          <w:lang w:val="zh-CN"/>
        </w:rPr>
      </w:pPr>
      <w:r>
        <w:rPr>
          <w:rFonts w:eastAsia="华文隶书" w:cs="MingLiU_HKSCS" w:hint="eastAsia"/>
          <w:color w:val="000000"/>
          <w:szCs w:val="21"/>
          <w:lang w:val="zh-CN"/>
        </w:rPr>
        <w:t>分析与评述</w:t>
      </w:r>
    </w:p>
    <w:p w:rsidR="00590572" w:rsidRDefault="00590572" w:rsidP="00590572">
      <w:pPr>
        <w:ind w:firstLine="436"/>
        <w:jc w:val="both"/>
        <w:rPr>
          <w:rFonts w:eastAsia="楷体_GB2312" w:cs="楷体_GB2312"/>
          <w:spacing w:val="4"/>
        </w:rPr>
      </w:pPr>
      <w:r>
        <w:rPr>
          <w:rFonts w:eastAsia="楷体_GB2312" w:cs="楷体_GB2312"/>
          <w:spacing w:val="4"/>
        </w:rPr>
        <w:t>B</w:t>
      </w:r>
      <w:r>
        <w:rPr>
          <w:rFonts w:eastAsia="楷体_GB2312" w:cs="楷体_GB2312"/>
          <w:spacing w:val="4"/>
        </w:rPr>
        <w:t>公司未按时支付许可费用构成违约，应支付拖欠的</w:t>
      </w:r>
      <w:r>
        <w:rPr>
          <w:rFonts w:eastAsia="楷体_GB2312" w:cs="楷体_GB2312" w:hint="eastAsia"/>
          <w:spacing w:val="4"/>
        </w:rPr>
        <w:t>许可</w:t>
      </w:r>
      <w:r>
        <w:rPr>
          <w:rFonts w:eastAsia="楷体_GB2312" w:cs="楷体_GB2312"/>
          <w:spacing w:val="4"/>
        </w:rPr>
        <w:t>费用及违约金。</w:t>
      </w:r>
      <w:r>
        <w:rPr>
          <w:rFonts w:eastAsia="楷体_GB2312" w:cs="楷体_GB2312"/>
          <w:spacing w:val="4"/>
        </w:rPr>
        <w:t>A</w:t>
      </w:r>
      <w:r>
        <w:rPr>
          <w:rFonts w:eastAsia="楷体_GB2312" w:cs="楷体_GB2312"/>
          <w:spacing w:val="4"/>
        </w:rPr>
        <w:t>公司未提供充分技术支持构成违约，应承担相应的违约责任</w:t>
      </w:r>
      <w:r>
        <w:rPr>
          <w:rFonts w:eastAsia="楷体_GB2312" w:cs="楷体_GB2312" w:hint="eastAsia"/>
          <w:spacing w:val="4"/>
        </w:rPr>
        <w:t>，</w:t>
      </w:r>
      <w:r>
        <w:rPr>
          <w:rFonts w:eastAsia="楷体_GB2312" w:cs="楷体_GB2312"/>
          <w:spacing w:val="4"/>
        </w:rPr>
        <w:t>赔偿</w:t>
      </w:r>
      <w:r>
        <w:rPr>
          <w:rFonts w:eastAsia="楷体_GB2312" w:cs="楷体_GB2312"/>
          <w:spacing w:val="4"/>
        </w:rPr>
        <w:t>B</w:t>
      </w:r>
      <w:r>
        <w:rPr>
          <w:rFonts w:eastAsia="楷体_GB2312" w:cs="楷体_GB2312"/>
          <w:spacing w:val="4"/>
        </w:rPr>
        <w:t>公司因技术支持不足导致的损失，并继续履行合同中的技术支持义务。合同中应明确双方的权利义务，特别是付款时间、技术支持的具体内容和标准等。双方应全面履行合同义务，任何一方的不履行或不完全履行都可能导致</w:t>
      </w:r>
      <w:r>
        <w:rPr>
          <w:rFonts w:eastAsia="楷体_GB2312" w:cs="楷体_GB2312" w:hint="eastAsia"/>
          <w:spacing w:val="4"/>
        </w:rPr>
        <w:t>违约从而</w:t>
      </w:r>
      <w:r>
        <w:rPr>
          <w:rFonts w:eastAsia="楷体_GB2312" w:cs="楷体_GB2312"/>
          <w:spacing w:val="4"/>
        </w:rPr>
        <w:t>承担</w:t>
      </w:r>
      <w:r>
        <w:rPr>
          <w:rFonts w:eastAsia="楷体_GB2312" w:cs="楷体_GB2312" w:hint="eastAsia"/>
          <w:spacing w:val="4"/>
        </w:rPr>
        <w:t>相应的</w:t>
      </w:r>
      <w:r>
        <w:rPr>
          <w:rFonts w:eastAsia="楷体_GB2312" w:cs="楷体_GB2312"/>
          <w:spacing w:val="4"/>
        </w:rPr>
        <w:t>违约责任。</w:t>
      </w:r>
    </w:p>
    <w:p w:rsidR="00590572" w:rsidRDefault="00590572" w:rsidP="00590572">
      <w:pPr>
        <w:pStyle w:val="af6"/>
        <w:spacing w:before="120"/>
        <w:ind w:firstLine="420"/>
      </w:pPr>
      <w:r>
        <w:rPr>
          <w:rFonts w:hint="eastAsia"/>
        </w:rPr>
        <w:t>【案例9-2-3】</w:t>
      </w:r>
    </w:p>
    <w:p w:rsidR="00590572" w:rsidRDefault="00590572" w:rsidP="00590572">
      <w:pPr>
        <w:ind w:firstLine="436"/>
        <w:jc w:val="both"/>
        <w:rPr>
          <w:rFonts w:eastAsia="楷体_GB2312" w:cs="楷体_GB2312"/>
          <w:spacing w:val="4"/>
        </w:rPr>
      </w:pPr>
      <w:r>
        <w:rPr>
          <w:rFonts w:eastAsia="楷体_GB2312" w:cs="楷体_GB2312"/>
          <w:spacing w:val="4"/>
        </w:rPr>
        <w:t>A</w:t>
      </w:r>
      <w:r>
        <w:rPr>
          <w:rFonts w:eastAsia="楷体_GB2312" w:cs="楷体_GB2312" w:hint="eastAsia"/>
          <w:spacing w:val="4"/>
        </w:rPr>
        <w:t>公司拥有一项发明专利，其与</w:t>
      </w:r>
      <w:r>
        <w:rPr>
          <w:rFonts w:eastAsia="楷体_GB2312" w:cs="楷体_GB2312"/>
          <w:spacing w:val="4"/>
        </w:rPr>
        <w:t>B</w:t>
      </w:r>
      <w:r>
        <w:rPr>
          <w:rFonts w:eastAsia="楷体_GB2312" w:cs="楷体_GB2312" w:hint="eastAsia"/>
          <w:spacing w:val="4"/>
        </w:rPr>
        <w:t>公司签订专利实施许可合同，允许</w:t>
      </w:r>
      <w:r>
        <w:rPr>
          <w:rFonts w:eastAsia="楷体_GB2312" w:cs="楷体_GB2312"/>
          <w:spacing w:val="4"/>
        </w:rPr>
        <w:t>B</w:t>
      </w:r>
      <w:r>
        <w:rPr>
          <w:rFonts w:eastAsia="楷体_GB2312" w:cs="楷体_GB2312" w:hint="eastAsia"/>
          <w:spacing w:val="4"/>
        </w:rPr>
        <w:t>公司在特定范围内使用该技术。合同包含保密条款，要求</w:t>
      </w:r>
      <w:r>
        <w:rPr>
          <w:rFonts w:eastAsia="楷体_GB2312" w:cs="楷体_GB2312"/>
          <w:spacing w:val="4"/>
        </w:rPr>
        <w:t>B</w:t>
      </w:r>
      <w:r>
        <w:rPr>
          <w:rFonts w:eastAsia="楷体_GB2312" w:cs="楷体_GB2312" w:hint="eastAsia"/>
          <w:spacing w:val="4"/>
        </w:rPr>
        <w:t>公司对技术信息保密，不得泄露或用于其他用途。</w:t>
      </w:r>
      <w:r>
        <w:rPr>
          <w:rFonts w:eastAsia="楷体_GB2312" w:cs="楷体_GB2312"/>
          <w:spacing w:val="4"/>
        </w:rPr>
        <w:t>B</w:t>
      </w:r>
      <w:r>
        <w:rPr>
          <w:rFonts w:eastAsia="楷体_GB2312" w:cs="楷体_GB2312" w:hint="eastAsia"/>
          <w:spacing w:val="4"/>
        </w:rPr>
        <w:t>公司在合同期内将</w:t>
      </w:r>
      <w:r>
        <w:rPr>
          <w:rFonts w:eastAsia="楷体_GB2312" w:cs="楷体_GB2312"/>
          <w:spacing w:val="4"/>
        </w:rPr>
        <w:t>A</w:t>
      </w:r>
      <w:r>
        <w:rPr>
          <w:rFonts w:eastAsia="楷体_GB2312" w:cs="楷体_GB2312" w:hint="eastAsia"/>
          <w:spacing w:val="4"/>
        </w:rPr>
        <w:t>公司的专利技术泄露给第三方</w:t>
      </w:r>
      <w:r>
        <w:rPr>
          <w:rFonts w:eastAsia="楷体_GB2312" w:cs="楷体_GB2312"/>
          <w:spacing w:val="4"/>
        </w:rPr>
        <w:t>C</w:t>
      </w:r>
      <w:r>
        <w:rPr>
          <w:rFonts w:eastAsia="楷体_GB2312" w:cs="楷体_GB2312" w:hint="eastAsia"/>
          <w:spacing w:val="4"/>
        </w:rPr>
        <w:t>公司，</w:t>
      </w:r>
      <w:r>
        <w:rPr>
          <w:rFonts w:eastAsia="楷体_GB2312" w:cs="楷体_GB2312"/>
          <w:spacing w:val="4"/>
        </w:rPr>
        <w:t>C</w:t>
      </w:r>
      <w:r>
        <w:rPr>
          <w:rFonts w:eastAsia="楷体_GB2312" w:cs="楷体_GB2312" w:hint="eastAsia"/>
          <w:spacing w:val="4"/>
        </w:rPr>
        <w:t>公司利用该技术生产类似产品，导致</w:t>
      </w:r>
      <w:r>
        <w:rPr>
          <w:rFonts w:eastAsia="楷体_GB2312" w:cs="楷体_GB2312"/>
          <w:spacing w:val="4"/>
        </w:rPr>
        <w:t>A</w:t>
      </w:r>
      <w:r>
        <w:rPr>
          <w:rFonts w:eastAsia="楷体_GB2312" w:cs="楷体_GB2312" w:hint="eastAsia"/>
          <w:spacing w:val="4"/>
        </w:rPr>
        <w:t>公司市场份额下降。</w:t>
      </w:r>
      <w:r>
        <w:rPr>
          <w:rFonts w:eastAsia="楷体_GB2312" w:cs="楷体_GB2312"/>
          <w:spacing w:val="4"/>
        </w:rPr>
        <w:t>A</w:t>
      </w:r>
      <w:r>
        <w:rPr>
          <w:rFonts w:eastAsia="楷体_GB2312" w:cs="楷体_GB2312" w:hint="eastAsia"/>
          <w:spacing w:val="4"/>
        </w:rPr>
        <w:t>公司认为</w:t>
      </w:r>
      <w:r>
        <w:rPr>
          <w:rFonts w:eastAsia="楷体_GB2312" w:cs="楷体_GB2312"/>
          <w:spacing w:val="4"/>
        </w:rPr>
        <w:t>B</w:t>
      </w:r>
      <w:r>
        <w:rPr>
          <w:rFonts w:eastAsia="楷体_GB2312" w:cs="楷体_GB2312" w:hint="eastAsia"/>
          <w:spacing w:val="4"/>
        </w:rPr>
        <w:t>公司违反保密协议，要求赔偿损失并终止合同。</w:t>
      </w:r>
    </w:p>
    <w:p w:rsidR="00590572" w:rsidRDefault="00590572" w:rsidP="00590572">
      <w:pPr>
        <w:rPr>
          <w:rFonts w:eastAsia="华文隶书" w:cs="MingLiU_HKSCS"/>
          <w:color w:val="000000"/>
          <w:szCs w:val="21"/>
          <w:lang w:val="zh-CN"/>
        </w:rPr>
      </w:pPr>
      <w:r>
        <w:rPr>
          <w:rFonts w:eastAsia="华文隶书" w:cs="MingLiU_HKSCS" w:hint="eastAsia"/>
          <w:color w:val="000000"/>
          <w:szCs w:val="21"/>
          <w:lang w:val="zh-CN"/>
        </w:rPr>
        <w:t>分析与评述</w:t>
      </w:r>
    </w:p>
    <w:p w:rsidR="00590572" w:rsidRDefault="00590572" w:rsidP="00590572">
      <w:pPr>
        <w:ind w:firstLine="436"/>
        <w:jc w:val="both"/>
        <w:rPr>
          <w:rFonts w:eastAsia="楷体_GB2312" w:cs="楷体_GB2312"/>
          <w:spacing w:val="4"/>
        </w:rPr>
      </w:pPr>
      <w:r>
        <w:rPr>
          <w:rFonts w:eastAsia="楷体_GB2312" w:cs="楷体_GB2312" w:hint="eastAsia"/>
          <w:spacing w:val="4"/>
        </w:rPr>
        <w:t>合同中的保密条款具有法律约束力，</w:t>
      </w:r>
      <w:r>
        <w:rPr>
          <w:rFonts w:eastAsia="楷体_GB2312" w:cs="楷体_GB2312"/>
          <w:spacing w:val="4"/>
        </w:rPr>
        <w:t>B</w:t>
      </w:r>
      <w:r>
        <w:rPr>
          <w:rFonts w:eastAsia="楷体_GB2312" w:cs="楷体_GB2312" w:hint="eastAsia"/>
          <w:spacing w:val="4"/>
        </w:rPr>
        <w:t>公司有义务保护</w:t>
      </w:r>
      <w:r>
        <w:rPr>
          <w:rFonts w:eastAsia="楷体_GB2312" w:cs="楷体_GB2312"/>
          <w:spacing w:val="4"/>
        </w:rPr>
        <w:t>A</w:t>
      </w:r>
      <w:r>
        <w:rPr>
          <w:rFonts w:eastAsia="楷体_GB2312" w:cs="楷体_GB2312" w:hint="eastAsia"/>
          <w:spacing w:val="4"/>
        </w:rPr>
        <w:t>公司的技术信息，</w:t>
      </w:r>
      <w:r>
        <w:rPr>
          <w:rFonts w:eastAsia="楷体_GB2312" w:cs="楷体_GB2312"/>
          <w:spacing w:val="4"/>
        </w:rPr>
        <w:t>B</w:t>
      </w:r>
      <w:r>
        <w:rPr>
          <w:rFonts w:eastAsia="楷体_GB2312" w:cs="楷体_GB2312" w:hint="eastAsia"/>
          <w:spacing w:val="4"/>
        </w:rPr>
        <w:t>公司的泄露行为构成违约，需承担违约责任，包括停止违约行为、赔偿损失等。</w:t>
      </w:r>
      <w:r>
        <w:rPr>
          <w:rFonts w:eastAsia="楷体_GB2312" w:cs="楷体_GB2312"/>
          <w:spacing w:val="4"/>
        </w:rPr>
        <w:t>A</w:t>
      </w:r>
      <w:r>
        <w:rPr>
          <w:rFonts w:eastAsia="楷体_GB2312" w:cs="楷体_GB2312" w:hint="eastAsia"/>
          <w:spacing w:val="4"/>
        </w:rPr>
        <w:t>公司有权终止与</w:t>
      </w:r>
      <w:r>
        <w:rPr>
          <w:rFonts w:eastAsia="楷体_GB2312" w:cs="楷体_GB2312"/>
          <w:spacing w:val="4"/>
        </w:rPr>
        <w:t>B</w:t>
      </w:r>
      <w:r>
        <w:rPr>
          <w:rFonts w:eastAsia="楷体_GB2312" w:cs="楷体_GB2312" w:hint="eastAsia"/>
          <w:spacing w:val="4"/>
        </w:rPr>
        <w:t>公司的专利实施许可合同。</w:t>
      </w:r>
      <w:r>
        <w:rPr>
          <w:rFonts w:eastAsia="楷体_GB2312" w:cs="楷体_GB2312"/>
          <w:spacing w:val="4"/>
        </w:rPr>
        <w:t>B</w:t>
      </w:r>
      <w:r>
        <w:rPr>
          <w:rFonts w:eastAsia="楷体_GB2312" w:cs="楷体_GB2312" w:hint="eastAsia"/>
          <w:spacing w:val="4"/>
        </w:rPr>
        <w:t>公司需赔偿</w:t>
      </w:r>
      <w:r>
        <w:rPr>
          <w:rFonts w:eastAsia="楷体_GB2312" w:cs="楷体_GB2312"/>
          <w:spacing w:val="4"/>
        </w:rPr>
        <w:t>A</w:t>
      </w:r>
      <w:r>
        <w:rPr>
          <w:rFonts w:eastAsia="楷体_GB2312" w:cs="楷体_GB2312" w:hint="eastAsia"/>
          <w:spacing w:val="4"/>
        </w:rPr>
        <w:t>公司因泄露导致的经济损失，赔偿金额通常基于实际损失或</w:t>
      </w:r>
      <w:r>
        <w:rPr>
          <w:rFonts w:eastAsia="楷体_GB2312" w:cs="楷体_GB2312"/>
          <w:spacing w:val="4"/>
        </w:rPr>
        <w:t>B</w:t>
      </w:r>
      <w:r>
        <w:rPr>
          <w:rFonts w:eastAsia="楷体_GB2312" w:cs="楷体_GB2312" w:hint="eastAsia"/>
          <w:spacing w:val="4"/>
        </w:rPr>
        <w:t>公司因泄露获得的利益，具体金额根据</w:t>
      </w:r>
      <w:r>
        <w:rPr>
          <w:rFonts w:eastAsia="楷体_GB2312" w:cs="楷体_GB2312"/>
          <w:spacing w:val="4"/>
        </w:rPr>
        <w:t>A</w:t>
      </w:r>
      <w:r>
        <w:rPr>
          <w:rFonts w:eastAsia="楷体_GB2312" w:cs="楷体_GB2312" w:hint="eastAsia"/>
          <w:spacing w:val="4"/>
        </w:rPr>
        <w:t>公司提供的证据确定。</w:t>
      </w:r>
      <w:r>
        <w:rPr>
          <w:rFonts w:eastAsia="楷体_GB2312" w:cs="楷体_GB2312"/>
          <w:spacing w:val="4"/>
        </w:rPr>
        <w:t>B</w:t>
      </w:r>
      <w:r>
        <w:rPr>
          <w:rFonts w:eastAsia="楷体_GB2312" w:cs="楷体_GB2312" w:hint="eastAsia"/>
          <w:spacing w:val="4"/>
        </w:rPr>
        <w:t>公司及其关联方不得继续使用</w:t>
      </w:r>
      <w:r>
        <w:rPr>
          <w:rFonts w:eastAsia="楷体_GB2312" w:cs="楷体_GB2312"/>
          <w:spacing w:val="4"/>
        </w:rPr>
        <w:t>A</w:t>
      </w:r>
      <w:r>
        <w:rPr>
          <w:rFonts w:eastAsia="楷体_GB2312" w:cs="楷体_GB2312" w:hint="eastAsia"/>
          <w:spacing w:val="4"/>
        </w:rPr>
        <w:t>公司的专利技术。保密条款在专利实施许可合同中至关重要，能有效保护技术信息。违反保密协议将承担法律责任，合同双方应严格遵守保密义务，避免纠纷。</w:t>
      </w:r>
    </w:p>
    <w:p w:rsidR="00590572" w:rsidRDefault="00590572" w:rsidP="00590572">
      <w:pPr>
        <w:pStyle w:val="af6"/>
        <w:spacing w:before="120"/>
        <w:ind w:firstLine="420"/>
      </w:pPr>
      <w:r>
        <w:rPr>
          <w:rFonts w:hint="eastAsia"/>
        </w:rPr>
        <w:t>【案例9</w:t>
      </w:r>
      <w:r>
        <w:t>-2</w:t>
      </w:r>
      <w:r>
        <w:rPr>
          <w:rFonts w:hint="eastAsia"/>
        </w:rPr>
        <w:t>-4】</w:t>
      </w:r>
    </w:p>
    <w:p w:rsidR="00590572" w:rsidRDefault="00590572" w:rsidP="00590572">
      <w:pPr>
        <w:ind w:firstLine="436"/>
        <w:jc w:val="both"/>
        <w:rPr>
          <w:rFonts w:eastAsia="楷体_GB2312" w:cs="楷体_GB2312"/>
          <w:spacing w:val="4"/>
        </w:rPr>
      </w:pPr>
      <w:r>
        <w:rPr>
          <w:rFonts w:eastAsia="楷体_GB2312" w:cs="楷体_GB2312"/>
          <w:spacing w:val="4"/>
        </w:rPr>
        <w:t>A</w:t>
      </w:r>
      <w:r>
        <w:rPr>
          <w:rFonts w:eastAsia="楷体_GB2312" w:cs="楷体_GB2312"/>
          <w:spacing w:val="4"/>
        </w:rPr>
        <w:t>公司拥有</w:t>
      </w:r>
      <w:r>
        <w:rPr>
          <w:rFonts w:eastAsia="楷体_GB2312" w:cs="楷体_GB2312" w:hint="eastAsia"/>
          <w:spacing w:val="4"/>
        </w:rPr>
        <w:t>一</w:t>
      </w:r>
      <w:r>
        <w:rPr>
          <w:rFonts w:eastAsia="楷体_GB2312" w:cs="楷体_GB2312"/>
          <w:spacing w:val="4"/>
        </w:rPr>
        <w:t>项</w:t>
      </w:r>
      <w:r>
        <w:rPr>
          <w:rFonts w:eastAsia="楷体_GB2312" w:cs="楷体_GB2312" w:hint="eastAsia"/>
          <w:spacing w:val="4"/>
        </w:rPr>
        <w:t>发明</w:t>
      </w:r>
      <w:r>
        <w:rPr>
          <w:rFonts w:eastAsia="楷体_GB2312" w:cs="楷体_GB2312"/>
          <w:spacing w:val="4"/>
        </w:rPr>
        <w:t>专利，</w:t>
      </w:r>
      <w:r>
        <w:rPr>
          <w:rFonts w:eastAsia="楷体_GB2312" w:cs="楷体_GB2312" w:hint="eastAsia"/>
          <w:spacing w:val="4"/>
        </w:rPr>
        <w:t>其</w:t>
      </w:r>
      <w:r>
        <w:rPr>
          <w:rFonts w:eastAsia="楷体_GB2312" w:cs="楷体_GB2312"/>
          <w:spacing w:val="4"/>
        </w:rPr>
        <w:t>与</w:t>
      </w:r>
      <w:r>
        <w:rPr>
          <w:rFonts w:eastAsia="楷体_GB2312" w:cs="楷体_GB2312"/>
          <w:spacing w:val="4"/>
        </w:rPr>
        <w:t>B</w:t>
      </w:r>
      <w:r>
        <w:rPr>
          <w:rFonts w:eastAsia="楷体_GB2312" w:cs="楷体_GB2312"/>
          <w:spacing w:val="4"/>
        </w:rPr>
        <w:t>公司签订</w:t>
      </w:r>
      <w:r>
        <w:rPr>
          <w:rFonts w:eastAsia="楷体_GB2312" w:cs="楷体_GB2312" w:hint="eastAsia"/>
          <w:spacing w:val="4"/>
        </w:rPr>
        <w:t>了</w:t>
      </w:r>
      <w:r>
        <w:rPr>
          <w:rFonts w:eastAsia="楷体_GB2312" w:cs="楷体_GB2312"/>
          <w:spacing w:val="4"/>
        </w:rPr>
        <w:t>专利实施许可合同，允许</w:t>
      </w:r>
      <w:r>
        <w:rPr>
          <w:rFonts w:eastAsia="楷体_GB2312" w:cs="楷体_GB2312"/>
          <w:spacing w:val="4"/>
        </w:rPr>
        <w:t>B</w:t>
      </w:r>
      <w:r>
        <w:rPr>
          <w:rFonts w:eastAsia="楷体_GB2312" w:cs="楷体_GB2312"/>
          <w:spacing w:val="4"/>
        </w:rPr>
        <w:t>公司在特定范围内使用该技术。合同明确规定，</w:t>
      </w:r>
      <w:r>
        <w:rPr>
          <w:rFonts w:eastAsia="楷体_GB2312" w:cs="楷体_GB2312"/>
          <w:spacing w:val="4"/>
        </w:rPr>
        <w:t>B</w:t>
      </w:r>
      <w:r>
        <w:rPr>
          <w:rFonts w:eastAsia="楷体_GB2312" w:cs="楷体_GB2312"/>
          <w:spacing w:val="4"/>
        </w:rPr>
        <w:t>公司不得将专利技术许可给第三方使用。然而，</w:t>
      </w:r>
      <w:r>
        <w:rPr>
          <w:rFonts w:eastAsia="楷体_GB2312" w:cs="楷体_GB2312"/>
          <w:spacing w:val="4"/>
        </w:rPr>
        <w:t>B</w:t>
      </w:r>
      <w:r>
        <w:rPr>
          <w:rFonts w:eastAsia="楷体_GB2312" w:cs="楷体_GB2312"/>
          <w:spacing w:val="4"/>
        </w:rPr>
        <w:t>公司在未获得</w:t>
      </w:r>
      <w:r>
        <w:rPr>
          <w:rFonts w:eastAsia="楷体_GB2312" w:cs="楷体_GB2312"/>
          <w:spacing w:val="4"/>
        </w:rPr>
        <w:t>A</w:t>
      </w:r>
      <w:r>
        <w:rPr>
          <w:rFonts w:eastAsia="楷体_GB2312" w:cs="楷体_GB2312"/>
          <w:spacing w:val="4"/>
        </w:rPr>
        <w:t>公司同意的情况下，擅自与</w:t>
      </w:r>
      <w:r>
        <w:rPr>
          <w:rFonts w:eastAsia="楷体_GB2312" w:cs="楷体_GB2312"/>
          <w:spacing w:val="4"/>
        </w:rPr>
        <w:t>C</w:t>
      </w:r>
      <w:r>
        <w:rPr>
          <w:rFonts w:eastAsia="楷体_GB2312" w:cs="楷体_GB2312"/>
          <w:spacing w:val="4"/>
        </w:rPr>
        <w:t>公司签订分许可协议，将专利技术许可给第三方</w:t>
      </w:r>
      <w:r>
        <w:rPr>
          <w:rFonts w:eastAsia="楷体_GB2312" w:cs="楷体_GB2312"/>
          <w:spacing w:val="4"/>
        </w:rPr>
        <w:t>C</w:t>
      </w:r>
      <w:r>
        <w:rPr>
          <w:rFonts w:eastAsia="楷体_GB2312" w:cs="楷体_GB2312"/>
          <w:spacing w:val="4"/>
        </w:rPr>
        <w:t>公司</w:t>
      </w:r>
      <w:r>
        <w:rPr>
          <w:rFonts w:eastAsia="楷体_GB2312" w:cs="楷体_GB2312" w:hint="eastAsia"/>
          <w:spacing w:val="4"/>
        </w:rPr>
        <w:t>。</w:t>
      </w:r>
      <w:r>
        <w:rPr>
          <w:rFonts w:eastAsia="楷体_GB2312" w:cs="楷体_GB2312"/>
          <w:spacing w:val="4"/>
        </w:rPr>
        <w:t>A</w:t>
      </w:r>
      <w:r>
        <w:rPr>
          <w:rFonts w:eastAsia="楷体_GB2312" w:cs="楷体_GB2312"/>
          <w:spacing w:val="4"/>
        </w:rPr>
        <w:t>公司发现后，认为</w:t>
      </w:r>
      <w:r>
        <w:rPr>
          <w:rFonts w:eastAsia="楷体_GB2312" w:cs="楷体_GB2312"/>
          <w:spacing w:val="4"/>
        </w:rPr>
        <w:t>B</w:t>
      </w:r>
      <w:r>
        <w:rPr>
          <w:rFonts w:eastAsia="楷体_GB2312" w:cs="楷体_GB2312"/>
          <w:spacing w:val="4"/>
        </w:rPr>
        <w:t>公司严重违反合同约定，要求终止合同并赔偿损失。</w:t>
      </w:r>
      <w:r>
        <w:rPr>
          <w:rFonts w:eastAsia="楷体_GB2312" w:cs="楷体_GB2312"/>
          <w:spacing w:val="4"/>
        </w:rPr>
        <w:t>B</w:t>
      </w:r>
      <w:r>
        <w:rPr>
          <w:rFonts w:eastAsia="楷体_GB2312" w:cs="楷体_GB2312"/>
          <w:spacing w:val="4"/>
        </w:rPr>
        <w:t>公司则</w:t>
      </w:r>
      <w:r>
        <w:rPr>
          <w:rFonts w:eastAsia="楷体_GB2312" w:cs="楷体_GB2312"/>
        </w:rPr>
        <w:t>辩称其行为未对</w:t>
      </w:r>
      <w:r>
        <w:rPr>
          <w:rFonts w:eastAsia="楷体_GB2312" w:cs="楷体_GB2312"/>
        </w:rPr>
        <w:t>A</w:t>
      </w:r>
      <w:r>
        <w:rPr>
          <w:rFonts w:eastAsia="楷体_GB2312" w:cs="楷体_GB2312"/>
        </w:rPr>
        <w:t>公司造成实际损害，且</w:t>
      </w:r>
      <w:r>
        <w:rPr>
          <w:rFonts w:eastAsia="楷体_GB2312" w:cs="楷体_GB2312"/>
        </w:rPr>
        <w:t>C</w:t>
      </w:r>
      <w:r>
        <w:rPr>
          <w:rFonts w:eastAsia="楷体_GB2312" w:cs="楷体_GB2312"/>
        </w:rPr>
        <w:t>公司的使用范围未超出原合同约定的地域和领域。</w:t>
      </w:r>
    </w:p>
    <w:p w:rsidR="00590572" w:rsidRDefault="00590572" w:rsidP="00590572">
      <w:pPr>
        <w:rPr>
          <w:rFonts w:eastAsia="华文隶书" w:cs="MingLiU_HKSCS"/>
          <w:color w:val="000000"/>
          <w:szCs w:val="21"/>
          <w:lang w:val="zh-CN"/>
        </w:rPr>
      </w:pPr>
      <w:r>
        <w:rPr>
          <w:rFonts w:eastAsia="华文隶书" w:cs="MingLiU_HKSCS" w:hint="eastAsia"/>
          <w:color w:val="000000"/>
          <w:szCs w:val="21"/>
          <w:lang w:val="zh-CN"/>
        </w:rPr>
        <w:t>分析与评述</w:t>
      </w:r>
    </w:p>
    <w:p w:rsidR="00590572" w:rsidRDefault="00590572" w:rsidP="00590572">
      <w:pPr>
        <w:ind w:firstLine="436"/>
        <w:jc w:val="both"/>
        <w:rPr>
          <w:rFonts w:eastAsia="楷体_GB2312" w:cs="楷体_GB2312"/>
          <w:spacing w:val="4"/>
        </w:rPr>
      </w:pPr>
      <w:r>
        <w:rPr>
          <w:rFonts w:eastAsia="楷体_GB2312" w:cs="楷体_GB2312"/>
          <w:spacing w:val="4"/>
        </w:rPr>
        <w:t>合同中明确禁止</w:t>
      </w:r>
      <w:r>
        <w:rPr>
          <w:rFonts w:eastAsia="楷体_GB2312" w:cs="楷体_GB2312"/>
          <w:spacing w:val="4"/>
        </w:rPr>
        <w:t>B</w:t>
      </w:r>
      <w:r>
        <w:rPr>
          <w:rFonts w:eastAsia="楷体_GB2312" w:cs="楷体_GB2312"/>
          <w:spacing w:val="4"/>
        </w:rPr>
        <w:t>公司许可第三方使用专利技术，</w:t>
      </w:r>
      <w:r>
        <w:rPr>
          <w:rFonts w:eastAsia="楷体_GB2312" w:cs="楷体_GB2312"/>
          <w:spacing w:val="4"/>
        </w:rPr>
        <w:t>B</w:t>
      </w:r>
      <w:r>
        <w:rPr>
          <w:rFonts w:eastAsia="楷体_GB2312" w:cs="楷体_GB2312"/>
          <w:spacing w:val="4"/>
        </w:rPr>
        <w:t>公司的行为构成违约，</w:t>
      </w:r>
      <w:r>
        <w:rPr>
          <w:rFonts w:eastAsia="楷体_GB2312" w:cs="楷体_GB2312"/>
          <w:spacing w:val="4"/>
        </w:rPr>
        <w:t>A</w:t>
      </w:r>
      <w:r>
        <w:rPr>
          <w:rFonts w:eastAsia="楷体_GB2312" w:cs="楷体_GB2312"/>
          <w:spacing w:val="4"/>
        </w:rPr>
        <w:t>公司有权终止与</w:t>
      </w:r>
      <w:r>
        <w:rPr>
          <w:rFonts w:eastAsia="楷体_GB2312" w:cs="楷体_GB2312"/>
          <w:spacing w:val="4"/>
        </w:rPr>
        <w:t>B</w:t>
      </w:r>
      <w:r>
        <w:rPr>
          <w:rFonts w:eastAsia="楷体_GB2312" w:cs="楷体_GB2312"/>
          <w:spacing w:val="4"/>
        </w:rPr>
        <w:t>公司的专利实施许可合同。</w:t>
      </w:r>
      <w:r>
        <w:rPr>
          <w:rFonts w:eastAsia="楷体_GB2312" w:cs="楷体_GB2312"/>
          <w:spacing w:val="4"/>
        </w:rPr>
        <w:t>B</w:t>
      </w:r>
      <w:r>
        <w:rPr>
          <w:rFonts w:eastAsia="楷体_GB2312" w:cs="楷体_GB2312"/>
          <w:spacing w:val="4"/>
        </w:rPr>
        <w:t>公司及其许可的第三方</w:t>
      </w:r>
      <w:r>
        <w:rPr>
          <w:rFonts w:eastAsia="楷体_GB2312" w:cs="楷体_GB2312"/>
          <w:spacing w:val="4"/>
        </w:rPr>
        <w:t>C</w:t>
      </w:r>
      <w:r>
        <w:rPr>
          <w:rFonts w:eastAsia="楷体_GB2312" w:cs="楷体_GB2312"/>
          <w:spacing w:val="4"/>
        </w:rPr>
        <w:t>公司需立即停止使用</w:t>
      </w:r>
      <w:r>
        <w:rPr>
          <w:rFonts w:eastAsia="楷体_GB2312" w:cs="楷体_GB2312"/>
          <w:spacing w:val="4"/>
        </w:rPr>
        <w:t>A</w:t>
      </w:r>
      <w:r>
        <w:rPr>
          <w:rFonts w:eastAsia="楷体_GB2312" w:cs="楷体_GB2312"/>
          <w:spacing w:val="4"/>
        </w:rPr>
        <w:t>公司的专利技术。</w:t>
      </w:r>
      <w:r>
        <w:rPr>
          <w:rFonts w:eastAsia="楷体_GB2312" w:cs="楷体_GB2312"/>
          <w:spacing w:val="4"/>
        </w:rPr>
        <w:t>B</w:t>
      </w:r>
      <w:r>
        <w:rPr>
          <w:rFonts w:eastAsia="楷体_GB2312" w:cs="楷体_GB2312"/>
          <w:spacing w:val="4"/>
        </w:rPr>
        <w:t>公司需赔偿</w:t>
      </w:r>
      <w:r>
        <w:rPr>
          <w:rFonts w:eastAsia="楷体_GB2312" w:cs="楷体_GB2312"/>
          <w:spacing w:val="4"/>
        </w:rPr>
        <w:t>A</w:t>
      </w:r>
      <w:r>
        <w:rPr>
          <w:rFonts w:eastAsia="楷体_GB2312" w:cs="楷体_GB2312"/>
          <w:spacing w:val="4"/>
        </w:rPr>
        <w:t>公司因违约导致的经济损失，具体金额根据</w:t>
      </w:r>
      <w:r>
        <w:rPr>
          <w:rFonts w:eastAsia="楷体_GB2312" w:cs="楷体_GB2312"/>
          <w:spacing w:val="4"/>
        </w:rPr>
        <w:t>A</w:t>
      </w:r>
      <w:r>
        <w:rPr>
          <w:rFonts w:eastAsia="楷体_GB2312" w:cs="楷体_GB2312"/>
          <w:spacing w:val="4"/>
        </w:rPr>
        <w:t>公司提供的证据确定。</w:t>
      </w:r>
      <w:r>
        <w:rPr>
          <w:rFonts w:eastAsia="楷体_GB2312" w:cs="楷体_GB2312"/>
          <w:spacing w:val="4"/>
        </w:rPr>
        <w:t>A</w:t>
      </w:r>
      <w:r>
        <w:rPr>
          <w:rFonts w:eastAsia="楷体_GB2312" w:cs="楷体_GB2312"/>
          <w:spacing w:val="4"/>
        </w:rPr>
        <w:t>公司可要求</w:t>
      </w:r>
      <w:r>
        <w:rPr>
          <w:rFonts w:eastAsia="楷体_GB2312" w:cs="楷体_GB2312"/>
          <w:spacing w:val="4"/>
        </w:rPr>
        <w:t>B</w:t>
      </w:r>
      <w:r>
        <w:rPr>
          <w:rFonts w:eastAsia="楷体_GB2312" w:cs="楷体_GB2312"/>
          <w:spacing w:val="4"/>
        </w:rPr>
        <w:t>公司赔偿因擅自许可第三方导致的经济损失，包括市场份额减少、利润损失等。若</w:t>
      </w:r>
      <w:r>
        <w:rPr>
          <w:rFonts w:eastAsia="楷体_GB2312" w:cs="楷体_GB2312"/>
          <w:spacing w:val="4"/>
        </w:rPr>
        <w:t>C</w:t>
      </w:r>
      <w:r>
        <w:rPr>
          <w:rFonts w:eastAsia="楷体_GB2312" w:cs="楷体_GB2312"/>
          <w:spacing w:val="4"/>
        </w:rPr>
        <w:t>公司使用技术对</w:t>
      </w:r>
      <w:r>
        <w:rPr>
          <w:rFonts w:eastAsia="楷体_GB2312" w:cs="楷体_GB2312"/>
          <w:spacing w:val="4"/>
        </w:rPr>
        <w:t>A</w:t>
      </w:r>
      <w:r>
        <w:rPr>
          <w:rFonts w:eastAsia="楷体_GB2312" w:cs="楷体_GB2312"/>
          <w:spacing w:val="4"/>
        </w:rPr>
        <w:t>公司造成其他损害（如专利价值贬损），</w:t>
      </w:r>
      <w:r>
        <w:rPr>
          <w:rFonts w:eastAsia="楷体_GB2312" w:cs="楷体_GB2312"/>
          <w:spacing w:val="4"/>
        </w:rPr>
        <w:t>A</w:t>
      </w:r>
      <w:r>
        <w:rPr>
          <w:rFonts w:eastAsia="楷体_GB2312" w:cs="楷体_GB2312"/>
          <w:spacing w:val="4"/>
        </w:rPr>
        <w:t>公司也可主张相应赔偿。若合同中有违约金条款，</w:t>
      </w:r>
      <w:r>
        <w:rPr>
          <w:rFonts w:eastAsia="楷体_GB2312" w:cs="楷体_GB2312"/>
          <w:spacing w:val="4"/>
        </w:rPr>
        <w:t>A</w:t>
      </w:r>
      <w:r>
        <w:rPr>
          <w:rFonts w:eastAsia="楷体_GB2312" w:cs="楷体_GB2312"/>
          <w:spacing w:val="4"/>
        </w:rPr>
        <w:t>公司</w:t>
      </w:r>
      <w:r>
        <w:rPr>
          <w:rFonts w:eastAsia="楷体_GB2312" w:cs="楷体_GB2312" w:hint="eastAsia"/>
          <w:spacing w:val="4"/>
        </w:rPr>
        <w:t>也可选择让</w:t>
      </w:r>
      <w:r>
        <w:rPr>
          <w:rFonts w:eastAsia="楷体_GB2312" w:cs="楷体_GB2312"/>
          <w:spacing w:val="4"/>
        </w:rPr>
        <w:t>B</w:t>
      </w:r>
      <w:r>
        <w:rPr>
          <w:rFonts w:eastAsia="楷体_GB2312" w:cs="楷体_GB2312"/>
          <w:spacing w:val="4"/>
        </w:rPr>
        <w:t>公司通过支付相应违约金</w:t>
      </w:r>
      <w:r>
        <w:rPr>
          <w:rFonts w:eastAsia="楷体_GB2312" w:cs="楷体_GB2312" w:hint="eastAsia"/>
          <w:spacing w:val="4"/>
        </w:rPr>
        <w:t>予以赔偿</w:t>
      </w:r>
      <w:r>
        <w:rPr>
          <w:rFonts w:eastAsia="楷体_GB2312" w:cs="楷体_GB2312"/>
          <w:spacing w:val="4"/>
        </w:rPr>
        <w:t>。被许可方应严格遵守合同条款，未经许可方同意，不得擅自许可第三方使用专利技术。若许可方允许被许可方进行分许可，应在合同中明确约定分许可的范围、条件及收益分配方式。被许可方擅自许可第三方使用专利技术将构成严重违约，可能导致合同终止、赔偿损失等法律后果。合同双方应严格遵守合同约定，明确权利义务</w:t>
      </w:r>
      <w:r>
        <w:rPr>
          <w:rFonts w:eastAsia="楷体_GB2312" w:cs="楷体_GB2312" w:hint="eastAsia"/>
          <w:spacing w:val="4"/>
        </w:rPr>
        <w:t>。</w:t>
      </w:r>
    </w:p>
    <w:p w:rsidR="00590572" w:rsidRDefault="00590572" w:rsidP="00590572">
      <w:pPr>
        <w:ind w:firstLine="436"/>
        <w:jc w:val="both"/>
        <w:rPr>
          <w:rFonts w:eastAsia="楷体" w:cs="楷体"/>
          <w:spacing w:val="4"/>
        </w:rPr>
      </w:pPr>
      <w:r>
        <w:rPr>
          <w:rFonts w:eastAsia="楷体_GB2312" w:cs="楷体_GB2312"/>
          <w:spacing w:val="4"/>
        </w:rPr>
        <w:t>如果合同中未明确禁止被许可人许可第三方使用专利技术，也未明确授予被许可人分许可的权利，则需要根据合同的其他条款</w:t>
      </w:r>
      <w:r>
        <w:rPr>
          <w:rFonts w:eastAsia="楷体_GB2312" w:cs="楷体_GB2312" w:hint="eastAsia"/>
          <w:spacing w:val="4"/>
        </w:rPr>
        <w:t>和</w:t>
      </w:r>
      <w:r>
        <w:rPr>
          <w:rFonts w:eastAsia="楷体_GB2312" w:cs="楷体_GB2312"/>
          <w:spacing w:val="4"/>
        </w:rPr>
        <w:t>交易习惯进行解释。若合同明确授予被许可人</w:t>
      </w:r>
      <w:r>
        <w:rPr>
          <w:rFonts w:eastAsia="楷体_GB2312" w:cs="楷体_GB2312"/>
          <w:spacing w:val="4"/>
        </w:rPr>
        <w:t>“</w:t>
      </w:r>
      <w:r>
        <w:rPr>
          <w:rFonts w:eastAsia="楷体_GB2312" w:cs="楷体_GB2312"/>
          <w:spacing w:val="4"/>
        </w:rPr>
        <w:t>独占许可</w:t>
      </w:r>
      <w:r>
        <w:rPr>
          <w:rFonts w:eastAsia="楷体_GB2312" w:cs="楷体_GB2312"/>
          <w:spacing w:val="4"/>
        </w:rPr>
        <w:t>”</w:t>
      </w:r>
      <w:r>
        <w:rPr>
          <w:rFonts w:eastAsia="楷体_GB2312" w:cs="楷体_GB2312"/>
          <w:spacing w:val="4"/>
        </w:rPr>
        <w:t>或</w:t>
      </w:r>
      <w:r>
        <w:rPr>
          <w:rFonts w:eastAsia="楷体_GB2312" w:cs="楷体_GB2312"/>
          <w:spacing w:val="4"/>
        </w:rPr>
        <w:t>“</w:t>
      </w:r>
      <w:r>
        <w:rPr>
          <w:rFonts w:eastAsia="楷体_GB2312" w:cs="楷体_GB2312"/>
          <w:spacing w:val="4"/>
        </w:rPr>
        <w:t>排他许可</w:t>
      </w:r>
      <w:r>
        <w:rPr>
          <w:rFonts w:eastAsia="楷体_GB2312" w:cs="楷体_GB2312"/>
          <w:spacing w:val="4"/>
        </w:rPr>
        <w:t>”</w:t>
      </w:r>
      <w:r>
        <w:rPr>
          <w:rFonts w:eastAsia="楷体_GB2312" w:cs="楷体_GB2312"/>
          <w:spacing w:val="4"/>
        </w:rPr>
        <w:t>，通常意味着被许可人有权禁止包括许可方在内的其他主体使用该专利技术，但并不意味着被许可人自动获得分许可的权利。若合同明确授予被许可人</w:t>
      </w:r>
      <w:r>
        <w:rPr>
          <w:rFonts w:eastAsia="楷体_GB2312" w:cs="楷体_GB2312"/>
          <w:spacing w:val="4"/>
        </w:rPr>
        <w:t>“</w:t>
      </w:r>
      <w:r>
        <w:rPr>
          <w:rFonts w:eastAsia="楷体_GB2312" w:cs="楷体_GB2312"/>
          <w:spacing w:val="4"/>
        </w:rPr>
        <w:t>普通许可</w:t>
      </w:r>
      <w:r>
        <w:rPr>
          <w:rFonts w:eastAsia="楷体_GB2312" w:cs="楷体_GB2312"/>
          <w:spacing w:val="4"/>
        </w:rPr>
        <w:t>”</w:t>
      </w:r>
      <w:r>
        <w:rPr>
          <w:rFonts w:eastAsia="楷体_GB2312" w:cs="楷体_GB2312"/>
          <w:spacing w:val="4"/>
        </w:rPr>
        <w:t>，则被许可人通常无权许可第三方使用该技术，除非合同中另有约定</w:t>
      </w:r>
      <w:r>
        <w:rPr>
          <w:rFonts w:eastAsia="楷体_GB2312" w:cs="楷体_GB2312" w:hint="eastAsia"/>
          <w:spacing w:val="4"/>
        </w:rPr>
        <w:t>，或</w:t>
      </w:r>
      <w:r>
        <w:rPr>
          <w:rFonts w:eastAsia="楷体_GB2312" w:cs="楷体_GB2312"/>
          <w:spacing w:val="4"/>
        </w:rPr>
        <w:t>有证据证明许可方默许或认可该行为。</w:t>
      </w:r>
    </w:p>
    <w:p w:rsidR="00590572" w:rsidRDefault="00590572" w:rsidP="00590572">
      <w:pPr>
        <w:pStyle w:val="af6"/>
        <w:spacing w:before="120"/>
        <w:ind w:firstLine="420"/>
      </w:pPr>
      <w:r>
        <w:rPr>
          <w:rFonts w:hint="eastAsia"/>
        </w:rPr>
        <w:t>【案例9</w:t>
      </w:r>
      <w:r>
        <w:t>-2</w:t>
      </w:r>
      <w:r>
        <w:rPr>
          <w:rFonts w:hint="eastAsia"/>
        </w:rPr>
        <w:t>-5】</w:t>
      </w:r>
    </w:p>
    <w:p w:rsidR="00590572" w:rsidRDefault="00590572" w:rsidP="00590572">
      <w:pPr>
        <w:ind w:firstLine="436"/>
        <w:jc w:val="both"/>
        <w:rPr>
          <w:rFonts w:eastAsia="楷体_GB2312" w:cs="楷体_GB2312"/>
          <w:spacing w:val="4"/>
        </w:rPr>
      </w:pPr>
      <w:r>
        <w:rPr>
          <w:rFonts w:eastAsia="楷体_GB2312" w:cs="楷体_GB2312"/>
          <w:spacing w:val="4"/>
        </w:rPr>
        <w:t>A</w:t>
      </w:r>
      <w:r>
        <w:rPr>
          <w:rFonts w:eastAsia="楷体_GB2312" w:cs="楷体_GB2312"/>
          <w:spacing w:val="4"/>
        </w:rPr>
        <w:t>公司</w:t>
      </w:r>
      <w:r>
        <w:rPr>
          <w:rFonts w:eastAsia="楷体_GB2312" w:cs="楷体_GB2312" w:hint="eastAsia"/>
          <w:spacing w:val="4"/>
        </w:rPr>
        <w:t>拥有一项专利技术，其</w:t>
      </w:r>
      <w:r>
        <w:rPr>
          <w:rFonts w:eastAsia="楷体_GB2312" w:cs="楷体_GB2312"/>
          <w:spacing w:val="4"/>
        </w:rPr>
        <w:t>与</w:t>
      </w:r>
      <w:r>
        <w:rPr>
          <w:rFonts w:eastAsia="楷体_GB2312" w:cs="楷体_GB2312"/>
          <w:spacing w:val="4"/>
        </w:rPr>
        <w:t>B</w:t>
      </w:r>
      <w:r>
        <w:rPr>
          <w:rFonts w:eastAsia="楷体_GB2312" w:cs="楷体_GB2312"/>
          <w:spacing w:val="4"/>
        </w:rPr>
        <w:t>公司签订</w:t>
      </w:r>
      <w:r>
        <w:rPr>
          <w:rFonts w:eastAsia="楷体_GB2312" w:cs="楷体_GB2312" w:hint="eastAsia"/>
          <w:spacing w:val="4"/>
        </w:rPr>
        <w:t>了</w:t>
      </w:r>
      <w:r>
        <w:rPr>
          <w:rFonts w:eastAsia="楷体_GB2312" w:cs="楷体_GB2312"/>
          <w:spacing w:val="4"/>
        </w:rPr>
        <w:t>专利实施许可合同，允许</w:t>
      </w:r>
      <w:r>
        <w:rPr>
          <w:rFonts w:eastAsia="楷体_GB2312" w:cs="楷体_GB2312"/>
          <w:spacing w:val="4"/>
        </w:rPr>
        <w:t>B</w:t>
      </w:r>
      <w:r>
        <w:rPr>
          <w:rFonts w:eastAsia="楷体_GB2312" w:cs="楷体_GB2312"/>
          <w:spacing w:val="4"/>
        </w:rPr>
        <w:t>公司在特定范围内使用该技术</w:t>
      </w:r>
      <w:r>
        <w:rPr>
          <w:rFonts w:eastAsia="楷体_GB2312" w:cs="楷体_GB2312" w:hint="eastAsia"/>
          <w:spacing w:val="4"/>
        </w:rPr>
        <w:t>。</w:t>
      </w:r>
      <w:r>
        <w:rPr>
          <w:rFonts w:eastAsia="楷体_GB2312" w:cs="楷体_GB2312"/>
          <w:spacing w:val="4"/>
        </w:rPr>
        <w:t>B</w:t>
      </w:r>
      <w:r>
        <w:rPr>
          <w:rFonts w:eastAsia="楷体_GB2312" w:cs="楷体_GB2312"/>
          <w:spacing w:val="4"/>
        </w:rPr>
        <w:t>公司向</w:t>
      </w:r>
      <w:r>
        <w:rPr>
          <w:rFonts w:eastAsia="楷体_GB2312" w:cs="楷体_GB2312"/>
          <w:spacing w:val="4"/>
        </w:rPr>
        <w:t>A</w:t>
      </w:r>
      <w:r>
        <w:rPr>
          <w:rFonts w:eastAsia="楷体_GB2312" w:cs="楷体_GB2312"/>
          <w:spacing w:val="4"/>
        </w:rPr>
        <w:t>公司支付许可费</w:t>
      </w:r>
      <w:r>
        <w:rPr>
          <w:rFonts w:eastAsia="楷体_GB2312" w:cs="楷体_GB2312"/>
          <w:spacing w:val="4"/>
        </w:rPr>
        <w:t>500</w:t>
      </w:r>
      <w:r>
        <w:rPr>
          <w:rFonts w:eastAsia="楷体_GB2312" w:cs="楷体_GB2312"/>
          <w:spacing w:val="4"/>
        </w:rPr>
        <w:t>万元，合同中约定</w:t>
      </w:r>
      <w:r>
        <w:rPr>
          <w:rFonts w:eastAsia="楷体_GB2312" w:cs="楷体_GB2312"/>
          <w:spacing w:val="4"/>
        </w:rPr>
        <w:t>A</w:t>
      </w:r>
      <w:r>
        <w:rPr>
          <w:rFonts w:eastAsia="楷体_GB2312" w:cs="楷体_GB2312"/>
          <w:spacing w:val="4"/>
        </w:rPr>
        <w:t>公司提供的专利技术需达到特定</w:t>
      </w:r>
      <w:r>
        <w:rPr>
          <w:rFonts w:eastAsia="楷体_GB2312" w:cs="楷体_GB2312" w:hint="eastAsia"/>
          <w:spacing w:val="4"/>
        </w:rPr>
        <w:t>的</w:t>
      </w:r>
      <w:r>
        <w:rPr>
          <w:rFonts w:eastAsia="楷体_GB2312" w:cs="楷体_GB2312"/>
          <w:spacing w:val="4"/>
        </w:rPr>
        <w:t>效果。然而，实际使用中</w:t>
      </w:r>
      <w:r>
        <w:rPr>
          <w:rFonts w:eastAsia="楷体_GB2312" w:cs="楷体_GB2312"/>
          <w:spacing w:val="4"/>
        </w:rPr>
        <w:t>A</w:t>
      </w:r>
      <w:r>
        <w:rPr>
          <w:rFonts w:eastAsia="楷体_GB2312" w:cs="楷体_GB2312"/>
          <w:spacing w:val="4"/>
        </w:rPr>
        <w:t>公司提供的技术未能达到合同约定的</w:t>
      </w:r>
      <w:r>
        <w:rPr>
          <w:rFonts w:eastAsia="楷体_GB2312" w:cs="楷体_GB2312" w:hint="eastAsia"/>
          <w:spacing w:val="4"/>
        </w:rPr>
        <w:t>效果</w:t>
      </w:r>
      <w:r>
        <w:rPr>
          <w:rFonts w:eastAsia="楷体_GB2312" w:cs="楷体_GB2312"/>
          <w:spacing w:val="4"/>
        </w:rPr>
        <w:t>标准</w:t>
      </w:r>
      <w:r>
        <w:rPr>
          <w:rFonts w:eastAsia="楷体_GB2312" w:cs="楷体_GB2312" w:hint="eastAsia"/>
          <w:spacing w:val="4"/>
        </w:rPr>
        <w:t>。</w:t>
      </w:r>
      <w:r>
        <w:rPr>
          <w:rFonts w:eastAsia="楷体_GB2312" w:cs="楷体_GB2312"/>
          <w:spacing w:val="4"/>
        </w:rPr>
        <w:t>B</w:t>
      </w:r>
      <w:r>
        <w:rPr>
          <w:rFonts w:eastAsia="楷体_GB2312" w:cs="楷体_GB2312"/>
          <w:spacing w:val="4"/>
        </w:rPr>
        <w:t>公司要求</w:t>
      </w:r>
      <w:r>
        <w:rPr>
          <w:rFonts w:eastAsia="楷体_GB2312" w:cs="楷体_GB2312"/>
          <w:spacing w:val="4"/>
        </w:rPr>
        <w:t>A</w:t>
      </w:r>
      <w:r>
        <w:rPr>
          <w:rFonts w:eastAsia="楷体_GB2312" w:cs="楷体_GB2312"/>
          <w:spacing w:val="4"/>
        </w:rPr>
        <w:t>公司退还许可费并赔偿损失。</w:t>
      </w:r>
    </w:p>
    <w:p w:rsidR="00590572" w:rsidRDefault="00590572" w:rsidP="00590572">
      <w:pPr>
        <w:rPr>
          <w:rFonts w:eastAsia="华文隶书" w:cs="MingLiU_HKSCS"/>
          <w:color w:val="000000"/>
          <w:szCs w:val="21"/>
          <w:lang w:val="zh-CN"/>
        </w:rPr>
      </w:pPr>
      <w:r>
        <w:rPr>
          <w:rFonts w:eastAsia="华文隶书" w:cs="MingLiU_HKSCS" w:hint="eastAsia"/>
          <w:color w:val="000000"/>
          <w:szCs w:val="21"/>
          <w:lang w:val="zh-CN"/>
        </w:rPr>
        <w:t>分析与评述</w:t>
      </w:r>
    </w:p>
    <w:p w:rsidR="00590572" w:rsidRDefault="00590572" w:rsidP="00590572">
      <w:pPr>
        <w:ind w:firstLine="436"/>
        <w:jc w:val="both"/>
        <w:rPr>
          <w:rFonts w:eastAsia="楷体_GB2312" w:cs="楷体_GB2312"/>
          <w:spacing w:val="4"/>
        </w:rPr>
      </w:pPr>
      <w:r>
        <w:rPr>
          <w:rFonts w:eastAsia="楷体_GB2312" w:cs="楷体_GB2312"/>
          <w:spacing w:val="4"/>
        </w:rPr>
        <w:t>A</w:t>
      </w:r>
      <w:r>
        <w:rPr>
          <w:rFonts w:eastAsia="楷体_GB2312" w:cs="楷体_GB2312"/>
          <w:spacing w:val="4"/>
        </w:rPr>
        <w:t>公司提供的专利技术未达到</w:t>
      </w:r>
      <w:r>
        <w:rPr>
          <w:rFonts w:eastAsia="楷体_GB2312" w:cs="楷体_GB2312" w:hint="eastAsia"/>
          <w:spacing w:val="4"/>
        </w:rPr>
        <w:t>合同</w:t>
      </w:r>
      <w:r>
        <w:rPr>
          <w:rFonts w:eastAsia="楷体_GB2312" w:cs="楷体_GB2312"/>
          <w:spacing w:val="4"/>
        </w:rPr>
        <w:t>约定</w:t>
      </w:r>
      <w:r>
        <w:rPr>
          <w:rFonts w:eastAsia="楷体_GB2312" w:cs="楷体_GB2312" w:hint="eastAsia"/>
          <w:spacing w:val="4"/>
        </w:rPr>
        <w:t>的</w:t>
      </w:r>
      <w:r>
        <w:rPr>
          <w:rFonts w:eastAsia="楷体_GB2312" w:cs="楷体_GB2312"/>
          <w:spacing w:val="4"/>
        </w:rPr>
        <w:t>效果，构成违约。根据合同约定，</w:t>
      </w:r>
      <w:r>
        <w:rPr>
          <w:rFonts w:eastAsia="楷体_GB2312" w:cs="楷体_GB2312"/>
          <w:spacing w:val="4"/>
        </w:rPr>
        <w:t>A</w:t>
      </w:r>
      <w:r>
        <w:rPr>
          <w:rFonts w:eastAsia="楷体_GB2312" w:cs="楷体_GB2312"/>
          <w:spacing w:val="4"/>
        </w:rPr>
        <w:t>公司需退还</w:t>
      </w:r>
      <w:r>
        <w:rPr>
          <w:rFonts w:eastAsia="楷体_GB2312" w:cs="楷体_GB2312"/>
          <w:spacing w:val="4"/>
        </w:rPr>
        <w:t>B</w:t>
      </w:r>
      <w:r>
        <w:rPr>
          <w:rFonts w:eastAsia="楷体_GB2312" w:cs="楷体_GB2312"/>
          <w:spacing w:val="4"/>
        </w:rPr>
        <w:t>公司已支付的</w:t>
      </w:r>
      <w:r>
        <w:rPr>
          <w:rFonts w:eastAsia="楷体_GB2312" w:cs="楷体_GB2312"/>
          <w:spacing w:val="4"/>
        </w:rPr>
        <w:t>500</w:t>
      </w:r>
      <w:r>
        <w:rPr>
          <w:rFonts w:eastAsia="楷体_GB2312" w:cs="楷体_GB2312"/>
          <w:spacing w:val="4"/>
        </w:rPr>
        <w:t>万元许可费，并赔偿</w:t>
      </w:r>
      <w:r>
        <w:rPr>
          <w:rFonts w:eastAsia="楷体_GB2312" w:cs="楷体_GB2312"/>
          <w:spacing w:val="4"/>
        </w:rPr>
        <w:t>B</w:t>
      </w:r>
      <w:r>
        <w:rPr>
          <w:rFonts w:eastAsia="楷体_GB2312" w:cs="楷体_GB2312"/>
          <w:spacing w:val="4"/>
        </w:rPr>
        <w:t>公司因技术不达标导致的直接经济损失</w:t>
      </w:r>
      <w:r>
        <w:rPr>
          <w:rFonts w:eastAsia="楷体_GB2312" w:cs="楷体_GB2312"/>
          <w:spacing w:val="4"/>
        </w:rPr>
        <w:t>200</w:t>
      </w:r>
      <w:r>
        <w:rPr>
          <w:rFonts w:eastAsia="楷体_GB2312" w:cs="楷体_GB2312"/>
          <w:spacing w:val="4"/>
        </w:rPr>
        <w:t>万元，共计</w:t>
      </w:r>
      <w:r>
        <w:rPr>
          <w:rFonts w:eastAsia="楷体_GB2312" w:cs="楷体_GB2312"/>
          <w:spacing w:val="4"/>
        </w:rPr>
        <w:t>700</w:t>
      </w:r>
      <w:r>
        <w:rPr>
          <w:rFonts w:eastAsia="楷体_GB2312" w:cs="楷体_GB2312"/>
          <w:spacing w:val="4"/>
        </w:rPr>
        <w:t>万元。</w:t>
      </w:r>
      <w:r>
        <w:rPr>
          <w:rFonts w:eastAsia="楷体_GB2312" w:cs="楷体_GB2312" w:hint="eastAsia"/>
          <w:spacing w:val="4"/>
        </w:rPr>
        <w:t>如果合同中有违约金条款，</w:t>
      </w:r>
      <w:r>
        <w:rPr>
          <w:rFonts w:eastAsia="楷体_GB2312" w:cs="楷体_GB2312" w:hint="eastAsia"/>
          <w:spacing w:val="4"/>
        </w:rPr>
        <w:t>A</w:t>
      </w:r>
      <w:r>
        <w:rPr>
          <w:rFonts w:eastAsia="楷体_GB2312" w:cs="楷体_GB2312" w:hint="eastAsia"/>
          <w:spacing w:val="4"/>
        </w:rPr>
        <w:t>公司还需支付相应违约金。本案中，</w:t>
      </w:r>
      <w:r>
        <w:rPr>
          <w:rFonts w:eastAsia="楷体_GB2312" w:cs="楷体_GB2312"/>
          <w:spacing w:val="4"/>
        </w:rPr>
        <w:t>A</w:t>
      </w:r>
      <w:r>
        <w:rPr>
          <w:rFonts w:eastAsia="楷体_GB2312" w:cs="楷体_GB2312"/>
          <w:spacing w:val="4"/>
        </w:rPr>
        <w:t>公司作为违约方需承担违约责任，主要为赔偿损失和支付违约金，其中，赔偿损失的金额包括</w:t>
      </w:r>
      <w:r>
        <w:rPr>
          <w:rFonts w:eastAsia="楷体_GB2312" w:cs="楷体_GB2312"/>
          <w:spacing w:val="4"/>
        </w:rPr>
        <w:t>B</w:t>
      </w:r>
      <w:r>
        <w:rPr>
          <w:rFonts w:eastAsia="楷体_GB2312" w:cs="楷体_GB2312"/>
          <w:spacing w:val="4"/>
        </w:rPr>
        <w:t>公司已支付的许可费以及</w:t>
      </w:r>
      <w:r>
        <w:rPr>
          <w:rFonts w:eastAsia="楷体_GB2312" w:cs="楷体_GB2312"/>
          <w:spacing w:val="4"/>
        </w:rPr>
        <w:t>A</w:t>
      </w:r>
      <w:r>
        <w:rPr>
          <w:rFonts w:eastAsia="楷体_GB2312" w:cs="楷体_GB2312"/>
          <w:spacing w:val="4"/>
        </w:rPr>
        <w:t>公司违约行为导致</w:t>
      </w:r>
      <w:r>
        <w:rPr>
          <w:rFonts w:eastAsia="楷体_GB2312" w:cs="楷体_GB2312"/>
          <w:spacing w:val="4"/>
        </w:rPr>
        <w:t>B</w:t>
      </w:r>
      <w:r>
        <w:rPr>
          <w:rFonts w:eastAsia="楷体_GB2312" w:cs="楷体_GB2312"/>
          <w:spacing w:val="4"/>
        </w:rPr>
        <w:t>公司的直接经济损失。</w:t>
      </w:r>
    </w:p>
    <w:p w:rsidR="00590572" w:rsidRDefault="00590572" w:rsidP="00590572">
      <w:pPr>
        <w:pStyle w:val="af6"/>
        <w:spacing w:before="120"/>
        <w:ind w:firstLine="420"/>
      </w:pPr>
      <w:r>
        <w:rPr>
          <w:rFonts w:hint="eastAsia"/>
        </w:rPr>
        <w:t>【案例9</w:t>
      </w:r>
      <w:r>
        <w:t>-2</w:t>
      </w:r>
      <w:r>
        <w:rPr>
          <w:rFonts w:hint="eastAsia"/>
        </w:rPr>
        <w:t>-6】</w:t>
      </w:r>
    </w:p>
    <w:p w:rsidR="00590572" w:rsidRDefault="00590572" w:rsidP="00590572">
      <w:pPr>
        <w:topLinePunct/>
        <w:ind w:firstLineChars="195" w:firstLine="425"/>
        <w:rPr>
          <w:rFonts w:eastAsia="楷体_GB2312" w:cs="楷体_GB2312"/>
          <w:spacing w:val="4"/>
          <w:lang w:val="en-US"/>
        </w:rPr>
      </w:pPr>
      <w:r>
        <w:rPr>
          <w:rFonts w:eastAsia="楷体_GB2312" w:cs="楷体_GB2312"/>
          <w:spacing w:val="4"/>
          <w:lang w:val="en-US"/>
        </w:rPr>
        <w:t>A</w:t>
      </w:r>
      <w:r>
        <w:rPr>
          <w:rFonts w:eastAsia="楷体_GB2312" w:cs="楷体_GB2312" w:hint="eastAsia"/>
          <w:spacing w:val="4"/>
          <w:lang w:val="en-US"/>
        </w:rPr>
        <w:t>公司与</w:t>
      </w:r>
      <w:r>
        <w:rPr>
          <w:rFonts w:eastAsia="楷体_GB2312" w:cs="楷体_GB2312"/>
          <w:spacing w:val="4"/>
          <w:lang w:val="en-US"/>
        </w:rPr>
        <w:t>B</w:t>
      </w:r>
      <w:r>
        <w:rPr>
          <w:rFonts w:eastAsia="楷体_GB2312" w:cs="楷体_GB2312" w:hint="eastAsia"/>
          <w:spacing w:val="4"/>
          <w:lang w:val="en-US"/>
        </w:rPr>
        <w:t>公司签订了一份专利转让合同，约定</w:t>
      </w:r>
      <w:r>
        <w:rPr>
          <w:rFonts w:eastAsia="楷体_GB2312" w:cs="楷体_GB2312"/>
          <w:spacing w:val="4"/>
          <w:lang w:val="en-US"/>
        </w:rPr>
        <w:t>A</w:t>
      </w:r>
      <w:r>
        <w:rPr>
          <w:rFonts w:eastAsia="楷体_GB2312" w:cs="楷体_GB2312" w:hint="eastAsia"/>
          <w:spacing w:val="4"/>
          <w:lang w:val="en-US"/>
        </w:rPr>
        <w:t>公司将其拥有的一项专利技术转让给</w:t>
      </w:r>
      <w:r>
        <w:rPr>
          <w:rFonts w:eastAsia="楷体_GB2312" w:cs="楷体_GB2312"/>
          <w:spacing w:val="4"/>
          <w:lang w:val="en-US"/>
        </w:rPr>
        <w:t>B</w:t>
      </w:r>
      <w:r>
        <w:rPr>
          <w:rFonts w:eastAsia="楷体_GB2312" w:cs="楷体_GB2312" w:hint="eastAsia"/>
          <w:spacing w:val="4"/>
          <w:lang w:val="en-US"/>
        </w:rPr>
        <w:t>公司，转让价格为</w:t>
      </w:r>
      <w:r>
        <w:rPr>
          <w:rFonts w:eastAsia="楷体_GB2312" w:cs="楷体_GB2312"/>
          <w:spacing w:val="4"/>
          <w:lang w:val="en-US"/>
        </w:rPr>
        <w:t>500</w:t>
      </w:r>
      <w:r>
        <w:rPr>
          <w:rFonts w:eastAsia="楷体_GB2312" w:cs="楷体_GB2312" w:hint="eastAsia"/>
          <w:spacing w:val="4"/>
          <w:lang w:val="en-US"/>
        </w:rPr>
        <w:t>万元。合同约定</w:t>
      </w:r>
      <w:r>
        <w:rPr>
          <w:rFonts w:eastAsia="楷体_GB2312" w:cs="楷体_GB2312"/>
          <w:spacing w:val="4"/>
          <w:lang w:val="en-US"/>
        </w:rPr>
        <w:t>B</w:t>
      </w:r>
      <w:r>
        <w:rPr>
          <w:rFonts w:eastAsia="楷体_GB2312" w:cs="楷体_GB2312" w:hint="eastAsia"/>
          <w:spacing w:val="4"/>
          <w:lang w:val="en-US"/>
        </w:rPr>
        <w:t>公司需在合同签订后</w:t>
      </w:r>
      <w:r>
        <w:rPr>
          <w:rFonts w:eastAsia="楷体_GB2312" w:cs="楷体_GB2312"/>
          <w:spacing w:val="4"/>
          <w:lang w:val="en-US"/>
        </w:rPr>
        <w:t>30</w:t>
      </w:r>
      <w:r>
        <w:rPr>
          <w:rFonts w:eastAsia="楷体_GB2312" w:cs="楷体_GB2312" w:hint="eastAsia"/>
          <w:spacing w:val="4"/>
          <w:lang w:val="en-US"/>
        </w:rPr>
        <w:t>日内支付全部转让款，</w:t>
      </w:r>
      <w:r>
        <w:rPr>
          <w:rFonts w:eastAsia="楷体_GB2312" w:cs="楷体_GB2312"/>
          <w:spacing w:val="4"/>
          <w:lang w:val="en-US"/>
        </w:rPr>
        <w:t>A</w:t>
      </w:r>
      <w:r>
        <w:rPr>
          <w:rFonts w:eastAsia="楷体_GB2312" w:cs="楷体_GB2312" w:hint="eastAsia"/>
          <w:spacing w:val="4"/>
          <w:lang w:val="en-US"/>
        </w:rPr>
        <w:t>公司在收到款项后</w:t>
      </w:r>
      <w:r>
        <w:rPr>
          <w:rFonts w:eastAsia="楷体_GB2312" w:cs="楷体_GB2312"/>
          <w:spacing w:val="4"/>
          <w:lang w:val="en-US"/>
        </w:rPr>
        <w:t>10</w:t>
      </w:r>
      <w:r>
        <w:rPr>
          <w:rFonts w:eastAsia="楷体_GB2312" w:cs="楷体_GB2312" w:hint="eastAsia"/>
          <w:spacing w:val="4"/>
          <w:lang w:val="en-US"/>
        </w:rPr>
        <w:t>日内办理专利过户手续。然而，</w:t>
      </w:r>
      <w:r>
        <w:rPr>
          <w:rFonts w:eastAsia="楷体_GB2312" w:cs="楷体_GB2312"/>
          <w:spacing w:val="4"/>
          <w:lang w:val="en-US"/>
        </w:rPr>
        <w:t>B</w:t>
      </w:r>
      <w:r>
        <w:rPr>
          <w:rFonts w:eastAsia="楷体_GB2312" w:cs="楷体_GB2312" w:hint="eastAsia"/>
          <w:spacing w:val="4"/>
          <w:lang w:val="en-US"/>
        </w:rPr>
        <w:t>公司未按约定支付转让款，</w:t>
      </w:r>
      <w:r>
        <w:rPr>
          <w:rFonts w:eastAsia="楷体_GB2312" w:cs="楷体_GB2312"/>
          <w:spacing w:val="4"/>
          <w:lang w:val="en-US"/>
        </w:rPr>
        <w:t>A</w:t>
      </w:r>
      <w:r>
        <w:rPr>
          <w:rFonts w:eastAsia="楷体_GB2312" w:cs="楷体_GB2312" w:hint="eastAsia"/>
          <w:spacing w:val="4"/>
          <w:lang w:val="en-US"/>
        </w:rPr>
        <w:t>公司因此未办理专利过户手续。</w:t>
      </w:r>
      <w:r>
        <w:rPr>
          <w:rFonts w:eastAsia="楷体_GB2312" w:cs="楷体_GB2312"/>
          <w:spacing w:val="4"/>
          <w:lang w:val="en-US"/>
        </w:rPr>
        <w:t>A</w:t>
      </w:r>
      <w:r>
        <w:rPr>
          <w:rFonts w:eastAsia="楷体_GB2312" w:cs="楷体_GB2312" w:hint="eastAsia"/>
          <w:spacing w:val="4"/>
          <w:lang w:val="en-US"/>
        </w:rPr>
        <w:t>公司要求</w:t>
      </w:r>
      <w:r>
        <w:rPr>
          <w:rFonts w:eastAsia="楷体_GB2312" w:cs="楷体_GB2312"/>
          <w:spacing w:val="4"/>
          <w:lang w:val="en-US"/>
        </w:rPr>
        <w:t>B</w:t>
      </w:r>
      <w:r>
        <w:rPr>
          <w:rFonts w:eastAsia="楷体_GB2312" w:cs="楷体_GB2312" w:hint="eastAsia"/>
          <w:spacing w:val="4"/>
          <w:lang w:val="en-US"/>
        </w:rPr>
        <w:t>公司承担违约责任。</w:t>
      </w:r>
    </w:p>
    <w:p w:rsidR="00590572" w:rsidRDefault="00590572" w:rsidP="00590572">
      <w:pPr>
        <w:rPr>
          <w:rFonts w:eastAsia="华文隶书" w:cs="MingLiU_HKSCS"/>
          <w:color w:val="000000"/>
          <w:szCs w:val="21"/>
          <w:lang w:val="zh-CN"/>
        </w:rPr>
      </w:pPr>
      <w:r>
        <w:rPr>
          <w:rFonts w:eastAsia="华文隶书" w:cs="MingLiU_HKSCS" w:hint="eastAsia"/>
          <w:color w:val="000000"/>
          <w:szCs w:val="21"/>
          <w:lang w:val="zh-CN"/>
        </w:rPr>
        <w:t>分析与评述</w:t>
      </w:r>
    </w:p>
    <w:p w:rsidR="00590572" w:rsidRDefault="00590572" w:rsidP="00590572">
      <w:pPr>
        <w:topLinePunct/>
        <w:ind w:firstLineChars="195" w:firstLine="425"/>
        <w:rPr>
          <w:rFonts w:eastAsia="楷体_GB2312" w:cs="楷体_GB2312"/>
          <w:spacing w:val="4"/>
          <w:lang w:val="en-US"/>
        </w:rPr>
      </w:pPr>
      <w:r>
        <w:rPr>
          <w:rFonts w:eastAsia="楷体_GB2312" w:cs="楷体_GB2312" w:hint="eastAsia"/>
          <w:spacing w:val="4"/>
          <w:lang w:val="en-US"/>
        </w:rPr>
        <w:t>本案中，</w:t>
      </w:r>
      <w:r>
        <w:rPr>
          <w:rFonts w:eastAsia="楷体_GB2312" w:cs="楷体_GB2312"/>
          <w:spacing w:val="4"/>
          <w:lang w:val="en-US"/>
        </w:rPr>
        <w:t>B</w:t>
      </w:r>
      <w:r>
        <w:rPr>
          <w:rFonts w:eastAsia="楷体_GB2312" w:cs="楷体_GB2312" w:hint="eastAsia"/>
          <w:spacing w:val="4"/>
          <w:lang w:val="en-US"/>
        </w:rPr>
        <w:t>公司未按合同约定支付转让款，构成违约。</w:t>
      </w:r>
      <w:r>
        <w:rPr>
          <w:rFonts w:eastAsia="楷体_GB2312" w:cs="楷体_GB2312"/>
          <w:spacing w:val="4"/>
          <w:lang w:val="en-US"/>
        </w:rPr>
        <w:t>A</w:t>
      </w:r>
      <w:r>
        <w:rPr>
          <w:rFonts w:eastAsia="楷体_GB2312" w:cs="楷体_GB2312" w:hint="eastAsia"/>
          <w:spacing w:val="4"/>
          <w:lang w:val="en-US"/>
        </w:rPr>
        <w:t>公司有权解除与</w:t>
      </w:r>
      <w:r>
        <w:rPr>
          <w:rFonts w:eastAsia="楷体_GB2312" w:cs="楷体_GB2312"/>
          <w:spacing w:val="4"/>
          <w:lang w:val="en-US"/>
        </w:rPr>
        <w:t>B</w:t>
      </w:r>
      <w:r>
        <w:rPr>
          <w:rFonts w:eastAsia="楷体_GB2312" w:cs="楷体_GB2312" w:hint="eastAsia"/>
          <w:spacing w:val="4"/>
          <w:lang w:val="en-US"/>
        </w:rPr>
        <w:t>公司的专利转让合同。</w:t>
      </w:r>
      <w:r>
        <w:rPr>
          <w:rFonts w:eastAsia="楷体_GB2312" w:cs="楷体_GB2312"/>
          <w:spacing w:val="4"/>
          <w:lang w:val="en-US"/>
        </w:rPr>
        <w:t>B</w:t>
      </w:r>
      <w:r>
        <w:rPr>
          <w:rFonts w:eastAsia="楷体_GB2312" w:cs="楷体_GB2312" w:hint="eastAsia"/>
          <w:spacing w:val="4"/>
          <w:lang w:val="en-US"/>
        </w:rPr>
        <w:t>公司需赔偿</w:t>
      </w:r>
      <w:r>
        <w:rPr>
          <w:rFonts w:eastAsia="楷体_GB2312" w:cs="楷体_GB2312"/>
          <w:spacing w:val="4"/>
          <w:lang w:val="en-US"/>
        </w:rPr>
        <w:t>A</w:t>
      </w:r>
      <w:r>
        <w:rPr>
          <w:rFonts w:eastAsia="楷体_GB2312" w:cs="楷体_GB2312" w:hint="eastAsia"/>
          <w:spacing w:val="4"/>
          <w:lang w:val="en-US"/>
        </w:rPr>
        <w:t>公司因违约导致的直接损失和间接损失，具体金额根据</w:t>
      </w:r>
      <w:r>
        <w:rPr>
          <w:rFonts w:eastAsia="楷体_GB2312" w:cs="楷体_GB2312"/>
          <w:spacing w:val="4"/>
          <w:lang w:val="en-US"/>
        </w:rPr>
        <w:t>A</w:t>
      </w:r>
      <w:r>
        <w:rPr>
          <w:rFonts w:eastAsia="楷体_GB2312" w:cs="楷体_GB2312" w:hint="eastAsia"/>
          <w:spacing w:val="4"/>
          <w:lang w:val="en-US"/>
        </w:rPr>
        <w:t>公司提供的证据确定。如果合同中有违约金条款，</w:t>
      </w:r>
      <w:r>
        <w:rPr>
          <w:rFonts w:eastAsia="楷体_GB2312" w:cs="楷体_GB2312"/>
          <w:spacing w:val="4"/>
          <w:lang w:val="en-US"/>
        </w:rPr>
        <w:t>B</w:t>
      </w:r>
      <w:r>
        <w:rPr>
          <w:rFonts w:eastAsia="楷体_GB2312" w:cs="楷体_GB2312" w:hint="eastAsia"/>
          <w:spacing w:val="4"/>
          <w:lang w:val="en-US"/>
        </w:rPr>
        <w:t>公司还需支付相应违约金。专利转让合同应明确约定双方的权利义务，包括付款时间、过户手续办理时间、违约责任等，明确约定违约金或损失赔偿的计算方式，以便在纠纷发生时快速确定责任。</w:t>
      </w:r>
    </w:p>
    <w:p w:rsidR="00590572" w:rsidRDefault="00590572" w:rsidP="00590572">
      <w:pPr>
        <w:pStyle w:val="4"/>
        <w:spacing w:before="240"/>
        <w:ind w:firstLine="444"/>
        <w:rPr>
          <w:rFonts w:ascii="Times New Roman" w:hAnsi="Times New Roman"/>
        </w:rPr>
      </w:pPr>
      <w:r>
        <w:rPr>
          <w:rFonts w:ascii="Times New Roman" w:hAnsi="Times New Roman" w:hint="eastAsia"/>
        </w:rPr>
        <w:t>（三）合同终止或解除后产生的纠纷</w:t>
      </w:r>
    </w:p>
    <w:p w:rsidR="00590572" w:rsidRDefault="00590572" w:rsidP="00590572">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合同的权利义务关系终止，不影响合同中结算和清理条款的效力。</w:t>
      </w:r>
      <w:r>
        <w:rPr>
          <w:rFonts w:ascii="Times New Roman" w:eastAsia="宋体" w:hAnsi="Times New Roman" w:hint="eastAsia"/>
          <w:sz w:val="21"/>
          <w:szCs w:val="21"/>
        </w:rPr>
        <w:t>专利合同在终止或解除后，若专利合同中的条款明确规定了合同终止或解除后的权利和义务，如知识产权的归属、使用费支付、保密义务等，且这些条款的性质属于结算或清理条款，那么这些条款在合同终止或解除后仍然有效。这意味着双方仍需按照这些条款的约定履行相应的权利和义务，包括：</w:t>
      </w:r>
      <w:r>
        <w:rPr>
          <w:rFonts w:ascii="Times New Roman" w:eastAsia="宋体" w:hAnsi="Times New Roman"/>
          <w:sz w:val="21"/>
          <w:szCs w:val="21"/>
        </w:rPr>
        <w:t>技术资料返还</w:t>
      </w:r>
      <w:r>
        <w:rPr>
          <w:rFonts w:ascii="Times New Roman" w:eastAsia="宋体" w:hAnsi="Times New Roman" w:hint="eastAsia"/>
          <w:sz w:val="21"/>
          <w:szCs w:val="21"/>
        </w:rPr>
        <w:t>，如</w:t>
      </w:r>
      <w:r>
        <w:rPr>
          <w:rFonts w:ascii="Times New Roman" w:eastAsia="宋体" w:hAnsi="Times New Roman"/>
          <w:sz w:val="21"/>
          <w:szCs w:val="21"/>
        </w:rPr>
        <w:t>协商专利技术文档、数据的移交方式和时间</w:t>
      </w:r>
      <w:r>
        <w:rPr>
          <w:rFonts w:ascii="Times New Roman" w:eastAsia="宋体" w:hAnsi="Times New Roman" w:hint="eastAsia"/>
          <w:sz w:val="21"/>
          <w:szCs w:val="21"/>
        </w:rPr>
        <w:t>；</w:t>
      </w:r>
      <w:r>
        <w:rPr>
          <w:rFonts w:ascii="Times New Roman" w:eastAsia="宋体" w:hAnsi="Times New Roman"/>
          <w:sz w:val="21"/>
          <w:szCs w:val="21"/>
        </w:rPr>
        <w:t>对已转让或许可的专利在合同终止后的使用限制</w:t>
      </w:r>
      <w:r>
        <w:rPr>
          <w:rFonts w:ascii="Times New Roman" w:eastAsia="宋体" w:hAnsi="Times New Roman" w:hint="eastAsia"/>
          <w:sz w:val="21"/>
          <w:szCs w:val="21"/>
        </w:rPr>
        <w:t>，</w:t>
      </w:r>
      <w:r>
        <w:rPr>
          <w:rFonts w:ascii="Times New Roman" w:eastAsia="宋体" w:hAnsi="Times New Roman"/>
          <w:sz w:val="21"/>
          <w:szCs w:val="21"/>
        </w:rPr>
        <w:t>如停止生产</w:t>
      </w:r>
      <w:r>
        <w:rPr>
          <w:rFonts w:ascii="Times New Roman" w:eastAsia="宋体" w:hAnsi="Times New Roman" w:hint="eastAsia"/>
          <w:sz w:val="21"/>
          <w:szCs w:val="21"/>
        </w:rPr>
        <w:t>；</w:t>
      </w:r>
      <w:r>
        <w:rPr>
          <w:rFonts w:ascii="Times New Roman" w:eastAsia="宋体" w:hAnsi="Times New Roman"/>
          <w:sz w:val="21"/>
          <w:szCs w:val="21"/>
        </w:rPr>
        <w:t>对合同终止前的未支付费用或分成进行清算</w:t>
      </w:r>
      <w:r>
        <w:rPr>
          <w:rFonts w:ascii="Times New Roman" w:eastAsia="宋体" w:hAnsi="Times New Roman" w:hint="eastAsia"/>
          <w:sz w:val="21"/>
          <w:szCs w:val="21"/>
        </w:rPr>
        <w:t>；</w:t>
      </w:r>
      <w:r>
        <w:rPr>
          <w:rFonts w:ascii="Times New Roman" w:eastAsia="宋体" w:hAnsi="Times New Roman"/>
          <w:sz w:val="21"/>
          <w:szCs w:val="21"/>
        </w:rPr>
        <w:t>以及在解决纠纷的同时，约定后续合作优先权、续约条件或新合作模式</w:t>
      </w:r>
      <w:r>
        <w:rPr>
          <w:rFonts w:ascii="Times New Roman" w:eastAsia="宋体" w:hAnsi="Times New Roman" w:hint="eastAsia"/>
          <w:sz w:val="21"/>
          <w:szCs w:val="21"/>
        </w:rPr>
        <w:t>等</w:t>
      </w:r>
      <w:r>
        <w:rPr>
          <w:rFonts w:ascii="Times New Roman" w:eastAsia="宋体" w:hAnsi="Times New Roman"/>
          <w:sz w:val="21"/>
          <w:szCs w:val="21"/>
        </w:rPr>
        <w:t>。</w:t>
      </w:r>
    </w:p>
    <w:p w:rsidR="00590572" w:rsidRDefault="00590572" w:rsidP="00590572">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当事人</w:t>
      </w:r>
      <w:r>
        <w:rPr>
          <w:rFonts w:ascii="Times New Roman" w:eastAsia="宋体" w:hAnsi="Times New Roman" w:hint="eastAsia"/>
          <w:sz w:val="21"/>
          <w:szCs w:val="21"/>
        </w:rPr>
        <w:t>还</w:t>
      </w:r>
      <w:r>
        <w:rPr>
          <w:rFonts w:ascii="Times New Roman" w:eastAsia="宋体" w:hAnsi="Times New Roman"/>
          <w:sz w:val="21"/>
          <w:szCs w:val="21"/>
        </w:rPr>
        <w:t>可以按照互利的原则，在合同中约定实施专利后续改进的技术成果的分享办法；没有约定或者约定不明确，依据《民法典》第五百一十条的规定仍不能确定的，一方后续改进的技术成果，其他各方无权分享。</w:t>
      </w:r>
      <w:r>
        <w:rPr>
          <w:rFonts w:ascii="Times New Roman" w:eastAsia="宋体" w:hAnsi="Times New Roman" w:hint="eastAsia"/>
          <w:sz w:val="21"/>
          <w:szCs w:val="21"/>
        </w:rPr>
        <w:t>此外，即使合同中没有明确规定，但根据专利法的相关规定，专利权在终止后，将不受法律的专用权限制和保护。也就是说，如果专利合同因某种原因终止或解除，且专利权也随之终止，那么任何人都可以自由实施该专利，不再受原专利权人的限制。但需要注意的是，这并不影响合同中其他非专利相关的条款的效力，如违约责任等。</w:t>
      </w:r>
    </w:p>
    <w:p w:rsidR="00590572" w:rsidRDefault="00590572" w:rsidP="00590572">
      <w:pPr>
        <w:pStyle w:val="af6"/>
        <w:spacing w:before="120"/>
        <w:ind w:firstLine="420"/>
      </w:pPr>
      <w:r>
        <w:rPr>
          <w:rFonts w:hint="eastAsia"/>
        </w:rPr>
        <w:t>【案例9</w:t>
      </w:r>
      <w:r>
        <w:t>-2</w:t>
      </w:r>
      <w:r>
        <w:rPr>
          <w:rFonts w:hint="eastAsia"/>
        </w:rPr>
        <w:t>-7】</w:t>
      </w:r>
    </w:p>
    <w:p w:rsidR="00590572" w:rsidRDefault="00590572" w:rsidP="00590572">
      <w:pPr>
        <w:topLinePunct/>
        <w:ind w:firstLine="436"/>
        <w:rPr>
          <w:rFonts w:eastAsia="楷体_GB2312" w:cs="楷体_GB2312"/>
          <w:spacing w:val="4"/>
        </w:rPr>
      </w:pPr>
      <w:r>
        <w:rPr>
          <w:rFonts w:eastAsia="楷体_GB2312" w:cs="楷体_GB2312"/>
          <w:spacing w:val="4"/>
        </w:rPr>
        <w:t>A</w:t>
      </w:r>
      <w:r>
        <w:rPr>
          <w:rFonts w:eastAsia="楷体_GB2312" w:cs="楷体_GB2312"/>
          <w:spacing w:val="4"/>
        </w:rPr>
        <w:t>公司拥有一项发明专利，其与</w:t>
      </w:r>
      <w:r>
        <w:rPr>
          <w:rFonts w:eastAsia="楷体_GB2312" w:cs="楷体_GB2312"/>
          <w:spacing w:val="4"/>
        </w:rPr>
        <w:t>B</w:t>
      </w:r>
      <w:r>
        <w:rPr>
          <w:rFonts w:eastAsia="楷体_GB2312" w:cs="楷体_GB2312"/>
          <w:spacing w:val="4"/>
        </w:rPr>
        <w:t>公司</w:t>
      </w:r>
      <w:r>
        <w:rPr>
          <w:rFonts w:eastAsia="楷体_GB2312" w:cs="楷体_GB2312" w:hint="eastAsia"/>
          <w:spacing w:val="4"/>
        </w:rPr>
        <w:t>签订了专利实施许可合同，合同到期后未续签。</w:t>
      </w:r>
      <w:r>
        <w:rPr>
          <w:rFonts w:eastAsia="楷体_GB2312" w:cs="楷体_GB2312"/>
          <w:spacing w:val="4"/>
        </w:rPr>
        <w:t>B</w:t>
      </w:r>
      <w:r>
        <w:rPr>
          <w:rFonts w:eastAsia="楷体_GB2312" w:cs="楷体_GB2312"/>
          <w:spacing w:val="4"/>
        </w:rPr>
        <w:t>公司在合同到期后未停止使用该专利技术。</w:t>
      </w:r>
      <w:r>
        <w:rPr>
          <w:rFonts w:eastAsia="楷体_GB2312" w:cs="楷体_GB2312"/>
          <w:spacing w:val="4"/>
        </w:rPr>
        <w:t>A</w:t>
      </w:r>
      <w:r>
        <w:rPr>
          <w:rFonts w:eastAsia="楷体_GB2312" w:cs="楷体_GB2312"/>
          <w:spacing w:val="4"/>
        </w:rPr>
        <w:t>公司</w:t>
      </w:r>
      <w:r>
        <w:rPr>
          <w:rFonts w:eastAsia="楷体_GB2312" w:cs="楷体_GB2312" w:hint="eastAsia"/>
          <w:spacing w:val="4"/>
        </w:rPr>
        <w:t>遂指控</w:t>
      </w:r>
      <w:r>
        <w:rPr>
          <w:rFonts w:eastAsia="楷体_GB2312" w:cs="楷体_GB2312"/>
          <w:spacing w:val="4"/>
        </w:rPr>
        <w:t>B</w:t>
      </w:r>
      <w:r>
        <w:rPr>
          <w:rFonts w:eastAsia="楷体_GB2312" w:cs="楷体_GB2312"/>
          <w:spacing w:val="4"/>
        </w:rPr>
        <w:t>公司在合同到期后仍继续使用其专利，要求</w:t>
      </w:r>
      <w:r>
        <w:rPr>
          <w:rFonts w:eastAsia="楷体_GB2312" w:cs="楷体_GB2312"/>
          <w:spacing w:val="4"/>
        </w:rPr>
        <w:t>B</w:t>
      </w:r>
      <w:r>
        <w:rPr>
          <w:rFonts w:eastAsia="楷体_GB2312" w:cs="楷体_GB2312"/>
          <w:spacing w:val="4"/>
        </w:rPr>
        <w:t>公司支付未续签期间的专利使用费，并要求法院禁止</w:t>
      </w:r>
      <w:r>
        <w:rPr>
          <w:rFonts w:eastAsia="楷体_GB2312" w:cs="楷体_GB2312"/>
          <w:spacing w:val="4"/>
        </w:rPr>
        <w:t>B</w:t>
      </w:r>
      <w:r>
        <w:rPr>
          <w:rFonts w:eastAsia="楷体_GB2312" w:cs="楷体_GB2312"/>
          <w:spacing w:val="4"/>
        </w:rPr>
        <w:t>公司继续使用其专利。</w:t>
      </w:r>
      <w:r>
        <w:rPr>
          <w:rFonts w:eastAsia="楷体_GB2312" w:cs="楷体_GB2312"/>
          <w:spacing w:val="4"/>
        </w:rPr>
        <w:t>B</w:t>
      </w:r>
      <w:r>
        <w:rPr>
          <w:rFonts w:eastAsia="楷体_GB2312" w:cs="楷体_GB2312"/>
          <w:spacing w:val="4"/>
        </w:rPr>
        <w:t>公司则主张</w:t>
      </w:r>
      <w:r>
        <w:rPr>
          <w:rFonts w:eastAsia="楷体_GB2312" w:cs="楷体_GB2312"/>
          <w:spacing w:val="4"/>
        </w:rPr>
        <w:t>A</w:t>
      </w:r>
      <w:r>
        <w:rPr>
          <w:rFonts w:eastAsia="楷体_GB2312" w:cs="楷体_GB2312"/>
          <w:spacing w:val="4"/>
        </w:rPr>
        <w:t>公司</w:t>
      </w:r>
      <w:r>
        <w:rPr>
          <w:rFonts w:eastAsia="楷体_GB2312" w:cs="楷体_GB2312" w:hint="eastAsia"/>
          <w:spacing w:val="4"/>
        </w:rPr>
        <w:t>的专利费率不合理。最终，双方通过谈判达成新的许可协议终止了诉讼。</w:t>
      </w:r>
    </w:p>
    <w:p w:rsidR="00590572" w:rsidRDefault="00590572" w:rsidP="00590572">
      <w:pPr>
        <w:rPr>
          <w:rFonts w:eastAsia="华文隶书" w:cs="MingLiU_HKSCS"/>
          <w:color w:val="000000"/>
          <w:szCs w:val="21"/>
          <w:lang w:val="zh-CN"/>
        </w:rPr>
      </w:pPr>
      <w:r>
        <w:rPr>
          <w:rFonts w:eastAsia="华文隶书" w:cs="MingLiU_HKSCS" w:hint="eastAsia"/>
          <w:color w:val="000000"/>
          <w:szCs w:val="21"/>
          <w:lang w:val="zh-CN"/>
        </w:rPr>
        <w:t>分析与评述</w:t>
      </w:r>
    </w:p>
    <w:p w:rsidR="00590572" w:rsidRDefault="00590572" w:rsidP="00590572">
      <w:pPr>
        <w:topLinePunct/>
        <w:ind w:firstLine="436"/>
        <w:rPr>
          <w:rFonts w:eastAsia="楷体_GB2312" w:cs="楷体_GB2312"/>
          <w:spacing w:val="4"/>
        </w:rPr>
      </w:pPr>
      <w:r>
        <w:rPr>
          <w:rFonts w:eastAsia="楷体_GB2312" w:cs="楷体_GB2312" w:hint="eastAsia"/>
          <w:spacing w:val="4"/>
        </w:rPr>
        <w:t>这一纠纷涉及专利实施许可合同的终止、专利侵权的认定以及许可费率的合理性等问题。专利许可合同到期后，若双方未续签，</w:t>
      </w:r>
      <w:r>
        <w:rPr>
          <w:rFonts w:eastAsia="楷体_GB2312" w:cs="楷体_GB2312"/>
          <w:spacing w:val="4"/>
        </w:rPr>
        <w:t>B</w:t>
      </w:r>
      <w:r>
        <w:rPr>
          <w:rFonts w:eastAsia="楷体_GB2312" w:cs="楷体_GB2312"/>
          <w:spacing w:val="4"/>
        </w:rPr>
        <w:t>公司无权继续使用</w:t>
      </w:r>
      <w:r>
        <w:rPr>
          <w:rFonts w:eastAsia="楷体_GB2312" w:cs="楷体_GB2312"/>
          <w:spacing w:val="4"/>
        </w:rPr>
        <w:t>A</w:t>
      </w:r>
      <w:r>
        <w:rPr>
          <w:rFonts w:eastAsia="楷体_GB2312" w:cs="楷体_GB2312"/>
          <w:spacing w:val="4"/>
        </w:rPr>
        <w:t>公司的专利。如果</w:t>
      </w:r>
      <w:r>
        <w:rPr>
          <w:rFonts w:eastAsia="楷体_GB2312" w:cs="楷体_GB2312"/>
          <w:spacing w:val="4"/>
        </w:rPr>
        <w:t>B</w:t>
      </w:r>
      <w:r>
        <w:rPr>
          <w:rFonts w:eastAsia="楷体_GB2312" w:cs="楷体_GB2312"/>
          <w:spacing w:val="4"/>
        </w:rPr>
        <w:t>公司在合同到期后继续使用</w:t>
      </w:r>
      <w:r>
        <w:rPr>
          <w:rFonts w:eastAsia="楷体_GB2312" w:cs="楷体_GB2312"/>
          <w:spacing w:val="4"/>
        </w:rPr>
        <w:t>A</w:t>
      </w:r>
      <w:r>
        <w:rPr>
          <w:rFonts w:eastAsia="楷体_GB2312" w:cs="楷体_GB2312"/>
          <w:spacing w:val="4"/>
        </w:rPr>
        <w:t>公司的专利，可能构成专利侵权。</w:t>
      </w:r>
      <w:r>
        <w:rPr>
          <w:rFonts w:eastAsia="楷体_GB2312" w:cs="楷体_GB2312"/>
          <w:spacing w:val="4"/>
        </w:rPr>
        <w:t>A</w:t>
      </w:r>
      <w:r>
        <w:rPr>
          <w:rFonts w:eastAsia="楷体_GB2312" w:cs="楷体_GB2312"/>
          <w:spacing w:val="4"/>
        </w:rPr>
        <w:t>公司作为专利权人，有权要求</w:t>
      </w:r>
      <w:r>
        <w:rPr>
          <w:rFonts w:eastAsia="楷体_GB2312" w:cs="楷体_GB2312"/>
          <w:spacing w:val="4"/>
        </w:rPr>
        <w:t>B</w:t>
      </w:r>
      <w:r>
        <w:rPr>
          <w:rFonts w:eastAsia="楷体_GB2312" w:cs="楷体_GB2312"/>
          <w:spacing w:val="4"/>
        </w:rPr>
        <w:t>公司停止使用其专利并支付侵权赔偿或合理的许可费用。</w:t>
      </w:r>
    </w:p>
    <w:p w:rsidR="00590572" w:rsidRDefault="00590572" w:rsidP="00590572">
      <w:pPr>
        <w:topLinePunct/>
        <w:ind w:firstLine="436"/>
        <w:rPr>
          <w:rFonts w:eastAsia="楷体_GB2312" w:cs="楷体_GB2312"/>
          <w:spacing w:val="4"/>
        </w:rPr>
      </w:pPr>
      <w:r>
        <w:rPr>
          <w:rFonts w:eastAsia="楷体_GB2312" w:cs="楷体_GB2312"/>
          <w:spacing w:val="4"/>
        </w:rPr>
        <w:t>A</w:t>
      </w:r>
      <w:r>
        <w:rPr>
          <w:rFonts w:eastAsia="楷体_GB2312" w:cs="楷体_GB2312"/>
          <w:spacing w:val="4"/>
        </w:rPr>
        <w:t>公司与</w:t>
      </w:r>
      <w:r>
        <w:rPr>
          <w:rFonts w:eastAsia="楷体_GB2312" w:cs="楷体_GB2312"/>
          <w:spacing w:val="4"/>
        </w:rPr>
        <w:t>B</w:t>
      </w:r>
      <w:r>
        <w:rPr>
          <w:rFonts w:eastAsia="楷体_GB2312" w:cs="楷体_GB2312"/>
          <w:spacing w:val="4"/>
        </w:rPr>
        <w:t>公司的专利实施许可纠纷反映了专利实施许可合同到期后可能产生的复杂问题，尤其是对于高价值技术领域。双方最终通过谈判达成新的许可协议，结束了诉讼，可见，谈判、调解等解决纠纷的手段，避免了长期诉讼的不确定性，也为行业提供了处理类似纠纷的参考。</w:t>
      </w:r>
    </w:p>
    <w:p w:rsidR="00590572" w:rsidRDefault="00590572" w:rsidP="00590572">
      <w:pPr>
        <w:pStyle w:val="2"/>
        <w:spacing w:before="91" w:after="240"/>
        <w:ind w:firstLineChars="0" w:firstLine="0"/>
        <w:rPr>
          <w:rFonts w:ascii="Times New Roman" w:hAnsi="Times New Roman"/>
        </w:rPr>
      </w:pPr>
      <w:bookmarkStart w:id="9303" w:name="_Toc229225655"/>
      <w:r>
        <w:rPr>
          <w:rFonts w:ascii="Times New Roman" w:hAnsi="Times New Roman" w:hint="eastAsia"/>
        </w:rPr>
        <w:t>第三节　专利权有效性对合同效力的影响</w:t>
      </w:r>
      <w:bookmarkEnd w:id="9303"/>
    </w:p>
    <w:p w:rsidR="00590572" w:rsidRDefault="00590572" w:rsidP="00590572">
      <w:pPr>
        <w:pStyle w:val="12"/>
        <w:topLinePunct/>
        <w:spacing w:line="336" w:lineRule="auto"/>
        <w:ind w:firstLine="420"/>
        <w:rPr>
          <w:rFonts w:ascii="Times New Roman" w:eastAsiaTheme="minorEastAsia" w:hAnsi="Times New Roman" w:cstheme="minorEastAsia"/>
          <w:sz w:val="21"/>
          <w:szCs w:val="21"/>
        </w:rPr>
      </w:pPr>
      <w:r>
        <w:rPr>
          <w:rFonts w:ascii="Times New Roman" w:eastAsiaTheme="minorEastAsia" w:hAnsi="Times New Roman" w:cstheme="minorEastAsia"/>
          <w:sz w:val="21"/>
          <w:szCs w:val="21"/>
        </w:rPr>
        <w:t>专利权的有效性是专利合同存在的基础。当专利权被宣告无效时，该专利权在法律上被视为自始不存在</w:t>
      </w:r>
      <w:r>
        <w:rPr>
          <w:rFonts w:ascii="Times New Roman" w:eastAsiaTheme="minorEastAsia" w:hAnsi="Times New Roman" w:cstheme="minorEastAsia"/>
          <w:sz w:val="21"/>
          <w:szCs w:val="21"/>
        </w:rPr>
        <w:t>‌</w:t>
      </w:r>
      <w:r>
        <w:rPr>
          <w:rFonts w:ascii="Times New Roman" w:eastAsiaTheme="minorEastAsia" w:hAnsi="Times New Roman" w:cstheme="minorEastAsia"/>
          <w:sz w:val="21"/>
          <w:szCs w:val="21"/>
        </w:rPr>
        <w:t>。这意味着，专利权从申请日起即被视为无效。</w:t>
      </w:r>
    </w:p>
    <w:p w:rsidR="00590572" w:rsidRDefault="00590572" w:rsidP="00590572">
      <w:pPr>
        <w:pStyle w:val="12"/>
        <w:topLinePunct/>
        <w:spacing w:line="336" w:lineRule="auto"/>
        <w:ind w:firstLine="420"/>
        <w:rPr>
          <w:rFonts w:ascii="Times New Roman" w:eastAsiaTheme="minorEastAsia" w:hAnsi="Times New Roman" w:cstheme="minorEastAsia"/>
          <w:b/>
          <w:bCs/>
          <w:spacing w:val="18"/>
          <w:sz w:val="21"/>
          <w:szCs w:val="21"/>
        </w:rPr>
      </w:pPr>
      <w:r>
        <w:rPr>
          <w:rFonts w:ascii="Times New Roman" w:eastAsiaTheme="minorEastAsia" w:hAnsi="Times New Roman" w:cstheme="minorEastAsia"/>
          <w:sz w:val="21"/>
          <w:szCs w:val="21"/>
        </w:rPr>
        <w:t>如果专利合同是基于一个无效的专利权而签订的，那么该合同可能会因为缺乏有效的专利基础而受到影响。然而，这并不直接等同于基于该专利权所签订的合同也无效。</w:t>
      </w:r>
    </w:p>
    <w:p w:rsidR="00590572" w:rsidRDefault="00590572" w:rsidP="00590572">
      <w:pPr>
        <w:pStyle w:val="12"/>
        <w:topLinePunct/>
        <w:spacing w:line="336" w:lineRule="auto"/>
        <w:ind w:firstLine="420"/>
        <w:rPr>
          <w:rFonts w:ascii="Times New Roman" w:eastAsiaTheme="minorEastAsia" w:hAnsi="Times New Roman" w:cstheme="minorEastAsia"/>
          <w:sz w:val="21"/>
          <w:szCs w:val="21"/>
        </w:rPr>
      </w:pPr>
      <w:r>
        <w:rPr>
          <w:rFonts w:ascii="Times New Roman" w:eastAsiaTheme="minorEastAsia" w:hAnsi="Times New Roman" w:cstheme="minorEastAsia" w:hint="eastAsia"/>
          <w:sz w:val="21"/>
          <w:szCs w:val="21"/>
        </w:rPr>
        <w:t>对于专利权被宣告无效前已签订的专利合同，</w:t>
      </w:r>
      <w:r>
        <w:rPr>
          <w:rFonts w:ascii="Times New Roman" w:eastAsiaTheme="minorEastAsia" w:hAnsi="Times New Roman" w:cstheme="minorEastAsia"/>
          <w:sz w:val="21"/>
          <w:szCs w:val="21"/>
        </w:rPr>
        <w:t>如果合同双方具有完全民事行为能力，合同内容不违反法律、法规的强制性规定，且不损害第三人利益，不违背公序良俗，也不存在导致合同无效的其他事由，</w:t>
      </w:r>
      <w:r>
        <w:rPr>
          <w:rFonts w:ascii="Times New Roman" w:eastAsiaTheme="minorEastAsia" w:hAnsi="Times New Roman" w:cstheme="minorEastAsia" w:hint="eastAsia"/>
          <w:sz w:val="21"/>
          <w:szCs w:val="21"/>
        </w:rPr>
        <w:t>则</w:t>
      </w:r>
      <w:r>
        <w:rPr>
          <w:rFonts w:ascii="Times New Roman" w:eastAsiaTheme="minorEastAsia" w:hAnsi="Times New Roman" w:cstheme="minorEastAsia"/>
          <w:sz w:val="21"/>
          <w:szCs w:val="21"/>
        </w:rPr>
        <w:t>该合同有效。即使专利权后来被宣告无效，只要合同本身满足上述条件，合同</w:t>
      </w:r>
      <w:r>
        <w:rPr>
          <w:rFonts w:ascii="Times New Roman" w:eastAsiaTheme="minorEastAsia" w:hAnsi="Times New Roman" w:cstheme="minorEastAsia" w:hint="eastAsia"/>
          <w:sz w:val="21"/>
          <w:szCs w:val="21"/>
        </w:rPr>
        <w:t>本身</w:t>
      </w:r>
      <w:r>
        <w:rPr>
          <w:rFonts w:ascii="Times New Roman" w:eastAsiaTheme="minorEastAsia" w:hAnsi="Times New Roman" w:cstheme="minorEastAsia"/>
          <w:sz w:val="21"/>
          <w:szCs w:val="21"/>
        </w:rPr>
        <w:t>依然有效</w:t>
      </w:r>
      <w:r>
        <w:rPr>
          <w:rFonts w:ascii="Times New Roman" w:eastAsiaTheme="minorEastAsia" w:hAnsi="Times New Roman" w:cstheme="minorEastAsia" w:hint="eastAsia"/>
          <w:sz w:val="21"/>
          <w:szCs w:val="21"/>
        </w:rPr>
        <w:t>，但专利权被宣告无效后会对合同的后续履行产生影响</w:t>
      </w:r>
      <w:r>
        <w:rPr>
          <w:rFonts w:ascii="Times New Roman" w:eastAsiaTheme="minorEastAsia" w:hAnsi="Times New Roman" w:cstheme="minorEastAsia"/>
          <w:sz w:val="21"/>
          <w:szCs w:val="21"/>
        </w:rPr>
        <w:t>。</w:t>
      </w:r>
    </w:p>
    <w:p w:rsidR="00590572" w:rsidRDefault="00590572" w:rsidP="00590572">
      <w:pPr>
        <w:pStyle w:val="3"/>
        <w:spacing w:before="240" w:after="240"/>
        <w:ind w:firstLine="444"/>
        <w:rPr>
          <w:rFonts w:ascii="Times New Roman" w:hAnsi="Times New Roman"/>
        </w:rPr>
      </w:pPr>
      <w:bookmarkStart w:id="9304" w:name="_Toc229225656"/>
      <w:r>
        <w:rPr>
          <w:rFonts w:ascii="Times New Roman" w:hAnsi="Times New Roman" w:hint="eastAsia"/>
        </w:rPr>
        <w:t>一、专利权被宣告无效对合同已履行部分效力的影响</w:t>
      </w:r>
      <w:bookmarkEnd w:id="9304"/>
    </w:p>
    <w:p w:rsidR="00590572" w:rsidRDefault="00590572" w:rsidP="00590572">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根据《专利法》第</w:t>
      </w:r>
      <w:r>
        <w:rPr>
          <w:rFonts w:ascii="Times New Roman" w:eastAsia="宋体" w:hAnsi="Times New Roman" w:hint="eastAsia"/>
          <w:sz w:val="21"/>
          <w:szCs w:val="21"/>
        </w:rPr>
        <w:t>四十七</w:t>
      </w:r>
      <w:r>
        <w:rPr>
          <w:rFonts w:ascii="Times New Roman" w:eastAsia="宋体" w:hAnsi="Times New Roman"/>
          <w:sz w:val="21"/>
          <w:szCs w:val="21"/>
        </w:rPr>
        <w:t>条</w:t>
      </w:r>
      <w:r>
        <w:rPr>
          <w:rFonts w:ascii="Times New Roman" w:eastAsia="宋体" w:hAnsi="Times New Roman" w:hint="eastAsia"/>
          <w:sz w:val="21"/>
          <w:szCs w:val="21"/>
        </w:rPr>
        <w:t>的</w:t>
      </w:r>
      <w:r>
        <w:rPr>
          <w:rFonts w:ascii="Times New Roman" w:eastAsia="宋体" w:hAnsi="Times New Roman"/>
          <w:sz w:val="21"/>
          <w:szCs w:val="21"/>
        </w:rPr>
        <w:t>规定，宣告专利权无效的决定，对在宣告专利权无效前人民法院作出并已执行的</w:t>
      </w:r>
      <w:hyperlink r:id="rId85" w:tgtFrame="_blank" w:history="1">
        <w:r>
          <w:rPr>
            <w:rFonts w:ascii="Times New Roman" w:eastAsia="宋体" w:hAnsi="Times New Roman"/>
            <w:sz w:val="21"/>
            <w:szCs w:val="21"/>
          </w:rPr>
          <w:t>专利侵权</w:t>
        </w:r>
      </w:hyperlink>
      <w:r>
        <w:rPr>
          <w:rFonts w:ascii="Times New Roman" w:eastAsia="宋体" w:hAnsi="Times New Roman"/>
          <w:sz w:val="21"/>
          <w:szCs w:val="21"/>
        </w:rPr>
        <w:t>的判决、调解书，已经履行或者强制执行的</w:t>
      </w:r>
      <w:hyperlink r:id="rId86" w:tgtFrame="_blank" w:history="1">
        <w:r>
          <w:rPr>
            <w:rFonts w:ascii="Times New Roman" w:eastAsia="宋体" w:hAnsi="Times New Roman"/>
            <w:sz w:val="21"/>
            <w:szCs w:val="21"/>
          </w:rPr>
          <w:t>专利侵权纠纷</w:t>
        </w:r>
      </w:hyperlink>
      <w:r>
        <w:rPr>
          <w:rFonts w:ascii="Times New Roman" w:eastAsia="宋体" w:hAnsi="Times New Roman"/>
          <w:sz w:val="21"/>
          <w:szCs w:val="21"/>
        </w:rPr>
        <w:t>处理决定，以及已经履行的专利实施许可合同和专利权转让合同，不具有追溯力。但是因专利权人的恶意给他人造成的损失，应当给予赔偿。依照前款规定不返还专利侵权赔偿金、</w:t>
      </w:r>
      <w:hyperlink r:id="rId87" w:tgtFrame="_blank" w:history="1">
        <w:r>
          <w:rPr>
            <w:rFonts w:ascii="Times New Roman" w:eastAsia="宋体" w:hAnsi="Times New Roman"/>
            <w:sz w:val="21"/>
            <w:szCs w:val="21"/>
          </w:rPr>
          <w:t>专利使用费</w:t>
        </w:r>
      </w:hyperlink>
      <w:r>
        <w:rPr>
          <w:rFonts w:ascii="Times New Roman" w:eastAsia="宋体" w:hAnsi="Times New Roman"/>
          <w:sz w:val="21"/>
          <w:szCs w:val="21"/>
        </w:rPr>
        <w:t>、专利权转让费，明显违反公平原则的，应当全部或者部分返还。因此，</w:t>
      </w:r>
      <w:r>
        <w:rPr>
          <w:rFonts w:ascii="Times New Roman" w:eastAsia="宋体" w:hAnsi="Times New Roman" w:hint="eastAsia"/>
          <w:sz w:val="21"/>
          <w:szCs w:val="21"/>
        </w:rPr>
        <w:t>在</w:t>
      </w:r>
      <w:r>
        <w:rPr>
          <w:rFonts w:ascii="Times New Roman" w:eastAsia="宋体" w:hAnsi="Times New Roman"/>
          <w:sz w:val="21"/>
          <w:szCs w:val="21"/>
        </w:rPr>
        <w:t>专利</w:t>
      </w:r>
      <w:r>
        <w:rPr>
          <w:rFonts w:ascii="Times New Roman" w:eastAsia="宋体" w:hAnsi="Times New Roman" w:hint="eastAsia"/>
          <w:sz w:val="21"/>
          <w:szCs w:val="21"/>
        </w:rPr>
        <w:t>权</w:t>
      </w:r>
      <w:r>
        <w:rPr>
          <w:rFonts w:ascii="Times New Roman" w:eastAsia="宋体" w:hAnsi="Times New Roman"/>
          <w:sz w:val="21"/>
          <w:szCs w:val="21"/>
        </w:rPr>
        <w:t>被宣告无效后，除非</w:t>
      </w:r>
      <w:r>
        <w:rPr>
          <w:rFonts w:ascii="Times New Roman" w:eastAsia="宋体" w:hAnsi="Times New Roman" w:hint="eastAsia"/>
          <w:sz w:val="21"/>
          <w:szCs w:val="21"/>
        </w:rPr>
        <w:t>存在合同本身无效或可撤销的情形</w:t>
      </w:r>
      <w:r>
        <w:rPr>
          <w:rFonts w:ascii="Times New Roman" w:eastAsia="宋体" w:hAnsi="Times New Roman"/>
          <w:sz w:val="21"/>
          <w:szCs w:val="21"/>
        </w:rPr>
        <w:t>，根据法律</w:t>
      </w:r>
      <w:hyperlink r:id="rId88" w:tgtFrame="_blank" w:history="1">
        <w:r>
          <w:rPr>
            <w:rFonts w:ascii="Times New Roman" w:eastAsia="宋体" w:hAnsi="Times New Roman"/>
            <w:sz w:val="21"/>
            <w:szCs w:val="21"/>
          </w:rPr>
          <w:t>不溯及既往原则</w:t>
        </w:r>
      </w:hyperlink>
      <w:r>
        <w:rPr>
          <w:rFonts w:ascii="Times New Roman" w:eastAsia="宋体" w:hAnsi="Times New Roman"/>
          <w:sz w:val="21"/>
          <w:szCs w:val="21"/>
        </w:rPr>
        <w:t>，专利转让合同</w:t>
      </w:r>
      <w:r>
        <w:rPr>
          <w:rFonts w:ascii="Times New Roman" w:eastAsia="宋体" w:hAnsi="Times New Roman" w:hint="eastAsia"/>
          <w:sz w:val="21"/>
          <w:szCs w:val="21"/>
        </w:rPr>
        <w:t>或专利实施许可合同中</w:t>
      </w:r>
      <w:r>
        <w:rPr>
          <w:rFonts w:ascii="Times New Roman" w:eastAsia="宋体" w:hAnsi="Times New Roman"/>
          <w:sz w:val="21"/>
          <w:szCs w:val="21"/>
        </w:rPr>
        <w:t>已经履行的</w:t>
      </w:r>
      <w:r>
        <w:rPr>
          <w:rFonts w:ascii="Times New Roman" w:eastAsia="宋体" w:hAnsi="Times New Roman" w:hint="eastAsia"/>
          <w:sz w:val="21"/>
          <w:szCs w:val="21"/>
        </w:rPr>
        <w:t>部分</w:t>
      </w:r>
      <w:r>
        <w:rPr>
          <w:rFonts w:ascii="Times New Roman" w:eastAsia="宋体" w:hAnsi="Times New Roman"/>
          <w:sz w:val="21"/>
          <w:szCs w:val="21"/>
        </w:rPr>
        <w:t>依然有效。</w:t>
      </w:r>
    </w:p>
    <w:p w:rsidR="00590572" w:rsidRDefault="00590572" w:rsidP="00590572">
      <w:pPr>
        <w:pStyle w:val="12"/>
        <w:topLinePunct/>
        <w:spacing w:line="336" w:lineRule="auto"/>
        <w:ind w:firstLine="420"/>
        <w:rPr>
          <w:rFonts w:ascii="Times New Roman" w:eastAsia="宋体" w:hAnsi="Times New Roman"/>
          <w:sz w:val="21"/>
          <w:szCs w:val="21"/>
        </w:rPr>
      </w:pPr>
      <w:r>
        <w:rPr>
          <w:rFonts w:ascii="Times New Roman" w:eastAsia="宋体" w:hAnsi="Times New Roman"/>
          <w:sz w:val="21"/>
          <w:szCs w:val="21"/>
        </w:rPr>
        <w:t>司法实践中</w:t>
      </w:r>
      <w:r>
        <w:rPr>
          <w:rFonts w:ascii="Times New Roman" w:eastAsia="宋体" w:hAnsi="Times New Roman" w:hint="eastAsia"/>
          <w:sz w:val="21"/>
          <w:szCs w:val="21"/>
        </w:rPr>
        <w:t>对于</w:t>
      </w:r>
      <w:r>
        <w:rPr>
          <w:rFonts w:ascii="Times New Roman" w:eastAsia="宋体" w:hAnsi="Times New Roman"/>
          <w:sz w:val="21"/>
          <w:szCs w:val="21"/>
        </w:rPr>
        <w:t>“</w:t>
      </w:r>
      <w:r>
        <w:rPr>
          <w:rFonts w:ascii="Times New Roman" w:eastAsia="宋体" w:hAnsi="Times New Roman"/>
          <w:sz w:val="21"/>
          <w:szCs w:val="21"/>
        </w:rPr>
        <w:t>恶意</w:t>
      </w:r>
      <w:r>
        <w:rPr>
          <w:rFonts w:ascii="Times New Roman" w:eastAsia="宋体" w:hAnsi="Times New Roman"/>
          <w:sz w:val="21"/>
          <w:szCs w:val="21"/>
        </w:rPr>
        <w:t>”</w:t>
      </w:r>
      <w:r>
        <w:rPr>
          <w:rFonts w:ascii="Times New Roman" w:eastAsia="宋体" w:hAnsi="Times New Roman" w:hint="eastAsia"/>
          <w:sz w:val="21"/>
          <w:szCs w:val="21"/>
        </w:rPr>
        <w:t>的认定</w:t>
      </w:r>
      <w:r>
        <w:rPr>
          <w:rFonts w:ascii="Times New Roman" w:eastAsia="宋体" w:hAnsi="Times New Roman"/>
          <w:sz w:val="21"/>
          <w:szCs w:val="21"/>
        </w:rPr>
        <w:t>，包括专利申请人、专利权人</w:t>
      </w:r>
      <w:r>
        <w:rPr>
          <w:rFonts w:ascii="Times New Roman" w:eastAsia="宋体" w:hAnsi="Times New Roman" w:hint="eastAsia"/>
          <w:sz w:val="21"/>
          <w:szCs w:val="21"/>
        </w:rPr>
        <w:t>明知不应当获得专利保护的发明创造</w:t>
      </w:r>
      <w:r>
        <w:rPr>
          <w:rFonts w:ascii="Times New Roman" w:eastAsia="宋体" w:hAnsi="Times New Roman"/>
          <w:sz w:val="21"/>
          <w:szCs w:val="21"/>
        </w:rPr>
        <w:t>，</w:t>
      </w:r>
      <w:r>
        <w:rPr>
          <w:rFonts w:ascii="Times New Roman" w:eastAsia="宋体" w:hAnsi="Times New Roman" w:hint="eastAsia"/>
          <w:sz w:val="21"/>
          <w:szCs w:val="21"/>
        </w:rPr>
        <w:t>故意采取规避法律或者不正当手段获得了专利权；</w:t>
      </w:r>
      <w:r>
        <w:rPr>
          <w:rFonts w:ascii="Times New Roman" w:eastAsia="宋体" w:hAnsi="Times New Roman"/>
          <w:sz w:val="21"/>
          <w:szCs w:val="21"/>
        </w:rPr>
        <w:t>专利权人明知其专利</w:t>
      </w:r>
      <w:r>
        <w:rPr>
          <w:rFonts w:ascii="Times New Roman" w:eastAsia="宋体" w:hAnsi="Times New Roman" w:hint="eastAsia"/>
          <w:sz w:val="21"/>
          <w:szCs w:val="21"/>
        </w:rPr>
        <w:t>权</w:t>
      </w:r>
      <w:r>
        <w:rPr>
          <w:rFonts w:ascii="Times New Roman" w:eastAsia="宋体" w:hAnsi="Times New Roman"/>
          <w:sz w:val="21"/>
          <w:szCs w:val="21"/>
        </w:rPr>
        <w:t>被宣告无效而仍然申请强制执行</w:t>
      </w:r>
      <w:r>
        <w:rPr>
          <w:rFonts w:ascii="Times New Roman" w:eastAsia="宋体" w:hAnsi="Times New Roman" w:hint="eastAsia"/>
          <w:sz w:val="21"/>
          <w:szCs w:val="21"/>
        </w:rPr>
        <w:t>；当事人以获取非法或不正当利益为目的而故意提起一个在事实上和法律上无根据之诉，并致使相对人在诉讼中遭受损失</w:t>
      </w:r>
      <w:r>
        <w:rPr>
          <w:rFonts w:ascii="Times New Roman" w:eastAsia="宋体" w:hAnsi="Times New Roman"/>
          <w:sz w:val="21"/>
          <w:szCs w:val="21"/>
        </w:rPr>
        <w:t>等情形。</w:t>
      </w:r>
    </w:p>
    <w:p w:rsidR="00590572" w:rsidRDefault="00590572" w:rsidP="00590572">
      <w:pPr>
        <w:pStyle w:val="af6"/>
        <w:spacing w:before="120"/>
        <w:ind w:firstLine="420"/>
      </w:pPr>
      <w:r>
        <w:rPr>
          <w:rFonts w:hint="eastAsia"/>
        </w:rPr>
        <w:t>【案例9-3</w:t>
      </w:r>
      <w:r>
        <w:t>-</w:t>
      </w:r>
      <w:r>
        <w:rPr>
          <w:rFonts w:hint="eastAsia"/>
        </w:rPr>
        <w:t>1</w:t>
      </w:r>
      <w:r>
        <w:t>】</w:t>
      </w:r>
    </w:p>
    <w:p w:rsidR="00590572" w:rsidRDefault="00590572" w:rsidP="00590572">
      <w:pPr>
        <w:topLinePunct/>
        <w:ind w:firstLine="436"/>
        <w:rPr>
          <w:rFonts w:eastAsia="楷体_GB2312" w:cs="楷体_GB2312"/>
          <w:spacing w:val="4"/>
        </w:rPr>
      </w:pPr>
      <w:r>
        <w:rPr>
          <w:rFonts w:eastAsia="楷体_GB2312" w:cs="楷体_GB2312" w:hint="eastAsia"/>
          <w:spacing w:val="4"/>
        </w:rPr>
        <w:t>从</w:t>
      </w:r>
      <w:r>
        <w:rPr>
          <w:rFonts w:eastAsia="楷体_GB2312" w:cs="楷体_GB2312"/>
          <w:spacing w:val="4"/>
        </w:rPr>
        <w:t>2009</w:t>
      </w:r>
      <w:r>
        <w:rPr>
          <w:rFonts w:eastAsia="楷体_GB2312" w:cs="楷体_GB2312"/>
          <w:spacing w:val="4"/>
        </w:rPr>
        <w:t>年开始，</w:t>
      </w:r>
      <w:r>
        <w:rPr>
          <w:rFonts w:eastAsia="楷体_GB2312" w:cs="楷体_GB2312" w:hint="eastAsia"/>
          <w:spacing w:val="4"/>
        </w:rPr>
        <w:t>甲</w:t>
      </w:r>
      <w:r>
        <w:rPr>
          <w:rFonts w:eastAsia="楷体_GB2312" w:cs="楷体_GB2312"/>
          <w:spacing w:val="4"/>
        </w:rPr>
        <w:t>利用其经营的</w:t>
      </w:r>
      <w:r>
        <w:rPr>
          <w:rFonts w:eastAsia="楷体_GB2312" w:cs="楷体_GB2312"/>
          <w:spacing w:val="4"/>
        </w:rPr>
        <w:t>A</w:t>
      </w:r>
      <w:r>
        <w:rPr>
          <w:rFonts w:eastAsia="楷体_GB2312" w:cs="楷体_GB2312"/>
          <w:spacing w:val="4"/>
        </w:rPr>
        <w:t>公司等单位名义申请了大量涉及多个技术领域的专利，向法院提起专利权诉讼纠纷，以诉讼影响企业生产经营、上市、融资等为要挟，与被诉方签订专利实施许可合同、和解协议等，迫使对方支付钱款，换取其撤诉或不再主张专利权。</w:t>
      </w:r>
      <w:r>
        <w:rPr>
          <w:rFonts w:eastAsia="楷体_GB2312" w:cs="楷体_GB2312"/>
          <w:spacing w:val="4"/>
        </w:rPr>
        <w:t>2015</w:t>
      </w:r>
      <w:r>
        <w:rPr>
          <w:rFonts w:eastAsia="楷体_GB2312" w:cs="楷体_GB2312"/>
          <w:spacing w:val="4"/>
        </w:rPr>
        <w:t>年至</w:t>
      </w:r>
      <w:r>
        <w:rPr>
          <w:rFonts w:eastAsia="楷体_GB2312" w:cs="楷体_GB2312"/>
          <w:spacing w:val="4"/>
        </w:rPr>
        <w:t>2017</w:t>
      </w:r>
      <w:r>
        <w:rPr>
          <w:rFonts w:eastAsia="楷体_GB2312" w:cs="楷体_GB2312"/>
          <w:spacing w:val="4"/>
        </w:rPr>
        <w:t>年间，</w:t>
      </w:r>
      <w:r>
        <w:rPr>
          <w:rFonts w:eastAsia="楷体_GB2312" w:cs="楷体_GB2312" w:hint="eastAsia"/>
          <w:spacing w:val="4"/>
        </w:rPr>
        <w:t>甲</w:t>
      </w:r>
      <w:r>
        <w:rPr>
          <w:rFonts w:eastAsia="楷体_GB2312" w:cs="楷体_GB2312"/>
          <w:spacing w:val="4"/>
        </w:rPr>
        <w:t>单独或伙同</w:t>
      </w:r>
      <w:r>
        <w:rPr>
          <w:rFonts w:eastAsia="楷体_GB2312" w:cs="楷体_GB2312" w:hint="eastAsia"/>
          <w:spacing w:val="4"/>
        </w:rPr>
        <w:t>乙</w:t>
      </w:r>
      <w:r>
        <w:rPr>
          <w:rFonts w:eastAsia="楷体_GB2312" w:cs="楷体_GB2312"/>
          <w:spacing w:val="4"/>
        </w:rPr>
        <w:t>以</w:t>
      </w:r>
      <w:r>
        <w:rPr>
          <w:rFonts w:eastAsia="楷体_GB2312" w:cs="楷体_GB2312"/>
          <w:spacing w:val="4"/>
        </w:rPr>
        <w:t>A</w:t>
      </w:r>
      <w:r>
        <w:rPr>
          <w:rFonts w:eastAsia="楷体_GB2312" w:cs="楷体_GB2312" w:hint="eastAsia"/>
          <w:spacing w:val="4"/>
        </w:rPr>
        <w:t>公司等单位名义，采取上述要挟手段，先后迫使</w:t>
      </w:r>
      <w:r>
        <w:rPr>
          <w:rFonts w:eastAsia="楷体_GB2312" w:cs="楷体_GB2312"/>
          <w:spacing w:val="4"/>
        </w:rPr>
        <w:t>B</w:t>
      </w:r>
      <w:r>
        <w:rPr>
          <w:rFonts w:eastAsia="楷体_GB2312" w:cs="楷体_GB2312" w:hint="eastAsia"/>
          <w:spacing w:val="4"/>
        </w:rPr>
        <w:t>公司、</w:t>
      </w:r>
      <w:r>
        <w:rPr>
          <w:rFonts w:eastAsia="楷体_GB2312" w:cs="楷体_GB2312"/>
          <w:spacing w:val="4"/>
        </w:rPr>
        <w:t>C</w:t>
      </w:r>
      <w:r>
        <w:rPr>
          <w:rFonts w:eastAsia="楷体_GB2312" w:cs="楷体_GB2312" w:hint="eastAsia"/>
          <w:spacing w:val="4"/>
        </w:rPr>
        <w:t>公司、</w:t>
      </w:r>
      <w:r>
        <w:rPr>
          <w:rFonts w:eastAsia="楷体_GB2312" w:cs="楷体_GB2312"/>
          <w:spacing w:val="4"/>
        </w:rPr>
        <w:t>D</w:t>
      </w:r>
      <w:r>
        <w:rPr>
          <w:rFonts w:eastAsia="楷体_GB2312" w:cs="楷体_GB2312" w:hint="eastAsia"/>
          <w:spacing w:val="4"/>
        </w:rPr>
        <w:t>公司、</w:t>
      </w:r>
      <w:r>
        <w:rPr>
          <w:rFonts w:eastAsia="楷体_GB2312" w:cs="楷体_GB2312"/>
          <w:spacing w:val="4"/>
        </w:rPr>
        <w:t>E</w:t>
      </w:r>
      <w:r>
        <w:rPr>
          <w:rFonts w:eastAsia="楷体_GB2312" w:cs="楷体_GB2312" w:hint="eastAsia"/>
          <w:spacing w:val="4"/>
        </w:rPr>
        <w:t>公司</w:t>
      </w:r>
      <w:r>
        <w:rPr>
          <w:rFonts w:eastAsia="楷体_GB2312" w:cs="楷体_GB2312"/>
          <w:spacing w:val="4"/>
        </w:rPr>
        <w:t>4</w:t>
      </w:r>
      <w:r>
        <w:rPr>
          <w:rFonts w:eastAsia="楷体_GB2312" w:cs="楷体_GB2312"/>
          <w:spacing w:val="4"/>
        </w:rPr>
        <w:t>家被害单位与</w:t>
      </w:r>
      <w:r>
        <w:rPr>
          <w:rFonts w:eastAsia="楷体_GB2312" w:cs="楷体_GB2312"/>
          <w:spacing w:val="4"/>
        </w:rPr>
        <w:t>A</w:t>
      </w:r>
      <w:r>
        <w:rPr>
          <w:rFonts w:eastAsia="楷体_GB2312" w:cs="楷体_GB2312" w:hint="eastAsia"/>
          <w:spacing w:val="4"/>
        </w:rPr>
        <w:t>公司等单位签订专利实施许可合同或和解协议，以许可使用费、和解费等名义向</w:t>
      </w:r>
      <w:r>
        <w:rPr>
          <w:rFonts w:eastAsia="楷体_GB2312" w:cs="楷体_GB2312"/>
          <w:spacing w:val="4"/>
        </w:rPr>
        <w:t>4</w:t>
      </w:r>
      <w:r>
        <w:rPr>
          <w:rFonts w:eastAsia="楷体_GB2312" w:cs="楷体_GB2312"/>
          <w:spacing w:val="4"/>
        </w:rPr>
        <w:t>家被害单位索取钱款。在两次开庭审理及一次延长审限后，</w:t>
      </w:r>
      <w:r>
        <w:rPr>
          <w:rFonts w:eastAsia="楷体_GB2312" w:cs="楷体_GB2312"/>
          <w:spacing w:val="4"/>
        </w:rPr>
        <w:t>2019</w:t>
      </w:r>
      <w:r>
        <w:rPr>
          <w:rFonts w:eastAsia="楷体_GB2312" w:cs="楷体_GB2312" w:hint="eastAsia"/>
          <w:spacing w:val="4"/>
        </w:rPr>
        <w:t>年</w:t>
      </w:r>
      <w:r>
        <w:rPr>
          <w:rFonts w:eastAsia="楷体_GB2312" w:cs="楷体_GB2312"/>
          <w:spacing w:val="4"/>
        </w:rPr>
        <w:t>9</w:t>
      </w:r>
      <w:r>
        <w:rPr>
          <w:rFonts w:eastAsia="楷体_GB2312" w:cs="楷体_GB2312" w:hint="eastAsia"/>
          <w:spacing w:val="4"/>
        </w:rPr>
        <w:t>月</w:t>
      </w:r>
      <w:r>
        <w:rPr>
          <w:rFonts w:eastAsia="楷体_GB2312" w:cs="楷体_GB2312"/>
          <w:spacing w:val="4"/>
        </w:rPr>
        <w:t>30</w:t>
      </w:r>
      <w:r>
        <w:rPr>
          <w:rFonts w:eastAsia="楷体_GB2312" w:cs="楷体_GB2312" w:hint="eastAsia"/>
          <w:spacing w:val="4"/>
        </w:rPr>
        <w:t>日，上海浦东法院终于作出判决：公诉方指控甲第一次敲诈</w:t>
      </w:r>
      <w:r>
        <w:rPr>
          <w:rFonts w:eastAsia="楷体_GB2312" w:cs="楷体_GB2312"/>
          <w:spacing w:val="4"/>
        </w:rPr>
        <w:t>B</w:t>
      </w:r>
      <w:r>
        <w:rPr>
          <w:rFonts w:eastAsia="楷体_GB2312" w:cs="楷体_GB2312"/>
          <w:spacing w:val="4"/>
        </w:rPr>
        <w:t>公司</w:t>
      </w:r>
      <w:r>
        <w:rPr>
          <w:rFonts w:eastAsia="楷体_GB2312" w:cs="楷体_GB2312"/>
          <w:spacing w:val="4"/>
        </w:rPr>
        <w:t>80</w:t>
      </w:r>
      <w:r>
        <w:rPr>
          <w:rFonts w:eastAsia="楷体_GB2312" w:cs="楷体_GB2312" w:hint="eastAsia"/>
          <w:spacing w:val="4"/>
        </w:rPr>
        <w:t>万元（实得</w:t>
      </w:r>
      <w:r>
        <w:rPr>
          <w:rFonts w:eastAsia="楷体_GB2312" w:cs="楷体_GB2312"/>
          <w:spacing w:val="4"/>
        </w:rPr>
        <w:t>50</w:t>
      </w:r>
      <w:r>
        <w:rPr>
          <w:rFonts w:eastAsia="楷体_GB2312" w:cs="楷体_GB2312" w:hint="eastAsia"/>
          <w:spacing w:val="4"/>
        </w:rPr>
        <w:t>万元），以及敲诈勒索</w:t>
      </w:r>
      <w:r>
        <w:rPr>
          <w:rFonts w:eastAsia="楷体_GB2312" w:cs="楷体_GB2312"/>
          <w:spacing w:val="4"/>
        </w:rPr>
        <w:t>C</w:t>
      </w:r>
      <w:r>
        <w:rPr>
          <w:rFonts w:eastAsia="楷体_GB2312" w:cs="楷体_GB2312" w:hint="eastAsia"/>
          <w:spacing w:val="4"/>
        </w:rPr>
        <w:t>、</w:t>
      </w:r>
      <w:r>
        <w:rPr>
          <w:rFonts w:eastAsia="楷体_GB2312" w:cs="楷体_GB2312"/>
          <w:spacing w:val="4"/>
        </w:rPr>
        <w:t>D</w:t>
      </w:r>
      <w:r>
        <w:rPr>
          <w:rFonts w:eastAsia="楷体_GB2312" w:cs="楷体_GB2312" w:hint="eastAsia"/>
          <w:spacing w:val="4"/>
        </w:rPr>
        <w:t>和</w:t>
      </w:r>
      <w:r>
        <w:rPr>
          <w:rFonts w:eastAsia="楷体_GB2312" w:cs="楷体_GB2312"/>
          <w:spacing w:val="4"/>
        </w:rPr>
        <w:t>E</w:t>
      </w:r>
      <w:r>
        <w:rPr>
          <w:rFonts w:eastAsia="楷体_GB2312" w:cs="楷体_GB2312" w:hint="eastAsia"/>
          <w:spacing w:val="4"/>
        </w:rPr>
        <w:t>三公司</w:t>
      </w:r>
      <w:r>
        <w:rPr>
          <w:rFonts w:eastAsia="楷体_GB2312" w:cs="楷体_GB2312"/>
          <w:spacing w:val="4"/>
        </w:rPr>
        <w:t>56.3</w:t>
      </w:r>
      <w:r>
        <w:rPr>
          <w:rFonts w:eastAsia="楷体_GB2312" w:cs="楷体_GB2312" w:hint="eastAsia"/>
          <w:spacing w:val="4"/>
        </w:rPr>
        <w:t>万元证据不足，不构成敲诈勒索罪。甲和乙针对</w:t>
      </w:r>
      <w:r>
        <w:rPr>
          <w:rFonts w:eastAsia="楷体_GB2312" w:cs="楷体_GB2312"/>
          <w:spacing w:val="4"/>
        </w:rPr>
        <w:t>B</w:t>
      </w:r>
      <w:r>
        <w:rPr>
          <w:rFonts w:eastAsia="楷体_GB2312" w:cs="楷体_GB2312" w:hint="eastAsia"/>
          <w:spacing w:val="4"/>
        </w:rPr>
        <w:t>公司实施的虚构独占许可合同、起诉、投诉并迫使</w:t>
      </w:r>
      <w:r>
        <w:rPr>
          <w:rFonts w:eastAsia="楷体_GB2312" w:cs="楷体_GB2312"/>
          <w:spacing w:val="4"/>
        </w:rPr>
        <w:t>B</w:t>
      </w:r>
      <w:r>
        <w:rPr>
          <w:rFonts w:eastAsia="楷体_GB2312" w:cs="楷体_GB2312" w:hint="eastAsia"/>
          <w:spacing w:val="4"/>
        </w:rPr>
        <w:t>公司支付</w:t>
      </w:r>
      <w:r>
        <w:rPr>
          <w:rFonts w:eastAsia="楷体_GB2312" w:cs="楷体_GB2312"/>
          <w:spacing w:val="4"/>
        </w:rPr>
        <w:t>10</w:t>
      </w:r>
      <w:r>
        <w:rPr>
          <w:rFonts w:eastAsia="楷体_GB2312" w:cs="楷体_GB2312" w:hint="eastAsia"/>
          <w:spacing w:val="4"/>
        </w:rPr>
        <w:t>万元的行为，构成敲诈勒索罪。判处甲有期徒刑</w:t>
      </w:r>
      <w:r>
        <w:rPr>
          <w:rFonts w:eastAsia="楷体_GB2312" w:cs="楷体_GB2312"/>
          <w:spacing w:val="4"/>
        </w:rPr>
        <w:t>4</w:t>
      </w:r>
      <w:r>
        <w:rPr>
          <w:rFonts w:eastAsia="楷体_GB2312" w:cs="楷体_GB2312" w:hint="eastAsia"/>
          <w:spacing w:val="4"/>
        </w:rPr>
        <w:t>年</w:t>
      </w:r>
      <w:r>
        <w:rPr>
          <w:rFonts w:eastAsia="楷体_GB2312" w:cs="楷体_GB2312"/>
          <w:spacing w:val="4"/>
        </w:rPr>
        <w:t>6</w:t>
      </w:r>
      <w:r>
        <w:rPr>
          <w:rFonts w:eastAsia="楷体_GB2312" w:cs="楷体_GB2312" w:hint="eastAsia"/>
          <w:spacing w:val="4"/>
        </w:rPr>
        <w:t>个月，罚金</w:t>
      </w:r>
      <w:r>
        <w:rPr>
          <w:rFonts w:eastAsia="楷体_GB2312" w:cs="楷体_GB2312"/>
          <w:spacing w:val="4"/>
        </w:rPr>
        <w:t>5</w:t>
      </w:r>
      <w:r>
        <w:rPr>
          <w:rFonts w:eastAsia="楷体_GB2312" w:cs="楷体_GB2312" w:hint="eastAsia"/>
          <w:spacing w:val="4"/>
        </w:rPr>
        <w:t>万元。判处乙有期徒刑</w:t>
      </w:r>
      <w:r>
        <w:rPr>
          <w:rFonts w:eastAsia="楷体_GB2312" w:cs="楷体_GB2312"/>
          <w:spacing w:val="4"/>
        </w:rPr>
        <w:t>2</w:t>
      </w:r>
      <w:r>
        <w:rPr>
          <w:rFonts w:eastAsia="楷体_GB2312" w:cs="楷体_GB2312" w:hint="eastAsia"/>
          <w:spacing w:val="4"/>
        </w:rPr>
        <w:t>年，罚金</w:t>
      </w:r>
      <w:r>
        <w:rPr>
          <w:rFonts w:eastAsia="楷体_GB2312" w:cs="楷体_GB2312"/>
          <w:spacing w:val="4"/>
        </w:rPr>
        <w:t>2</w:t>
      </w:r>
      <w:r>
        <w:rPr>
          <w:rFonts w:eastAsia="楷体_GB2312" w:cs="楷体_GB2312" w:hint="eastAsia"/>
          <w:spacing w:val="4"/>
        </w:rPr>
        <w:t>万元。</w:t>
      </w:r>
    </w:p>
    <w:p w:rsidR="00590572" w:rsidRDefault="00590572" w:rsidP="00590572">
      <w:pPr>
        <w:rPr>
          <w:rFonts w:eastAsia="华文隶书" w:cs="MingLiU_HKSCS"/>
          <w:color w:val="000000"/>
          <w:szCs w:val="21"/>
          <w:lang w:val="zh-CN"/>
        </w:rPr>
      </w:pPr>
      <w:r>
        <w:rPr>
          <w:rFonts w:eastAsia="华文隶书" w:cs="MingLiU_HKSCS" w:hint="eastAsia"/>
          <w:color w:val="000000"/>
          <w:szCs w:val="21"/>
          <w:lang w:val="zh-CN"/>
        </w:rPr>
        <w:t>分析与评述</w:t>
      </w:r>
    </w:p>
    <w:p w:rsidR="00590572" w:rsidRDefault="00590572" w:rsidP="00590572">
      <w:pPr>
        <w:topLinePunct/>
        <w:ind w:firstLine="436"/>
        <w:rPr>
          <w:rFonts w:eastAsia="楷体_GB2312" w:cs="楷体_GB2312"/>
          <w:spacing w:val="4"/>
        </w:rPr>
      </w:pPr>
      <w:r>
        <w:rPr>
          <w:rFonts w:eastAsia="楷体_GB2312" w:cs="楷体_GB2312" w:hint="eastAsia"/>
          <w:spacing w:val="4"/>
        </w:rPr>
        <w:t>本案从事实环节上基本可以将行为人的行为归纳为四步：</w:t>
      </w:r>
      <w:r>
        <w:rPr>
          <w:rFonts w:eastAsia="楷体_GB2312" w:cs="楷体_GB2312"/>
          <w:spacing w:val="4"/>
        </w:rPr>
        <w:t>1.</w:t>
      </w:r>
      <w:r>
        <w:rPr>
          <w:rFonts w:eastAsia="楷体_GB2312" w:cs="楷体_GB2312"/>
          <w:spacing w:val="4"/>
        </w:rPr>
        <w:t>申请大量涉及多个技术领域的专利；</w:t>
      </w:r>
      <w:r>
        <w:rPr>
          <w:rFonts w:eastAsia="楷体_GB2312" w:cs="楷体_GB2312"/>
          <w:spacing w:val="4"/>
        </w:rPr>
        <w:t>2.</w:t>
      </w:r>
      <w:r>
        <w:rPr>
          <w:rFonts w:eastAsia="楷体_GB2312" w:cs="楷体_GB2312"/>
          <w:spacing w:val="4"/>
        </w:rPr>
        <w:t>选择被害单位即将上市交易的关键时期对被害单位向法院提起专利权纠纷诉讼；</w:t>
      </w:r>
      <w:r>
        <w:rPr>
          <w:rFonts w:eastAsia="楷体_GB2312" w:cs="楷体_GB2312"/>
          <w:spacing w:val="4"/>
        </w:rPr>
        <w:t>3.</w:t>
      </w:r>
      <w:r>
        <w:rPr>
          <w:rFonts w:eastAsia="楷体_GB2312" w:cs="楷体_GB2312"/>
          <w:spacing w:val="4"/>
        </w:rPr>
        <w:t>以诉讼影响企业生产经营、上市、融资等为要挟，与被诉方签订专利实施许可合同、和解协议等；</w:t>
      </w:r>
      <w:r>
        <w:rPr>
          <w:rFonts w:eastAsia="楷体_GB2312" w:cs="楷体_GB2312"/>
          <w:spacing w:val="4"/>
        </w:rPr>
        <w:t>4.</w:t>
      </w:r>
      <w:r>
        <w:rPr>
          <w:rFonts w:eastAsia="楷体_GB2312" w:cs="楷体_GB2312"/>
          <w:spacing w:val="4"/>
        </w:rPr>
        <w:t>迫使被害单位支付钱款，换取其撤诉或不再主张专利权。专利恶意诉讼以严重背离权利行使目的的方式，损害了他人利益，属于客观违法性、主观恶性都为严重的情形。</w:t>
      </w:r>
      <w:r>
        <w:rPr>
          <w:rFonts w:eastAsia="楷体_GB2312" w:cs="楷体_GB2312"/>
          <w:spacing w:val="4"/>
        </w:rPr>
        <w:t>“</w:t>
      </w:r>
      <w:r>
        <w:rPr>
          <w:rFonts w:eastAsia="楷体_GB2312" w:cs="楷体_GB2312"/>
          <w:spacing w:val="4"/>
        </w:rPr>
        <w:t>专利权人恶意给他人造成的损害</w:t>
      </w:r>
      <w:r>
        <w:rPr>
          <w:rFonts w:eastAsia="楷体_GB2312" w:cs="楷体_GB2312"/>
          <w:spacing w:val="4"/>
        </w:rPr>
        <w:t>”</w:t>
      </w:r>
      <w:r>
        <w:rPr>
          <w:rFonts w:eastAsia="楷体_GB2312" w:cs="楷体_GB2312"/>
          <w:spacing w:val="4"/>
        </w:rPr>
        <w:t>也被《专利法》第</w:t>
      </w:r>
      <w:r>
        <w:rPr>
          <w:rFonts w:eastAsia="楷体_GB2312" w:cs="楷体_GB2312" w:hint="eastAsia"/>
          <w:spacing w:val="4"/>
        </w:rPr>
        <w:t>四十七</w:t>
      </w:r>
      <w:r>
        <w:rPr>
          <w:rFonts w:eastAsia="楷体_GB2312" w:cs="楷体_GB2312"/>
          <w:spacing w:val="4"/>
        </w:rPr>
        <w:t>条规定为专利权被宣告无效不溯及既往原则的例外情形，需要承担赔偿责任。</w:t>
      </w:r>
    </w:p>
    <w:p w:rsidR="00590572" w:rsidRDefault="00590572" w:rsidP="00590572">
      <w:pPr>
        <w:pStyle w:val="3"/>
        <w:spacing w:before="240" w:after="240"/>
        <w:ind w:firstLine="444"/>
        <w:rPr>
          <w:rFonts w:ascii="Times New Roman" w:hAnsi="Times New Roman"/>
        </w:rPr>
      </w:pPr>
      <w:bookmarkStart w:id="9305" w:name="_Toc229225657"/>
      <w:r>
        <w:rPr>
          <w:rFonts w:ascii="Times New Roman" w:hAnsi="Times New Roman" w:hint="eastAsia"/>
        </w:rPr>
        <w:t>二、专利权被宣告无效对合同尚未履行部分效力的影响</w:t>
      </w:r>
      <w:bookmarkEnd w:id="9305"/>
    </w:p>
    <w:p w:rsidR="00590572" w:rsidRDefault="00590572" w:rsidP="00590572">
      <w:pPr>
        <w:topLinePunct/>
        <w:spacing w:before="240"/>
        <w:rPr>
          <w:rFonts w:eastAsiaTheme="minorEastAsia" w:cstheme="minorEastAsia"/>
        </w:rPr>
      </w:pPr>
      <w:r>
        <w:rPr>
          <w:rFonts w:eastAsiaTheme="minorEastAsia" w:cstheme="minorEastAsia" w:hint="eastAsia"/>
        </w:rPr>
        <w:t>《专利法》第四十七条第二款规定：宣告专利权无效的决定，对已经履行的专利实施许可合同和专利权转让合同，不具有追溯力。由此可见，原则上，专利权被宣告无效后，对于合同中尚未履行的部分，合同双方不再履行。但是，对于合同一方或双方已经存在违约并需履行违约责任的情形，专利权被宣告无效后，尚未履行的违约责任是否具有</w:t>
      </w:r>
      <w:hyperlink r:id="rId89" w:tgtFrame="_blank" w:history="1">
        <w:r>
          <w:rPr>
            <w:rFonts w:eastAsiaTheme="minorEastAsia" w:cstheme="minorEastAsia"/>
          </w:rPr>
          <w:t>溯及力</w:t>
        </w:r>
      </w:hyperlink>
      <w:r>
        <w:rPr>
          <w:rFonts w:eastAsiaTheme="minorEastAsia" w:cstheme="minorEastAsia"/>
        </w:rPr>
        <w:t>，</w:t>
      </w:r>
      <w:r>
        <w:rPr>
          <w:rFonts w:eastAsiaTheme="minorEastAsia" w:cstheme="minorEastAsia" w:hint="eastAsia"/>
        </w:rPr>
        <w:t>法律没有明确规定。对此，司法实践中普遍认为，宣告无效的专利权对于尚未履行的违约责任不具有溯及力。</w:t>
      </w:r>
    </w:p>
    <w:p w:rsidR="00590572" w:rsidRDefault="00590572" w:rsidP="00590572">
      <w:pPr>
        <w:pStyle w:val="af6"/>
        <w:spacing w:before="120"/>
        <w:ind w:firstLine="420"/>
      </w:pPr>
      <w:r>
        <w:t>【案例</w:t>
      </w:r>
      <w:r>
        <w:rPr>
          <w:rFonts w:hint="eastAsia"/>
        </w:rPr>
        <w:t>9</w:t>
      </w:r>
      <w:r>
        <w:t>-3-2】</w:t>
      </w:r>
    </w:p>
    <w:p w:rsidR="00590572" w:rsidRDefault="00590572" w:rsidP="00590572">
      <w:pPr>
        <w:pStyle w:val="12"/>
        <w:spacing w:line="336" w:lineRule="auto"/>
        <w:ind w:firstLine="420"/>
        <w:rPr>
          <w:rFonts w:ascii="Times New Roman" w:eastAsia="楷体" w:hAnsi="Times New Roman"/>
          <w:sz w:val="21"/>
          <w:szCs w:val="21"/>
        </w:rPr>
      </w:pPr>
      <w:r>
        <w:rPr>
          <w:rFonts w:ascii="Times New Roman" w:eastAsia="楷体_GB2312" w:hAnsi="Times New Roman"/>
          <w:sz w:val="21"/>
          <w:szCs w:val="21"/>
        </w:rPr>
        <w:t>在</w:t>
      </w:r>
      <w:r>
        <w:rPr>
          <w:rFonts w:ascii="Times New Roman" w:eastAsia="楷体_GB2312" w:hAnsi="Times New Roman"/>
          <w:sz w:val="21"/>
          <w:szCs w:val="21"/>
        </w:rPr>
        <w:t>A</w:t>
      </w:r>
      <w:r>
        <w:rPr>
          <w:rFonts w:ascii="Times New Roman" w:eastAsia="楷体_GB2312" w:hAnsi="Times New Roman"/>
          <w:sz w:val="21"/>
          <w:szCs w:val="21"/>
        </w:rPr>
        <w:t>公司与</w:t>
      </w:r>
      <w:r>
        <w:rPr>
          <w:rFonts w:ascii="Times New Roman" w:eastAsia="楷体_GB2312" w:hAnsi="Times New Roman"/>
          <w:sz w:val="21"/>
          <w:szCs w:val="21"/>
        </w:rPr>
        <w:t>B</w:t>
      </w:r>
      <w:r>
        <w:rPr>
          <w:rFonts w:ascii="Times New Roman" w:eastAsia="楷体_GB2312" w:hAnsi="Times New Roman"/>
          <w:sz w:val="21"/>
          <w:szCs w:val="21"/>
        </w:rPr>
        <w:t>公司专利权转让合同纠纷案中，</w:t>
      </w:r>
      <w:r>
        <w:rPr>
          <w:rFonts w:ascii="Times New Roman" w:eastAsia="楷体_GB2312" w:hAnsi="Times New Roman"/>
          <w:sz w:val="21"/>
          <w:szCs w:val="21"/>
        </w:rPr>
        <w:t>A</w:t>
      </w:r>
      <w:r>
        <w:rPr>
          <w:rFonts w:ascii="Times New Roman" w:eastAsia="楷体_GB2312" w:hAnsi="Times New Roman"/>
          <w:sz w:val="21"/>
          <w:szCs w:val="21"/>
        </w:rPr>
        <w:t>公司与</w:t>
      </w:r>
      <w:r>
        <w:rPr>
          <w:rFonts w:ascii="Times New Roman" w:eastAsia="楷体_GB2312" w:hAnsi="Times New Roman"/>
          <w:sz w:val="21"/>
          <w:szCs w:val="21"/>
        </w:rPr>
        <w:t>B</w:t>
      </w:r>
      <w:r>
        <w:rPr>
          <w:rFonts w:ascii="Times New Roman" w:eastAsia="楷体_GB2312" w:hAnsi="Times New Roman"/>
          <w:sz w:val="21"/>
          <w:szCs w:val="21"/>
        </w:rPr>
        <w:t>公司签订《专利转让协议》，约定</w:t>
      </w:r>
      <w:r>
        <w:rPr>
          <w:rFonts w:ascii="Times New Roman" w:eastAsia="楷体_GB2312" w:hAnsi="Times New Roman"/>
          <w:sz w:val="21"/>
          <w:szCs w:val="21"/>
        </w:rPr>
        <w:t>A</w:t>
      </w:r>
      <w:r>
        <w:rPr>
          <w:rFonts w:ascii="Times New Roman" w:eastAsia="楷体_GB2312" w:hAnsi="Times New Roman"/>
          <w:sz w:val="21"/>
          <w:szCs w:val="21"/>
        </w:rPr>
        <w:t>公司将专利转让给</w:t>
      </w:r>
      <w:r>
        <w:rPr>
          <w:rFonts w:ascii="Times New Roman" w:eastAsia="楷体_GB2312" w:hAnsi="Times New Roman"/>
          <w:sz w:val="21"/>
          <w:szCs w:val="21"/>
        </w:rPr>
        <w:t>B</w:t>
      </w:r>
      <w:r>
        <w:rPr>
          <w:rFonts w:ascii="Times New Roman" w:eastAsia="楷体_GB2312" w:hAnsi="Times New Roman"/>
          <w:sz w:val="21"/>
          <w:szCs w:val="21"/>
        </w:rPr>
        <w:t>公司，</w:t>
      </w:r>
      <w:r>
        <w:rPr>
          <w:rFonts w:ascii="Times New Roman" w:eastAsia="楷体_GB2312" w:hAnsi="Times New Roman"/>
          <w:sz w:val="21"/>
          <w:szCs w:val="21"/>
        </w:rPr>
        <w:t>B</w:t>
      </w:r>
      <w:r>
        <w:rPr>
          <w:rFonts w:ascii="Times New Roman" w:eastAsia="楷体_GB2312" w:hAnsi="Times New Roman"/>
          <w:sz w:val="21"/>
          <w:szCs w:val="21"/>
        </w:rPr>
        <w:t>公司不得将专利转让给任何第三方，否则应承担违约金</w:t>
      </w:r>
      <w:r>
        <w:rPr>
          <w:rFonts w:ascii="Times New Roman" w:eastAsia="楷体_GB2312" w:hAnsi="Times New Roman"/>
          <w:sz w:val="21"/>
          <w:szCs w:val="21"/>
        </w:rPr>
        <w:t>100</w:t>
      </w:r>
      <w:r>
        <w:rPr>
          <w:rFonts w:ascii="Times New Roman" w:eastAsia="楷体_GB2312" w:hAnsi="Times New Roman"/>
          <w:sz w:val="21"/>
          <w:szCs w:val="21"/>
        </w:rPr>
        <w:t>万元。后</w:t>
      </w:r>
      <w:r>
        <w:rPr>
          <w:rFonts w:ascii="Times New Roman" w:eastAsia="楷体_GB2312" w:hAnsi="Times New Roman"/>
          <w:sz w:val="21"/>
          <w:szCs w:val="21"/>
        </w:rPr>
        <w:t>B</w:t>
      </w:r>
      <w:r>
        <w:rPr>
          <w:rFonts w:ascii="Times New Roman" w:eastAsia="楷体_GB2312" w:hAnsi="Times New Roman"/>
          <w:sz w:val="21"/>
          <w:szCs w:val="21"/>
        </w:rPr>
        <w:t>公司将专利转让给第三方</w:t>
      </w:r>
      <w:r>
        <w:rPr>
          <w:rFonts w:ascii="Times New Roman" w:eastAsia="楷体_GB2312" w:hAnsi="Times New Roman" w:hint="eastAsia"/>
          <w:sz w:val="21"/>
          <w:szCs w:val="21"/>
        </w:rPr>
        <w:t>。而后</w:t>
      </w:r>
      <w:r>
        <w:rPr>
          <w:rFonts w:ascii="Times New Roman" w:eastAsia="楷体_GB2312" w:hAnsi="Times New Roman"/>
          <w:sz w:val="21"/>
          <w:szCs w:val="21"/>
        </w:rPr>
        <w:t>专利</w:t>
      </w:r>
      <w:r>
        <w:rPr>
          <w:rFonts w:ascii="Times New Roman" w:eastAsia="楷体_GB2312" w:hAnsi="Times New Roman" w:hint="eastAsia"/>
          <w:sz w:val="21"/>
          <w:szCs w:val="21"/>
        </w:rPr>
        <w:t>权被</w:t>
      </w:r>
      <w:r>
        <w:rPr>
          <w:rFonts w:ascii="Times New Roman" w:eastAsia="楷体_GB2312" w:hAnsi="Times New Roman"/>
          <w:sz w:val="21"/>
          <w:szCs w:val="21"/>
        </w:rPr>
        <w:t>宣告无效。</w:t>
      </w:r>
      <w:r>
        <w:rPr>
          <w:rFonts w:ascii="Times New Roman" w:eastAsia="楷体_GB2312" w:hAnsi="Times New Roman"/>
          <w:sz w:val="21"/>
          <w:szCs w:val="21"/>
        </w:rPr>
        <w:t>A</w:t>
      </w:r>
      <w:r>
        <w:rPr>
          <w:rFonts w:ascii="Times New Roman" w:eastAsia="楷体_GB2312" w:hAnsi="Times New Roman"/>
          <w:sz w:val="21"/>
          <w:szCs w:val="21"/>
        </w:rPr>
        <w:t>公司</w:t>
      </w:r>
      <w:r>
        <w:rPr>
          <w:rFonts w:ascii="Times New Roman" w:eastAsia="楷体_GB2312" w:hAnsi="Times New Roman" w:hint="eastAsia"/>
          <w:sz w:val="21"/>
          <w:szCs w:val="21"/>
        </w:rPr>
        <w:t>得知</w:t>
      </w:r>
      <w:r>
        <w:rPr>
          <w:rFonts w:ascii="Times New Roman" w:eastAsia="楷体_GB2312" w:hAnsi="Times New Roman"/>
          <w:sz w:val="21"/>
          <w:szCs w:val="21"/>
        </w:rPr>
        <w:t>B</w:t>
      </w:r>
      <w:r>
        <w:rPr>
          <w:rFonts w:ascii="Times New Roman" w:eastAsia="楷体_GB2312" w:hAnsi="Times New Roman"/>
          <w:sz w:val="21"/>
          <w:szCs w:val="21"/>
        </w:rPr>
        <w:t>公司将专利</w:t>
      </w:r>
      <w:r>
        <w:rPr>
          <w:rFonts w:ascii="Times New Roman" w:eastAsia="楷体_GB2312" w:hAnsi="Times New Roman" w:hint="eastAsia"/>
          <w:sz w:val="21"/>
          <w:szCs w:val="21"/>
        </w:rPr>
        <w:t>转让给第三方后</w:t>
      </w:r>
      <w:r>
        <w:rPr>
          <w:rFonts w:ascii="Times New Roman" w:eastAsia="楷体_GB2312" w:hAnsi="Times New Roman"/>
          <w:sz w:val="21"/>
          <w:szCs w:val="21"/>
        </w:rPr>
        <w:t>要求</w:t>
      </w:r>
      <w:r>
        <w:rPr>
          <w:rFonts w:ascii="Times New Roman" w:eastAsia="楷体_GB2312" w:hAnsi="Times New Roman"/>
          <w:sz w:val="21"/>
          <w:szCs w:val="21"/>
        </w:rPr>
        <w:t>B</w:t>
      </w:r>
      <w:r>
        <w:rPr>
          <w:rFonts w:ascii="Times New Roman" w:eastAsia="楷体_GB2312" w:hAnsi="Times New Roman"/>
          <w:sz w:val="21"/>
          <w:szCs w:val="21"/>
        </w:rPr>
        <w:t>公司承担违约责任</w:t>
      </w:r>
      <w:r>
        <w:rPr>
          <w:rFonts w:ascii="Times New Roman" w:eastAsia="楷体_GB2312" w:hAnsi="Times New Roman" w:hint="eastAsia"/>
          <w:sz w:val="21"/>
          <w:szCs w:val="21"/>
        </w:rPr>
        <w:t>，最终获得支持</w:t>
      </w:r>
      <w:r>
        <w:rPr>
          <w:rFonts w:ascii="Times New Roman" w:eastAsia="楷体_GB2312" w:hAnsi="Times New Roman"/>
          <w:sz w:val="21"/>
          <w:szCs w:val="21"/>
        </w:rPr>
        <w:t>。</w:t>
      </w:r>
    </w:p>
    <w:p w:rsidR="00590572" w:rsidRDefault="00590572" w:rsidP="00590572">
      <w:pPr>
        <w:rPr>
          <w:rFonts w:eastAsia="华文隶书" w:cs="MingLiU_HKSCS"/>
          <w:color w:val="000000"/>
          <w:szCs w:val="21"/>
          <w:lang w:val="zh-CN"/>
        </w:rPr>
      </w:pPr>
      <w:r>
        <w:rPr>
          <w:rFonts w:eastAsia="华文隶书" w:cs="MingLiU_HKSCS" w:hint="eastAsia"/>
          <w:color w:val="000000"/>
          <w:szCs w:val="21"/>
          <w:lang w:val="zh-CN"/>
        </w:rPr>
        <w:t>分析与评述</w:t>
      </w:r>
    </w:p>
    <w:p w:rsidR="00590572" w:rsidRPr="00590572" w:rsidRDefault="00590572" w:rsidP="00590572">
      <w:pPr>
        <w:pStyle w:val="12"/>
        <w:spacing w:line="336" w:lineRule="auto"/>
        <w:ind w:firstLine="420"/>
        <w:rPr>
          <w:rFonts w:ascii="Times New Roman" w:eastAsia="楷体_GB2312" w:hAnsi="Times New Roman"/>
          <w:sz w:val="21"/>
          <w:szCs w:val="21"/>
        </w:rPr>
      </w:pPr>
      <w:r>
        <w:rPr>
          <w:rFonts w:ascii="Times New Roman" w:eastAsia="楷体_GB2312" w:hAnsi="Times New Roman"/>
          <w:sz w:val="21"/>
          <w:szCs w:val="21"/>
        </w:rPr>
        <w:t>最高人民法院指出</w:t>
      </w:r>
      <w:r>
        <w:rPr>
          <w:rFonts w:ascii="Times New Roman" w:eastAsia="楷体_GB2312" w:hAnsi="Times New Roman" w:hint="eastAsia"/>
          <w:sz w:val="21"/>
          <w:szCs w:val="21"/>
        </w:rPr>
        <w:t>：</w:t>
      </w:r>
      <w:r>
        <w:rPr>
          <w:rFonts w:ascii="Times New Roman" w:eastAsia="楷体_GB2312" w:hAnsi="Times New Roman"/>
          <w:sz w:val="21"/>
          <w:szCs w:val="21"/>
        </w:rPr>
        <w:t>专利权被宣告无效后尚未履行的部分，是否一概不再履行，需要考虑未履行部分涉及的利益是否系因行使专利权所直接获得的利益，即</w:t>
      </w:r>
      <w:hyperlink r:id="rId90" w:tgtFrame="_blank" w:history="1">
        <w:r>
          <w:rPr>
            <w:rFonts w:ascii="Times New Roman" w:eastAsia="楷体_GB2312" w:hAnsi="Times New Roman"/>
            <w:sz w:val="21"/>
            <w:szCs w:val="21"/>
          </w:rPr>
          <w:t>专利权价值</w:t>
        </w:r>
      </w:hyperlink>
      <w:r>
        <w:rPr>
          <w:rFonts w:ascii="Times New Roman" w:eastAsia="楷体_GB2312" w:hAnsi="Times New Roman"/>
          <w:sz w:val="21"/>
          <w:szCs w:val="21"/>
        </w:rPr>
        <w:t>的对价，例如许可费、转让费、侵权损害赔偿等。对于这部分利益，由于专利权已经被宣告无效，权利人自然无权再要求继续履行。如果未履行部分涉及的利益并非专利权价值的对价，而是因当事人违反合同约定或者擅自实施其他行为而对专利权人造成的损害，这种损害与专利权的价值本身通常并不具有直接的关联性，那么专利权人有权要求对方继续履行。</w:t>
      </w:r>
    </w:p>
    <w:p w:rsidR="00800760" w:rsidRPr="00590572" w:rsidRDefault="00800760" w:rsidP="00590572">
      <w:pPr>
        <w:pStyle w:val="12"/>
        <w:spacing w:line="336" w:lineRule="auto"/>
        <w:ind w:firstLine="420"/>
        <w:rPr>
          <w:rFonts w:ascii="Times New Roman" w:eastAsia="楷体_GB2312" w:hAnsi="Times New Roman"/>
          <w:sz w:val="21"/>
          <w:szCs w:val="21"/>
        </w:rPr>
        <w:sectPr w:rsidR="00800760" w:rsidRPr="00590572" w:rsidSect="008175D7">
          <w:footerReference w:type="default" r:id="rId91"/>
          <w:pgSz w:w="11907" w:h="16839" w:code="9"/>
          <w:pgMar w:top="714" w:right="1077" w:bottom="1230" w:left="1077" w:header="431" w:footer="969" w:gutter="0"/>
          <w:cols w:space="720"/>
          <w:docGrid w:linePitch="286"/>
        </w:sectPr>
      </w:pPr>
    </w:p>
    <w:p w:rsidR="00800760" w:rsidRDefault="00800760">
      <w:pPr>
        <w:ind w:firstLineChars="0" w:firstLine="0"/>
      </w:pPr>
    </w:p>
    <w:p w:rsidR="00800760" w:rsidRDefault="00800760">
      <w:pPr>
        <w:ind w:firstLineChars="0" w:firstLine="0"/>
      </w:pPr>
    </w:p>
    <w:p w:rsidR="00800760" w:rsidRDefault="00800760">
      <w:pPr>
        <w:ind w:firstLineChars="0" w:firstLine="0"/>
      </w:pPr>
    </w:p>
    <w:p w:rsidR="00800760" w:rsidRDefault="00235733" w:rsidP="002211F8">
      <w:pPr>
        <w:widowControl w:val="0"/>
        <w:shd w:val="clear" w:color="auto" w:fill="FFFFFF"/>
        <w:topLinePunct/>
        <w:spacing w:before="100" w:beforeAutospacing="1" w:after="100" w:afterAutospacing="1"/>
        <w:ind w:firstLine="624"/>
        <w:outlineLvl w:val="0"/>
        <w:rPr>
          <w:rFonts w:ascii="黑体" w:eastAsia="黑体" w:hAnsi="宋体" w:cs="Arial"/>
          <w:color w:val="000000"/>
          <w:spacing w:val="6"/>
          <w:sz w:val="30"/>
          <w:szCs w:val="30"/>
          <w:lang w:val="en-US"/>
        </w:rPr>
      </w:pPr>
      <w:bookmarkStart w:id="9306" w:name="_GoBack"/>
      <w:bookmarkStart w:id="9307" w:name="_Toc28593408"/>
      <w:bookmarkStart w:id="9308" w:name="_Toc229225658"/>
      <w:bookmarkEnd w:id="9306"/>
      <w:r>
        <w:rPr>
          <w:rFonts w:ascii="黑体" w:eastAsia="黑体" w:hAnsi="宋体" w:cs="Arial" w:hint="eastAsia"/>
          <w:color w:val="000000"/>
          <w:spacing w:val="6"/>
          <w:sz w:val="30"/>
          <w:szCs w:val="30"/>
          <w:lang w:val="en-US"/>
        </w:rPr>
        <w:t>附件</w:t>
      </w:r>
      <w:bookmarkEnd w:id="9307"/>
      <w:bookmarkEnd w:id="9308"/>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235733" w:rsidP="00235733">
      <w:pPr>
        <w:widowControl w:val="0"/>
        <w:shd w:val="clear" w:color="auto" w:fill="FFFFFF"/>
        <w:topLinePunct/>
        <w:spacing w:before="120" w:beforeAutospacing="1" w:after="120" w:afterAutospacing="1"/>
        <w:ind w:firstLine="904"/>
        <w:jc w:val="center"/>
        <w:outlineLvl w:val="0"/>
        <w:rPr>
          <w:rFonts w:ascii="黑体" w:eastAsia="黑体" w:hAnsi="宋体" w:cs="Arial"/>
          <w:color w:val="000000"/>
          <w:spacing w:val="6"/>
          <w:sz w:val="44"/>
          <w:szCs w:val="44"/>
          <w:lang w:val="en-US"/>
        </w:rPr>
      </w:pPr>
      <w:bookmarkStart w:id="9309" w:name="_Toc229225659"/>
      <w:r>
        <w:rPr>
          <w:rFonts w:ascii="黑体" w:eastAsia="黑体" w:hAnsi="宋体" w:cs="Arial" w:hint="eastAsia"/>
          <w:color w:val="000000"/>
          <w:spacing w:val="6"/>
          <w:sz w:val="44"/>
          <w:szCs w:val="44"/>
          <w:lang w:val="en-US"/>
        </w:rPr>
        <w:t>专利纠纷行政裁决和调解</w:t>
      </w:r>
      <w:bookmarkEnd w:id="9309"/>
    </w:p>
    <w:p w:rsidR="00800760" w:rsidRDefault="00235733" w:rsidP="00235733">
      <w:pPr>
        <w:widowControl w:val="0"/>
        <w:shd w:val="clear" w:color="auto" w:fill="FFFFFF"/>
        <w:topLinePunct/>
        <w:spacing w:before="120" w:beforeAutospacing="1" w:after="120" w:afterAutospacing="1"/>
        <w:ind w:firstLine="904"/>
        <w:jc w:val="center"/>
        <w:outlineLvl w:val="0"/>
        <w:rPr>
          <w:rFonts w:ascii="黑体" w:eastAsia="黑体" w:hAnsi="宋体" w:cs="Arial"/>
          <w:color w:val="000000"/>
          <w:spacing w:val="6"/>
          <w:sz w:val="44"/>
          <w:szCs w:val="44"/>
          <w:lang w:val="en-US"/>
        </w:rPr>
      </w:pPr>
      <w:bookmarkStart w:id="9310" w:name="_Toc229225660"/>
      <w:r>
        <w:rPr>
          <w:rFonts w:ascii="黑体" w:eastAsia="黑体" w:hAnsi="宋体" w:cs="Arial" w:hint="eastAsia"/>
          <w:color w:val="000000"/>
          <w:spacing w:val="6"/>
          <w:sz w:val="44"/>
          <w:szCs w:val="44"/>
          <w:lang w:val="en-US"/>
        </w:rPr>
        <w:t>案件办案文书表格</w:t>
      </w:r>
      <w:bookmarkEnd w:id="9310"/>
    </w:p>
    <w:p w:rsidR="00800760" w:rsidRDefault="00800760">
      <w:pPr>
        <w:spacing w:line="240" w:lineRule="auto"/>
        <w:ind w:firstLineChars="0" w:firstLine="0"/>
        <w:rPr>
          <w:color w:val="000000"/>
          <w:sz w:val="44"/>
          <w:szCs w:val="44"/>
        </w:rPr>
      </w:pPr>
    </w:p>
    <w:p w:rsidR="00800760" w:rsidRDefault="00800760">
      <w:pPr>
        <w:spacing w:line="240" w:lineRule="auto"/>
        <w:ind w:firstLineChars="0" w:firstLine="0"/>
        <w:rPr>
          <w:color w:val="000000"/>
          <w:sz w:val="44"/>
          <w:szCs w:val="44"/>
        </w:rPr>
      </w:pPr>
    </w:p>
    <w:p w:rsidR="00800760" w:rsidRDefault="00800760">
      <w:pPr>
        <w:spacing w:line="240" w:lineRule="auto"/>
        <w:ind w:firstLineChars="0" w:firstLine="0"/>
        <w:rPr>
          <w:color w:val="000000"/>
          <w:sz w:val="44"/>
          <w:szCs w:val="44"/>
        </w:rPr>
      </w:pPr>
    </w:p>
    <w:p w:rsidR="00800760" w:rsidRDefault="00800760">
      <w:pPr>
        <w:spacing w:line="240" w:lineRule="auto"/>
        <w:ind w:firstLineChars="0" w:firstLine="0"/>
        <w:rPr>
          <w:color w:val="000000"/>
          <w:sz w:val="44"/>
          <w:szCs w:val="44"/>
        </w:rPr>
      </w:pPr>
    </w:p>
    <w:p w:rsidR="00800760" w:rsidRDefault="00800760">
      <w:pPr>
        <w:spacing w:line="240" w:lineRule="auto"/>
        <w:ind w:firstLineChars="0" w:firstLine="0"/>
        <w:rPr>
          <w:color w:val="000000"/>
          <w:sz w:val="44"/>
          <w:szCs w:val="44"/>
        </w:rPr>
      </w:pPr>
    </w:p>
    <w:p w:rsidR="00800760" w:rsidRDefault="00800760">
      <w:pPr>
        <w:spacing w:line="240" w:lineRule="auto"/>
        <w:ind w:firstLineChars="0" w:firstLine="0"/>
        <w:rPr>
          <w:color w:val="000000"/>
          <w:sz w:val="44"/>
          <w:szCs w:val="44"/>
        </w:rPr>
      </w:pPr>
    </w:p>
    <w:p w:rsidR="00800760" w:rsidRDefault="00800760">
      <w:pPr>
        <w:spacing w:line="240" w:lineRule="auto"/>
        <w:ind w:firstLineChars="0" w:firstLine="0"/>
        <w:rPr>
          <w:color w:val="000000"/>
          <w:sz w:val="44"/>
          <w:szCs w:val="44"/>
        </w:rPr>
      </w:pPr>
    </w:p>
    <w:p w:rsidR="00800760" w:rsidRDefault="00800760">
      <w:pPr>
        <w:spacing w:line="240" w:lineRule="auto"/>
        <w:ind w:firstLineChars="0" w:firstLine="0"/>
        <w:rPr>
          <w:color w:val="000000"/>
          <w:sz w:val="44"/>
          <w:szCs w:val="44"/>
        </w:rPr>
      </w:pPr>
    </w:p>
    <w:p w:rsidR="00545851" w:rsidRDefault="00545851">
      <w:pPr>
        <w:spacing w:line="240" w:lineRule="auto"/>
        <w:ind w:firstLineChars="0" w:firstLine="0"/>
        <w:rPr>
          <w:color w:val="000000"/>
          <w:sz w:val="44"/>
          <w:szCs w:val="44"/>
        </w:rPr>
      </w:pPr>
    </w:p>
    <w:p w:rsidR="00545851" w:rsidRDefault="00545851">
      <w:pPr>
        <w:spacing w:line="240" w:lineRule="auto"/>
        <w:ind w:firstLineChars="0" w:firstLine="0"/>
        <w:rPr>
          <w:color w:val="000000"/>
          <w:sz w:val="44"/>
          <w:szCs w:val="44"/>
        </w:rPr>
      </w:pPr>
    </w:p>
    <w:p w:rsidR="00545851" w:rsidRDefault="00545851">
      <w:pPr>
        <w:spacing w:line="240" w:lineRule="auto"/>
        <w:ind w:firstLineChars="0" w:firstLine="0"/>
        <w:rPr>
          <w:color w:val="000000"/>
          <w:sz w:val="44"/>
          <w:szCs w:val="44"/>
        </w:rPr>
      </w:pPr>
    </w:p>
    <w:p w:rsidR="00800760" w:rsidRDefault="00800760">
      <w:pPr>
        <w:spacing w:line="240" w:lineRule="auto"/>
        <w:ind w:firstLineChars="0" w:firstLine="0"/>
        <w:rPr>
          <w:color w:val="000000"/>
          <w:sz w:val="44"/>
          <w:szCs w:val="44"/>
        </w:rPr>
      </w:pPr>
    </w:p>
    <w:p w:rsidR="00800760" w:rsidRDefault="00235733">
      <w:pPr>
        <w:tabs>
          <w:tab w:val="left" w:pos="4160"/>
          <w:tab w:val="left" w:pos="4460"/>
        </w:tabs>
        <w:autoSpaceDE w:val="0"/>
        <w:autoSpaceDN w:val="0"/>
        <w:adjustRightInd w:val="0"/>
        <w:spacing w:line="660" w:lineRule="exact"/>
        <w:ind w:leftChars="-60" w:left="-126" w:firstLineChars="0" w:firstLine="0"/>
        <w:jc w:val="center"/>
        <w:rPr>
          <w:rFonts w:ascii="方正小标宋简体" w:eastAsia="方正小标宋简体" w:hAnsi="方正小标宋简体" w:cs="Arial"/>
          <w:color w:val="000000"/>
          <w:sz w:val="44"/>
          <w:szCs w:val="44"/>
        </w:rPr>
      </w:pPr>
      <w:r>
        <w:rPr>
          <w:rFonts w:ascii="方正小标宋简体" w:eastAsia="方正小标宋简体" w:hAnsi="方正小标宋简体" w:cs="Arial"/>
          <w:color w:val="000000"/>
          <w:sz w:val="44"/>
          <w:szCs w:val="44"/>
        </w:rPr>
        <w:t>说</w:t>
      </w:r>
      <w:r>
        <w:rPr>
          <w:rFonts w:ascii="方正小标宋简体" w:eastAsia="方正小标宋简体" w:hAnsi="方正小标宋简体" w:cs="Arial" w:hint="eastAsia"/>
          <w:color w:val="000000"/>
          <w:sz w:val="44"/>
          <w:szCs w:val="44"/>
        </w:rPr>
        <w:t xml:space="preserve">　　</w:t>
      </w:r>
      <w:r>
        <w:rPr>
          <w:rFonts w:ascii="方正小标宋简体" w:eastAsia="方正小标宋简体" w:hAnsi="方正小标宋简体" w:cs="Arial"/>
          <w:color w:val="000000"/>
          <w:sz w:val="44"/>
          <w:szCs w:val="44"/>
        </w:rPr>
        <w:t>明</w:t>
      </w:r>
    </w:p>
    <w:p w:rsidR="00800760" w:rsidRDefault="00800760">
      <w:pPr>
        <w:tabs>
          <w:tab w:val="left" w:pos="4160"/>
          <w:tab w:val="left" w:pos="4460"/>
        </w:tabs>
        <w:autoSpaceDE w:val="0"/>
        <w:autoSpaceDN w:val="0"/>
        <w:adjustRightInd w:val="0"/>
        <w:spacing w:line="660" w:lineRule="exact"/>
        <w:ind w:leftChars="-60" w:left="-126" w:firstLineChars="0" w:firstLine="0"/>
        <w:jc w:val="center"/>
        <w:rPr>
          <w:rFonts w:ascii="方正小标宋简体" w:eastAsia="方正小标宋简体" w:hAnsi="方正小标宋简体" w:cs="Arial"/>
          <w:color w:val="000000"/>
          <w:sz w:val="44"/>
          <w:szCs w:val="44"/>
        </w:rPr>
      </w:pPr>
    </w:p>
    <w:p w:rsidR="00800760" w:rsidRDefault="00235733">
      <w:pPr>
        <w:widowControl w:val="0"/>
        <w:tabs>
          <w:tab w:val="left" w:leader="underscore" w:pos="2854"/>
          <w:tab w:val="left" w:leader="underscore" w:pos="3498"/>
          <w:tab w:val="left" w:leader="underscore" w:pos="4160"/>
        </w:tabs>
        <w:rPr>
          <w:rFonts w:ascii="仿宋_GB2312" w:eastAsia="仿宋_GB2312" w:hAnsi="宋体"/>
          <w:color w:val="000000"/>
          <w:szCs w:val="21"/>
        </w:rPr>
      </w:pPr>
      <w:r>
        <w:rPr>
          <w:rFonts w:ascii="仿宋_GB2312" w:eastAsia="仿宋_GB2312" w:hAnsi="宋体"/>
          <w:color w:val="000000"/>
          <w:szCs w:val="21"/>
        </w:rPr>
        <w:t>一、本次所录</w:t>
      </w:r>
      <w:r>
        <w:rPr>
          <w:rFonts w:ascii="仿宋_GB2312" w:eastAsia="仿宋_GB2312" w:hAnsi="宋体" w:hint="eastAsia"/>
          <w:color w:val="000000"/>
          <w:szCs w:val="21"/>
        </w:rPr>
        <w:t>办案</w:t>
      </w:r>
      <w:r>
        <w:rPr>
          <w:rFonts w:ascii="仿宋_GB2312" w:eastAsia="仿宋_GB2312" w:hAnsi="宋体"/>
          <w:color w:val="000000"/>
          <w:szCs w:val="21"/>
        </w:rPr>
        <w:t>文书与表格，其主要依据为《专利法》《专利法实施细则》《专利</w:t>
      </w:r>
      <w:r>
        <w:rPr>
          <w:rFonts w:ascii="仿宋_GB2312" w:eastAsia="仿宋_GB2312" w:hAnsi="宋体" w:hint="eastAsia"/>
          <w:color w:val="000000"/>
          <w:szCs w:val="21"/>
        </w:rPr>
        <w:t>纠纷</w:t>
      </w:r>
      <w:r>
        <w:rPr>
          <w:rFonts w:ascii="仿宋_GB2312" w:eastAsia="仿宋_GB2312" w:hAnsi="宋体"/>
          <w:color w:val="000000"/>
          <w:szCs w:val="21"/>
        </w:rPr>
        <w:t>行政</w:t>
      </w:r>
      <w:r>
        <w:rPr>
          <w:rFonts w:ascii="仿宋_GB2312" w:eastAsia="仿宋_GB2312" w:hAnsi="宋体" w:hint="eastAsia"/>
          <w:color w:val="000000"/>
          <w:szCs w:val="21"/>
        </w:rPr>
        <w:t>裁决和调解</w:t>
      </w:r>
      <w:r>
        <w:rPr>
          <w:rFonts w:ascii="仿宋_GB2312" w:eastAsia="仿宋_GB2312" w:hAnsi="宋体"/>
          <w:color w:val="000000"/>
          <w:szCs w:val="21"/>
        </w:rPr>
        <w:t>办法》等相关法律法规和部门规章。考虑到各地差异，未将地方性专利条例作为参考依据。各地方知识产权局如有需要，可根据地方性法规，自行制定规范性</w:t>
      </w:r>
      <w:r>
        <w:rPr>
          <w:rFonts w:ascii="仿宋_GB2312" w:eastAsia="仿宋_GB2312" w:hAnsi="宋体" w:hint="eastAsia"/>
          <w:color w:val="000000"/>
          <w:szCs w:val="21"/>
        </w:rPr>
        <w:t>办案</w:t>
      </w:r>
      <w:r>
        <w:rPr>
          <w:rFonts w:ascii="仿宋_GB2312" w:eastAsia="仿宋_GB2312" w:hAnsi="宋体"/>
          <w:color w:val="000000"/>
          <w:szCs w:val="21"/>
        </w:rPr>
        <w:t>表格</w:t>
      </w:r>
      <w:r>
        <w:rPr>
          <w:rFonts w:ascii="仿宋_GB2312" w:eastAsia="仿宋_GB2312" w:hAnsi="宋体" w:hint="eastAsia"/>
          <w:color w:val="000000"/>
          <w:szCs w:val="21"/>
        </w:rPr>
        <w:t>。</w:t>
      </w:r>
    </w:p>
    <w:p w:rsidR="00800760" w:rsidRDefault="00235733">
      <w:pPr>
        <w:widowControl w:val="0"/>
        <w:tabs>
          <w:tab w:val="left" w:leader="underscore" w:pos="2854"/>
          <w:tab w:val="left" w:leader="underscore" w:pos="3498"/>
          <w:tab w:val="left" w:leader="underscore" w:pos="4160"/>
        </w:tabs>
        <w:rPr>
          <w:rFonts w:ascii="仿宋_GB2312" w:eastAsia="仿宋_GB2312" w:hAnsi="宋体"/>
          <w:color w:val="000000"/>
          <w:szCs w:val="21"/>
        </w:rPr>
      </w:pPr>
      <w:r>
        <w:rPr>
          <w:rFonts w:ascii="仿宋_GB2312" w:eastAsia="仿宋_GB2312" w:hAnsi="宋体"/>
          <w:color w:val="000000"/>
          <w:szCs w:val="21"/>
        </w:rPr>
        <w:t>二、办案笔录中有关内容解释</w:t>
      </w:r>
    </w:p>
    <w:p w:rsidR="00800760" w:rsidRDefault="00235733">
      <w:pPr>
        <w:widowControl w:val="0"/>
        <w:tabs>
          <w:tab w:val="left" w:leader="underscore" w:pos="2854"/>
          <w:tab w:val="left" w:leader="underscore" w:pos="3498"/>
          <w:tab w:val="left" w:leader="underscore" w:pos="4160"/>
        </w:tabs>
        <w:rPr>
          <w:rFonts w:ascii="仿宋_GB2312" w:eastAsia="仿宋_GB2312" w:hAnsi="宋体"/>
          <w:color w:val="000000"/>
          <w:spacing w:val="4"/>
          <w:szCs w:val="21"/>
        </w:rPr>
      </w:pPr>
      <w:r>
        <w:rPr>
          <w:rFonts w:eastAsia="仿宋_GB2312" w:hint="eastAsia"/>
          <w:color w:val="000000"/>
          <w:szCs w:val="21"/>
        </w:rPr>
        <w:t>1</w:t>
      </w:r>
      <w:r>
        <w:rPr>
          <w:rFonts w:ascii="仿宋_GB2312" w:eastAsia="仿宋_GB2312" w:hAnsi="宋体"/>
          <w:color w:val="000000"/>
          <w:szCs w:val="21"/>
        </w:rPr>
        <w:t>.办案笔录中具体内容分为三类：第一类是固定格式文本，主要记载的内容为笔录当中固定的询问内容；第二类是实际情况记录文本，主要记载的内容为当事人所述的实际情况；第三类是固定格式与</w:t>
      </w:r>
      <w:r>
        <w:rPr>
          <w:rFonts w:ascii="仿宋_GB2312" w:eastAsia="仿宋_GB2312" w:hAnsi="宋体"/>
          <w:color w:val="000000"/>
          <w:spacing w:val="4"/>
          <w:szCs w:val="21"/>
        </w:rPr>
        <w:t>实际情况记录相结合文本，主要记载的内容为固定格式文本与实际情况记录文本结合在一起的询问笔录。</w:t>
      </w:r>
    </w:p>
    <w:p w:rsidR="00800760" w:rsidRDefault="00235733">
      <w:pPr>
        <w:widowControl w:val="0"/>
        <w:tabs>
          <w:tab w:val="left" w:leader="underscore" w:pos="2854"/>
          <w:tab w:val="left" w:leader="underscore" w:pos="3498"/>
          <w:tab w:val="left" w:leader="underscore" w:pos="4160"/>
        </w:tabs>
        <w:rPr>
          <w:rFonts w:ascii="仿宋_GB2312" w:eastAsia="仿宋_GB2312" w:hAnsi="宋体"/>
          <w:color w:val="000000"/>
          <w:szCs w:val="21"/>
        </w:rPr>
      </w:pPr>
      <w:r>
        <w:rPr>
          <w:rFonts w:eastAsia="仿宋_GB2312" w:hint="eastAsia"/>
          <w:color w:val="000000"/>
          <w:szCs w:val="21"/>
        </w:rPr>
        <w:t>2</w:t>
      </w:r>
      <w:r>
        <w:rPr>
          <w:rFonts w:ascii="仿宋_GB2312" w:eastAsia="仿宋_GB2312" w:hAnsi="宋体"/>
          <w:color w:val="000000"/>
          <w:szCs w:val="21"/>
        </w:rPr>
        <w:t>.为提高笔录速度，笔录当中将有关人员以简称形式记录，比如：调查人员简称</w:t>
      </w:r>
      <w:r>
        <w:rPr>
          <w:rFonts w:ascii="仿宋_GB2312" w:eastAsia="仿宋_GB2312" w:hAnsi="宋体"/>
          <w:color w:val="000000"/>
          <w:szCs w:val="21"/>
        </w:rPr>
        <w:t>“</w:t>
      </w:r>
      <w:r>
        <w:rPr>
          <w:rFonts w:ascii="仿宋_GB2312" w:eastAsia="仿宋_GB2312" w:hAnsi="宋体"/>
          <w:color w:val="000000"/>
          <w:szCs w:val="21"/>
        </w:rPr>
        <w:t>调</w:t>
      </w:r>
      <w:r>
        <w:rPr>
          <w:rFonts w:ascii="仿宋_GB2312" w:eastAsia="仿宋_GB2312" w:hAnsi="宋体"/>
          <w:color w:val="000000"/>
          <w:szCs w:val="21"/>
        </w:rPr>
        <w:t>”</w:t>
      </w:r>
      <w:r>
        <w:rPr>
          <w:rFonts w:ascii="仿宋_GB2312" w:eastAsia="仿宋_GB2312" w:hAnsi="宋体"/>
          <w:color w:val="000000"/>
          <w:szCs w:val="21"/>
        </w:rPr>
        <w:t>。</w:t>
      </w:r>
    </w:p>
    <w:p w:rsidR="00800760" w:rsidRDefault="00235733">
      <w:pPr>
        <w:widowControl w:val="0"/>
        <w:rPr>
          <w:rFonts w:ascii="仿宋_GB2312" w:eastAsia="仿宋_GB2312" w:hAnsi="宋体"/>
          <w:color w:val="000000"/>
          <w:szCs w:val="21"/>
        </w:rPr>
      </w:pPr>
      <w:r>
        <w:rPr>
          <w:rFonts w:eastAsia="仿宋_GB2312" w:hint="eastAsia"/>
          <w:color w:val="000000"/>
          <w:szCs w:val="21"/>
        </w:rPr>
        <w:t>3</w:t>
      </w:r>
      <w:r>
        <w:rPr>
          <w:rFonts w:ascii="仿宋_GB2312" w:eastAsia="仿宋_GB2312" w:hAnsi="宋体"/>
          <w:color w:val="000000"/>
          <w:szCs w:val="21"/>
        </w:rPr>
        <w:t>.为保证笔录的合法性、真实性，笔录每页底部都应标有页码、页数以及当事人的签</w:t>
      </w:r>
      <w:r>
        <w:rPr>
          <w:rFonts w:ascii="仿宋_GB2312" w:eastAsia="仿宋_GB2312" w:hAnsi="宋体" w:hint="eastAsia"/>
          <w:color w:val="000000"/>
          <w:szCs w:val="21"/>
        </w:rPr>
        <w:t>章</w:t>
      </w:r>
      <w:r>
        <w:rPr>
          <w:rFonts w:ascii="仿宋_GB2312" w:eastAsia="仿宋_GB2312" w:hAnsi="宋体"/>
          <w:color w:val="000000"/>
          <w:szCs w:val="21"/>
        </w:rPr>
        <w:t>，应如实填写。</w:t>
      </w:r>
    </w:p>
    <w:p w:rsidR="00800760" w:rsidRDefault="00235733">
      <w:pPr>
        <w:widowControl w:val="0"/>
        <w:tabs>
          <w:tab w:val="left" w:leader="underscore" w:pos="2854"/>
          <w:tab w:val="left" w:leader="underscore" w:pos="3498"/>
          <w:tab w:val="left" w:leader="underscore" w:pos="4160"/>
        </w:tabs>
        <w:spacing w:line="360" w:lineRule="auto"/>
        <w:rPr>
          <w:rFonts w:ascii="仿宋_GB2312" w:eastAsia="仿宋_GB2312" w:hAnsi="宋体"/>
          <w:color w:val="000000"/>
          <w:szCs w:val="21"/>
        </w:rPr>
      </w:pPr>
      <w:r>
        <w:rPr>
          <w:rFonts w:ascii="仿宋_GB2312" w:eastAsia="仿宋_GB2312" w:hAnsi="宋体"/>
          <w:color w:val="000000"/>
          <w:szCs w:val="21"/>
        </w:rPr>
        <w:t>三、案号制定规则：</w:t>
      </w:r>
    </w:p>
    <w:p w:rsidR="00800760" w:rsidRDefault="00437148">
      <w:pPr>
        <w:widowControl w:val="0"/>
        <w:tabs>
          <w:tab w:val="left" w:leader="underscore" w:pos="2854"/>
          <w:tab w:val="left" w:leader="underscore" w:pos="3498"/>
          <w:tab w:val="left" w:leader="underscore" w:pos="4160"/>
        </w:tabs>
        <w:spacing w:line="360" w:lineRule="auto"/>
        <w:ind w:firstLineChars="0" w:firstLine="0"/>
        <w:jc w:val="center"/>
        <w:rPr>
          <w:rFonts w:ascii="仿宋_GB2312" w:eastAsia="仿宋_GB2312" w:hAnsi="宋体"/>
          <w:color w:val="000000"/>
          <w:szCs w:val="21"/>
        </w:rPr>
      </w:pPr>
      <w:r>
        <w:rPr>
          <w:rFonts w:ascii="仿宋_GB2312" w:eastAsia="仿宋_GB2312" w:hAnsi="宋体"/>
          <w:noProof/>
          <w:color w:val="000000"/>
          <w:szCs w:val="21"/>
          <w:lang w:val="en-US"/>
        </w:rPr>
        <w:drawing>
          <wp:inline distT="0" distB="0" distL="0" distR="0">
            <wp:extent cx="4751705" cy="1473791"/>
            <wp:effectExtent l="1905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2" cstate="print"/>
                    <a:srcRect/>
                    <a:stretch>
                      <a:fillRect/>
                    </a:stretch>
                  </pic:blipFill>
                  <pic:spPr bwMode="auto">
                    <a:xfrm>
                      <a:off x="0" y="0"/>
                      <a:ext cx="4751705" cy="1473791"/>
                    </a:xfrm>
                    <a:prstGeom prst="rect">
                      <a:avLst/>
                    </a:prstGeom>
                    <a:noFill/>
                    <a:ln w="9525">
                      <a:noFill/>
                      <a:miter lim="800000"/>
                      <a:headEnd/>
                      <a:tailEnd/>
                    </a:ln>
                  </pic:spPr>
                </pic:pic>
              </a:graphicData>
            </a:graphic>
          </wp:inline>
        </w:drawing>
      </w:r>
    </w:p>
    <w:p w:rsidR="00800760" w:rsidRDefault="00235733">
      <w:pPr>
        <w:widowControl w:val="0"/>
        <w:spacing w:line="360" w:lineRule="auto"/>
        <w:ind w:firstLine="360"/>
        <w:rPr>
          <w:rFonts w:ascii="仿宋_GB2312" w:eastAsia="仿宋_GB2312" w:hAnsi="宋体"/>
          <w:color w:val="000000"/>
          <w:sz w:val="18"/>
          <w:szCs w:val="18"/>
        </w:rPr>
      </w:pPr>
      <w:r>
        <w:rPr>
          <w:rFonts w:ascii="仿宋_GB2312" w:eastAsia="仿宋_GB2312" w:hAnsi="宋体"/>
          <w:color w:val="000000"/>
          <w:sz w:val="18"/>
          <w:szCs w:val="18"/>
        </w:rPr>
        <w:t>注释：</w:t>
      </w:r>
    </w:p>
    <w:p w:rsidR="00800760" w:rsidRDefault="00235733">
      <w:pPr>
        <w:widowControl w:val="0"/>
        <w:ind w:firstLine="360"/>
        <w:rPr>
          <w:rFonts w:ascii="仿宋_GB2312" w:eastAsia="仿宋_GB2312" w:hAnsi="宋体"/>
          <w:color w:val="000000"/>
          <w:sz w:val="18"/>
          <w:szCs w:val="18"/>
        </w:rPr>
      </w:pPr>
      <w:r>
        <w:rPr>
          <w:rFonts w:eastAsia="仿宋_GB2312" w:hint="eastAsia"/>
          <w:color w:val="000000"/>
          <w:sz w:val="18"/>
          <w:szCs w:val="18"/>
        </w:rPr>
        <w:t>1</w:t>
      </w:r>
      <w:r>
        <w:rPr>
          <w:rFonts w:ascii="仿宋_GB2312" w:eastAsia="仿宋_GB2312" w:hAnsi="宋体"/>
          <w:color w:val="000000"/>
          <w:sz w:val="18"/>
          <w:szCs w:val="18"/>
        </w:rPr>
        <w:t>.如河南省内各知识产权局所办案件为</w:t>
      </w:r>
      <w:r>
        <w:rPr>
          <w:rFonts w:ascii="仿宋_GB2312" w:eastAsia="仿宋_GB2312" w:hAnsi="宋体" w:hint="eastAsia"/>
          <w:color w:val="000000"/>
          <w:sz w:val="18"/>
          <w:szCs w:val="18"/>
        </w:rPr>
        <w:t>“</w:t>
      </w:r>
      <w:r>
        <w:rPr>
          <w:rFonts w:ascii="仿宋_GB2312" w:eastAsia="仿宋_GB2312" w:hAnsi="宋体"/>
          <w:color w:val="000000"/>
          <w:sz w:val="18"/>
          <w:szCs w:val="18"/>
        </w:rPr>
        <w:t>豫</w:t>
      </w:r>
      <w:r>
        <w:rPr>
          <w:rFonts w:ascii="仿宋_GB2312" w:eastAsia="仿宋_GB2312" w:hAnsi="宋体" w:hint="eastAsia"/>
          <w:color w:val="000000"/>
          <w:sz w:val="18"/>
          <w:szCs w:val="18"/>
        </w:rPr>
        <w:t>”</w:t>
      </w:r>
      <w:r>
        <w:rPr>
          <w:rFonts w:ascii="仿宋_GB2312" w:eastAsia="仿宋_GB2312" w:hAnsi="宋体"/>
          <w:color w:val="000000"/>
          <w:sz w:val="18"/>
          <w:szCs w:val="18"/>
        </w:rPr>
        <w:t>，湖北省内各知识产权局所办案件为</w:t>
      </w:r>
      <w:r>
        <w:rPr>
          <w:rFonts w:ascii="仿宋_GB2312" w:eastAsia="仿宋_GB2312" w:hAnsi="宋体" w:hint="eastAsia"/>
          <w:color w:val="000000"/>
          <w:sz w:val="18"/>
          <w:szCs w:val="18"/>
        </w:rPr>
        <w:t>“</w:t>
      </w:r>
      <w:r>
        <w:rPr>
          <w:rFonts w:ascii="仿宋_GB2312" w:eastAsia="仿宋_GB2312" w:hAnsi="宋体"/>
          <w:color w:val="000000"/>
          <w:sz w:val="18"/>
          <w:szCs w:val="18"/>
        </w:rPr>
        <w:t>鄂</w:t>
      </w:r>
      <w:r>
        <w:rPr>
          <w:rFonts w:ascii="仿宋_GB2312" w:eastAsia="仿宋_GB2312" w:hAnsi="宋体" w:hint="eastAsia"/>
          <w:color w:val="000000"/>
          <w:sz w:val="18"/>
          <w:szCs w:val="18"/>
        </w:rPr>
        <w:t>”</w:t>
      </w:r>
      <w:r>
        <w:rPr>
          <w:rFonts w:ascii="仿宋_GB2312" w:eastAsia="仿宋_GB2312" w:hAnsi="宋体"/>
          <w:color w:val="000000"/>
          <w:sz w:val="18"/>
          <w:szCs w:val="18"/>
        </w:rPr>
        <w:t>。</w:t>
      </w:r>
    </w:p>
    <w:p w:rsidR="00800760" w:rsidRDefault="00235733">
      <w:pPr>
        <w:widowControl w:val="0"/>
        <w:ind w:firstLine="360"/>
        <w:rPr>
          <w:rFonts w:ascii="仿宋_GB2312" w:eastAsia="仿宋_GB2312" w:hAnsi="宋体"/>
          <w:color w:val="000000"/>
          <w:sz w:val="18"/>
          <w:szCs w:val="18"/>
        </w:rPr>
      </w:pPr>
      <w:r>
        <w:rPr>
          <w:rFonts w:eastAsia="仿宋_GB2312" w:hint="eastAsia"/>
          <w:color w:val="000000"/>
          <w:sz w:val="18"/>
          <w:szCs w:val="18"/>
        </w:rPr>
        <w:t>2</w:t>
      </w:r>
      <w:r>
        <w:rPr>
          <w:rFonts w:ascii="仿宋_GB2312" w:eastAsia="仿宋_GB2312" w:hAnsi="宋体"/>
          <w:color w:val="000000"/>
          <w:sz w:val="18"/>
          <w:szCs w:val="18"/>
        </w:rPr>
        <w:t>.如武汉市知识产权局所办案件为</w:t>
      </w:r>
      <w:r>
        <w:rPr>
          <w:rFonts w:ascii="仿宋_GB2312" w:eastAsia="仿宋_GB2312" w:hAnsi="宋体" w:hint="eastAsia"/>
          <w:color w:val="000000"/>
          <w:sz w:val="18"/>
          <w:szCs w:val="18"/>
        </w:rPr>
        <w:t>“</w:t>
      </w:r>
      <w:r>
        <w:rPr>
          <w:rFonts w:ascii="仿宋_GB2312" w:eastAsia="仿宋_GB2312" w:hAnsi="宋体"/>
          <w:color w:val="000000"/>
          <w:sz w:val="18"/>
          <w:szCs w:val="18"/>
        </w:rPr>
        <w:t>武</w:t>
      </w:r>
      <w:r>
        <w:rPr>
          <w:rFonts w:ascii="仿宋_GB2312" w:eastAsia="仿宋_GB2312" w:hAnsi="宋体" w:hint="eastAsia"/>
          <w:color w:val="000000"/>
          <w:sz w:val="18"/>
          <w:szCs w:val="18"/>
        </w:rPr>
        <w:t>”</w:t>
      </w:r>
      <w:r>
        <w:rPr>
          <w:rFonts w:ascii="仿宋_GB2312" w:eastAsia="仿宋_GB2312" w:hAnsi="宋体"/>
          <w:color w:val="000000"/>
          <w:sz w:val="18"/>
          <w:szCs w:val="18"/>
        </w:rPr>
        <w:t>，新乡市知识产权局所办案件为</w:t>
      </w:r>
      <w:r>
        <w:rPr>
          <w:rFonts w:ascii="仿宋_GB2312" w:eastAsia="仿宋_GB2312" w:hAnsi="宋体" w:hint="eastAsia"/>
          <w:color w:val="000000"/>
          <w:sz w:val="18"/>
          <w:szCs w:val="18"/>
        </w:rPr>
        <w:t>“</w:t>
      </w:r>
      <w:r>
        <w:rPr>
          <w:rFonts w:ascii="仿宋_GB2312" w:eastAsia="仿宋_GB2312" w:hAnsi="宋体"/>
          <w:color w:val="000000"/>
          <w:sz w:val="18"/>
          <w:szCs w:val="18"/>
        </w:rPr>
        <w:t>新</w:t>
      </w:r>
      <w:r>
        <w:rPr>
          <w:rFonts w:ascii="仿宋_GB2312" w:eastAsia="仿宋_GB2312" w:hAnsi="宋体" w:hint="eastAsia"/>
          <w:color w:val="000000"/>
          <w:sz w:val="18"/>
          <w:szCs w:val="18"/>
        </w:rPr>
        <w:t>”</w:t>
      </w:r>
      <w:r>
        <w:rPr>
          <w:rFonts w:ascii="仿宋_GB2312" w:eastAsia="仿宋_GB2312" w:hAnsi="宋体"/>
          <w:color w:val="000000"/>
          <w:sz w:val="18"/>
          <w:szCs w:val="18"/>
        </w:rPr>
        <w:t>。如是省、自治区、直辖市知识产权局所办案件</w:t>
      </w:r>
      <w:r>
        <w:rPr>
          <w:rFonts w:ascii="仿宋_GB2312" w:eastAsia="仿宋_GB2312" w:hAnsi="宋体" w:hint="eastAsia"/>
          <w:color w:val="000000"/>
          <w:sz w:val="18"/>
          <w:szCs w:val="18"/>
        </w:rPr>
        <w:t>，</w:t>
      </w:r>
      <w:r>
        <w:rPr>
          <w:rFonts w:ascii="仿宋_GB2312" w:eastAsia="仿宋_GB2312" w:hAnsi="宋体"/>
          <w:color w:val="000000"/>
          <w:sz w:val="18"/>
          <w:szCs w:val="18"/>
        </w:rPr>
        <w:t>此处简称应删除。</w:t>
      </w:r>
    </w:p>
    <w:p w:rsidR="00800760" w:rsidRDefault="00235733">
      <w:pPr>
        <w:widowControl w:val="0"/>
        <w:ind w:firstLine="360"/>
        <w:rPr>
          <w:rFonts w:ascii="仿宋_GB2312" w:eastAsia="仿宋_GB2312" w:hAnsi="宋体"/>
          <w:color w:val="000000"/>
          <w:sz w:val="18"/>
          <w:szCs w:val="18"/>
        </w:rPr>
      </w:pPr>
      <w:r>
        <w:rPr>
          <w:rFonts w:eastAsia="仿宋_GB2312" w:hint="eastAsia"/>
          <w:color w:val="000000"/>
          <w:sz w:val="18"/>
          <w:szCs w:val="18"/>
        </w:rPr>
        <w:t>3</w:t>
      </w:r>
      <w:r>
        <w:rPr>
          <w:rFonts w:ascii="仿宋_GB2312" w:eastAsia="仿宋_GB2312" w:hAnsi="宋体"/>
          <w:color w:val="000000"/>
          <w:sz w:val="18"/>
          <w:szCs w:val="18"/>
        </w:rPr>
        <w:t>.所办案件流水号按照阿拉伯数字顺排，例如</w:t>
      </w:r>
      <w:r>
        <w:rPr>
          <w:rFonts w:ascii="仿宋_GB2312" w:eastAsia="仿宋_GB2312" w:hAnsi="宋体" w:hint="eastAsia"/>
          <w:color w:val="000000"/>
          <w:sz w:val="18"/>
          <w:szCs w:val="18"/>
        </w:rPr>
        <w:t>“</w:t>
      </w:r>
      <w:r>
        <w:rPr>
          <w:rFonts w:ascii="仿宋_GB2312" w:eastAsia="仿宋_GB2312" w:hAnsi="宋体"/>
          <w:color w:val="000000"/>
          <w:sz w:val="18"/>
          <w:szCs w:val="18"/>
        </w:rPr>
        <w:t>豫新知法</w:t>
      </w:r>
      <w:r>
        <w:rPr>
          <w:rFonts w:ascii="仿宋_GB2312" w:eastAsia="仿宋_GB2312" w:hAnsi="宋体" w:hint="eastAsia"/>
          <w:color w:val="000000"/>
          <w:sz w:val="18"/>
          <w:szCs w:val="18"/>
        </w:rPr>
        <w:t>裁</w:t>
      </w:r>
      <w:r>
        <w:rPr>
          <w:rFonts w:ascii="仿宋_GB2312" w:eastAsia="仿宋_GB2312" w:hAnsi="宋体"/>
          <w:color w:val="000000"/>
          <w:sz w:val="18"/>
          <w:szCs w:val="18"/>
        </w:rPr>
        <w:t>字〔</w:t>
      </w:r>
      <w:r>
        <w:rPr>
          <w:rFonts w:eastAsia="仿宋_GB2312" w:hint="eastAsia"/>
          <w:color w:val="000000"/>
          <w:sz w:val="18"/>
          <w:szCs w:val="18"/>
        </w:rPr>
        <w:t>2019</w:t>
      </w:r>
      <w:r>
        <w:rPr>
          <w:rFonts w:ascii="仿宋_GB2312" w:eastAsia="仿宋_GB2312" w:hAnsi="宋体"/>
          <w:color w:val="000000"/>
          <w:sz w:val="18"/>
          <w:szCs w:val="18"/>
        </w:rPr>
        <w:t>〕</w:t>
      </w:r>
      <w:r>
        <w:rPr>
          <w:rFonts w:eastAsia="仿宋_GB2312" w:hint="eastAsia"/>
          <w:color w:val="000000"/>
          <w:sz w:val="18"/>
          <w:szCs w:val="18"/>
        </w:rPr>
        <w:t>16</w:t>
      </w:r>
      <w:r>
        <w:rPr>
          <w:rFonts w:ascii="仿宋_GB2312" w:eastAsia="仿宋_GB2312" w:hAnsi="宋体"/>
          <w:color w:val="000000"/>
          <w:sz w:val="18"/>
          <w:szCs w:val="18"/>
        </w:rPr>
        <w:t>号</w:t>
      </w:r>
      <w:r>
        <w:rPr>
          <w:rFonts w:ascii="仿宋_GB2312" w:eastAsia="仿宋_GB2312" w:hAnsi="宋体" w:hint="eastAsia"/>
          <w:color w:val="000000"/>
          <w:sz w:val="18"/>
          <w:szCs w:val="18"/>
        </w:rPr>
        <w:t>”</w:t>
      </w:r>
      <w:r>
        <w:rPr>
          <w:rFonts w:ascii="仿宋_GB2312" w:eastAsia="仿宋_GB2312" w:hAnsi="宋体"/>
          <w:color w:val="000000"/>
          <w:sz w:val="18"/>
          <w:szCs w:val="18"/>
        </w:rPr>
        <w:t>。</w:t>
      </w:r>
    </w:p>
    <w:p w:rsidR="00800760" w:rsidRDefault="00235733">
      <w:pPr>
        <w:widowControl w:val="0"/>
        <w:rPr>
          <w:rFonts w:ascii="仿宋_GB2312" w:eastAsia="仿宋_GB2312" w:hAnsi="宋体"/>
          <w:color w:val="000000"/>
          <w:szCs w:val="21"/>
        </w:rPr>
      </w:pPr>
      <w:r>
        <w:rPr>
          <w:rFonts w:ascii="仿宋_GB2312" w:eastAsia="仿宋_GB2312" w:hAnsi="宋体"/>
          <w:color w:val="000000"/>
          <w:szCs w:val="21"/>
        </w:rPr>
        <w:t>四、本次所录文书、表格及笔录为试行版本，各地方知识产权局可根据本地实际参照执行。</w:t>
      </w:r>
    </w:p>
    <w:p w:rsidR="00800760" w:rsidRDefault="00800760">
      <w:pPr>
        <w:widowControl w:val="0"/>
        <w:rPr>
          <w:rFonts w:ascii="仿宋_GB2312" w:eastAsia="仿宋_GB2312" w:hAnsi="宋体"/>
          <w:color w:val="000000"/>
          <w:szCs w:val="21"/>
        </w:rPr>
      </w:pPr>
    </w:p>
    <w:p w:rsidR="00800760" w:rsidRDefault="00800760" w:rsidP="00885A51">
      <w:pPr>
        <w:widowControl w:val="0"/>
        <w:ind w:firstLineChars="0" w:firstLine="0"/>
        <w:rPr>
          <w:rFonts w:ascii="宋体" w:hAnsi="宋体" w:cs="Microsoft JhengHei"/>
          <w:b/>
          <w:color w:val="000000"/>
          <w:sz w:val="39"/>
          <w:szCs w:val="39"/>
        </w:rPr>
        <w:sectPr w:rsidR="00800760" w:rsidSect="00B30D69">
          <w:pgSz w:w="11907" w:h="16839" w:code="9"/>
          <w:pgMar w:top="1701" w:right="1418" w:bottom="1134" w:left="1418" w:header="431" w:footer="969" w:gutter="0"/>
          <w:cols w:space="720"/>
          <w:titlePg/>
          <w:docGrid w:type="linesAndChars" w:linePitch="312"/>
        </w:sectPr>
      </w:pPr>
    </w:p>
    <w:p w:rsidR="00800760" w:rsidRDefault="00800760" w:rsidP="00BB5B4E">
      <w:pPr>
        <w:widowControl w:val="0"/>
        <w:ind w:firstLineChars="0" w:firstLine="0"/>
        <w:rPr>
          <w:rFonts w:ascii="方正小标宋_GBK" w:eastAsia="方正小标宋_GBK" w:hAnsi="宋体"/>
          <w:color w:val="000000"/>
          <w:spacing w:val="6"/>
          <w:sz w:val="36"/>
          <w:szCs w:val="36"/>
        </w:rPr>
      </w:pPr>
    </w:p>
    <w:p w:rsidR="00800760" w:rsidRDefault="00800760">
      <w:pPr>
        <w:widowControl w:val="0"/>
        <w:ind w:firstLineChars="0" w:firstLine="0"/>
        <w:jc w:val="center"/>
        <w:rPr>
          <w:rFonts w:ascii="方正小标宋_GBK" w:eastAsia="方正小标宋_GBK" w:hAnsi="宋体"/>
          <w:color w:val="000000"/>
          <w:spacing w:val="6"/>
          <w:sz w:val="36"/>
          <w:szCs w:val="36"/>
        </w:rPr>
      </w:pPr>
    </w:p>
    <w:p w:rsidR="00800760" w:rsidRDefault="00800760">
      <w:pPr>
        <w:widowControl w:val="0"/>
        <w:ind w:firstLineChars="0" w:firstLine="0"/>
        <w:jc w:val="center"/>
        <w:rPr>
          <w:rFonts w:ascii="方正小标宋_GBK" w:eastAsia="方正小标宋_GBK" w:hAnsi="宋体"/>
          <w:color w:val="000000"/>
          <w:spacing w:val="6"/>
          <w:sz w:val="36"/>
          <w:szCs w:val="36"/>
        </w:rPr>
      </w:pPr>
    </w:p>
    <w:p w:rsidR="00A22B1A" w:rsidRDefault="00A22B1A">
      <w:pPr>
        <w:widowControl w:val="0"/>
        <w:ind w:firstLineChars="0" w:firstLine="0"/>
        <w:jc w:val="center"/>
        <w:rPr>
          <w:rFonts w:ascii="方正小标宋_GBK" w:eastAsia="方正小标宋_GBK" w:hAnsi="宋体"/>
          <w:color w:val="000000"/>
          <w:spacing w:val="6"/>
          <w:sz w:val="36"/>
          <w:szCs w:val="36"/>
        </w:rPr>
      </w:pPr>
    </w:p>
    <w:p w:rsidR="00A22B1A" w:rsidRDefault="00A22B1A">
      <w:pPr>
        <w:widowControl w:val="0"/>
        <w:ind w:firstLineChars="0" w:firstLine="0"/>
        <w:jc w:val="center"/>
        <w:rPr>
          <w:rFonts w:ascii="方正小标宋_GBK" w:eastAsia="方正小标宋_GBK" w:hAnsi="宋体"/>
          <w:color w:val="000000"/>
          <w:spacing w:val="6"/>
          <w:sz w:val="36"/>
          <w:szCs w:val="36"/>
        </w:rPr>
      </w:pPr>
    </w:p>
    <w:p w:rsidR="00A22B1A" w:rsidRDefault="00A22B1A">
      <w:pPr>
        <w:widowControl w:val="0"/>
        <w:ind w:firstLineChars="0" w:firstLine="0"/>
        <w:jc w:val="center"/>
        <w:rPr>
          <w:rFonts w:ascii="方正小标宋_GBK" w:eastAsia="方正小标宋_GBK" w:hAnsi="宋体"/>
          <w:color w:val="000000"/>
          <w:spacing w:val="6"/>
          <w:sz w:val="36"/>
          <w:szCs w:val="36"/>
        </w:rPr>
      </w:pPr>
    </w:p>
    <w:p w:rsidR="00A22B1A" w:rsidRDefault="00A22B1A">
      <w:pPr>
        <w:widowControl w:val="0"/>
        <w:ind w:firstLineChars="0" w:firstLine="0"/>
        <w:jc w:val="center"/>
        <w:rPr>
          <w:rFonts w:ascii="方正小标宋_GBK" w:eastAsia="方正小标宋_GBK" w:hAnsi="宋体"/>
          <w:color w:val="000000"/>
          <w:spacing w:val="6"/>
          <w:sz w:val="36"/>
          <w:szCs w:val="36"/>
        </w:rPr>
      </w:pPr>
    </w:p>
    <w:p w:rsidR="00A22B1A" w:rsidRDefault="00A22B1A">
      <w:pPr>
        <w:widowControl w:val="0"/>
        <w:ind w:firstLineChars="0" w:firstLine="0"/>
        <w:jc w:val="center"/>
        <w:rPr>
          <w:rFonts w:ascii="方正小标宋_GBK" w:eastAsia="方正小标宋_GBK" w:hAnsi="宋体"/>
          <w:color w:val="000000"/>
          <w:spacing w:val="6"/>
          <w:sz w:val="36"/>
          <w:szCs w:val="36"/>
        </w:rPr>
      </w:pPr>
    </w:p>
    <w:p w:rsidR="00A22B1A" w:rsidRDefault="00A22B1A">
      <w:pPr>
        <w:widowControl w:val="0"/>
        <w:ind w:firstLineChars="0" w:firstLine="0"/>
        <w:jc w:val="center"/>
        <w:rPr>
          <w:rFonts w:ascii="方正小标宋_GBK" w:eastAsia="方正小标宋_GBK" w:hAnsi="宋体"/>
          <w:color w:val="000000"/>
          <w:spacing w:val="6"/>
          <w:sz w:val="36"/>
          <w:szCs w:val="36"/>
        </w:rPr>
      </w:pPr>
    </w:p>
    <w:p w:rsidR="00800760" w:rsidRDefault="00235733">
      <w:pPr>
        <w:widowControl w:val="0"/>
        <w:ind w:firstLineChars="0" w:firstLine="0"/>
        <w:jc w:val="center"/>
        <w:rPr>
          <w:rFonts w:ascii="方正小标宋_GBK" w:eastAsia="方正小标宋_GBK" w:hAnsi="宋体"/>
          <w:color w:val="000000"/>
          <w:spacing w:val="6"/>
          <w:sz w:val="44"/>
          <w:szCs w:val="44"/>
        </w:rPr>
      </w:pPr>
      <w:r>
        <w:rPr>
          <w:rFonts w:ascii="方正小标宋_GBK" w:eastAsia="方正小标宋_GBK" w:hAnsi="宋体" w:hint="eastAsia"/>
          <w:color w:val="000000"/>
          <w:spacing w:val="6"/>
          <w:sz w:val="44"/>
          <w:szCs w:val="44"/>
        </w:rPr>
        <w:t>一、</w:t>
      </w:r>
      <w:r>
        <w:rPr>
          <w:rFonts w:ascii="方正小标宋_GBK" w:eastAsia="方正小标宋_GBK" w:hAnsi="宋体"/>
          <w:color w:val="000000"/>
          <w:spacing w:val="6"/>
          <w:sz w:val="44"/>
          <w:szCs w:val="44"/>
        </w:rPr>
        <w:t>知识产权局</w:t>
      </w:r>
      <w:r>
        <w:rPr>
          <w:rFonts w:ascii="方正小标宋_GBK" w:eastAsia="方正小标宋_GBK" w:hAnsi="宋体" w:hint="eastAsia"/>
          <w:color w:val="000000"/>
          <w:spacing w:val="6"/>
          <w:sz w:val="44"/>
          <w:szCs w:val="44"/>
        </w:rPr>
        <w:t>办案</w:t>
      </w:r>
      <w:r>
        <w:rPr>
          <w:rFonts w:ascii="方正小标宋_GBK" w:eastAsia="方正小标宋_GBK" w:hAnsi="宋体"/>
          <w:color w:val="000000"/>
          <w:spacing w:val="6"/>
          <w:sz w:val="44"/>
          <w:szCs w:val="44"/>
        </w:rPr>
        <w:t>用文书表格</w:t>
      </w:r>
    </w:p>
    <w:p w:rsidR="00800760" w:rsidRDefault="00235733" w:rsidP="00C22A7B">
      <w:pPr>
        <w:widowControl w:val="0"/>
        <w:spacing w:beforeLines="50" w:afterLines="50"/>
        <w:ind w:firstLineChars="0" w:firstLine="0"/>
        <w:jc w:val="center"/>
        <w:rPr>
          <w:rFonts w:ascii="仿宋_GB2312" w:eastAsia="仿宋_GB2312" w:hAnsi="仿宋"/>
          <w:color w:val="000000"/>
          <w:sz w:val="20"/>
        </w:rPr>
      </w:pPr>
      <w:bookmarkStart w:id="9311" w:name="bookmark0"/>
      <w:r>
        <w:rPr>
          <w:rFonts w:ascii="方正小标宋_GBK" w:eastAsia="方正小标宋_GBK" w:hAnsi="宋体"/>
          <w:color w:val="000000"/>
          <w:spacing w:val="6"/>
          <w:sz w:val="36"/>
          <w:szCs w:val="36"/>
        </w:rPr>
        <w:br w:type="page"/>
        <w:t xml:space="preserve"> </w:t>
      </w:r>
    </w:p>
    <w:p w:rsidR="00800760" w:rsidRDefault="00235733">
      <w:pPr>
        <w:spacing w:line="360" w:lineRule="auto"/>
        <w:ind w:firstLineChars="0" w:firstLine="904"/>
        <w:jc w:val="center"/>
        <w:rPr>
          <w:rFonts w:ascii="方正小标宋简体" w:eastAsia="方正小标宋简体" w:hAnsi="宋体"/>
          <w:color w:val="000000"/>
          <w:spacing w:val="6"/>
          <w:sz w:val="36"/>
          <w:szCs w:val="36"/>
        </w:rPr>
      </w:pPr>
      <w:r>
        <w:rPr>
          <w:rFonts w:ascii="方正小标宋简体" w:eastAsia="方正小标宋简体" w:hAnsi="宋体"/>
          <w:color w:val="000000"/>
          <w:spacing w:val="6"/>
          <w:sz w:val="36"/>
          <w:szCs w:val="36"/>
        </w:rPr>
        <w:t>专利侵权纠纷</w:t>
      </w:r>
      <w:r>
        <w:rPr>
          <w:rFonts w:ascii="方正小标宋简体" w:eastAsia="方正小标宋简体" w:hAnsi="宋体" w:hint="eastAsia"/>
          <w:color w:val="000000"/>
          <w:spacing w:val="6"/>
          <w:sz w:val="36"/>
          <w:szCs w:val="36"/>
        </w:rPr>
        <w:t>行政裁决</w:t>
      </w:r>
      <w:r>
        <w:rPr>
          <w:rFonts w:ascii="方正小标宋简体" w:eastAsia="方正小标宋简体" w:hAnsi="宋体"/>
          <w:color w:val="000000"/>
          <w:spacing w:val="6"/>
          <w:sz w:val="36"/>
          <w:szCs w:val="36"/>
        </w:rPr>
        <w:t>请求</w:t>
      </w:r>
      <w:r>
        <w:rPr>
          <w:rFonts w:ascii="方正小标宋简体" w:eastAsia="方正小标宋简体" w:hAnsi="宋体" w:hint="eastAsia"/>
          <w:color w:val="000000"/>
          <w:spacing w:val="6"/>
          <w:sz w:val="36"/>
          <w:szCs w:val="36"/>
        </w:rPr>
        <w:t>立案</w:t>
      </w:r>
      <w:r>
        <w:rPr>
          <w:rFonts w:ascii="方正小标宋简体" w:eastAsia="方正小标宋简体" w:hAnsi="宋体"/>
          <w:color w:val="000000"/>
          <w:spacing w:val="6"/>
          <w:sz w:val="36"/>
          <w:szCs w:val="36"/>
        </w:rPr>
        <w:t>通知书</w:t>
      </w:r>
    </w:p>
    <w:p w:rsidR="00800760" w:rsidRDefault="00800760">
      <w:pPr>
        <w:spacing w:line="360" w:lineRule="auto"/>
        <w:ind w:firstLineChars="0" w:firstLine="0"/>
        <w:jc w:val="right"/>
        <w:rPr>
          <w:rFonts w:ascii="仿宋" w:eastAsia="仿宋_GB2312" w:hAnsi="仿宋"/>
          <w:color w:val="000000"/>
          <w:sz w:val="20"/>
          <w:szCs w:val="21"/>
        </w:rPr>
      </w:pP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jc w:val="center"/>
        <w:tblCellMar>
          <w:left w:w="10" w:type="dxa"/>
          <w:right w:w="10" w:type="dxa"/>
        </w:tblCellMar>
        <w:tblLook w:val="04A0"/>
      </w:tblPr>
      <w:tblGrid>
        <w:gridCol w:w="1979"/>
        <w:gridCol w:w="7888"/>
      </w:tblGrid>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3997"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bl>
    <w:p w:rsidR="00800760" w:rsidRDefault="00235733">
      <w:pPr>
        <w:tabs>
          <w:tab w:val="left" w:leader="underscore" w:pos="2120"/>
        </w:tabs>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rPr>
        <w:t>：</w:t>
      </w:r>
    </w:p>
    <w:p w:rsidR="00800760" w:rsidRDefault="00235733">
      <w:pPr>
        <w:tabs>
          <w:tab w:val="left" w:leader="underscore" w:pos="3094"/>
          <w:tab w:val="left" w:leader="underscore" w:pos="3762"/>
          <w:tab w:val="left" w:leader="underscore" w:pos="4424"/>
        </w:tabs>
        <w:spacing w:line="360" w:lineRule="auto"/>
        <w:ind w:firstLineChars="244" w:firstLine="488"/>
        <w:rPr>
          <w:rFonts w:ascii="仿宋_GB2312" w:eastAsia="仿宋_GB2312" w:hAnsi="仿宋"/>
          <w:color w:val="000000"/>
          <w:sz w:val="20"/>
        </w:rPr>
      </w:pPr>
      <w:r>
        <w:rPr>
          <w:rFonts w:ascii="仿宋_GB2312" w:eastAsia="仿宋_GB2312" w:hAnsi="仿宋" w:hint="eastAsia"/>
          <w:color w:val="000000"/>
          <w:sz w:val="20"/>
        </w:rPr>
        <w:t>经审查，请求人于</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年</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月</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日提交的侵犯专利权纠纷行政裁决请求符合《专利纠纷行政裁决和调解办法》第十二条规定的受理条件，本局予以立案。</w:t>
      </w:r>
    </w:p>
    <w:p w:rsidR="00800760" w:rsidRDefault="00235733">
      <w:pPr>
        <w:spacing w:line="360" w:lineRule="auto"/>
        <w:ind w:left="440" w:firstLineChars="0" w:firstLine="0"/>
        <w:rPr>
          <w:rFonts w:ascii="仿宋_GB2312" w:eastAsia="仿宋_GB2312" w:hAnsi="仿宋"/>
          <w:color w:val="000000"/>
          <w:sz w:val="20"/>
        </w:rPr>
      </w:pPr>
      <w:r>
        <w:rPr>
          <w:rFonts w:ascii="仿宋_GB2312" w:eastAsia="仿宋_GB2312" w:hAnsi="仿宋" w:hint="eastAsia"/>
          <w:color w:val="000000"/>
          <w:sz w:val="20"/>
        </w:rPr>
        <w:t>特此通知。</w:t>
      </w:r>
    </w:p>
    <w:p w:rsidR="00800760" w:rsidRDefault="00800760">
      <w:pPr>
        <w:spacing w:line="360" w:lineRule="auto"/>
        <w:ind w:firstLineChars="0" w:firstLine="444"/>
        <w:rPr>
          <w:rFonts w:ascii="仿宋_GB2312" w:eastAsia="仿宋_GB2312" w:hAnsi="宋体"/>
          <w:color w:val="000000"/>
          <w:spacing w:val="6"/>
          <w:sz w:val="20"/>
        </w:rPr>
      </w:pP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国家知识产权局（盖章）</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tabs>
          <w:tab w:val="left" w:leader="underscore" w:pos="6075"/>
          <w:tab w:val="left" w:leader="underscore" w:pos="6546"/>
        </w:tabs>
        <w:spacing w:line="360" w:lineRule="auto"/>
        <w:ind w:right="919" w:firstLineChars="2283" w:firstLine="4566"/>
        <w:rPr>
          <w:rFonts w:ascii="仿宋_GB2312" w:eastAsia="仿宋_GB2312" w:hAnsi="仿宋"/>
          <w:color w:val="000000"/>
          <w:sz w:val="20"/>
        </w:rPr>
      </w:pPr>
    </w:p>
    <w:p w:rsidR="00800760" w:rsidRDefault="00800760">
      <w:pPr>
        <w:tabs>
          <w:tab w:val="left" w:leader="underscore" w:pos="6075"/>
          <w:tab w:val="left" w:leader="underscore" w:pos="6546"/>
        </w:tabs>
        <w:spacing w:line="360" w:lineRule="auto"/>
        <w:ind w:right="919" w:firstLineChars="2283" w:firstLine="4566"/>
        <w:rPr>
          <w:rFonts w:ascii="仿宋_GB2312" w:eastAsia="仿宋_GB2312" w:hAnsi="仿宋"/>
          <w:color w:val="000000"/>
          <w:sz w:val="20"/>
        </w:rPr>
      </w:pP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 xml:space="preserve">案件承办人: </w:t>
      </w: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联系电话：</w:t>
      </w: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本局地址：</w:t>
      </w: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邮政编码：</w:t>
      </w:r>
    </w:p>
    <w:p w:rsidR="00800760" w:rsidRDefault="00800760">
      <w:pPr>
        <w:spacing w:line="360" w:lineRule="auto"/>
        <w:ind w:firstLineChars="0" w:firstLine="444"/>
        <w:rPr>
          <w:rFonts w:ascii="仿宋_GB2312" w:eastAsia="仿宋_GB2312" w:hAnsi="宋体"/>
          <w:color w:val="000000"/>
          <w:spacing w:val="6"/>
          <w:sz w:val="20"/>
        </w:rPr>
      </w:pPr>
    </w:p>
    <w:p w:rsidR="00800760" w:rsidRDefault="00800760">
      <w:pPr>
        <w:spacing w:line="360" w:lineRule="auto"/>
        <w:ind w:firstLineChars="0" w:firstLine="0"/>
        <w:rPr>
          <w:rFonts w:ascii="仿宋_GB2312" w:eastAsia="仿宋_GB2312" w:hAnsi="宋体"/>
          <w:color w:val="000000"/>
          <w:spacing w:val="6"/>
          <w:sz w:val="20"/>
        </w:rPr>
      </w:pPr>
    </w:p>
    <w:p w:rsidR="00800760" w:rsidRDefault="00235733">
      <w:pPr>
        <w:keepNext/>
        <w:keepLines/>
        <w:widowControl w:val="0"/>
        <w:spacing w:line="660" w:lineRule="exact"/>
        <w:ind w:firstLineChars="100" w:firstLine="200"/>
        <w:outlineLvl w:val="0"/>
        <w:rPr>
          <w:rFonts w:ascii="仿宋_GB2312" w:eastAsia="仿宋_GB2312" w:hAnsi="仿宋" w:cs="PMingLiU"/>
          <w:color w:val="000000"/>
          <w:kern w:val="2"/>
          <w:sz w:val="20"/>
          <w:lang w:val="en-US"/>
        </w:rPr>
      </w:pPr>
      <w:bookmarkStart w:id="9312" w:name="_Toc229225661"/>
      <w:r>
        <w:rPr>
          <w:rFonts w:ascii="仿宋_GB2312" w:eastAsia="仿宋_GB2312" w:hAnsi="仿宋" w:cs="PMingLiU" w:hint="eastAsia"/>
          <w:color w:val="000000"/>
          <w:kern w:val="2"/>
          <w:sz w:val="20"/>
          <w:lang w:val="en-US"/>
        </w:rPr>
        <w:t>说明：本通知书一式两份，一份送达当事人，一份由国家知识产权局存档。</w:t>
      </w:r>
      <w:bookmarkEnd w:id="9312"/>
    </w:p>
    <w:p w:rsidR="00800760" w:rsidRDefault="00800760">
      <w:pPr>
        <w:keepNext/>
        <w:keepLines/>
        <w:widowControl w:val="0"/>
        <w:spacing w:line="660" w:lineRule="exact"/>
        <w:ind w:firstLineChars="100" w:firstLine="200"/>
        <w:outlineLvl w:val="0"/>
        <w:rPr>
          <w:rFonts w:ascii="仿宋_GB2312" w:eastAsia="仿宋_GB2312" w:hAnsi="仿宋" w:cs="PMingLiU"/>
          <w:color w:val="000000"/>
          <w:kern w:val="2"/>
          <w:sz w:val="20"/>
          <w:lang w:val="en-US"/>
        </w:rPr>
      </w:pPr>
    </w:p>
    <w:p w:rsidR="00800760" w:rsidRDefault="00800760">
      <w:pPr>
        <w:spacing w:line="360" w:lineRule="auto"/>
        <w:ind w:firstLineChars="0" w:firstLine="904"/>
        <w:jc w:val="center"/>
        <w:rPr>
          <w:rFonts w:ascii="方正小标宋简体" w:eastAsia="方正小标宋简体" w:hAnsi="宋体"/>
          <w:color w:val="000000"/>
          <w:spacing w:val="6"/>
          <w:sz w:val="36"/>
          <w:szCs w:val="36"/>
        </w:rPr>
      </w:pPr>
    </w:p>
    <w:p w:rsidR="00545851" w:rsidRDefault="00545851">
      <w:pPr>
        <w:spacing w:line="360" w:lineRule="auto"/>
        <w:ind w:firstLineChars="0" w:firstLine="904"/>
        <w:jc w:val="center"/>
        <w:rPr>
          <w:rFonts w:ascii="方正小标宋简体" w:eastAsia="方正小标宋简体" w:hAnsi="宋体"/>
          <w:color w:val="000000"/>
          <w:spacing w:val="6"/>
          <w:sz w:val="36"/>
          <w:szCs w:val="36"/>
        </w:rPr>
      </w:pPr>
    </w:p>
    <w:p w:rsidR="00800760" w:rsidRDefault="00235733">
      <w:pPr>
        <w:spacing w:line="360" w:lineRule="auto"/>
        <w:ind w:firstLineChars="0" w:firstLine="904"/>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w:t>
      </w:r>
      <w:r>
        <w:rPr>
          <w:rFonts w:ascii="方正小标宋简体" w:eastAsia="方正小标宋简体" w:hAnsi="宋体"/>
          <w:color w:val="000000"/>
          <w:spacing w:val="6"/>
          <w:sz w:val="36"/>
          <w:szCs w:val="36"/>
        </w:rPr>
        <w:t>专利侵权纠纷</w:t>
      </w:r>
      <w:r>
        <w:rPr>
          <w:rFonts w:ascii="方正小标宋简体" w:eastAsia="方正小标宋简体" w:hAnsi="宋体" w:hint="eastAsia"/>
          <w:color w:val="000000"/>
          <w:spacing w:val="6"/>
          <w:sz w:val="36"/>
          <w:szCs w:val="36"/>
        </w:rPr>
        <w:t>行政裁决</w:t>
      </w:r>
      <w:r>
        <w:rPr>
          <w:rFonts w:ascii="方正小标宋简体" w:eastAsia="方正小标宋简体" w:hAnsi="宋体"/>
          <w:color w:val="000000"/>
          <w:spacing w:val="6"/>
          <w:sz w:val="36"/>
          <w:szCs w:val="36"/>
        </w:rPr>
        <w:t>请求</w:t>
      </w:r>
      <w:r>
        <w:rPr>
          <w:rFonts w:ascii="方正小标宋简体" w:eastAsia="方正小标宋简体" w:hAnsi="宋体" w:hint="eastAsia"/>
          <w:color w:val="000000"/>
          <w:spacing w:val="6"/>
          <w:sz w:val="36"/>
          <w:szCs w:val="36"/>
        </w:rPr>
        <w:t>立案</w:t>
      </w:r>
      <w:r>
        <w:rPr>
          <w:rFonts w:ascii="方正小标宋简体" w:eastAsia="方正小标宋简体" w:hAnsi="宋体"/>
          <w:color w:val="000000"/>
          <w:spacing w:val="6"/>
          <w:sz w:val="36"/>
          <w:szCs w:val="36"/>
        </w:rPr>
        <w:t>通知书</w:t>
      </w:r>
    </w:p>
    <w:p w:rsidR="00800760" w:rsidRDefault="00800760">
      <w:pPr>
        <w:spacing w:line="360" w:lineRule="auto"/>
        <w:ind w:firstLineChars="0" w:firstLine="0"/>
        <w:jc w:val="right"/>
        <w:rPr>
          <w:rFonts w:ascii="仿宋" w:eastAsia="仿宋_GB2312" w:hAnsi="仿宋"/>
          <w:color w:val="000000"/>
          <w:sz w:val="20"/>
          <w:szCs w:val="21"/>
        </w:rPr>
      </w:pP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jc w:val="center"/>
        <w:tblCellMar>
          <w:left w:w="10" w:type="dxa"/>
          <w:right w:w="10" w:type="dxa"/>
        </w:tblCellMar>
        <w:tblLook w:val="04A0"/>
      </w:tblPr>
      <w:tblGrid>
        <w:gridCol w:w="1979"/>
        <w:gridCol w:w="7888"/>
      </w:tblGrid>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3997"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rPr>
                <w:rFonts w:ascii="仿宋_GB2312" w:eastAsia="仿宋_GB2312" w:hAnsi="仿宋"/>
                <w:color w:val="000000"/>
                <w:sz w:val="20"/>
                <w:lang w:eastAsia="en-US"/>
              </w:rPr>
            </w:pPr>
          </w:p>
        </w:tc>
      </w:tr>
    </w:tbl>
    <w:p w:rsidR="00800760" w:rsidRDefault="00235733">
      <w:pPr>
        <w:tabs>
          <w:tab w:val="left" w:leader="underscore" w:pos="2120"/>
        </w:tabs>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rPr>
        <w:t>：</w:t>
      </w:r>
    </w:p>
    <w:p w:rsidR="00800760" w:rsidRDefault="00235733">
      <w:pPr>
        <w:tabs>
          <w:tab w:val="left" w:leader="underscore" w:pos="3094"/>
          <w:tab w:val="left" w:leader="underscore" w:pos="3762"/>
          <w:tab w:val="left" w:leader="underscore" w:pos="4424"/>
        </w:tabs>
        <w:spacing w:line="360" w:lineRule="auto"/>
        <w:ind w:firstLineChars="244" w:firstLine="488"/>
        <w:rPr>
          <w:rFonts w:ascii="仿宋_GB2312" w:eastAsia="仿宋_GB2312" w:hAnsi="仿宋"/>
          <w:color w:val="000000"/>
          <w:sz w:val="20"/>
        </w:rPr>
      </w:pPr>
      <w:r>
        <w:rPr>
          <w:rFonts w:ascii="仿宋_GB2312" w:eastAsia="仿宋_GB2312" w:hAnsi="仿宋" w:hint="eastAsia"/>
          <w:color w:val="000000"/>
          <w:sz w:val="20"/>
        </w:rPr>
        <w:t>经审查，请求人于</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年</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月</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日提交的侵犯专利权纠纷行政裁决请求符合《专利纠纷行政裁决和调解办法》第十二条、第五十六条规定的受理条件，本局予以立案。</w:t>
      </w:r>
    </w:p>
    <w:p w:rsidR="00800760" w:rsidRDefault="00235733">
      <w:pPr>
        <w:spacing w:line="360" w:lineRule="auto"/>
        <w:ind w:left="440" w:firstLineChars="0" w:firstLine="0"/>
        <w:rPr>
          <w:rFonts w:ascii="仿宋_GB2312" w:eastAsia="仿宋_GB2312" w:hAnsi="仿宋"/>
          <w:color w:val="000000"/>
          <w:sz w:val="20"/>
        </w:rPr>
      </w:pPr>
      <w:r>
        <w:rPr>
          <w:rFonts w:ascii="仿宋_GB2312" w:eastAsia="仿宋_GB2312" w:hAnsi="仿宋" w:hint="eastAsia"/>
          <w:color w:val="000000"/>
          <w:sz w:val="20"/>
        </w:rPr>
        <w:t>特此通知。</w:t>
      </w:r>
    </w:p>
    <w:p w:rsidR="00800760" w:rsidRDefault="00800760">
      <w:pPr>
        <w:spacing w:line="360" w:lineRule="auto"/>
        <w:ind w:firstLineChars="0" w:firstLine="444"/>
        <w:rPr>
          <w:rFonts w:ascii="仿宋_GB2312" w:eastAsia="仿宋_GB2312" w:hAnsi="宋体"/>
          <w:color w:val="000000"/>
          <w:spacing w:val="6"/>
          <w:sz w:val="20"/>
        </w:rPr>
      </w:pP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国家知识产权局（盖章）</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tabs>
          <w:tab w:val="left" w:leader="underscore" w:pos="6075"/>
          <w:tab w:val="left" w:leader="underscore" w:pos="6546"/>
        </w:tabs>
        <w:spacing w:line="360" w:lineRule="auto"/>
        <w:ind w:right="919" w:firstLineChars="2283" w:firstLine="4566"/>
        <w:rPr>
          <w:rFonts w:ascii="仿宋_GB2312" w:eastAsia="仿宋_GB2312" w:hAnsi="仿宋"/>
          <w:color w:val="000000"/>
          <w:sz w:val="20"/>
        </w:rPr>
      </w:pPr>
    </w:p>
    <w:p w:rsidR="00800760" w:rsidRDefault="00800760">
      <w:pPr>
        <w:tabs>
          <w:tab w:val="left" w:leader="underscore" w:pos="6075"/>
          <w:tab w:val="left" w:leader="underscore" w:pos="6546"/>
        </w:tabs>
        <w:spacing w:line="360" w:lineRule="auto"/>
        <w:ind w:right="919" w:firstLineChars="2283" w:firstLine="4566"/>
        <w:rPr>
          <w:rFonts w:ascii="仿宋_GB2312" w:eastAsia="仿宋_GB2312" w:hAnsi="仿宋"/>
          <w:color w:val="000000"/>
          <w:sz w:val="20"/>
        </w:rPr>
      </w:pP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 xml:space="preserve">案件承办人: </w:t>
      </w: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联系电话：</w:t>
      </w: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本局地址：</w:t>
      </w: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邮政编码：</w:t>
      </w:r>
    </w:p>
    <w:p w:rsidR="00800760" w:rsidRDefault="00800760">
      <w:pPr>
        <w:spacing w:line="360" w:lineRule="auto"/>
        <w:ind w:firstLineChars="0" w:firstLine="444"/>
        <w:rPr>
          <w:rFonts w:ascii="仿宋_GB2312" w:eastAsia="仿宋_GB2312" w:hAnsi="宋体"/>
          <w:color w:val="000000"/>
          <w:spacing w:val="6"/>
          <w:sz w:val="20"/>
        </w:rPr>
      </w:pPr>
    </w:p>
    <w:p w:rsidR="00800760" w:rsidRDefault="00800760">
      <w:pPr>
        <w:spacing w:line="360" w:lineRule="auto"/>
        <w:ind w:firstLineChars="0" w:firstLine="444"/>
        <w:rPr>
          <w:rFonts w:ascii="仿宋_GB2312" w:eastAsia="仿宋_GB2312" w:hAnsi="宋体"/>
          <w:color w:val="000000"/>
          <w:spacing w:val="6"/>
          <w:sz w:val="20"/>
        </w:rPr>
      </w:pPr>
    </w:p>
    <w:p w:rsidR="00800760" w:rsidRDefault="00800760">
      <w:pPr>
        <w:spacing w:line="360" w:lineRule="auto"/>
        <w:ind w:firstLineChars="0" w:firstLine="444"/>
        <w:rPr>
          <w:rFonts w:ascii="仿宋_GB2312" w:eastAsia="仿宋_GB2312" w:hAnsi="宋体"/>
          <w:color w:val="000000"/>
          <w:spacing w:val="6"/>
          <w:sz w:val="20"/>
        </w:rPr>
      </w:pPr>
    </w:p>
    <w:p w:rsidR="00800760" w:rsidRDefault="00800760">
      <w:pPr>
        <w:spacing w:line="360" w:lineRule="auto"/>
        <w:ind w:firstLineChars="0" w:firstLine="0"/>
        <w:rPr>
          <w:rFonts w:ascii="仿宋_GB2312" w:eastAsia="仿宋_GB2312" w:hAnsi="宋体"/>
          <w:color w:val="000000"/>
          <w:spacing w:val="6"/>
          <w:sz w:val="20"/>
        </w:rPr>
      </w:pPr>
    </w:p>
    <w:p w:rsidR="00800760" w:rsidRDefault="00235733">
      <w:pPr>
        <w:keepNext/>
        <w:keepLines/>
        <w:widowControl w:val="0"/>
        <w:spacing w:line="660" w:lineRule="exact"/>
        <w:ind w:firstLineChars="100" w:firstLine="200"/>
        <w:outlineLvl w:val="0"/>
        <w:rPr>
          <w:rFonts w:ascii="仿宋_GB2312" w:eastAsia="仿宋_GB2312" w:hAnsi="仿宋" w:cs="PMingLiU"/>
          <w:color w:val="000000"/>
          <w:kern w:val="2"/>
          <w:sz w:val="20"/>
          <w:lang w:val="en-US"/>
        </w:rPr>
      </w:pPr>
      <w:bookmarkStart w:id="9313" w:name="_Toc229225662"/>
      <w:r>
        <w:rPr>
          <w:rFonts w:ascii="仿宋_GB2312" w:eastAsia="仿宋_GB2312" w:hAnsi="仿宋" w:cs="PMingLiU" w:hint="eastAsia"/>
          <w:color w:val="000000"/>
          <w:kern w:val="2"/>
          <w:sz w:val="20"/>
          <w:lang w:val="en-US"/>
        </w:rPr>
        <w:t>说明：本通知书一式两份，一份送达当事人，一份由国家知识产权局存档。</w:t>
      </w:r>
      <w:bookmarkEnd w:id="9313"/>
    </w:p>
    <w:p w:rsidR="00800760" w:rsidRDefault="00235733">
      <w:pPr>
        <w:spacing w:line="240" w:lineRule="auto"/>
        <w:ind w:firstLineChars="0" w:firstLine="0"/>
        <w:jc w:val="center"/>
        <w:rPr>
          <w:rFonts w:ascii="仿宋_GB2312" w:eastAsia="仿宋_GB2312" w:hAnsi="仿宋"/>
          <w:color w:val="000000"/>
          <w:sz w:val="20"/>
        </w:rPr>
      </w:pPr>
      <w:r>
        <w:rPr>
          <w:rFonts w:ascii="仿宋_GB2312" w:eastAsia="仿宋_GB2312" w:hAnsi="仿宋"/>
          <w:color w:val="000000"/>
          <w:sz w:val="20"/>
        </w:rPr>
        <w:br w:type="page"/>
      </w:r>
    </w:p>
    <w:p w:rsidR="00800760" w:rsidRDefault="00235733">
      <w:pPr>
        <w:spacing w:line="240" w:lineRule="auto"/>
        <w:ind w:firstLineChars="0" w:firstLine="0"/>
        <w:jc w:val="center"/>
        <w:rPr>
          <w:rFonts w:ascii="仿宋_GB2312" w:eastAsia="仿宋_GB2312" w:hAnsi="仿宋" w:cs="PMingLiU"/>
          <w:color w:val="000000"/>
          <w:kern w:val="2"/>
          <w:sz w:val="20"/>
          <w:lang w:val="en-US"/>
        </w:rPr>
      </w:pPr>
      <w:r>
        <w:rPr>
          <w:rFonts w:ascii="方正小标宋简体" w:eastAsia="方正小标宋简体" w:hAnsi="宋体" w:hint="eastAsia"/>
          <w:sz w:val="36"/>
          <w:szCs w:val="36"/>
        </w:rPr>
        <w:t>专利侵权纠纷行政裁决请求材料补正通知书</w:t>
      </w:r>
    </w:p>
    <w:p w:rsidR="00800760" w:rsidRDefault="00800760" w:rsidP="00235733">
      <w:pPr>
        <w:widowControl w:val="0"/>
        <w:spacing w:line="360" w:lineRule="auto"/>
        <w:ind w:firstLine="400"/>
        <w:rPr>
          <w:rFonts w:ascii="仿宋_GB2312" w:eastAsia="仿宋_GB2312" w:hAnsi="仿宋" w:cs="PMingLiU"/>
          <w:kern w:val="2"/>
          <w:sz w:val="20"/>
          <w:lang w:val="en-US"/>
        </w:rPr>
      </w:pPr>
    </w:p>
    <w:tbl>
      <w:tblPr>
        <w:tblW w:w="9072" w:type="dxa"/>
        <w:jc w:val="center"/>
        <w:tblLayout w:type="fixed"/>
        <w:tblCellMar>
          <w:left w:w="10" w:type="dxa"/>
          <w:right w:w="10" w:type="dxa"/>
        </w:tblCellMar>
        <w:tblLook w:val="04A0"/>
      </w:tblPr>
      <w:tblGrid>
        <w:gridCol w:w="1992"/>
        <w:gridCol w:w="7080"/>
      </w:tblGrid>
      <w:tr w:rsidR="00800760">
        <w:trPr>
          <w:trHeight w:hRule="exact" w:val="427"/>
          <w:jc w:val="center"/>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r w:rsidR="00800760">
        <w:trPr>
          <w:trHeight w:hRule="exact" w:val="422"/>
          <w:jc w:val="center"/>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r w:rsidR="00800760">
        <w:trPr>
          <w:trHeight w:hRule="exact" w:val="418"/>
          <w:jc w:val="center"/>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r w:rsidR="00800760">
        <w:trPr>
          <w:trHeight w:hRule="exact" w:val="418"/>
          <w:jc w:val="center"/>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r w:rsidR="00800760">
        <w:trPr>
          <w:trHeight w:hRule="exact" w:val="475"/>
          <w:jc w:val="center"/>
        </w:trPr>
        <w:tc>
          <w:tcPr>
            <w:tcW w:w="1992" w:type="dxa"/>
            <w:tcBorders>
              <w:top w:val="single" w:sz="4" w:space="0" w:color="auto"/>
              <w:left w:val="single" w:sz="4" w:space="0" w:color="auto"/>
              <w:bottom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7080" w:type="dxa"/>
            <w:tcBorders>
              <w:top w:val="single" w:sz="4" w:space="0" w:color="auto"/>
              <w:left w:val="single" w:sz="4" w:space="0" w:color="auto"/>
              <w:bottom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bl>
    <w:p w:rsidR="00800760" w:rsidRDefault="00800760">
      <w:pPr>
        <w:widowControl w:val="0"/>
        <w:tabs>
          <w:tab w:val="left" w:leader="underscore" w:pos="2550"/>
          <w:tab w:val="left" w:leader="underscore" w:pos="3762"/>
          <w:tab w:val="left" w:leader="underscore" w:pos="4424"/>
        </w:tabs>
        <w:spacing w:line="360" w:lineRule="auto"/>
        <w:ind w:firstLineChars="50" w:firstLine="100"/>
        <w:jc w:val="both"/>
        <w:rPr>
          <w:rFonts w:ascii="仿宋" w:eastAsia="仿宋_GB2312" w:hAnsi="仿宋"/>
          <w:color w:val="000000"/>
          <w:kern w:val="2"/>
          <w:sz w:val="20"/>
        </w:rPr>
      </w:pPr>
    </w:p>
    <w:p w:rsidR="00800760" w:rsidRDefault="00235733">
      <w:pPr>
        <w:widowControl w:val="0"/>
        <w:tabs>
          <w:tab w:val="left" w:leader="underscore" w:pos="2550"/>
          <w:tab w:val="left" w:leader="underscore" w:pos="3762"/>
          <w:tab w:val="left" w:leader="underscore" w:pos="4424"/>
        </w:tabs>
        <w:spacing w:line="360" w:lineRule="auto"/>
        <w:ind w:firstLineChars="50" w:firstLine="106"/>
        <w:jc w:val="both"/>
        <w:rPr>
          <w:rFonts w:ascii="仿宋" w:eastAsia="仿宋_GB2312" w:hAnsi="仿宋"/>
          <w:color w:val="000000"/>
          <w:kern w:val="2"/>
          <w:sz w:val="20"/>
        </w:rPr>
      </w:pPr>
      <w:r>
        <w:rPr>
          <w:rFonts w:ascii="仿宋_GB2312" w:eastAsia="仿宋_GB2312" w:hAnsi="宋体" w:cs="PMingLiU" w:hint="eastAsia"/>
          <w:color w:val="000000"/>
          <w:spacing w:val="6"/>
          <w:kern w:val="2"/>
          <w:sz w:val="20"/>
          <w:u w:val="single"/>
          <w:lang w:val="zh-CN" w:bidi="zh-CN"/>
        </w:rPr>
        <w:t xml:space="preserve">        </w:t>
      </w:r>
      <w:r>
        <w:rPr>
          <w:rFonts w:ascii="仿宋" w:eastAsia="仿宋_GB2312" w:hAnsi="仿宋" w:hint="eastAsia"/>
          <w:color w:val="000000"/>
          <w:kern w:val="2"/>
          <w:sz w:val="20"/>
        </w:rPr>
        <w:t>:</w:t>
      </w:r>
    </w:p>
    <w:p w:rsidR="00800760" w:rsidRDefault="00235733">
      <w:pPr>
        <w:widowControl w:val="0"/>
        <w:tabs>
          <w:tab w:val="left" w:leader="underscore" w:pos="3094"/>
          <w:tab w:val="left" w:leader="underscore" w:pos="3762"/>
          <w:tab w:val="left" w:leader="underscore" w:pos="4424"/>
        </w:tabs>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经审查，请求人于</w:t>
      </w:r>
      <w:r>
        <w:rPr>
          <w:rFonts w:ascii="仿宋" w:eastAsia="仿宋_GB2312" w:hAnsi="仿宋" w:hint="eastAsia"/>
          <w:color w:val="000000"/>
          <w:kern w:val="2"/>
          <w:sz w:val="20"/>
        </w:rPr>
        <w:t xml:space="preserve"> 20XX </w:t>
      </w:r>
      <w:r>
        <w:rPr>
          <w:rFonts w:ascii="仿宋" w:eastAsia="仿宋_GB2312" w:hAnsi="仿宋" w:hint="eastAsia"/>
          <w:color w:val="000000"/>
          <w:kern w:val="2"/>
          <w:sz w:val="20"/>
        </w:rPr>
        <w:t>年</w:t>
      </w:r>
      <w:r>
        <w:rPr>
          <w:rFonts w:ascii="仿宋" w:eastAsia="仿宋_GB2312" w:hAnsi="仿宋" w:hint="eastAsia"/>
          <w:color w:val="000000"/>
          <w:kern w:val="2"/>
          <w:sz w:val="20"/>
        </w:rPr>
        <w:t xml:space="preserve"> X</w:t>
      </w:r>
      <w:r>
        <w:rPr>
          <w:rFonts w:ascii="仿宋" w:eastAsia="仿宋_GB2312" w:hAnsi="仿宋" w:hint="eastAsia"/>
          <w:color w:val="000000"/>
          <w:kern w:val="2"/>
          <w:sz w:val="20"/>
        </w:rPr>
        <w:t>月</w:t>
      </w:r>
      <w:r>
        <w:rPr>
          <w:rFonts w:ascii="仿宋" w:eastAsia="仿宋_GB2312" w:hAnsi="仿宋" w:hint="eastAsia"/>
          <w:color w:val="000000"/>
          <w:kern w:val="2"/>
          <w:sz w:val="20"/>
        </w:rPr>
        <w:t>X</w:t>
      </w:r>
      <w:r>
        <w:rPr>
          <w:rFonts w:ascii="仿宋" w:eastAsia="仿宋_GB2312" w:hAnsi="仿宋" w:hint="eastAsia"/>
          <w:color w:val="000000"/>
          <w:kern w:val="2"/>
          <w:sz w:val="20"/>
        </w:rPr>
        <w:t>日提交到我局的侵犯专利权纠纷行政裁决请求符合《专利纠纷行政裁决和调解办法》第十二条规定的受理条件。请你根据《专利纠纷行政裁决和调解办法》第十六条、三十六条等规定，于</w:t>
      </w:r>
      <w:r>
        <w:rPr>
          <w:rFonts w:ascii="仿宋_GB2312" w:eastAsia="仿宋_GB2312" w:hAnsi="宋体" w:cs="PMingLiU" w:hint="eastAsia"/>
          <w:color w:val="000000"/>
          <w:spacing w:val="6"/>
          <w:kern w:val="2"/>
          <w:sz w:val="18"/>
          <w:szCs w:val="18"/>
          <w:u w:val="single"/>
          <w:lang w:val="zh-CN" w:bidi="zh-CN"/>
        </w:rPr>
        <w:t xml:space="preserve">    </w:t>
      </w:r>
      <w:r>
        <w:rPr>
          <w:rFonts w:ascii="仿宋" w:eastAsia="仿宋_GB2312" w:hAnsi="仿宋" w:hint="eastAsia"/>
          <w:color w:val="000000"/>
          <w:kern w:val="2"/>
          <w:sz w:val="20"/>
        </w:rPr>
        <w:t>日内提供以下补正内容：</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t>一、请求管理专利工作的部门处理专利侵权纠纷的，应当提交请求书及下列证明材料：</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自然人应当提交居民身份证或者其他有效身份证件；</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法人、非法人组织应当提交有效的营业执照或者其他主体资格证明文件副本及法定代表人或者主要负责人的身份证明；</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如请求人是利害关系人的，应提交证明材料；</w:t>
      </w:r>
      <w:r>
        <w:rPr>
          <w:rFonts w:ascii="仿宋" w:eastAsia="仿宋_GB2312" w:hAnsi="仿宋" w:hint="eastAsia"/>
          <w:color w:val="000000"/>
          <w:sz w:val="20"/>
        </w:rPr>
        <w:t xml:space="preserve"> </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国务院专利行政部门出具的专利登记簿副本；</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请求人应当按照被请求人的数量提供请求书副本及有关证据；</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请求事项证据清单。</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t>二、请求书应当记载以下内容：</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请求人的姓名或者名称、地址、联系方式</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法定代表人或者主要负责人的姓名、职务；</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委托代理人的，应当提供代理人的姓名、联系方式和代理机构或者所在单位的名称、地址，授权委托书必须记明委托事项和代理权限；</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被请求人的姓名或者名称、地址、联系方式；</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请求处理的事项以及事实和理由；</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载明据以请求处理被请求人侵犯其专利权的权利要求项；</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载明被控侵权产品标识的型号、类别、标识等内容。（视案情）</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t>有关证据和证明材料可以以请求书附件的形式提交。请求书应当由请求人签字或者盖章。</w:t>
      </w:r>
    </w:p>
    <w:p w:rsidR="00800760" w:rsidRDefault="00235733">
      <w:pPr>
        <w:widowControl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书面形式一次性全面告知后，材料在指定期限内经补正符合本办法第十四条、第十五条等规定条件的，管理专利工作的部门将及时立案。逾期未补正或者补正后仍不符合相关规定的，不予立案。特此通知。</w:t>
      </w:r>
    </w:p>
    <w:p w:rsidR="00800760" w:rsidRDefault="00800760">
      <w:pPr>
        <w:widowControl w:val="0"/>
        <w:spacing w:line="360" w:lineRule="auto"/>
        <w:ind w:firstLine="400"/>
        <w:jc w:val="both"/>
        <w:rPr>
          <w:rFonts w:ascii="仿宋" w:eastAsia="仿宋_GB2312" w:hAnsi="仿宋"/>
          <w:color w:val="000000"/>
          <w:kern w:val="2"/>
          <w:sz w:val="20"/>
        </w:rPr>
      </w:pPr>
    </w:p>
    <w:p w:rsidR="00800760" w:rsidRDefault="00800760" w:rsidP="00235733">
      <w:pPr>
        <w:widowControl w:val="0"/>
        <w:spacing w:line="360" w:lineRule="auto"/>
        <w:ind w:firstLine="400"/>
        <w:jc w:val="both"/>
        <w:rPr>
          <w:rFonts w:ascii="仿宋" w:eastAsia="仿宋_GB2312" w:hAnsi="仿宋"/>
          <w:color w:val="000000"/>
          <w:kern w:val="2"/>
          <w:sz w:val="20"/>
        </w:rPr>
      </w:pPr>
    </w:p>
    <w:p w:rsidR="00800760" w:rsidRDefault="00235733">
      <w:pPr>
        <w:widowControl w:val="0"/>
        <w:spacing w:line="360" w:lineRule="auto"/>
        <w:ind w:right="444" w:firstLineChars="0" w:firstLine="600"/>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pPr>
        <w:widowControl w:val="0"/>
        <w:tabs>
          <w:tab w:val="left" w:leader="underscore" w:pos="3094"/>
          <w:tab w:val="left" w:leader="underscore" w:pos="3762"/>
          <w:tab w:val="left" w:leader="underscore" w:pos="4424"/>
        </w:tabs>
        <w:snapToGrid w:val="0"/>
        <w:spacing w:line="360" w:lineRule="auto"/>
        <w:ind w:firstLineChars="2950" w:firstLine="6254"/>
        <w:jc w:val="both"/>
        <w:rPr>
          <w:rFonts w:ascii="仿宋_GB2312" w:eastAsia="仿宋_GB2312" w:hAnsi="宋体" w:cs="PMingLiU"/>
          <w:color w:val="000000"/>
          <w:spacing w:val="6"/>
          <w:kern w:val="2"/>
          <w:sz w:val="20"/>
          <w:lang w:val="zh-CN" w:bidi="zh-CN"/>
        </w:rPr>
      </w:pPr>
      <w:r>
        <w:rPr>
          <w:rFonts w:ascii="仿宋_GB2312" w:eastAsia="仿宋_GB2312" w:hAnsi="宋体" w:cs="PMingLiU" w:hint="eastAsia"/>
          <w:color w:val="000000"/>
          <w:spacing w:val="6"/>
          <w:kern w:val="2"/>
          <w:sz w:val="20"/>
          <w:u w:val="single"/>
          <w:lang w:val="zh-CN" w:bidi="zh-CN"/>
        </w:rPr>
        <w:t xml:space="preserve">      </w:t>
      </w:r>
      <w:r>
        <w:rPr>
          <w:rFonts w:ascii="仿宋_GB2312" w:eastAsia="仿宋_GB2312" w:hAnsi="宋体" w:cs="PMingLiU" w:hint="eastAsia"/>
          <w:color w:val="000000"/>
          <w:spacing w:val="6"/>
          <w:kern w:val="2"/>
          <w:sz w:val="20"/>
          <w:lang w:val="zh-CN" w:bidi="zh-CN"/>
        </w:rPr>
        <w:t>年</w:t>
      </w:r>
      <w:r>
        <w:rPr>
          <w:rFonts w:ascii="仿宋_GB2312" w:eastAsia="仿宋_GB2312" w:hAnsi="宋体" w:cs="PMingLiU" w:hint="eastAsia"/>
          <w:color w:val="000000"/>
          <w:spacing w:val="6"/>
          <w:kern w:val="2"/>
          <w:sz w:val="20"/>
          <w:u w:val="single"/>
          <w:lang w:val="zh-CN" w:bidi="zh-CN"/>
        </w:rPr>
        <w:t xml:space="preserve">    </w:t>
      </w:r>
      <w:r>
        <w:rPr>
          <w:rFonts w:ascii="仿宋_GB2312" w:eastAsia="仿宋_GB2312" w:hAnsi="宋体" w:cs="PMingLiU" w:hint="eastAsia"/>
          <w:color w:val="000000"/>
          <w:spacing w:val="6"/>
          <w:kern w:val="2"/>
          <w:sz w:val="20"/>
          <w:lang w:val="zh-CN" w:bidi="zh-CN"/>
        </w:rPr>
        <w:t>月</w:t>
      </w:r>
      <w:r>
        <w:rPr>
          <w:rFonts w:ascii="仿宋_GB2312" w:eastAsia="仿宋_GB2312" w:hAnsi="宋体" w:cs="PMingLiU" w:hint="eastAsia"/>
          <w:color w:val="000000"/>
          <w:spacing w:val="6"/>
          <w:kern w:val="2"/>
          <w:sz w:val="20"/>
          <w:u w:val="single"/>
          <w:lang w:val="zh-CN" w:bidi="zh-CN"/>
        </w:rPr>
        <w:t xml:space="preserve">    </w:t>
      </w:r>
      <w:r>
        <w:rPr>
          <w:rFonts w:ascii="仿宋_GB2312" w:eastAsia="仿宋_GB2312" w:hAnsi="宋体" w:cs="PMingLiU" w:hint="eastAsia"/>
          <w:color w:val="000000"/>
          <w:spacing w:val="6"/>
          <w:kern w:val="2"/>
          <w:sz w:val="20"/>
          <w:lang w:val="zh-CN" w:bidi="zh-CN"/>
        </w:rPr>
        <w:t>日</w:t>
      </w:r>
    </w:p>
    <w:p w:rsidR="00800760" w:rsidRDefault="00800760">
      <w:pPr>
        <w:widowControl w:val="0"/>
        <w:tabs>
          <w:tab w:val="left" w:leader="underscore" w:pos="3094"/>
          <w:tab w:val="left" w:leader="underscore" w:pos="3762"/>
          <w:tab w:val="left" w:leader="underscore" w:pos="4424"/>
        </w:tabs>
        <w:snapToGrid w:val="0"/>
        <w:spacing w:line="360" w:lineRule="auto"/>
        <w:ind w:firstLineChars="2550" w:firstLine="5100"/>
        <w:jc w:val="both"/>
        <w:rPr>
          <w:rFonts w:ascii="仿宋" w:eastAsia="仿宋_GB2312" w:hAnsi="仿宋"/>
          <w:color w:val="000000"/>
          <w:kern w:val="2"/>
          <w:sz w:val="20"/>
        </w:rPr>
      </w:pPr>
    </w:p>
    <w:p w:rsidR="00800760" w:rsidRDefault="00235733">
      <w:pPr>
        <w:widowControl w:val="0"/>
        <w:tabs>
          <w:tab w:val="left" w:leader="underscore" w:pos="3094"/>
          <w:tab w:val="left" w:leader="underscore" w:pos="3762"/>
          <w:tab w:val="left" w:leader="underscore" w:pos="4424"/>
        </w:tabs>
        <w:snapToGrid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联</w:t>
      </w:r>
      <w:r>
        <w:rPr>
          <w:rFonts w:ascii="仿宋" w:eastAsia="仿宋_GB2312" w:hAnsi="仿宋" w:hint="eastAsia"/>
          <w:color w:val="000000"/>
          <w:kern w:val="2"/>
          <w:sz w:val="20"/>
        </w:rPr>
        <w:t xml:space="preserve"> </w:t>
      </w:r>
      <w:r>
        <w:rPr>
          <w:rFonts w:ascii="仿宋" w:eastAsia="仿宋_GB2312" w:hAnsi="仿宋" w:hint="eastAsia"/>
          <w:color w:val="000000"/>
          <w:kern w:val="2"/>
          <w:sz w:val="20"/>
        </w:rPr>
        <w:t>系</w:t>
      </w:r>
      <w:r>
        <w:rPr>
          <w:rFonts w:ascii="仿宋" w:eastAsia="仿宋_GB2312" w:hAnsi="仿宋" w:hint="eastAsia"/>
          <w:color w:val="000000"/>
          <w:kern w:val="2"/>
          <w:sz w:val="20"/>
        </w:rPr>
        <w:t xml:space="preserve"> </w:t>
      </w:r>
      <w:r>
        <w:rPr>
          <w:rFonts w:ascii="仿宋" w:eastAsia="仿宋_GB2312" w:hAnsi="仿宋" w:hint="eastAsia"/>
          <w:color w:val="000000"/>
          <w:kern w:val="2"/>
          <w:sz w:val="20"/>
        </w:rPr>
        <w:t>人</w:t>
      </w:r>
      <w:r>
        <w:rPr>
          <w:rFonts w:ascii="仿宋" w:eastAsia="仿宋_GB2312" w:hAnsi="仿宋" w:hint="eastAsia"/>
          <w:color w:val="000000"/>
          <w:kern w:val="2"/>
          <w:sz w:val="20"/>
        </w:rPr>
        <w:t>:</w:t>
      </w:r>
    </w:p>
    <w:p w:rsidR="00800760" w:rsidRDefault="00235733">
      <w:pPr>
        <w:widowControl w:val="0"/>
        <w:tabs>
          <w:tab w:val="left" w:leader="underscore" w:pos="3094"/>
          <w:tab w:val="left" w:leader="underscore" w:pos="3762"/>
          <w:tab w:val="left" w:leader="underscore" w:pos="4424"/>
        </w:tabs>
        <w:snapToGrid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联系电话：</w:t>
      </w:r>
      <w:r>
        <w:rPr>
          <w:rFonts w:ascii="仿宋" w:eastAsia="仿宋_GB2312" w:hAnsi="仿宋" w:hint="eastAsia"/>
          <w:color w:val="000000"/>
          <w:kern w:val="2"/>
          <w:sz w:val="20"/>
        </w:rPr>
        <w:t xml:space="preserve"> </w:t>
      </w:r>
    </w:p>
    <w:p w:rsidR="00800760" w:rsidRDefault="00235733">
      <w:pPr>
        <w:widowControl w:val="0"/>
        <w:tabs>
          <w:tab w:val="left" w:leader="underscore" w:pos="3094"/>
          <w:tab w:val="left" w:leader="underscore" w:pos="3762"/>
          <w:tab w:val="left" w:leader="underscore" w:pos="4424"/>
        </w:tabs>
        <w:snapToGrid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本局地址：</w:t>
      </w:r>
      <w:r>
        <w:rPr>
          <w:rFonts w:ascii="仿宋" w:eastAsia="仿宋_GB2312" w:hAnsi="仿宋" w:hint="eastAsia"/>
          <w:color w:val="000000"/>
          <w:kern w:val="2"/>
          <w:sz w:val="20"/>
        </w:rPr>
        <w:t xml:space="preserve">  </w:t>
      </w:r>
    </w:p>
    <w:p w:rsidR="00800760" w:rsidRDefault="00235733">
      <w:pPr>
        <w:widowControl w:val="0"/>
        <w:tabs>
          <w:tab w:val="left" w:leader="underscore" w:pos="3094"/>
          <w:tab w:val="left" w:leader="underscore" w:pos="3762"/>
          <w:tab w:val="left" w:leader="underscore" w:pos="4424"/>
        </w:tabs>
        <w:snapToGrid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邮政编码：</w:t>
      </w:r>
      <w:r>
        <w:rPr>
          <w:rFonts w:ascii="仿宋" w:eastAsia="仿宋_GB2312" w:hAnsi="仿宋" w:hint="eastAsia"/>
          <w:color w:val="000000"/>
          <w:kern w:val="2"/>
          <w:sz w:val="20"/>
        </w:rPr>
        <w:t xml:space="preserve"> </w:t>
      </w: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 w:eastAsia="仿宋_GB2312" w:hAnsi="仿宋" w:cs="PMingLiU"/>
          <w:color w:val="000000"/>
          <w:kern w:val="2"/>
          <w:sz w:val="20"/>
          <w:lang w:val="en-US"/>
        </w:rPr>
      </w:pPr>
    </w:p>
    <w:p w:rsidR="00800760" w:rsidRDefault="00235733" w:rsidP="00235733">
      <w:pPr>
        <w:widowControl w:val="0"/>
        <w:spacing w:line="360" w:lineRule="auto"/>
        <w:ind w:firstLine="400"/>
        <w:jc w:val="both"/>
        <w:rPr>
          <w:rFonts w:ascii="方正小标宋_GBK" w:eastAsia="方正小标宋_GBK" w:hAnsi="宋体" w:cs="PMingLiU"/>
          <w:color w:val="000000"/>
          <w:spacing w:val="6"/>
          <w:kern w:val="2"/>
          <w:sz w:val="36"/>
          <w:szCs w:val="36"/>
          <w:lang w:val="en-US"/>
        </w:rPr>
      </w:pPr>
      <w:r>
        <w:rPr>
          <w:rFonts w:ascii="仿宋" w:eastAsia="仿宋_GB2312" w:hAnsi="仿宋" w:cs="PMingLiU" w:hint="eastAsia"/>
          <w:color w:val="000000"/>
          <w:kern w:val="2"/>
          <w:sz w:val="20"/>
          <w:lang w:val="en-US"/>
        </w:rPr>
        <w:t>说明：本通知书一式两份，一份送达当事人，一份由知识产权局存档。</w:t>
      </w:r>
      <w:bookmarkEnd w:id="9311"/>
    </w:p>
    <w:p w:rsidR="00590572" w:rsidRDefault="00590572" w:rsidP="00C22A7B">
      <w:pPr>
        <w:widowControl w:val="0"/>
        <w:spacing w:beforeLines="50" w:afterLines="50" w:line="660" w:lineRule="exact"/>
        <w:ind w:firstLineChars="0" w:firstLine="0"/>
        <w:jc w:val="center"/>
        <w:rPr>
          <w:rFonts w:ascii="方正小标宋_GBK" w:eastAsia="方正小标宋_GBK" w:hAnsi="宋体"/>
          <w:color w:val="000000"/>
          <w:spacing w:val="6"/>
          <w:sz w:val="36"/>
          <w:szCs w:val="36"/>
        </w:rPr>
      </w:pPr>
    </w:p>
    <w:p w:rsidR="00590572" w:rsidRDefault="00590572" w:rsidP="00C22A7B">
      <w:pPr>
        <w:widowControl w:val="0"/>
        <w:spacing w:beforeLines="50" w:afterLines="50" w:line="660" w:lineRule="exact"/>
        <w:ind w:firstLineChars="0" w:firstLine="0"/>
        <w:jc w:val="center"/>
        <w:rPr>
          <w:rFonts w:ascii="方正小标宋_GBK" w:eastAsia="方正小标宋_GBK" w:hAnsi="宋体"/>
          <w:color w:val="000000"/>
          <w:spacing w:val="6"/>
          <w:sz w:val="36"/>
          <w:szCs w:val="36"/>
        </w:rPr>
      </w:pPr>
    </w:p>
    <w:p w:rsidR="00DC3A0E" w:rsidRDefault="00DC3A0E" w:rsidP="00C22A7B">
      <w:pPr>
        <w:widowControl w:val="0"/>
        <w:spacing w:beforeLines="50" w:afterLines="50" w:line="660" w:lineRule="exact"/>
        <w:ind w:firstLineChars="0" w:firstLine="0"/>
        <w:jc w:val="center"/>
        <w:rPr>
          <w:rFonts w:ascii="方正小标宋_GBK" w:eastAsia="方正小标宋_GBK" w:hAnsi="宋体"/>
          <w:color w:val="000000"/>
          <w:spacing w:val="6"/>
          <w:sz w:val="36"/>
          <w:szCs w:val="36"/>
        </w:rPr>
      </w:pPr>
    </w:p>
    <w:p w:rsidR="00545851" w:rsidRDefault="00545851" w:rsidP="00C22A7B">
      <w:pPr>
        <w:widowControl w:val="0"/>
        <w:spacing w:beforeLines="50" w:afterLines="50" w:line="660" w:lineRule="exact"/>
        <w:ind w:firstLineChars="0" w:firstLine="0"/>
        <w:jc w:val="center"/>
        <w:rPr>
          <w:rFonts w:ascii="方正小标宋_GBK" w:eastAsia="方正小标宋_GBK" w:hAnsi="宋体"/>
          <w:color w:val="000000"/>
          <w:spacing w:val="6"/>
          <w:sz w:val="36"/>
          <w:szCs w:val="36"/>
        </w:rPr>
      </w:pPr>
    </w:p>
    <w:p w:rsidR="00800760" w:rsidRDefault="00235733" w:rsidP="00C22A7B">
      <w:pPr>
        <w:widowControl w:val="0"/>
        <w:spacing w:beforeLines="50" w:afterLines="50" w:line="660" w:lineRule="exact"/>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专利侵权纠纷处理请求不予</w:t>
      </w:r>
      <w:r>
        <w:rPr>
          <w:rFonts w:ascii="方正小标宋_GBK" w:eastAsia="方正小标宋_GBK" w:hAnsi="宋体" w:hint="eastAsia"/>
          <w:color w:val="000000"/>
          <w:spacing w:val="6"/>
          <w:sz w:val="36"/>
          <w:szCs w:val="36"/>
          <w:lang w:val="en-US"/>
        </w:rPr>
        <w:t>立案</w:t>
      </w:r>
      <w:r>
        <w:rPr>
          <w:rFonts w:ascii="方正小标宋_GBK" w:eastAsia="方正小标宋_GBK" w:hAnsi="宋体"/>
          <w:color w:val="000000"/>
          <w:spacing w:val="6"/>
          <w:sz w:val="36"/>
          <w:szCs w:val="36"/>
        </w:rPr>
        <w:t>通知书</w:t>
      </w:r>
    </w:p>
    <w:p w:rsidR="00800760" w:rsidRDefault="00800760" w:rsidP="00C22A7B">
      <w:pPr>
        <w:widowControl w:val="0"/>
        <w:spacing w:beforeLines="50" w:afterLines="50" w:line="660" w:lineRule="exact"/>
        <w:ind w:firstLineChars="0" w:firstLine="0"/>
        <w:jc w:val="center"/>
        <w:rPr>
          <w:rFonts w:ascii="方正小标宋_GBK" w:eastAsia="方正小标宋_GBK" w:hAnsi="宋体"/>
          <w:color w:val="000000"/>
          <w:spacing w:val="6"/>
          <w:sz w:val="36"/>
          <w:szCs w:val="36"/>
        </w:rPr>
      </w:pPr>
    </w:p>
    <w:tbl>
      <w:tblPr>
        <w:tblW w:w="5000" w:type="pct"/>
        <w:tblCellMar>
          <w:left w:w="10" w:type="dxa"/>
          <w:right w:w="10" w:type="dxa"/>
        </w:tblCellMar>
        <w:tblLook w:val="04A0"/>
      </w:tblPr>
      <w:tblGrid>
        <w:gridCol w:w="2015"/>
        <w:gridCol w:w="7852"/>
      </w:tblGrid>
      <w:tr w:rsidR="00800760">
        <w:trPr>
          <w:trHeight w:val="20"/>
        </w:trPr>
        <w:tc>
          <w:tcPr>
            <w:tcW w:w="1021"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3979"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trPr>
        <w:tc>
          <w:tcPr>
            <w:tcW w:w="1021"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3979"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trPr>
        <w:tc>
          <w:tcPr>
            <w:tcW w:w="1021"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3979"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trPr>
        <w:tc>
          <w:tcPr>
            <w:tcW w:w="1021"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3979"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trPr>
        <w:tc>
          <w:tcPr>
            <w:tcW w:w="1021"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3979"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bl>
    <w:p w:rsidR="00800760" w:rsidRDefault="00235733">
      <w:pPr>
        <w:spacing w:line="360" w:lineRule="auto"/>
        <w:ind w:firstLineChars="0" w:firstLine="0"/>
        <w:rPr>
          <w:color w:val="000000"/>
          <w:sz w:val="20"/>
        </w:rPr>
      </w:pPr>
      <w:r>
        <w:rPr>
          <w:rFonts w:ascii="仿宋_GB2312" w:eastAsia="仿宋_GB2312" w:hAnsi="宋体" w:hint="eastAsia"/>
          <w:color w:val="000000"/>
          <w:spacing w:val="6"/>
          <w:sz w:val="20"/>
          <w:u w:val="single"/>
        </w:rPr>
        <w:t xml:space="preserve">                     </w:t>
      </w:r>
      <w:r>
        <w:rPr>
          <w:rFonts w:hint="eastAsia"/>
          <w:color w:val="000000"/>
          <w:sz w:val="20"/>
          <w:u w:val="single"/>
          <w:lang w:eastAsia="en-US"/>
        </w:rPr>
        <w:t xml:space="preserve"> </w:t>
      </w:r>
      <w:r>
        <w:rPr>
          <w:rFonts w:hint="eastAsia"/>
          <w:color w:val="000000"/>
          <w:sz w:val="20"/>
        </w:rPr>
        <w:t>：</w:t>
      </w:r>
    </w:p>
    <w:p w:rsidR="00800760" w:rsidRDefault="00235733">
      <w:pPr>
        <w:spacing w:line="360" w:lineRule="auto"/>
        <w:ind w:firstLineChars="0" w:firstLine="390"/>
        <w:rPr>
          <w:rFonts w:ascii="仿宋" w:eastAsia="仿宋_GB2312" w:hAnsi="仿宋"/>
          <w:color w:val="000000"/>
          <w:sz w:val="20"/>
        </w:rPr>
      </w:pPr>
      <w:r>
        <w:rPr>
          <w:rFonts w:ascii="仿宋" w:eastAsia="仿宋_GB2312" w:hAnsi="仿宋"/>
          <w:color w:val="000000"/>
          <w:sz w:val="20"/>
        </w:rPr>
        <w:t>经审查，请求人于</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年</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月</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日提交的侵犯专利权纠纷处理请求不符合</w:t>
      </w:r>
      <w:r>
        <w:rPr>
          <w:rFonts w:ascii="仿宋" w:eastAsia="仿宋_GB2312" w:hAnsi="仿宋" w:hint="eastAsia"/>
          <w:color w:val="000000"/>
          <w:sz w:val="20"/>
        </w:rPr>
        <w:t>《专利纠纷行政裁决和调解办法》第十二条</w:t>
      </w:r>
      <w:r>
        <w:rPr>
          <w:rFonts w:ascii="仿宋" w:eastAsia="仿宋_GB2312" w:hAnsi="仿宋"/>
          <w:color w:val="000000"/>
          <w:sz w:val="20"/>
        </w:rPr>
        <w:t>规定的</w:t>
      </w:r>
      <w:r>
        <w:rPr>
          <w:rFonts w:ascii="仿宋" w:eastAsia="仿宋_GB2312" w:hAnsi="仿宋" w:hint="eastAsia"/>
          <w:color w:val="000000"/>
          <w:sz w:val="20"/>
        </w:rPr>
        <w:t>受理</w:t>
      </w:r>
      <w:r>
        <w:rPr>
          <w:rFonts w:ascii="仿宋" w:eastAsia="仿宋_GB2312" w:hAnsi="仿宋"/>
          <w:color w:val="000000"/>
          <w:sz w:val="20"/>
        </w:rPr>
        <w:t>条件，本局不予</w:t>
      </w:r>
      <w:r>
        <w:rPr>
          <w:rFonts w:ascii="仿宋" w:eastAsia="仿宋_GB2312" w:hAnsi="仿宋" w:hint="eastAsia"/>
          <w:color w:val="000000"/>
          <w:sz w:val="20"/>
          <w:lang w:val="en-US"/>
        </w:rPr>
        <w:t>立案</w:t>
      </w:r>
      <w:r>
        <w:rPr>
          <w:rFonts w:ascii="仿宋" w:eastAsia="仿宋_GB2312" w:hAnsi="仿宋"/>
          <w:color w:val="000000"/>
          <w:sz w:val="20"/>
        </w:rPr>
        <w:t>，具体理由是</w:t>
      </w:r>
      <w:r>
        <w:rPr>
          <w:rFonts w:ascii="仿宋" w:eastAsia="仿宋_GB2312" w:hAnsi="仿宋" w:hint="eastAsia"/>
          <w:color w:val="000000"/>
          <w:sz w:val="20"/>
        </w:rPr>
        <w:t>:</w:t>
      </w:r>
    </w:p>
    <w:p w:rsidR="00800760" w:rsidRDefault="00235733">
      <w:pPr>
        <w:spacing w:line="360" w:lineRule="auto"/>
        <w:ind w:left="440" w:firstLineChars="0" w:firstLine="0"/>
        <w:jc w:val="both"/>
        <w:rPr>
          <w:rFonts w:ascii="仿宋_GB2312" w:eastAsia="仿宋_GB2312" w:hAnsi="仿宋"/>
          <w:color w:val="000000"/>
          <w:sz w:val="20"/>
        </w:rPr>
      </w:pPr>
      <w:r>
        <w:rPr>
          <w:rFonts w:ascii="仿宋_GB2312" w:eastAsia="仿宋_GB2312" w:hAnsi="仿宋" w:hint="eastAsia"/>
          <w:color w:val="000000"/>
          <w:sz w:val="20"/>
        </w:rPr>
        <w:t>□请求人不是专利权人或者利害关系人。</w:t>
      </w:r>
    </w:p>
    <w:p w:rsidR="00800760" w:rsidRDefault="00235733">
      <w:pPr>
        <w:spacing w:line="360" w:lineRule="auto"/>
        <w:ind w:left="440" w:firstLineChars="0" w:firstLine="0"/>
        <w:jc w:val="both"/>
        <w:rPr>
          <w:rFonts w:ascii="仿宋_GB2312" w:eastAsia="仿宋_GB2312" w:hAnsi="仿宋"/>
          <w:color w:val="000000"/>
          <w:sz w:val="20"/>
        </w:rPr>
      </w:pPr>
      <w:r>
        <w:rPr>
          <w:rFonts w:ascii="仿宋_GB2312" w:eastAsia="仿宋_GB2312" w:hAnsi="仿宋" w:hint="eastAsia"/>
          <w:color w:val="000000"/>
          <w:sz w:val="20"/>
        </w:rPr>
        <w:t>□没有明确的被请求人。</w:t>
      </w:r>
    </w:p>
    <w:p w:rsidR="00800760" w:rsidRDefault="00235733">
      <w:pPr>
        <w:spacing w:line="360" w:lineRule="auto"/>
        <w:ind w:left="440" w:firstLineChars="0" w:firstLine="0"/>
        <w:jc w:val="both"/>
        <w:rPr>
          <w:rFonts w:ascii="仿宋_GB2312" w:eastAsia="仿宋_GB2312" w:hAnsi="仿宋"/>
          <w:color w:val="000000"/>
          <w:sz w:val="20"/>
        </w:rPr>
      </w:pPr>
      <w:r>
        <w:rPr>
          <w:rFonts w:ascii="仿宋_GB2312" w:eastAsia="仿宋_GB2312" w:hAnsi="仿宋" w:hint="eastAsia"/>
          <w:color w:val="000000"/>
          <w:sz w:val="20"/>
        </w:rPr>
        <w:t>□没有明确的请求事项和具体事实、理由。</w:t>
      </w:r>
    </w:p>
    <w:p w:rsidR="00800760" w:rsidRDefault="00235733">
      <w:pPr>
        <w:spacing w:line="360" w:lineRule="auto"/>
        <w:ind w:left="440" w:firstLineChars="0" w:firstLine="0"/>
        <w:jc w:val="both"/>
        <w:rPr>
          <w:rFonts w:ascii="仿宋_GB2312" w:eastAsia="仿宋_GB2312" w:hAnsi="仿宋"/>
          <w:color w:val="000000"/>
          <w:sz w:val="20"/>
        </w:rPr>
      </w:pPr>
      <w:r>
        <w:rPr>
          <w:rFonts w:ascii="仿宋_GB2312" w:eastAsia="仿宋_GB2312" w:hAnsi="仿宋" w:hint="eastAsia"/>
          <w:color w:val="000000"/>
          <w:sz w:val="20"/>
        </w:rPr>
        <w:t>□不属于本局受案或管辖范围。</w:t>
      </w:r>
    </w:p>
    <w:p w:rsidR="00800760" w:rsidRDefault="00235733">
      <w:pPr>
        <w:spacing w:line="360" w:lineRule="auto"/>
        <w:ind w:left="440" w:firstLineChars="0" w:firstLine="0"/>
        <w:jc w:val="both"/>
        <w:rPr>
          <w:rFonts w:ascii="仿宋_GB2312" w:eastAsia="仿宋_GB2312" w:hAnsi="仿宋"/>
          <w:color w:val="000000"/>
          <w:sz w:val="20"/>
        </w:rPr>
      </w:pPr>
      <w:r>
        <w:rPr>
          <w:rFonts w:ascii="仿宋_GB2312" w:eastAsia="仿宋_GB2312" w:hAnsi="仿宋" w:hint="eastAsia"/>
          <w:color w:val="000000"/>
          <w:sz w:val="20"/>
        </w:rPr>
        <w:t>□当事人已经就该专利侵权纠纷向人民法院起诉。</w:t>
      </w:r>
    </w:p>
    <w:p w:rsidR="00800760" w:rsidRDefault="00235733">
      <w:pPr>
        <w:spacing w:line="360" w:lineRule="auto"/>
        <w:ind w:left="440" w:firstLineChars="0" w:firstLine="0"/>
        <w:jc w:val="both"/>
        <w:rPr>
          <w:rFonts w:ascii="仿宋_GB2312" w:eastAsia="仿宋_GB2312" w:hAnsi="仿宋"/>
          <w:color w:val="000000"/>
          <w:sz w:val="20"/>
          <w:u w:val="single"/>
          <w:lang w:eastAsia="en-US"/>
        </w:rPr>
      </w:pPr>
      <w:r>
        <w:rPr>
          <w:rFonts w:ascii="仿宋_GB2312" w:eastAsia="仿宋_GB2312" w:hAnsi="仿宋" w:hint="eastAsia"/>
          <w:color w:val="000000"/>
          <w:sz w:val="20"/>
          <w:lang w:eastAsia="en-US"/>
        </w:rPr>
        <w:t>□其他（注明原因）</w:t>
      </w:r>
      <w:r>
        <w:rPr>
          <w:rFonts w:ascii="仿宋_GB2312" w:eastAsia="仿宋_GB2312" w:hAnsi="仿宋" w:hint="eastAsia"/>
          <w:color w:val="000000"/>
          <w:sz w:val="20"/>
          <w:u w:val="single"/>
          <w:lang w:eastAsia="en-US"/>
        </w:rPr>
        <w:t xml:space="preserve">                                             </w:t>
      </w:r>
      <w:r>
        <w:rPr>
          <w:rFonts w:ascii="仿宋_GB2312" w:eastAsia="仿宋_GB2312" w:hAnsi="仿宋" w:hint="eastAsia"/>
          <w:color w:val="000000"/>
          <w:sz w:val="20"/>
          <w:lang w:eastAsia="en-US"/>
        </w:rPr>
        <w:t>。</w:t>
      </w:r>
    </w:p>
    <w:p w:rsidR="00800760" w:rsidRDefault="00235733">
      <w:pPr>
        <w:spacing w:line="360" w:lineRule="auto"/>
        <w:ind w:left="440" w:firstLineChars="0" w:firstLine="0"/>
        <w:jc w:val="both"/>
        <w:rPr>
          <w:rFonts w:ascii="仿宋_GB2312" w:eastAsia="仿宋_GB2312" w:hAnsi="仿宋"/>
          <w:color w:val="000000"/>
          <w:sz w:val="20"/>
        </w:rPr>
      </w:pPr>
      <w:r>
        <w:rPr>
          <w:rFonts w:ascii="仿宋_GB2312" w:eastAsia="仿宋_GB2312" w:hAnsi="仿宋" w:hint="eastAsia"/>
          <w:color w:val="000000"/>
          <w:sz w:val="20"/>
        </w:rPr>
        <w:t>特此通知。</w:t>
      </w:r>
    </w:p>
    <w:p w:rsidR="00800760" w:rsidRDefault="00235733">
      <w:pPr>
        <w:spacing w:line="360" w:lineRule="auto"/>
        <w:ind w:left="442" w:firstLine="400"/>
        <w:rPr>
          <w:rFonts w:ascii="仿宋" w:eastAsia="仿宋_GB2312" w:hAnsi="仿宋"/>
          <w:color w:val="000000"/>
          <w:sz w:val="20"/>
        </w:rPr>
      </w:pPr>
      <w:r>
        <w:rPr>
          <w:rFonts w:ascii="仿宋" w:eastAsia="仿宋_GB2312" w:hAnsi="仿宋" w:hint="eastAsia"/>
          <w:color w:val="000000"/>
          <w:sz w:val="20"/>
        </w:rPr>
        <w:t>如不服本通知书，可以依法提起行政复议或者行政诉讼，也可以就请求处理的事项另行直接向</w:t>
      </w:r>
      <w:r>
        <w:rPr>
          <w:rFonts w:ascii="仿宋" w:eastAsia="仿宋_GB2312" w:hAnsi="仿宋" w:hint="eastAsia"/>
          <w:color w:val="000000"/>
          <w:sz w:val="20"/>
          <w:u w:val="single"/>
        </w:rPr>
        <w:t xml:space="preserve">        </w:t>
      </w:r>
      <w:r>
        <w:rPr>
          <w:rFonts w:ascii="仿宋" w:eastAsia="仿宋_GB2312" w:hAnsi="仿宋" w:hint="eastAsia"/>
          <w:color w:val="000000"/>
          <w:sz w:val="20"/>
        </w:rPr>
        <w:t>人民法院提起民事诉讼。</w:t>
      </w:r>
    </w:p>
    <w:p w:rsidR="00800760" w:rsidRDefault="00800760">
      <w:pPr>
        <w:widowControl w:val="0"/>
        <w:spacing w:line="360" w:lineRule="auto"/>
        <w:ind w:firstLineChars="0" w:firstLine="600"/>
        <w:rPr>
          <w:rFonts w:ascii="仿宋_GB2312" w:eastAsia="仿宋_GB2312" w:hAnsi="宋体"/>
          <w:color w:val="000000"/>
          <w:spacing w:val="6"/>
          <w:sz w:val="20"/>
        </w:rPr>
      </w:pPr>
    </w:p>
    <w:p w:rsidR="00800760" w:rsidRDefault="00235733">
      <w:pPr>
        <w:widowControl w:val="0"/>
        <w:spacing w:line="360" w:lineRule="auto"/>
        <w:ind w:firstLineChars="0" w:firstLine="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pPr>
        <w:widowControl w:val="0"/>
        <w:spacing w:line="360"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rsidP="00235733">
      <w:pPr>
        <w:widowControl w:val="0"/>
        <w:spacing w:line="360" w:lineRule="auto"/>
        <w:ind w:left="440" w:firstLine="400"/>
        <w:jc w:val="both"/>
        <w:rPr>
          <w:rFonts w:ascii="仿宋_GB2312" w:eastAsia="仿宋_GB2312" w:hAnsi="仿宋" w:cs="PMingLiU"/>
          <w:color w:val="000000"/>
          <w:kern w:val="2"/>
          <w:sz w:val="20"/>
          <w:lang w:val="en-US"/>
        </w:rPr>
      </w:pPr>
    </w:p>
    <w:p w:rsidR="00800760" w:rsidRDefault="00800760" w:rsidP="00235733">
      <w:pPr>
        <w:widowControl w:val="0"/>
        <w:spacing w:line="360" w:lineRule="auto"/>
        <w:ind w:firstLine="400"/>
        <w:jc w:val="both"/>
        <w:rPr>
          <w:rFonts w:ascii="仿宋_GB2312" w:eastAsia="仿宋_GB2312" w:hAnsi="仿宋" w:cs="PMingLiU"/>
          <w:color w:val="000000"/>
          <w:kern w:val="2"/>
          <w:sz w:val="20"/>
          <w:lang w:val="en-US"/>
        </w:rPr>
      </w:pPr>
    </w:p>
    <w:p w:rsidR="00800760" w:rsidRDefault="00800760" w:rsidP="00235733">
      <w:pPr>
        <w:widowControl w:val="0"/>
        <w:spacing w:line="360" w:lineRule="auto"/>
        <w:ind w:left="440" w:firstLine="400"/>
        <w:jc w:val="both"/>
        <w:rPr>
          <w:rFonts w:ascii="仿宋_GB2312" w:eastAsia="仿宋_GB2312" w:hAnsi="仿宋" w:cs="PMingLiU"/>
          <w:color w:val="000000"/>
          <w:kern w:val="2"/>
          <w:sz w:val="20"/>
          <w:lang w:val="en-US"/>
        </w:rPr>
      </w:pPr>
    </w:p>
    <w:p w:rsidR="00800760" w:rsidRDefault="00235733" w:rsidP="00235733">
      <w:pPr>
        <w:widowControl w:val="0"/>
        <w:spacing w:line="360" w:lineRule="auto"/>
        <w:ind w:firstLine="400"/>
        <w:jc w:val="both"/>
        <w:rPr>
          <w:rFonts w:ascii="仿宋" w:eastAsia="仿宋_GB2312" w:hAnsi="仿宋" w:cs="PMingLiU"/>
          <w:color w:val="000000"/>
          <w:kern w:val="2"/>
          <w:sz w:val="20"/>
          <w:lang w:val="en-US"/>
        </w:rPr>
      </w:pPr>
      <w:r>
        <w:rPr>
          <w:rFonts w:ascii="仿宋" w:eastAsia="仿宋_GB2312" w:hAnsi="仿宋" w:cs="PMingLiU"/>
          <w:color w:val="000000"/>
          <w:kern w:val="2"/>
          <w:sz w:val="20"/>
          <w:lang w:val="en-US"/>
        </w:rPr>
        <w:t>说明：本通知书一式两份，一份送达当事人，一份由知识产权局存档</w:t>
      </w:r>
      <w:r>
        <w:rPr>
          <w:rFonts w:ascii="仿宋" w:eastAsia="仿宋_GB2312" w:hAnsi="仿宋" w:cs="PMingLiU" w:hint="eastAsia"/>
          <w:color w:val="000000"/>
          <w:kern w:val="2"/>
          <w:sz w:val="20"/>
          <w:lang w:val="en-US"/>
        </w:rPr>
        <w:t>。</w:t>
      </w:r>
    </w:p>
    <w:p w:rsidR="00800760" w:rsidRDefault="00800760"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p>
    <w:p w:rsidR="00A22B1A" w:rsidRDefault="00A22B1A"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重大专利侵权纠纷行政裁决不予立案通知书</w:t>
      </w:r>
    </w:p>
    <w:p w:rsidR="00800760" w:rsidRDefault="00800760" w:rsidP="00C22A7B">
      <w:pPr>
        <w:spacing w:beforeLines="50" w:afterLines="50" w:line="360" w:lineRule="auto"/>
        <w:ind w:firstLineChars="0" w:firstLine="744"/>
        <w:jc w:val="center"/>
        <w:rPr>
          <w:rFonts w:ascii="方正小标宋简体" w:eastAsia="方正小标宋简体" w:hAnsi="宋体"/>
          <w:color w:val="000000"/>
          <w:spacing w:val="6"/>
          <w:sz w:val="36"/>
          <w:szCs w:val="36"/>
        </w:rPr>
      </w:pPr>
    </w:p>
    <w:tbl>
      <w:tblPr>
        <w:tblW w:w="5000" w:type="pct"/>
        <w:tblCellMar>
          <w:left w:w="10" w:type="dxa"/>
          <w:right w:w="10" w:type="dxa"/>
        </w:tblCellMar>
        <w:tblLook w:val="04A0"/>
      </w:tblPr>
      <w:tblGrid>
        <w:gridCol w:w="2015"/>
        <w:gridCol w:w="7852"/>
      </w:tblGrid>
      <w:tr w:rsidR="00800760">
        <w:trPr>
          <w:trHeight w:val="20"/>
        </w:trPr>
        <w:tc>
          <w:tcPr>
            <w:tcW w:w="1021"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专利号</w:t>
            </w:r>
          </w:p>
        </w:tc>
        <w:tc>
          <w:tcPr>
            <w:tcW w:w="3979"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trPr>
        <w:tc>
          <w:tcPr>
            <w:tcW w:w="1021"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专利名称</w:t>
            </w:r>
          </w:p>
        </w:tc>
        <w:tc>
          <w:tcPr>
            <w:tcW w:w="3979"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trPr>
        <w:tc>
          <w:tcPr>
            <w:tcW w:w="1021"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专利权人</w:t>
            </w:r>
          </w:p>
        </w:tc>
        <w:tc>
          <w:tcPr>
            <w:tcW w:w="3979"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trPr>
        <w:tc>
          <w:tcPr>
            <w:tcW w:w="1021"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请求人</w:t>
            </w:r>
          </w:p>
        </w:tc>
        <w:tc>
          <w:tcPr>
            <w:tcW w:w="3979"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trPr>
        <w:tc>
          <w:tcPr>
            <w:tcW w:w="1021"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被请求人</w:t>
            </w:r>
          </w:p>
        </w:tc>
        <w:tc>
          <w:tcPr>
            <w:tcW w:w="3979"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bl>
    <w:p w:rsidR="00800760" w:rsidRDefault="00235733">
      <w:pPr>
        <w:spacing w:line="360" w:lineRule="auto"/>
        <w:ind w:firstLineChars="0" w:firstLine="0"/>
        <w:rPr>
          <w:rFonts w:ascii="仿宋_GB2312" w:eastAsia="仿宋_GB2312"/>
          <w:color w:val="000000"/>
          <w:sz w:val="20"/>
          <w:szCs w:val="21"/>
          <w:lang w:eastAsia="en-US"/>
        </w:rPr>
      </w:pPr>
      <w:r>
        <w:rPr>
          <w:rFonts w:ascii="仿宋_GB2312" w:eastAsia="仿宋_GB2312" w:hAnsi="宋体" w:hint="eastAsia"/>
          <w:color w:val="000000"/>
          <w:spacing w:val="6"/>
          <w:sz w:val="20"/>
          <w:szCs w:val="21"/>
          <w:u w:val="single"/>
          <w:lang w:eastAsia="en-US"/>
        </w:rPr>
        <w:t xml:space="preserve">                     </w:t>
      </w:r>
      <w:r>
        <w:rPr>
          <w:rFonts w:ascii="仿宋_GB2312" w:eastAsia="仿宋_GB2312" w:hint="eastAsia"/>
          <w:color w:val="000000"/>
          <w:sz w:val="20"/>
          <w:szCs w:val="21"/>
          <w:u w:val="single"/>
          <w:lang w:eastAsia="en-US"/>
        </w:rPr>
        <w:t xml:space="preserve"> </w:t>
      </w:r>
      <w:r>
        <w:rPr>
          <w:rFonts w:ascii="仿宋_GB2312" w:eastAsia="仿宋_GB2312" w:hint="eastAsia"/>
          <w:color w:val="000000"/>
          <w:sz w:val="20"/>
          <w:szCs w:val="21"/>
          <w:lang w:eastAsia="en-US"/>
        </w:rPr>
        <w:t>:</w:t>
      </w:r>
    </w:p>
    <w:p w:rsidR="00800760" w:rsidRDefault="00235733">
      <w:pPr>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经审查，请求人于</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日提交的侵犯专利权纠纷行政裁决请求不符合</w:t>
      </w:r>
      <w:r>
        <w:rPr>
          <w:rFonts w:ascii="仿宋" w:eastAsia="仿宋_GB2312" w:hAnsi="仿宋" w:hint="eastAsia"/>
          <w:color w:val="000000"/>
          <w:sz w:val="20"/>
        </w:rPr>
        <w:t>《专利纠纷行政裁决和调解办法》第十二条、第五十六条</w:t>
      </w:r>
      <w:r>
        <w:rPr>
          <w:rFonts w:ascii="仿宋_GB2312" w:eastAsia="仿宋_GB2312" w:hAnsi="仿宋" w:hint="eastAsia"/>
          <w:color w:val="000000"/>
          <w:sz w:val="20"/>
          <w:szCs w:val="21"/>
        </w:rPr>
        <w:t>规定的受理条件，本局不予立案，具体理由是:</w:t>
      </w:r>
    </w:p>
    <w:p w:rsidR="00800760" w:rsidRDefault="00235733">
      <w:pPr>
        <w:spacing w:line="360" w:lineRule="auto"/>
        <w:ind w:left="44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□不符合</w:t>
      </w:r>
      <w:r>
        <w:rPr>
          <w:rFonts w:ascii="仿宋" w:eastAsia="仿宋_GB2312" w:hAnsi="仿宋" w:hint="eastAsia"/>
          <w:color w:val="000000"/>
          <w:sz w:val="20"/>
        </w:rPr>
        <w:t>《专利纠纷行政裁决和调解办法》第五十六条</w:t>
      </w:r>
      <w:r>
        <w:rPr>
          <w:rFonts w:ascii="仿宋_GB2312" w:eastAsia="仿宋_GB2312" w:hAnsi="仿宋" w:hint="eastAsia"/>
          <w:color w:val="000000"/>
          <w:sz w:val="20"/>
          <w:szCs w:val="21"/>
        </w:rPr>
        <w:t>所述的情形。</w:t>
      </w:r>
    </w:p>
    <w:p w:rsidR="00800760" w:rsidRDefault="00235733">
      <w:pPr>
        <w:spacing w:line="360" w:lineRule="auto"/>
        <w:ind w:left="44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□请求人不是专利权人或者利害关系人。</w:t>
      </w:r>
    </w:p>
    <w:p w:rsidR="00800760" w:rsidRDefault="00235733">
      <w:pPr>
        <w:spacing w:line="360" w:lineRule="auto"/>
        <w:ind w:left="44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□没有明确的被请求人。</w:t>
      </w:r>
    </w:p>
    <w:p w:rsidR="00800760" w:rsidRDefault="00235733">
      <w:pPr>
        <w:spacing w:line="360" w:lineRule="auto"/>
        <w:ind w:left="44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□没有明确的请求事项和具体事实、理由。</w:t>
      </w:r>
    </w:p>
    <w:p w:rsidR="00800760" w:rsidRDefault="00235733">
      <w:pPr>
        <w:spacing w:line="360" w:lineRule="auto"/>
        <w:ind w:left="44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□当事人已经就该专利侵权纠纷向人民法院起诉。</w:t>
      </w:r>
    </w:p>
    <w:p w:rsidR="00800760" w:rsidRDefault="00235733">
      <w:pPr>
        <w:spacing w:line="360" w:lineRule="auto"/>
        <w:ind w:left="440" w:firstLineChars="0" w:firstLine="0"/>
        <w:rPr>
          <w:rFonts w:ascii="仿宋_GB2312" w:eastAsia="仿宋_GB2312" w:hAnsi="仿宋"/>
          <w:color w:val="000000"/>
          <w:sz w:val="20"/>
          <w:szCs w:val="21"/>
          <w:u w:val="single"/>
          <w:lang w:eastAsia="en-US"/>
        </w:rPr>
      </w:pPr>
      <w:r>
        <w:rPr>
          <w:rFonts w:ascii="仿宋_GB2312" w:eastAsia="仿宋_GB2312" w:hAnsi="仿宋" w:hint="eastAsia"/>
          <w:color w:val="000000"/>
          <w:sz w:val="20"/>
          <w:szCs w:val="21"/>
          <w:lang w:eastAsia="en-US"/>
        </w:rPr>
        <w:t>□其他（注明原因）</w:t>
      </w:r>
      <w:r>
        <w:rPr>
          <w:rFonts w:ascii="仿宋_GB2312" w:eastAsia="仿宋_GB2312" w:hAnsi="仿宋" w:hint="eastAsia"/>
          <w:color w:val="000000"/>
          <w:sz w:val="20"/>
          <w:szCs w:val="21"/>
          <w:u w:val="single"/>
          <w:lang w:eastAsia="en-US"/>
        </w:rPr>
        <w:t xml:space="preserve">                                             </w:t>
      </w:r>
      <w:r>
        <w:rPr>
          <w:rFonts w:ascii="仿宋_GB2312" w:eastAsia="仿宋_GB2312" w:hAnsi="仿宋" w:hint="eastAsia"/>
          <w:color w:val="000000"/>
          <w:sz w:val="20"/>
          <w:szCs w:val="21"/>
          <w:lang w:eastAsia="en-US"/>
        </w:rPr>
        <w:t>。</w:t>
      </w:r>
    </w:p>
    <w:p w:rsidR="00800760" w:rsidRDefault="00235733">
      <w:pPr>
        <w:spacing w:line="360" w:lineRule="auto"/>
        <w:ind w:left="440" w:firstLineChars="0" w:firstLine="0"/>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特此通知。</w:t>
      </w:r>
    </w:p>
    <w:p w:rsidR="00800760" w:rsidRDefault="00235733">
      <w:pPr>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如不服本通知书，当事人可依法提出行政复议或行政诉讼，也可以就请求处理的事项另行直接向人民法院提起民事诉讼。</w:t>
      </w:r>
    </w:p>
    <w:p w:rsidR="00800760" w:rsidRDefault="00800760">
      <w:pPr>
        <w:spacing w:line="360" w:lineRule="auto"/>
        <w:ind w:firstLineChars="0" w:firstLine="444"/>
        <w:rPr>
          <w:rFonts w:ascii="仿宋_GB2312" w:eastAsia="仿宋_GB2312" w:hAnsi="宋体"/>
          <w:color w:val="000000"/>
          <w:spacing w:val="6"/>
          <w:sz w:val="20"/>
          <w:szCs w:val="21"/>
        </w:rPr>
      </w:pP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国家知识产权局（盖章）　　</w:t>
      </w: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800760">
      <w:pPr>
        <w:spacing w:line="360" w:lineRule="auto"/>
        <w:ind w:left="440" w:firstLineChars="0" w:firstLine="0"/>
        <w:rPr>
          <w:rFonts w:ascii="仿宋_GB2312" w:eastAsia="仿宋_GB2312" w:hAnsi="仿宋" w:cs="PMingLiU"/>
          <w:color w:val="000000"/>
          <w:sz w:val="20"/>
          <w:szCs w:val="21"/>
        </w:rPr>
      </w:pPr>
    </w:p>
    <w:p w:rsidR="00800760" w:rsidRDefault="00800760">
      <w:pPr>
        <w:spacing w:line="360" w:lineRule="auto"/>
        <w:ind w:left="440" w:firstLineChars="0" w:firstLine="0"/>
        <w:rPr>
          <w:rFonts w:ascii="仿宋_GB2312" w:eastAsia="仿宋_GB2312" w:hAnsi="仿宋" w:cs="PMingLiU"/>
          <w:color w:val="000000"/>
          <w:sz w:val="20"/>
          <w:szCs w:val="21"/>
        </w:rPr>
      </w:pPr>
    </w:p>
    <w:p w:rsidR="00800760" w:rsidRDefault="00800760">
      <w:pPr>
        <w:spacing w:line="360" w:lineRule="auto"/>
        <w:ind w:firstLineChars="0" w:firstLine="0"/>
        <w:rPr>
          <w:rFonts w:ascii="仿宋_GB2312" w:eastAsia="仿宋_GB2312" w:hAnsi="仿宋" w:cs="PMingLiU"/>
          <w:color w:val="000000"/>
          <w:sz w:val="20"/>
          <w:szCs w:val="21"/>
        </w:rPr>
      </w:pPr>
    </w:p>
    <w:p w:rsidR="00800760" w:rsidRDefault="00235733">
      <w:pPr>
        <w:spacing w:line="360" w:lineRule="auto"/>
        <w:ind w:firstLineChars="0" w:firstLine="0"/>
        <w:rPr>
          <w:rFonts w:ascii="仿宋_GB2312" w:eastAsia="仿宋_GB2312" w:hAnsi="仿宋" w:cs="PMingLiU"/>
          <w:color w:val="000000"/>
          <w:sz w:val="20"/>
          <w:szCs w:val="21"/>
        </w:rPr>
      </w:pPr>
      <w:r>
        <w:rPr>
          <w:rFonts w:ascii="仿宋_GB2312" w:eastAsia="仿宋_GB2312" w:hAnsi="仿宋" w:cs="PMingLiU" w:hint="eastAsia"/>
          <w:color w:val="000000"/>
          <w:sz w:val="20"/>
          <w:szCs w:val="21"/>
        </w:rPr>
        <w:t>说明：本通知书一式两份，一份送达当事人，一份由国家知识产权局存档。</w:t>
      </w:r>
    </w:p>
    <w:p w:rsidR="00800760" w:rsidRDefault="00800760" w:rsidP="00C22A7B">
      <w:pPr>
        <w:widowControl w:val="0"/>
        <w:spacing w:beforeLines="50" w:afterLines="50"/>
        <w:ind w:firstLineChars="0" w:firstLine="0"/>
        <w:rPr>
          <w:rFonts w:ascii="宋体" w:hAnsi="宋体"/>
          <w:b/>
          <w:color w:val="000000"/>
          <w:szCs w:val="21"/>
        </w:rPr>
      </w:pPr>
    </w:p>
    <w:p w:rsidR="00DC3A0E" w:rsidRDefault="00DC3A0E">
      <w:pPr>
        <w:spacing w:line="240" w:lineRule="auto"/>
        <w:ind w:firstLineChars="0" w:firstLine="0"/>
        <w:jc w:val="center"/>
        <w:rPr>
          <w:rFonts w:ascii="方正小标宋简体" w:eastAsia="方正小标宋简体" w:hAnsi="宋体"/>
          <w:color w:val="000000"/>
          <w:spacing w:val="6"/>
          <w:sz w:val="36"/>
          <w:szCs w:val="36"/>
        </w:rPr>
      </w:pPr>
    </w:p>
    <w:p w:rsidR="00800760" w:rsidRDefault="00235733">
      <w:pPr>
        <w:spacing w:line="240" w:lineRule="auto"/>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撤销专利侵权纠纷案件决定书</w:t>
      </w:r>
    </w:p>
    <w:p w:rsidR="00800760" w:rsidRDefault="00235733">
      <w:pPr>
        <w:widowControl w:val="0"/>
        <w:ind w:firstLineChars="0" w:firstLine="0"/>
        <w:jc w:val="right"/>
        <w:rPr>
          <w:rFonts w:ascii="仿宋" w:eastAsia="仿宋_GB2312" w:hAnsi="仿宋"/>
          <w:color w:val="000000"/>
          <w:sz w:val="20"/>
        </w:rPr>
      </w:pPr>
      <w:r>
        <w:rPr>
          <w:rFonts w:ascii="仿宋" w:eastAsia="仿宋_GB2312" w:hAnsi="仿宋"/>
          <w:color w:val="000000"/>
          <w:sz w:val="20"/>
        </w:rPr>
        <w:t>案号：</w:t>
      </w:r>
      <w:r>
        <w:rPr>
          <w:rFonts w:ascii="仿宋" w:eastAsia="仿宋_GB2312" w:hAnsi="仿宋" w:hint="eastAsia"/>
          <w:color w:val="000000"/>
          <w:sz w:val="20"/>
        </w:rPr>
        <w:t>____________________</w:t>
      </w:r>
    </w:p>
    <w:p w:rsidR="00800760" w:rsidRDefault="00235733">
      <w:pPr>
        <w:spacing w:line="288" w:lineRule="auto"/>
        <w:ind w:left="460" w:firstLineChars="0" w:firstLine="0"/>
        <w:rPr>
          <w:rFonts w:ascii="仿宋_GB2312" w:eastAsia="仿宋_GB2312" w:hAnsi="仿宋" w:cs="MingLiU_HKSCS"/>
          <w:color w:val="000000"/>
          <w:sz w:val="20"/>
          <w:lang w:val="zh-CN" w:bidi="zh-CN"/>
        </w:rPr>
      </w:pPr>
      <w:r>
        <w:rPr>
          <w:rFonts w:ascii="仿宋_GB2312" w:eastAsia="仿宋_GB2312" w:hAnsi="仿宋" w:cs="MingLiU_HKSCS" w:hint="eastAsia"/>
          <w:color w:val="000000"/>
          <w:sz w:val="20"/>
          <w:lang w:val="zh-CN" w:bidi="zh-CN"/>
        </w:rPr>
        <w:t>请求人：</w:t>
      </w:r>
    </w:p>
    <w:p w:rsidR="00800760" w:rsidRDefault="00235733">
      <w:pPr>
        <w:spacing w:line="288" w:lineRule="auto"/>
        <w:ind w:left="460" w:firstLineChars="0" w:firstLine="0"/>
        <w:rPr>
          <w:rFonts w:ascii="仿宋_GB2312" w:eastAsia="仿宋_GB2312" w:hAnsi="仿宋" w:cs="MingLiU_HKSCS"/>
          <w:color w:val="000000"/>
          <w:sz w:val="20"/>
          <w:lang w:val="zh-CN" w:bidi="zh-CN"/>
        </w:rPr>
      </w:pPr>
      <w:r>
        <w:rPr>
          <w:rFonts w:ascii="仿宋_GB2312" w:eastAsia="仿宋_GB2312" w:hAnsi="仿宋" w:cs="MingLiU_HKSCS" w:hint="eastAsia"/>
          <w:color w:val="000000"/>
          <w:sz w:val="20"/>
          <w:lang w:val="zh-CN" w:bidi="zh-CN"/>
        </w:rPr>
        <w:t>法定代表人（负责人）:</w:t>
      </w:r>
    </w:p>
    <w:p w:rsidR="00800760" w:rsidRDefault="00235733">
      <w:pPr>
        <w:spacing w:line="288" w:lineRule="auto"/>
        <w:ind w:left="460" w:firstLineChars="0" w:firstLine="0"/>
        <w:rPr>
          <w:rFonts w:ascii="仿宋_GB2312" w:eastAsia="仿宋_GB2312" w:hAnsi="仿宋" w:cs="MingLiU_HKSCS"/>
          <w:color w:val="000000"/>
          <w:sz w:val="20"/>
          <w:lang w:val="zh-CN" w:bidi="zh-CN"/>
        </w:rPr>
      </w:pPr>
      <w:r>
        <w:rPr>
          <w:rFonts w:ascii="仿宋_GB2312" w:eastAsia="仿宋_GB2312" w:hAnsi="仿宋" w:cs="MingLiU_HKSCS" w:hint="eastAsia"/>
          <w:color w:val="000000"/>
          <w:sz w:val="20"/>
          <w:lang w:val="zh-CN" w:bidi="zh-CN"/>
        </w:rPr>
        <w:t>住所：</w:t>
      </w:r>
    </w:p>
    <w:p w:rsidR="00800760" w:rsidRDefault="00235733">
      <w:pPr>
        <w:spacing w:line="288" w:lineRule="auto"/>
        <w:ind w:left="460" w:firstLineChars="0" w:firstLine="0"/>
        <w:rPr>
          <w:rFonts w:ascii="仿宋_GB2312" w:eastAsia="仿宋_GB2312" w:hAnsi="仿宋" w:cs="MingLiU_HKSCS"/>
          <w:color w:val="000000"/>
          <w:sz w:val="20"/>
          <w:lang w:val="zh-CN" w:bidi="zh-CN"/>
        </w:rPr>
      </w:pPr>
      <w:r>
        <w:rPr>
          <w:rFonts w:ascii="仿宋_GB2312" w:eastAsia="仿宋_GB2312" w:hAnsi="仿宋" w:cs="MingLiU_HKSCS" w:hint="eastAsia"/>
          <w:color w:val="000000"/>
          <w:sz w:val="20"/>
          <w:lang w:val="zh-CN" w:bidi="zh-CN"/>
        </w:rPr>
        <w:t>委托代理人：</w:t>
      </w:r>
    </w:p>
    <w:p w:rsidR="00800760" w:rsidRDefault="00235733">
      <w:pPr>
        <w:spacing w:line="288" w:lineRule="auto"/>
        <w:ind w:left="460" w:firstLineChars="0" w:firstLine="0"/>
        <w:rPr>
          <w:rFonts w:ascii="仿宋_GB2312" w:eastAsia="仿宋_GB2312" w:hAnsi="仿宋" w:cs="MingLiU_HKSCS"/>
          <w:color w:val="000000"/>
          <w:sz w:val="20"/>
          <w:lang w:val="zh-CN" w:bidi="zh-CN"/>
        </w:rPr>
      </w:pPr>
      <w:r>
        <w:rPr>
          <w:rFonts w:ascii="仿宋_GB2312" w:eastAsia="仿宋_GB2312" w:hAnsi="仿宋" w:cs="MingLiU_HKSCS" w:hint="eastAsia"/>
          <w:color w:val="000000"/>
          <w:sz w:val="20"/>
          <w:lang w:val="zh-CN" w:bidi="zh-CN"/>
        </w:rPr>
        <w:t>被请求人：</w:t>
      </w:r>
    </w:p>
    <w:p w:rsidR="00800760" w:rsidRDefault="00235733">
      <w:pPr>
        <w:spacing w:line="288" w:lineRule="auto"/>
        <w:ind w:left="460" w:firstLineChars="0" w:firstLine="0"/>
        <w:rPr>
          <w:rFonts w:ascii="仿宋_GB2312" w:eastAsia="仿宋_GB2312" w:hAnsi="仿宋" w:cs="MingLiU_HKSCS"/>
          <w:color w:val="000000"/>
          <w:sz w:val="20"/>
          <w:lang w:val="zh-CN" w:bidi="zh-CN"/>
        </w:rPr>
      </w:pPr>
      <w:r>
        <w:rPr>
          <w:rFonts w:ascii="仿宋_GB2312" w:eastAsia="仿宋_GB2312" w:hAnsi="仿宋" w:cs="MingLiU_HKSCS" w:hint="eastAsia"/>
          <w:color w:val="000000"/>
          <w:sz w:val="20"/>
          <w:lang w:val="zh-CN" w:bidi="zh-CN"/>
        </w:rPr>
        <w:t>法定代表人（负责人）:</w:t>
      </w:r>
    </w:p>
    <w:p w:rsidR="00800760" w:rsidRDefault="00235733">
      <w:pPr>
        <w:spacing w:line="288" w:lineRule="auto"/>
        <w:ind w:left="460" w:firstLineChars="0" w:firstLine="0"/>
        <w:rPr>
          <w:rFonts w:ascii="仿宋_GB2312" w:eastAsia="仿宋_GB2312" w:hAnsi="仿宋" w:cs="MingLiU_HKSCS"/>
          <w:color w:val="000000"/>
          <w:sz w:val="20"/>
          <w:lang w:val="zh-CN" w:bidi="zh-CN"/>
        </w:rPr>
      </w:pPr>
      <w:r>
        <w:rPr>
          <w:rFonts w:ascii="仿宋_GB2312" w:eastAsia="仿宋_GB2312" w:hAnsi="仿宋" w:cs="MingLiU_HKSCS" w:hint="eastAsia"/>
          <w:color w:val="000000"/>
          <w:sz w:val="20"/>
          <w:lang w:val="zh-CN" w:bidi="zh-CN"/>
        </w:rPr>
        <w:t>住所：</w:t>
      </w:r>
    </w:p>
    <w:p w:rsidR="00800760" w:rsidRDefault="00235733">
      <w:pPr>
        <w:spacing w:line="288" w:lineRule="auto"/>
        <w:ind w:left="460" w:firstLineChars="0" w:firstLine="0"/>
        <w:rPr>
          <w:rFonts w:ascii="仿宋_GB2312" w:eastAsia="仿宋_GB2312" w:hAnsi="仿宋" w:cs="MingLiU_HKSCS"/>
          <w:color w:val="000000"/>
          <w:sz w:val="20"/>
          <w:lang w:val="zh-CN" w:bidi="zh-CN"/>
        </w:rPr>
      </w:pPr>
      <w:r>
        <w:rPr>
          <w:rFonts w:ascii="仿宋_GB2312" w:eastAsia="仿宋_GB2312" w:hAnsi="仿宋" w:cs="MingLiU_HKSCS" w:hint="eastAsia"/>
          <w:color w:val="000000"/>
          <w:sz w:val="20"/>
          <w:lang w:val="zh-CN" w:bidi="zh-CN"/>
        </w:rPr>
        <w:t>委托代理人：</w:t>
      </w:r>
    </w:p>
    <w:p w:rsidR="00800760" w:rsidRDefault="00235733">
      <w:pPr>
        <w:spacing w:line="288" w:lineRule="auto"/>
        <w:ind w:left="460" w:firstLineChars="0" w:firstLine="0"/>
        <w:rPr>
          <w:rFonts w:ascii="仿宋_GB2312" w:eastAsia="仿宋_GB2312" w:hAnsi="仿宋"/>
          <w:color w:val="000000"/>
          <w:sz w:val="20"/>
        </w:rPr>
      </w:pPr>
      <w:r>
        <w:rPr>
          <w:rFonts w:ascii="仿宋_GB2312" w:eastAsia="仿宋_GB2312" w:hAnsi="仿宋" w:hint="eastAsia"/>
          <w:color w:val="000000"/>
          <w:sz w:val="20"/>
        </w:rPr>
        <w:t>案由：“</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w:t>
      </w:r>
      <w:r>
        <w:rPr>
          <w:rFonts w:ascii="仿宋_GB2312" w:eastAsia="仿宋_GB2312" w:hAnsi="仿宋" w:hint="eastAsia"/>
          <w:color w:val="000000"/>
          <w:sz w:val="20"/>
          <w:lang w:bidi="en-US"/>
        </w:rPr>
        <w:t>（</w:t>
      </w:r>
      <w:r>
        <w:rPr>
          <w:rFonts w:ascii="仿宋_GB2312" w:eastAsia="仿宋_GB2312" w:hAnsi="仿宋" w:hint="eastAsia"/>
          <w:color w:val="000000"/>
          <w:sz w:val="20"/>
        </w:rPr>
        <w:t>专利号：</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lang w:bidi="en-US"/>
        </w:rPr>
        <w:t>）</w:t>
      </w:r>
      <w:r>
        <w:rPr>
          <w:rFonts w:ascii="仿宋_GB2312" w:eastAsia="仿宋_GB2312" w:hAnsi="仿宋" w:hint="eastAsia"/>
          <w:color w:val="000000"/>
          <w:sz w:val="20"/>
        </w:rPr>
        <w:t>专利侵权纠纷。</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我局于</w:t>
      </w:r>
      <w:r>
        <w:rPr>
          <w:rFonts w:ascii="仿宋_GB2312" w:eastAsia="仿宋_GB2312" w:hAnsi="宋体" w:hint="eastAsia"/>
          <w:color w:val="000000"/>
          <w:spacing w:val="6"/>
          <w:sz w:val="20"/>
          <w:szCs w:val="20"/>
          <w:u w:val="single"/>
        </w:rPr>
        <w:t xml:space="preserve">        </w:t>
      </w:r>
      <w:r>
        <w:rPr>
          <w:rFonts w:ascii="仿宋" w:eastAsia="仿宋_GB2312" w:hAnsi="仿宋"/>
          <w:color w:val="000000"/>
          <w:sz w:val="20"/>
          <w:szCs w:val="20"/>
        </w:rPr>
        <w:t>年</w:t>
      </w:r>
      <w:r>
        <w:rPr>
          <w:rFonts w:ascii="仿宋_GB2312" w:eastAsia="仿宋_GB2312" w:hAnsi="宋体" w:hint="eastAsia"/>
          <w:color w:val="000000"/>
          <w:spacing w:val="6"/>
          <w:sz w:val="20"/>
          <w:szCs w:val="20"/>
          <w:u w:val="single"/>
        </w:rPr>
        <w:t xml:space="preserve">    </w:t>
      </w:r>
      <w:r>
        <w:rPr>
          <w:rFonts w:ascii="仿宋" w:eastAsia="仿宋_GB2312" w:hAnsi="仿宋"/>
          <w:color w:val="000000"/>
          <w:sz w:val="20"/>
          <w:szCs w:val="20"/>
        </w:rPr>
        <w:t>月</w:t>
      </w:r>
      <w:r>
        <w:rPr>
          <w:rFonts w:ascii="仿宋_GB2312" w:eastAsia="仿宋_GB2312" w:hAnsi="宋体" w:hint="eastAsia"/>
          <w:color w:val="000000"/>
          <w:spacing w:val="6"/>
          <w:sz w:val="20"/>
          <w:szCs w:val="20"/>
          <w:u w:val="single"/>
        </w:rPr>
        <w:t xml:space="preserve">    </w:t>
      </w:r>
      <w:r>
        <w:rPr>
          <w:rFonts w:ascii="仿宋" w:eastAsia="仿宋_GB2312" w:hAnsi="仿宋"/>
          <w:color w:val="000000"/>
          <w:sz w:val="20"/>
          <w:szCs w:val="20"/>
        </w:rPr>
        <w:t>日</w:t>
      </w:r>
      <w:r>
        <w:rPr>
          <w:rFonts w:ascii="仿宋_GB2312" w:eastAsia="仿宋_GB2312" w:hAnsi="仿宋" w:hint="eastAsia"/>
          <w:color w:val="000000"/>
          <w:sz w:val="20"/>
          <w:szCs w:val="20"/>
        </w:rPr>
        <w:t>立案受理的专利侵权纠纷案件（案号：</w:t>
      </w:r>
      <w:r>
        <w:rPr>
          <w:rFonts w:ascii="仿宋_GB2312" w:eastAsia="仿宋_GB2312" w:hAnsi="仿宋" w:hint="eastAsia"/>
          <w:color w:val="000000"/>
          <w:sz w:val="20"/>
          <w:szCs w:val="20"/>
          <w:u w:val="single"/>
        </w:rPr>
        <w:t xml:space="preserve">                  </w:t>
      </w:r>
      <w:r>
        <w:rPr>
          <w:rFonts w:ascii="仿宋_GB2312" w:eastAsia="仿宋_GB2312" w:hAnsi="仿宋" w:hint="eastAsia"/>
          <w:color w:val="000000"/>
          <w:sz w:val="20"/>
          <w:szCs w:val="20"/>
        </w:rPr>
        <w:t>），由于以下原因：</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□请求已经受理的，管理专利工作的部门可以要求请求人在指定期限内补充提供相关资料，期满无正当理由仍未提供的。</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□立案后发现不符合受理条件。</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□请求人撤回行政处理请求。</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□当事人在案件处理过程中自行达成和解协议，并向我局提出撤回处理请求。</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□请求人死亡或注销，没有继承人或者权利义务承受人，或者继承人或者权利义务承受人放弃处理请求。</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□被请求人死亡或注销，没有遗产或剩余财产，也没有应当承担义务的人。</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涉案专利的权利要求书有两项以上权利要求的，请求人应当在请求书中载明据以请求处理被请求人侵犯其专利权的权利要求项。请求书对此未记载或者记载不明的，管理专利工作的部门应当要求请求人明确。经释明，请求人仍不予明确的。</w:t>
      </w:r>
    </w:p>
    <w:p w:rsidR="00800760" w:rsidRDefault="00235733">
      <w:pPr>
        <w:pStyle w:val="af5"/>
        <w:spacing w:line="288" w:lineRule="auto"/>
        <w:ind w:firstLine="480"/>
        <w:jc w:val="both"/>
        <w:rPr>
          <w:rFonts w:ascii="仿宋_GB2312" w:eastAsia="仿宋_GB2312" w:hAnsi="仿宋"/>
          <w:color w:val="000000"/>
          <w:sz w:val="20"/>
          <w:szCs w:val="20"/>
        </w:rPr>
      </w:pPr>
      <w:r>
        <w:rPr>
          <w:rFonts w:ascii="仿宋_GB2312" w:eastAsia="仿宋_GB2312" w:hAnsi="仿宋" w:hint="eastAsia"/>
          <w:color w:val="000000"/>
          <w:sz w:val="20"/>
          <w:szCs w:val="20"/>
        </w:rPr>
        <w:t>□发现已作出的专利侵权纠纷行政裁决中涉案专利被宣告全部无效或者部分无效且无效宣告决定书已生效的。</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□其他依法应当撤销案件的情形：</w:t>
      </w:r>
      <w:r>
        <w:rPr>
          <w:rFonts w:ascii="仿宋_GB2312" w:eastAsia="仿宋_GB2312" w:hAnsi="仿宋" w:hint="eastAsia"/>
          <w:color w:val="000000"/>
          <w:sz w:val="20"/>
          <w:szCs w:val="20"/>
          <w:u w:val="single"/>
        </w:rPr>
        <w:t xml:space="preserve">                              </w:t>
      </w:r>
      <w:r>
        <w:rPr>
          <w:rFonts w:ascii="仿宋_GB2312" w:eastAsia="仿宋_GB2312" w:hAnsi="仿宋" w:hint="eastAsia"/>
          <w:color w:val="000000"/>
          <w:sz w:val="20"/>
          <w:szCs w:val="20"/>
        </w:rPr>
        <w:t>。</w:t>
      </w:r>
    </w:p>
    <w:p w:rsidR="00800760" w:rsidRDefault="00235733">
      <w:pPr>
        <w:pStyle w:val="af5"/>
        <w:spacing w:line="288" w:lineRule="auto"/>
        <w:ind w:firstLine="480"/>
        <w:rPr>
          <w:rFonts w:ascii="仿宋_GB2312" w:eastAsia="仿宋_GB2312" w:hAnsi="仿宋"/>
          <w:color w:val="000000"/>
          <w:sz w:val="20"/>
          <w:szCs w:val="20"/>
        </w:rPr>
      </w:pPr>
      <w:r>
        <w:rPr>
          <w:rFonts w:ascii="仿宋_GB2312" w:eastAsia="仿宋_GB2312" w:hAnsi="仿宋" w:hint="eastAsia"/>
          <w:color w:val="000000"/>
          <w:sz w:val="20"/>
          <w:szCs w:val="20"/>
        </w:rPr>
        <w:t>经研究，现决定撤销此案。</w:t>
      </w:r>
    </w:p>
    <w:p w:rsidR="00800760" w:rsidRDefault="00235733">
      <w:pPr>
        <w:pStyle w:val="af5"/>
        <w:spacing w:line="288" w:lineRule="auto"/>
        <w:ind w:firstLine="480"/>
        <w:rPr>
          <w:rFonts w:ascii="仿宋_GB2312" w:eastAsia="仿宋_GB2312"/>
          <w:color w:val="000000"/>
          <w:sz w:val="20"/>
          <w:szCs w:val="20"/>
        </w:rPr>
      </w:pPr>
      <w:r>
        <w:rPr>
          <w:rFonts w:ascii="仿宋_GB2312" w:eastAsia="仿宋_GB2312" w:hAnsi="仿宋" w:hint="eastAsia"/>
          <w:color w:val="000000"/>
          <w:sz w:val="20"/>
          <w:szCs w:val="20"/>
        </w:rPr>
        <w:t>不服本决定，当事人可依法提出行政复议或行政诉讼。</w:t>
      </w:r>
    </w:p>
    <w:p w:rsidR="00800760" w:rsidRDefault="00235733">
      <w:pPr>
        <w:pStyle w:val="af5"/>
        <w:tabs>
          <w:tab w:val="left" w:pos="2708"/>
        </w:tabs>
        <w:spacing w:line="288" w:lineRule="auto"/>
        <w:ind w:firstLineChars="200" w:firstLine="400"/>
        <w:rPr>
          <w:rFonts w:ascii="仿宋_GB2312" w:eastAsia="仿宋_GB2312"/>
          <w:color w:val="000000"/>
          <w:sz w:val="20"/>
          <w:szCs w:val="20"/>
          <w:u w:val="single"/>
        </w:rPr>
      </w:pPr>
      <w:r>
        <w:rPr>
          <w:rFonts w:ascii="仿宋_GB2312" w:eastAsia="仿宋_GB2312" w:hAnsi="仿宋" w:hint="eastAsia"/>
          <w:color w:val="000000"/>
          <w:sz w:val="20"/>
          <w:szCs w:val="20"/>
        </w:rPr>
        <w:t>案件合议组</w:t>
      </w:r>
      <w:r>
        <w:rPr>
          <w:rFonts w:ascii="仿宋_GB2312" w:eastAsia="仿宋_GB2312" w:hint="eastAsia"/>
          <w:color w:val="000000"/>
          <w:sz w:val="20"/>
          <w:szCs w:val="20"/>
        </w:rPr>
        <w:t>：</w:t>
      </w:r>
      <w:r>
        <w:rPr>
          <w:rFonts w:ascii="仿宋_GB2312" w:eastAsia="仿宋_GB2312" w:hint="eastAsia"/>
          <w:color w:val="000000"/>
          <w:sz w:val="20"/>
          <w:szCs w:val="20"/>
          <w:u w:val="single"/>
        </w:rPr>
        <w:t xml:space="preserve">         </w:t>
      </w:r>
      <w:r>
        <w:rPr>
          <w:rFonts w:ascii="仿宋_GB2312" w:eastAsia="仿宋_GB2312" w:hint="eastAsia"/>
          <w:color w:val="000000"/>
          <w:sz w:val="20"/>
          <w:szCs w:val="20"/>
        </w:rPr>
        <w:t xml:space="preserve">   </w:t>
      </w:r>
      <w:r>
        <w:rPr>
          <w:rFonts w:ascii="仿宋_GB2312" w:eastAsia="仿宋_GB2312" w:hint="eastAsia"/>
          <w:color w:val="000000"/>
          <w:sz w:val="20"/>
          <w:szCs w:val="20"/>
          <w:u w:val="single"/>
        </w:rPr>
        <w:t xml:space="preserve">           </w:t>
      </w:r>
      <w:r>
        <w:rPr>
          <w:rFonts w:ascii="仿宋_GB2312" w:eastAsia="仿宋_GB2312" w:hint="eastAsia"/>
          <w:color w:val="000000"/>
          <w:sz w:val="20"/>
          <w:szCs w:val="20"/>
        </w:rPr>
        <w:t xml:space="preserve">    </w:t>
      </w:r>
      <w:r>
        <w:rPr>
          <w:rFonts w:ascii="仿宋_GB2312" w:eastAsia="仿宋_GB2312" w:hint="eastAsia"/>
          <w:color w:val="000000"/>
          <w:sz w:val="20"/>
          <w:szCs w:val="20"/>
          <w:u w:val="single"/>
        </w:rPr>
        <w:t xml:space="preserve">            </w:t>
      </w:r>
    </w:p>
    <w:p w:rsidR="00800760" w:rsidRDefault="00800760">
      <w:pPr>
        <w:widowControl w:val="0"/>
        <w:spacing w:line="288" w:lineRule="auto"/>
        <w:ind w:firstLineChars="0" w:firstLine="0"/>
        <w:jc w:val="center"/>
        <w:rPr>
          <w:rFonts w:ascii="仿宋_GB2312" w:eastAsia="仿宋_GB2312" w:hAnsi="宋体"/>
          <w:color w:val="000000"/>
          <w:spacing w:val="6"/>
          <w:sz w:val="20"/>
        </w:rPr>
      </w:pPr>
    </w:p>
    <w:p w:rsidR="00800760" w:rsidRDefault="00235733">
      <w:pPr>
        <w:widowControl w:val="0"/>
        <w:spacing w:line="288" w:lineRule="auto"/>
        <w:ind w:firstLineChars="0" w:firstLine="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pPr>
        <w:widowControl w:val="0"/>
        <w:spacing w:line="288" w:lineRule="auto"/>
        <w:ind w:firstLineChars="0" w:firstLine="0"/>
        <w:jc w:val="right"/>
        <w:rPr>
          <w:rFonts w:ascii="方正小标宋简体" w:eastAsia="方正小标宋简体" w:hAnsi="方正小标宋简体" w:cs="方正小标宋简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235733">
      <w:pPr>
        <w:spacing w:line="240" w:lineRule="auto"/>
        <w:ind w:firstLineChars="0" w:firstLine="0"/>
        <w:rPr>
          <w:rFonts w:ascii="仿宋_GB2312" w:eastAsia="仿宋_GB2312" w:hAnsi="仿宋"/>
          <w:color w:val="000000"/>
          <w:sz w:val="24"/>
          <w:szCs w:val="24"/>
        </w:rPr>
      </w:pPr>
      <w:r>
        <w:rPr>
          <w:rFonts w:ascii="仿宋_GB2312" w:eastAsia="仿宋_GB2312" w:hAnsi="仿宋"/>
          <w:color w:val="000000"/>
          <w:sz w:val="24"/>
          <w:szCs w:val="24"/>
        </w:rPr>
        <w:br w:type="page"/>
      </w:r>
    </w:p>
    <w:p w:rsidR="00800760" w:rsidRDefault="00235733">
      <w:pPr>
        <w:spacing w:line="240" w:lineRule="auto"/>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撤销重大专利侵权纠纷行政裁决决定书</w:t>
      </w:r>
    </w:p>
    <w:p w:rsidR="00800760" w:rsidRDefault="00800760" w:rsidP="00C22A7B">
      <w:pPr>
        <w:spacing w:beforeLines="50" w:afterLines="50" w:line="360" w:lineRule="auto"/>
        <w:ind w:firstLineChars="0" w:firstLine="744"/>
        <w:jc w:val="center"/>
        <w:rPr>
          <w:rFonts w:ascii="仿宋_GB2312" w:eastAsia="仿宋_GB2312" w:hAnsi="宋体"/>
          <w:color w:val="000000"/>
          <w:spacing w:val="6"/>
          <w:sz w:val="36"/>
          <w:szCs w:val="36"/>
        </w:rPr>
      </w:pPr>
    </w:p>
    <w:p w:rsidR="00800760" w:rsidRDefault="00235733">
      <w:pPr>
        <w:spacing w:line="360" w:lineRule="auto"/>
        <w:ind w:firstLineChars="0" w:firstLine="0"/>
        <w:jc w:val="right"/>
        <w:rPr>
          <w:rFonts w:ascii="仿宋_GB2312" w:eastAsia="仿宋_GB2312" w:hAnsi="仿宋"/>
          <w:color w:val="000000"/>
          <w:sz w:val="20"/>
          <w:szCs w:val="21"/>
        </w:rPr>
      </w:pPr>
      <w:r>
        <w:rPr>
          <w:rFonts w:ascii="仿宋_GB2312" w:eastAsia="仿宋_GB2312" w:hAnsi="仿宋" w:hint="eastAsia"/>
          <w:color w:val="000000"/>
          <w:sz w:val="20"/>
          <w:szCs w:val="21"/>
        </w:rPr>
        <w:t>案号：____________________</w:t>
      </w:r>
    </w:p>
    <w:p w:rsidR="00800760" w:rsidRDefault="00235733">
      <w:pPr>
        <w:spacing w:line="360" w:lineRule="auto"/>
        <w:ind w:left="460" w:firstLineChars="0" w:firstLine="0"/>
        <w:rPr>
          <w:rFonts w:ascii="仿宋_GB2312" w:eastAsia="仿宋_GB2312" w:hAnsi="仿宋" w:cs="MingLiU_HKSCS"/>
          <w:color w:val="000000"/>
          <w:sz w:val="20"/>
          <w:szCs w:val="21"/>
          <w:lang w:val="zh-CN" w:bidi="zh-CN"/>
        </w:rPr>
      </w:pPr>
      <w:r>
        <w:rPr>
          <w:rFonts w:ascii="仿宋_GB2312" w:eastAsia="仿宋_GB2312" w:hAnsi="仿宋" w:cs="MingLiU_HKSCS" w:hint="eastAsia"/>
          <w:color w:val="000000"/>
          <w:sz w:val="20"/>
          <w:szCs w:val="21"/>
          <w:lang w:val="zh-CN" w:bidi="zh-CN"/>
        </w:rPr>
        <w:t>请求人：</w:t>
      </w:r>
    </w:p>
    <w:p w:rsidR="00800760" w:rsidRDefault="00235733">
      <w:pPr>
        <w:spacing w:line="360" w:lineRule="auto"/>
        <w:ind w:left="460" w:firstLineChars="0" w:firstLine="0"/>
        <w:rPr>
          <w:rFonts w:ascii="仿宋_GB2312" w:eastAsia="仿宋_GB2312" w:hAnsi="仿宋" w:cs="MingLiU_HKSCS"/>
          <w:color w:val="000000"/>
          <w:sz w:val="20"/>
          <w:szCs w:val="21"/>
          <w:lang w:val="zh-CN" w:bidi="zh-CN"/>
        </w:rPr>
      </w:pPr>
      <w:r>
        <w:rPr>
          <w:rFonts w:ascii="仿宋_GB2312" w:eastAsia="仿宋_GB2312" w:hAnsi="仿宋" w:cs="MingLiU_HKSCS" w:hint="eastAsia"/>
          <w:color w:val="000000"/>
          <w:sz w:val="20"/>
          <w:szCs w:val="21"/>
          <w:lang w:val="zh-CN" w:bidi="zh-CN"/>
        </w:rPr>
        <w:t>法定代表人（负责人）:</w:t>
      </w:r>
    </w:p>
    <w:p w:rsidR="00800760" w:rsidRDefault="00235733">
      <w:pPr>
        <w:spacing w:line="360" w:lineRule="auto"/>
        <w:ind w:left="460" w:firstLineChars="0" w:firstLine="0"/>
        <w:rPr>
          <w:rFonts w:ascii="仿宋_GB2312" w:eastAsia="仿宋_GB2312" w:hAnsi="仿宋" w:cs="MingLiU_HKSCS"/>
          <w:color w:val="000000"/>
          <w:sz w:val="20"/>
          <w:szCs w:val="21"/>
          <w:lang w:val="zh-CN" w:bidi="zh-CN"/>
        </w:rPr>
      </w:pPr>
      <w:r>
        <w:rPr>
          <w:rFonts w:ascii="仿宋_GB2312" w:eastAsia="仿宋_GB2312" w:hAnsi="仿宋" w:cs="MingLiU_HKSCS" w:hint="eastAsia"/>
          <w:color w:val="000000"/>
          <w:sz w:val="20"/>
          <w:szCs w:val="21"/>
          <w:lang w:val="zh-CN" w:bidi="zh-CN"/>
        </w:rPr>
        <w:t>住所：</w:t>
      </w:r>
    </w:p>
    <w:p w:rsidR="00800760" w:rsidRDefault="00235733">
      <w:pPr>
        <w:spacing w:line="360" w:lineRule="auto"/>
        <w:ind w:left="460" w:firstLineChars="0" w:firstLine="0"/>
        <w:rPr>
          <w:rFonts w:ascii="仿宋_GB2312" w:eastAsia="仿宋_GB2312" w:hAnsi="仿宋" w:cs="MingLiU_HKSCS"/>
          <w:color w:val="000000"/>
          <w:sz w:val="20"/>
          <w:szCs w:val="21"/>
          <w:lang w:val="zh-CN" w:bidi="zh-CN"/>
        </w:rPr>
      </w:pPr>
      <w:r>
        <w:rPr>
          <w:rFonts w:ascii="仿宋_GB2312" w:eastAsia="仿宋_GB2312" w:hAnsi="仿宋" w:cs="MingLiU_HKSCS" w:hint="eastAsia"/>
          <w:color w:val="000000"/>
          <w:sz w:val="20"/>
          <w:szCs w:val="21"/>
          <w:lang w:val="zh-CN" w:bidi="zh-CN"/>
        </w:rPr>
        <w:t>委托代理人：</w:t>
      </w:r>
    </w:p>
    <w:p w:rsidR="00800760" w:rsidRDefault="00235733">
      <w:pPr>
        <w:spacing w:line="360" w:lineRule="auto"/>
        <w:ind w:left="460" w:firstLineChars="0" w:firstLine="0"/>
        <w:rPr>
          <w:rFonts w:ascii="仿宋_GB2312" w:eastAsia="仿宋_GB2312" w:hAnsi="仿宋" w:cs="MingLiU_HKSCS"/>
          <w:color w:val="000000"/>
          <w:sz w:val="20"/>
          <w:szCs w:val="21"/>
          <w:lang w:val="zh-CN" w:bidi="zh-CN"/>
        </w:rPr>
      </w:pPr>
      <w:r>
        <w:rPr>
          <w:rFonts w:ascii="仿宋_GB2312" w:eastAsia="仿宋_GB2312" w:hAnsi="仿宋" w:cs="MingLiU_HKSCS" w:hint="eastAsia"/>
          <w:color w:val="000000"/>
          <w:sz w:val="20"/>
          <w:szCs w:val="21"/>
          <w:lang w:val="zh-CN" w:bidi="zh-CN"/>
        </w:rPr>
        <w:t>被请求人：</w:t>
      </w:r>
    </w:p>
    <w:p w:rsidR="00800760" w:rsidRDefault="00235733">
      <w:pPr>
        <w:spacing w:line="360" w:lineRule="auto"/>
        <w:ind w:left="460" w:firstLineChars="0" w:firstLine="0"/>
        <w:rPr>
          <w:rFonts w:ascii="仿宋_GB2312" w:eastAsia="仿宋_GB2312" w:hAnsi="仿宋" w:cs="MingLiU_HKSCS"/>
          <w:color w:val="000000"/>
          <w:sz w:val="20"/>
          <w:szCs w:val="21"/>
          <w:lang w:val="zh-CN" w:bidi="zh-CN"/>
        </w:rPr>
      </w:pPr>
      <w:r>
        <w:rPr>
          <w:rFonts w:ascii="仿宋_GB2312" w:eastAsia="仿宋_GB2312" w:hAnsi="仿宋" w:cs="MingLiU_HKSCS" w:hint="eastAsia"/>
          <w:color w:val="000000"/>
          <w:sz w:val="20"/>
          <w:szCs w:val="21"/>
          <w:lang w:val="zh-CN" w:bidi="zh-CN"/>
        </w:rPr>
        <w:t>法定代表人（负责人）:</w:t>
      </w:r>
    </w:p>
    <w:p w:rsidR="00800760" w:rsidRDefault="00235733">
      <w:pPr>
        <w:spacing w:line="360" w:lineRule="auto"/>
        <w:ind w:left="460" w:firstLineChars="0" w:firstLine="0"/>
        <w:rPr>
          <w:rFonts w:ascii="仿宋_GB2312" w:eastAsia="仿宋_GB2312" w:hAnsi="仿宋" w:cs="MingLiU_HKSCS"/>
          <w:color w:val="000000"/>
          <w:sz w:val="20"/>
          <w:szCs w:val="21"/>
          <w:lang w:val="zh-CN" w:bidi="zh-CN"/>
        </w:rPr>
      </w:pPr>
      <w:r>
        <w:rPr>
          <w:rFonts w:ascii="仿宋_GB2312" w:eastAsia="仿宋_GB2312" w:hAnsi="仿宋" w:cs="MingLiU_HKSCS" w:hint="eastAsia"/>
          <w:color w:val="000000"/>
          <w:sz w:val="20"/>
          <w:szCs w:val="21"/>
          <w:lang w:val="zh-CN" w:bidi="zh-CN"/>
        </w:rPr>
        <w:t>住所：</w:t>
      </w:r>
    </w:p>
    <w:p w:rsidR="00800760" w:rsidRDefault="00235733">
      <w:pPr>
        <w:spacing w:line="360" w:lineRule="auto"/>
        <w:ind w:left="460" w:firstLineChars="0" w:firstLine="0"/>
        <w:rPr>
          <w:rFonts w:ascii="仿宋_GB2312" w:eastAsia="仿宋_GB2312" w:hAnsi="仿宋" w:cs="MingLiU_HKSCS"/>
          <w:color w:val="000000"/>
          <w:sz w:val="20"/>
          <w:szCs w:val="21"/>
          <w:lang w:val="zh-CN" w:bidi="zh-CN"/>
        </w:rPr>
      </w:pPr>
      <w:r>
        <w:rPr>
          <w:rFonts w:ascii="仿宋_GB2312" w:eastAsia="仿宋_GB2312" w:hAnsi="仿宋" w:cs="MingLiU_HKSCS" w:hint="eastAsia"/>
          <w:color w:val="000000"/>
          <w:sz w:val="20"/>
          <w:szCs w:val="21"/>
          <w:lang w:val="zh-CN" w:bidi="zh-CN"/>
        </w:rPr>
        <w:t>委托代理人：</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案由：“</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专利号：</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专利侵权纠纷。</w:t>
      </w:r>
    </w:p>
    <w:p w:rsidR="00800760" w:rsidRDefault="00800760">
      <w:pPr>
        <w:spacing w:line="360" w:lineRule="auto"/>
        <w:ind w:firstLineChars="0" w:firstLine="0"/>
        <w:rPr>
          <w:rFonts w:ascii="仿宋_GB2312" w:eastAsia="仿宋_GB2312" w:hAnsi="仿宋"/>
          <w:color w:val="000000"/>
          <w:sz w:val="20"/>
          <w:szCs w:val="21"/>
        </w:rPr>
      </w:pP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我局于</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日立案受理的专利侵权纠纷行政裁决（案号：</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），由于以下原因：</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□立案后发现不符合受理条件。</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□请求人撤回行政裁决请求。</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□请求人死亡或注销，没有继承人或者权利义务承受人，或者继承人或者权利义务承受人放弃处理请求。</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□被请求人死亡或注销，没有遗产或剩余财产，也没有应当承担义务的人。</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□其他依法应当撤销案件的情形：</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经研究，现决定撤销此案。</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不服本决定，当事人可依法提出行政复议或行政诉讼。</w:t>
      </w:r>
    </w:p>
    <w:p w:rsidR="00800760" w:rsidRDefault="00235733">
      <w:pPr>
        <w:tabs>
          <w:tab w:val="left" w:pos="2708"/>
        </w:tabs>
        <w:spacing w:line="360" w:lineRule="auto"/>
        <w:ind w:firstLineChars="0" w:firstLine="0"/>
        <w:rPr>
          <w:rFonts w:ascii="仿宋_GB2312" w:eastAsia="仿宋_GB2312" w:hAnsi="Calibri"/>
          <w:color w:val="000000"/>
          <w:sz w:val="20"/>
          <w:szCs w:val="21"/>
          <w:u w:val="single"/>
        </w:rPr>
      </w:pPr>
      <w:r>
        <w:rPr>
          <w:rFonts w:ascii="仿宋_GB2312" w:eastAsia="仿宋_GB2312" w:hAnsi="仿宋" w:hint="eastAsia"/>
          <w:color w:val="000000"/>
          <w:sz w:val="20"/>
          <w:szCs w:val="21"/>
        </w:rPr>
        <w:t>案件合议组</w:t>
      </w:r>
      <w:r>
        <w:rPr>
          <w:rFonts w:ascii="仿宋_GB2312" w:eastAsia="仿宋_GB2312" w:hAnsi="Calibri" w:hint="eastAsia"/>
          <w:color w:val="000000"/>
          <w:sz w:val="20"/>
          <w:szCs w:val="21"/>
        </w:rPr>
        <w:t>：</w:t>
      </w:r>
      <w:r>
        <w:rPr>
          <w:rFonts w:ascii="仿宋_GB2312" w:eastAsia="仿宋_GB2312" w:hAnsi="Calibri" w:hint="eastAsia"/>
          <w:color w:val="000000"/>
          <w:sz w:val="20"/>
          <w:szCs w:val="21"/>
          <w:u w:val="single"/>
        </w:rPr>
        <w:t xml:space="preserve">         </w:t>
      </w:r>
      <w:r>
        <w:rPr>
          <w:rFonts w:ascii="仿宋_GB2312" w:eastAsia="仿宋_GB2312" w:hAnsi="Calibri" w:hint="eastAsia"/>
          <w:color w:val="000000"/>
          <w:sz w:val="20"/>
          <w:szCs w:val="21"/>
        </w:rPr>
        <w:t xml:space="preserve">   </w:t>
      </w:r>
      <w:r>
        <w:rPr>
          <w:rFonts w:ascii="仿宋_GB2312" w:eastAsia="仿宋_GB2312" w:hAnsi="Calibri" w:hint="eastAsia"/>
          <w:color w:val="000000"/>
          <w:sz w:val="20"/>
          <w:szCs w:val="21"/>
          <w:u w:val="single"/>
        </w:rPr>
        <w:t xml:space="preserve">           </w:t>
      </w:r>
      <w:r>
        <w:rPr>
          <w:rFonts w:ascii="仿宋_GB2312" w:eastAsia="仿宋_GB2312" w:hAnsi="Calibri" w:hint="eastAsia"/>
          <w:color w:val="000000"/>
          <w:sz w:val="20"/>
          <w:szCs w:val="21"/>
        </w:rPr>
        <w:t xml:space="preserve">    </w:t>
      </w:r>
      <w:r>
        <w:rPr>
          <w:rFonts w:ascii="仿宋_GB2312" w:eastAsia="仿宋_GB2312" w:hAnsi="Calibri" w:hint="eastAsia"/>
          <w:color w:val="000000"/>
          <w:sz w:val="20"/>
          <w:szCs w:val="21"/>
          <w:u w:val="single"/>
        </w:rPr>
        <w:t xml:space="preserve">            </w:t>
      </w:r>
    </w:p>
    <w:p w:rsidR="00800760" w:rsidRDefault="00800760">
      <w:pPr>
        <w:spacing w:line="360" w:lineRule="auto"/>
        <w:ind w:firstLineChars="0" w:firstLine="444"/>
        <w:jc w:val="center"/>
        <w:rPr>
          <w:rFonts w:ascii="仿宋_GB2312" w:eastAsia="仿宋_GB2312" w:hAnsi="宋体"/>
          <w:color w:val="000000"/>
          <w:spacing w:val="6"/>
          <w:sz w:val="20"/>
          <w:szCs w:val="21"/>
        </w:rPr>
      </w:pPr>
    </w:p>
    <w:p w:rsidR="00800760" w:rsidRDefault="00235733">
      <w:pPr>
        <w:spacing w:line="360" w:lineRule="auto"/>
        <w:ind w:right="106"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国家知识产权局（盖章）　　</w:t>
      </w:r>
    </w:p>
    <w:p w:rsidR="00800760" w:rsidRDefault="00235733">
      <w:pPr>
        <w:spacing w:line="360" w:lineRule="auto"/>
        <w:ind w:firstLineChars="0" w:firstLine="0"/>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235733">
      <w:pPr>
        <w:spacing w:line="360" w:lineRule="auto"/>
        <w:ind w:firstLineChars="0" w:firstLine="0"/>
        <w:rPr>
          <w:rFonts w:ascii="方正小标宋简体" w:eastAsia="方正小标宋简体" w:hAnsi="方正小标宋简体" w:cs="方正小标宋简体"/>
          <w:bCs/>
          <w:sz w:val="36"/>
          <w:szCs w:val="36"/>
        </w:rPr>
      </w:pPr>
      <w:r>
        <w:rPr>
          <w:rFonts w:ascii="仿宋_GB2312" w:eastAsia="仿宋_GB2312" w:hAnsi="宋体" w:hint="eastAsia"/>
          <w:color w:val="000000"/>
          <w:spacing w:val="6"/>
          <w:sz w:val="20"/>
          <w:szCs w:val="21"/>
        </w:rPr>
        <w:br w:type="page"/>
      </w:r>
    </w:p>
    <w:p w:rsidR="00800760" w:rsidRDefault="00235733">
      <w:pPr>
        <w:spacing w:line="240" w:lineRule="auto"/>
        <w:ind w:firstLineChars="0" w:firstLine="0"/>
        <w:jc w:val="center"/>
        <w:rPr>
          <w:rFonts w:ascii="方正小标宋简体" w:eastAsia="方正小标宋简体" w:hAnsi="方正小标宋简体" w:cs="方正小标宋简体"/>
          <w:bCs/>
          <w:sz w:val="36"/>
          <w:szCs w:val="36"/>
        </w:rPr>
      </w:pPr>
      <w:r>
        <w:rPr>
          <w:rFonts w:ascii="方正小标宋简体" w:eastAsia="方正小标宋简体" w:hAnsi="方正小标宋简体" w:cs="方正小标宋简体" w:hint="eastAsia"/>
          <w:bCs/>
          <w:sz w:val="36"/>
          <w:szCs w:val="36"/>
        </w:rPr>
        <w:t>合议组组成人员通知书</w:t>
      </w:r>
    </w:p>
    <w:p w:rsidR="00800760" w:rsidRDefault="00235733">
      <w:pPr>
        <w:spacing w:line="360" w:lineRule="auto"/>
        <w:ind w:firstLineChars="0" w:firstLine="0"/>
        <w:jc w:val="right"/>
        <w:rPr>
          <w:rFonts w:ascii="仿宋_GB2312" w:eastAsia="仿宋_GB2312" w:hAnsi="仿宋"/>
          <w:sz w:val="20"/>
          <w:lang w:val="en-US"/>
        </w:rPr>
      </w:pPr>
      <w:r>
        <w:rPr>
          <w:rFonts w:ascii="仿宋" w:eastAsia="仿宋_GB2312" w:hAnsi="仿宋" w:hint="eastAsia"/>
          <w:color w:val="000000"/>
          <w:szCs w:val="21"/>
        </w:rPr>
        <w:t xml:space="preserve">                   </w:t>
      </w:r>
      <w:r>
        <w:rPr>
          <w:rFonts w:ascii="仿宋_GB2312" w:eastAsia="仿宋_GB2312" w:hAnsi="仿宋" w:hint="eastAsia"/>
          <w:color w:val="000000"/>
          <w:sz w:val="20"/>
        </w:rPr>
        <w:t>案号：____________________</w:t>
      </w:r>
      <w:r>
        <w:rPr>
          <w:rFonts w:ascii="仿宋_GB2312" w:eastAsia="仿宋_GB2312" w:hint="eastAsia"/>
          <w:spacing w:val="20"/>
          <w:sz w:val="20"/>
          <w:lang w:val="en-US"/>
        </w:rPr>
        <w:t xml:space="preserve">  </w:t>
      </w:r>
    </w:p>
    <w:tbl>
      <w:tblPr>
        <w:tblW w:w="8793" w:type="dxa"/>
        <w:jc w:val="center"/>
        <w:tblLayout w:type="fixed"/>
        <w:tblCellMar>
          <w:left w:w="10" w:type="dxa"/>
          <w:right w:w="10" w:type="dxa"/>
        </w:tblCellMar>
        <w:tblLook w:val="04A0"/>
      </w:tblPr>
      <w:tblGrid>
        <w:gridCol w:w="1658"/>
        <w:gridCol w:w="7135"/>
      </w:tblGrid>
      <w:tr w:rsidR="00800760">
        <w:trPr>
          <w:trHeight w:hRule="exact" w:val="618"/>
          <w:jc w:val="center"/>
        </w:trPr>
        <w:tc>
          <w:tcPr>
            <w:tcW w:w="1658"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7135" w:type="dxa"/>
            <w:tcBorders>
              <w:top w:val="single" w:sz="4" w:space="0" w:color="auto"/>
              <w:left w:val="single" w:sz="4" w:space="0" w:color="auto"/>
              <w:right w:val="single" w:sz="4" w:space="0" w:color="auto"/>
            </w:tcBorders>
            <w:shd w:val="clear" w:color="auto" w:fill="FFFFFF"/>
            <w:vAlign w:val="center"/>
          </w:tcPr>
          <w:p w:rsidR="00800760" w:rsidRDefault="00800760">
            <w:pPr>
              <w:spacing w:line="360" w:lineRule="auto"/>
              <w:ind w:firstLineChars="100" w:firstLine="200"/>
              <w:jc w:val="both"/>
              <w:rPr>
                <w:rFonts w:ascii="仿宋_GB2312" w:eastAsia="仿宋_GB2312" w:hAnsi="仿宋"/>
                <w:color w:val="000000"/>
                <w:sz w:val="20"/>
                <w:lang w:eastAsia="en-US"/>
              </w:rPr>
            </w:pPr>
          </w:p>
        </w:tc>
      </w:tr>
      <w:tr w:rsidR="00800760">
        <w:trPr>
          <w:trHeight w:hRule="exact" w:val="585"/>
          <w:jc w:val="center"/>
        </w:trPr>
        <w:tc>
          <w:tcPr>
            <w:tcW w:w="1658"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7135" w:type="dxa"/>
            <w:tcBorders>
              <w:top w:val="single" w:sz="4" w:space="0" w:color="auto"/>
              <w:left w:val="single" w:sz="4" w:space="0" w:color="auto"/>
              <w:right w:val="single" w:sz="4" w:space="0" w:color="auto"/>
            </w:tcBorders>
            <w:shd w:val="clear" w:color="auto" w:fill="FFFFFF"/>
            <w:vAlign w:val="center"/>
          </w:tcPr>
          <w:p w:rsidR="00800760" w:rsidRDefault="00800760">
            <w:pPr>
              <w:spacing w:line="360" w:lineRule="auto"/>
              <w:ind w:firstLineChars="100" w:firstLine="200"/>
              <w:jc w:val="both"/>
              <w:rPr>
                <w:rFonts w:ascii="仿宋_GB2312" w:eastAsia="仿宋_GB2312" w:hAnsi="仿宋"/>
                <w:color w:val="000000"/>
                <w:sz w:val="20"/>
                <w:lang w:eastAsia="en-US"/>
              </w:rPr>
            </w:pPr>
          </w:p>
        </w:tc>
      </w:tr>
      <w:tr w:rsidR="00800760">
        <w:trPr>
          <w:trHeight w:hRule="exact" w:val="576"/>
          <w:jc w:val="center"/>
        </w:trPr>
        <w:tc>
          <w:tcPr>
            <w:tcW w:w="1658"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7135" w:type="dxa"/>
            <w:tcBorders>
              <w:top w:val="single" w:sz="4" w:space="0" w:color="auto"/>
              <w:left w:val="single" w:sz="4" w:space="0" w:color="auto"/>
              <w:right w:val="single" w:sz="4" w:space="0" w:color="auto"/>
            </w:tcBorders>
            <w:shd w:val="clear" w:color="auto" w:fill="FFFFFF"/>
            <w:vAlign w:val="center"/>
          </w:tcPr>
          <w:p w:rsidR="00800760" w:rsidRDefault="00800760">
            <w:pPr>
              <w:spacing w:line="360" w:lineRule="auto"/>
              <w:ind w:firstLineChars="100" w:firstLine="200"/>
              <w:jc w:val="both"/>
              <w:rPr>
                <w:rFonts w:ascii="仿宋_GB2312" w:eastAsia="仿宋_GB2312" w:hAnsi="仿宋"/>
                <w:color w:val="000000"/>
                <w:sz w:val="20"/>
                <w:lang w:eastAsia="en-US"/>
              </w:rPr>
            </w:pPr>
          </w:p>
        </w:tc>
      </w:tr>
      <w:tr w:rsidR="00800760">
        <w:trPr>
          <w:trHeight w:hRule="exact" w:val="570"/>
          <w:jc w:val="center"/>
        </w:trPr>
        <w:tc>
          <w:tcPr>
            <w:tcW w:w="1658"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7135" w:type="dxa"/>
            <w:tcBorders>
              <w:top w:val="single" w:sz="4" w:space="0" w:color="auto"/>
              <w:left w:val="single" w:sz="4" w:space="0" w:color="auto"/>
              <w:right w:val="single" w:sz="4" w:space="0" w:color="auto"/>
            </w:tcBorders>
            <w:shd w:val="clear" w:color="auto" w:fill="FFFFFF"/>
            <w:vAlign w:val="center"/>
          </w:tcPr>
          <w:p w:rsidR="00800760" w:rsidRDefault="00800760">
            <w:pPr>
              <w:spacing w:line="360" w:lineRule="auto"/>
              <w:ind w:firstLineChars="100" w:firstLine="200"/>
              <w:jc w:val="both"/>
              <w:rPr>
                <w:rFonts w:ascii="仿宋_GB2312" w:eastAsia="仿宋_GB2312" w:hAnsi="仿宋"/>
                <w:color w:val="000000"/>
                <w:sz w:val="20"/>
                <w:lang w:eastAsia="en-US"/>
              </w:rPr>
            </w:pPr>
          </w:p>
        </w:tc>
      </w:tr>
      <w:tr w:rsidR="00800760">
        <w:trPr>
          <w:trHeight w:hRule="exact" w:val="618"/>
          <w:jc w:val="center"/>
        </w:trPr>
        <w:tc>
          <w:tcPr>
            <w:tcW w:w="1658" w:type="dxa"/>
            <w:tcBorders>
              <w:top w:val="single" w:sz="4" w:space="0" w:color="auto"/>
              <w:left w:val="single" w:sz="4" w:space="0" w:color="auto"/>
              <w:bottom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7135" w:type="dxa"/>
            <w:tcBorders>
              <w:top w:val="single" w:sz="4" w:space="0" w:color="auto"/>
              <w:left w:val="single" w:sz="4" w:space="0" w:color="auto"/>
              <w:bottom w:val="single" w:sz="4" w:space="0" w:color="auto"/>
              <w:right w:val="single" w:sz="4" w:space="0" w:color="auto"/>
            </w:tcBorders>
            <w:shd w:val="clear" w:color="auto" w:fill="FFFFFF"/>
            <w:vAlign w:val="center"/>
          </w:tcPr>
          <w:p w:rsidR="00800760" w:rsidRDefault="00800760">
            <w:pPr>
              <w:spacing w:line="360" w:lineRule="auto"/>
              <w:ind w:firstLineChars="100" w:firstLine="200"/>
              <w:jc w:val="both"/>
              <w:rPr>
                <w:rFonts w:ascii="仿宋_GB2312" w:eastAsia="仿宋_GB2312" w:hAnsi="仿宋"/>
                <w:color w:val="000000"/>
                <w:sz w:val="20"/>
                <w:lang w:eastAsia="en-US"/>
              </w:rPr>
            </w:pPr>
          </w:p>
        </w:tc>
      </w:tr>
    </w:tbl>
    <w:p w:rsidR="00800760" w:rsidRDefault="00235733" w:rsidP="00C22A7B">
      <w:pPr>
        <w:tabs>
          <w:tab w:val="left" w:leader="underscore" w:pos="3094"/>
        </w:tabs>
        <w:spacing w:beforeLines="100" w:afterLines="100" w:line="360" w:lineRule="auto"/>
        <w:ind w:firstLine="424"/>
        <w:jc w:val="both"/>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w:t>
      </w:r>
    </w:p>
    <w:p w:rsidR="00800760" w:rsidRDefault="00235733" w:rsidP="00C22A7B">
      <w:pPr>
        <w:tabs>
          <w:tab w:val="left" w:leader="underscore" w:pos="3094"/>
        </w:tabs>
        <w:spacing w:beforeLines="100" w:afterLines="100" w:line="360" w:lineRule="auto"/>
        <w:ind w:firstLine="400"/>
        <w:jc w:val="both"/>
        <w:rPr>
          <w:rFonts w:ascii="仿宋_GB2312" w:eastAsia="仿宋_GB2312" w:hAnsi="仿宋"/>
          <w:color w:val="000000"/>
          <w:sz w:val="20"/>
        </w:rPr>
      </w:pPr>
      <w:r>
        <w:rPr>
          <w:rFonts w:ascii="仿宋_GB2312" w:eastAsia="仿宋_GB2312" w:hAnsi="仿宋" w:hint="eastAsia"/>
          <w:color w:val="000000"/>
          <w:sz w:val="20"/>
        </w:rPr>
        <w:t>依据《专利纠纷行政裁决和调解办法》第二十条规定，本案合议组由案件承办人：XX1、XX2、XX3三人组成，合议组组长由XX1担任，主审员由XX2担任，参审员由XX3担任（如果明确书记员、技术调查官、翻译人员、鉴定人、辅助人员参与案件办理也应同时提出，变更必须重新告知，需严格落实“办”“审”一致的原则，此为国家知识产权局案卷评查严控指标）。如对上述工作人员提出回避申请，应自收到本通知书之日3个工作日内书面向本局提出，并说明理由。</w:t>
      </w:r>
    </w:p>
    <w:p w:rsidR="00800760" w:rsidRDefault="00800760">
      <w:pPr>
        <w:tabs>
          <w:tab w:val="left" w:leader="underscore" w:pos="3094"/>
        </w:tabs>
        <w:spacing w:line="360" w:lineRule="auto"/>
        <w:ind w:firstLine="400"/>
        <w:jc w:val="both"/>
        <w:rPr>
          <w:rFonts w:ascii="仿宋_GB2312" w:eastAsia="仿宋_GB2312" w:hAnsi="仿宋"/>
          <w:color w:val="000000"/>
          <w:sz w:val="20"/>
        </w:rPr>
      </w:pPr>
    </w:p>
    <w:p w:rsidR="00800760" w:rsidRDefault="00800760">
      <w:pPr>
        <w:tabs>
          <w:tab w:val="left" w:leader="underscore" w:pos="3094"/>
        </w:tabs>
        <w:spacing w:line="360" w:lineRule="auto"/>
        <w:ind w:firstLine="400"/>
        <w:jc w:val="both"/>
        <w:rPr>
          <w:rFonts w:ascii="仿宋_GB2312" w:eastAsia="仿宋_GB2312" w:hAnsi="仿宋"/>
          <w:color w:val="000000"/>
          <w:sz w:val="20"/>
        </w:rPr>
      </w:pPr>
    </w:p>
    <w:p w:rsidR="00800760" w:rsidRDefault="00800760">
      <w:pPr>
        <w:spacing w:line="360" w:lineRule="auto"/>
        <w:ind w:firstLineChars="0" w:firstLine="0"/>
        <w:rPr>
          <w:rFonts w:ascii="仿宋_GB2312" w:eastAsia="仿宋_GB2312" w:hAnsi="仿宋"/>
          <w:color w:val="000000"/>
          <w:sz w:val="20"/>
        </w:rPr>
      </w:pPr>
    </w:p>
    <w:p w:rsidR="00800760" w:rsidRDefault="00235733">
      <w:pPr>
        <w:widowControl w:val="0"/>
        <w:spacing w:line="360" w:lineRule="auto"/>
        <w:ind w:firstLineChars="0" w:firstLine="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rsidP="00885A51">
      <w:pPr>
        <w:spacing w:line="360" w:lineRule="auto"/>
        <w:ind w:firstLineChars="3400" w:firstLine="7208"/>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235733">
      <w:pPr>
        <w:spacing w:line="360" w:lineRule="auto"/>
        <w:ind w:firstLineChars="0" w:firstLine="630"/>
        <w:rPr>
          <w:rFonts w:ascii="仿宋_GB2312" w:eastAsia="仿宋_GB2312" w:hAnsi="仿宋"/>
          <w:color w:val="000000"/>
          <w:sz w:val="20"/>
        </w:rPr>
      </w:pPr>
      <w:r>
        <w:rPr>
          <w:rFonts w:ascii="仿宋_GB2312" w:eastAsia="仿宋_GB2312" w:hAnsi="仿宋" w:hint="eastAsia"/>
          <w:color w:val="000000"/>
          <w:sz w:val="20"/>
        </w:rPr>
        <w:t xml:space="preserve">  </w:t>
      </w:r>
    </w:p>
    <w:p w:rsidR="00800760" w:rsidRDefault="00800760" w:rsidP="00C22A7B">
      <w:pPr>
        <w:widowControl w:val="0"/>
        <w:spacing w:beforeLines="50" w:afterLines="50" w:line="360" w:lineRule="auto"/>
        <w:ind w:firstLineChars="0" w:firstLine="0"/>
        <w:rPr>
          <w:rFonts w:ascii="仿宋_GB2312" w:eastAsia="仿宋_GB2312" w:hAnsi="仿宋"/>
          <w:spacing w:val="20"/>
          <w:sz w:val="20"/>
        </w:rPr>
      </w:pPr>
    </w:p>
    <w:p w:rsidR="00800760" w:rsidRDefault="00235733" w:rsidP="00C22A7B">
      <w:pPr>
        <w:widowControl w:val="0"/>
        <w:spacing w:beforeLines="50" w:afterLines="50" w:line="360" w:lineRule="auto"/>
        <w:ind w:firstLineChars="0" w:firstLine="0"/>
        <w:rPr>
          <w:rFonts w:ascii="仿宋_GB2312" w:eastAsia="仿宋_GB2312" w:hAnsi="仿宋"/>
          <w:spacing w:val="20"/>
          <w:sz w:val="20"/>
        </w:rPr>
      </w:pPr>
      <w:r>
        <w:rPr>
          <w:rFonts w:ascii="仿宋_GB2312" w:eastAsia="仿宋_GB2312" w:hAnsi="仿宋" w:hint="eastAsia"/>
          <w:spacing w:val="20"/>
          <w:sz w:val="20"/>
        </w:rPr>
        <w:t>说明：本通知书一式两份，一份送达当事人，一份由知识产权局存档。</w:t>
      </w:r>
    </w:p>
    <w:p w:rsidR="00800760" w:rsidRDefault="00800760">
      <w:pPr>
        <w:spacing w:line="240" w:lineRule="auto"/>
        <w:ind w:firstLineChars="0" w:firstLine="0"/>
        <w:rPr>
          <w:rFonts w:ascii="仿宋_GB2312" w:eastAsia="仿宋_GB2312" w:hAnsi="仿宋"/>
          <w:spacing w:val="20"/>
          <w:sz w:val="20"/>
        </w:rPr>
      </w:pPr>
    </w:p>
    <w:p w:rsidR="00800760" w:rsidRDefault="00800760">
      <w:pPr>
        <w:spacing w:line="240" w:lineRule="auto"/>
        <w:ind w:firstLineChars="0" w:firstLine="0"/>
        <w:rPr>
          <w:rFonts w:ascii="仿宋_GB2312" w:eastAsia="仿宋_GB2312" w:hAnsi="仿宋"/>
          <w:spacing w:val="20"/>
          <w:sz w:val="20"/>
        </w:rPr>
      </w:pPr>
    </w:p>
    <w:p w:rsidR="00800760" w:rsidRDefault="00800760">
      <w:pPr>
        <w:spacing w:line="240" w:lineRule="auto"/>
        <w:ind w:firstLineChars="0" w:firstLine="0"/>
        <w:jc w:val="center"/>
        <w:rPr>
          <w:rFonts w:ascii="方正小标宋简体" w:eastAsia="方正小标宋简体" w:hAnsi="黑体" w:cs="黑体"/>
          <w:sz w:val="36"/>
          <w:szCs w:val="36"/>
        </w:rPr>
      </w:pPr>
    </w:p>
    <w:p w:rsidR="00B30D69" w:rsidRDefault="00B30D69">
      <w:pPr>
        <w:spacing w:line="240" w:lineRule="auto"/>
        <w:ind w:firstLineChars="0" w:firstLine="0"/>
        <w:jc w:val="center"/>
        <w:rPr>
          <w:rFonts w:ascii="方正小标宋简体" w:eastAsia="方正小标宋简体" w:hAnsi="黑体" w:cs="黑体"/>
          <w:sz w:val="36"/>
          <w:szCs w:val="36"/>
        </w:rPr>
      </w:pPr>
    </w:p>
    <w:p w:rsidR="00885A51" w:rsidRDefault="00885A51">
      <w:pPr>
        <w:spacing w:line="240" w:lineRule="auto"/>
        <w:ind w:firstLineChars="0" w:firstLine="0"/>
        <w:jc w:val="center"/>
        <w:rPr>
          <w:rFonts w:ascii="方正小标宋简体" w:eastAsia="方正小标宋简体" w:hAnsi="黑体" w:cs="黑体"/>
          <w:sz w:val="36"/>
          <w:szCs w:val="36"/>
        </w:rPr>
      </w:pPr>
    </w:p>
    <w:p w:rsidR="00800760" w:rsidRDefault="00235733">
      <w:pPr>
        <w:spacing w:line="240" w:lineRule="auto"/>
        <w:ind w:firstLineChars="0" w:firstLine="0"/>
        <w:jc w:val="center"/>
        <w:rPr>
          <w:rFonts w:ascii="仿宋_GB2312" w:eastAsia="仿宋_GB2312" w:hAnsi="仿宋"/>
          <w:spacing w:val="20"/>
          <w:sz w:val="20"/>
        </w:rPr>
      </w:pPr>
      <w:r>
        <w:rPr>
          <w:rFonts w:ascii="方正小标宋简体" w:eastAsia="方正小标宋简体" w:hAnsi="黑体" w:cs="黑体"/>
          <w:sz w:val="36"/>
          <w:szCs w:val="36"/>
          <w:lang w:eastAsia="en-US"/>
        </w:rPr>
        <w:t>送达地址确认书</w:t>
      </w:r>
    </w:p>
    <w:p w:rsidR="00800760" w:rsidRDefault="00800760">
      <w:pPr>
        <w:widowControl w:val="0"/>
        <w:spacing w:line="288" w:lineRule="auto"/>
        <w:ind w:firstLineChars="500" w:firstLine="1000"/>
        <w:jc w:val="both"/>
        <w:rPr>
          <w:rFonts w:ascii="仿宋_GB2312" w:eastAsia="仿宋_GB2312" w:hAnsi="仿宋" w:cs="PMingLiU"/>
          <w:color w:val="000000"/>
          <w:kern w:val="2"/>
          <w:sz w:val="20"/>
          <w:lang w:val="en-US"/>
        </w:rPr>
      </w:pPr>
    </w:p>
    <w:tbl>
      <w:tblPr>
        <w:tblW w:w="9498" w:type="dxa"/>
        <w:jc w:val="center"/>
        <w:tblLook w:val="04A0"/>
      </w:tblPr>
      <w:tblGrid>
        <w:gridCol w:w="1417"/>
        <w:gridCol w:w="2111"/>
        <w:gridCol w:w="5970"/>
      </w:tblGrid>
      <w:tr w:rsidR="00800760">
        <w:trPr>
          <w:trHeight w:val="278"/>
          <w:jc w:val="center"/>
        </w:trPr>
        <w:tc>
          <w:tcPr>
            <w:tcW w:w="1417" w:type="dxa"/>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案    号</w:t>
            </w:r>
          </w:p>
        </w:tc>
        <w:tc>
          <w:tcPr>
            <w:tcW w:w="8081" w:type="dxa"/>
            <w:gridSpan w:val="2"/>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rsidR="00800760" w:rsidRDefault="00800760">
            <w:pPr>
              <w:spacing w:line="288" w:lineRule="auto"/>
              <w:ind w:firstLineChars="0" w:firstLine="0"/>
              <w:rPr>
                <w:rFonts w:ascii="仿宋_GB2312" w:eastAsia="仿宋_GB2312" w:hAnsi="仿宋" w:cs="仿宋"/>
                <w:sz w:val="20"/>
                <w:lang w:eastAsia="en-US"/>
              </w:rPr>
            </w:pPr>
          </w:p>
        </w:tc>
      </w:tr>
      <w:tr w:rsidR="00800760">
        <w:trPr>
          <w:trHeight w:val="413"/>
          <w:jc w:val="center"/>
        </w:trPr>
        <w:tc>
          <w:tcPr>
            <w:tcW w:w="1417" w:type="dxa"/>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受送达人</w:t>
            </w:r>
          </w:p>
        </w:tc>
        <w:tc>
          <w:tcPr>
            <w:tcW w:w="8081" w:type="dxa"/>
            <w:gridSpan w:val="2"/>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rsidR="00800760" w:rsidRDefault="00800760">
            <w:pPr>
              <w:spacing w:line="288" w:lineRule="auto"/>
              <w:ind w:firstLineChars="400" w:firstLine="800"/>
              <w:rPr>
                <w:rFonts w:ascii="仿宋_GB2312" w:eastAsia="仿宋_GB2312" w:hAnsi="仿宋" w:cs="仿宋"/>
                <w:sz w:val="20"/>
                <w:lang w:eastAsia="en-US"/>
              </w:rPr>
            </w:pPr>
          </w:p>
        </w:tc>
      </w:tr>
      <w:tr w:rsidR="00800760">
        <w:trPr>
          <w:trHeight w:val="2927"/>
          <w:jc w:val="center"/>
        </w:trPr>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告</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知</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事</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项</w:t>
            </w:r>
          </w:p>
        </w:tc>
        <w:tc>
          <w:tcPr>
            <w:tcW w:w="80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rsidP="00C22A7B">
            <w:pPr>
              <w:spacing w:beforeLines="50" w:line="288" w:lineRule="auto"/>
              <w:ind w:firstLine="400"/>
              <w:rPr>
                <w:rFonts w:ascii="仿宋_GB2312" w:eastAsia="仿宋_GB2312" w:hAnsi="仿宋" w:cs="仿宋"/>
                <w:sz w:val="20"/>
              </w:rPr>
            </w:pPr>
            <w:r>
              <w:rPr>
                <w:rFonts w:ascii="仿宋_GB2312" w:eastAsia="仿宋_GB2312" w:hAnsi="仿宋" w:cs="仿宋" w:hint="eastAsia"/>
                <w:sz w:val="20"/>
              </w:rPr>
              <w:t>一、为便于及时收到</w:t>
            </w:r>
            <w:r>
              <w:rPr>
                <w:rFonts w:ascii="仿宋_GB2312" w:eastAsia="仿宋_GB2312" w:hAnsi="仿宋" w:cs="仿宋" w:hint="eastAsia"/>
                <w:sz w:val="20"/>
                <w:lang w:val="en-US"/>
              </w:rPr>
              <w:t>知识产权</w:t>
            </w:r>
            <w:r>
              <w:rPr>
                <w:rFonts w:ascii="仿宋_GB2312" w:eastAsia="仿宋_GB2312" w:hAnsi="仿宋" w:cs="仿宋" w:hint="eastAsia"/>
                <w:sz w:val="20"/>
              </w:rPr>
              <w:t>管理部门的相关文书，保证案件调查的顺利进行，</w:t>
            </w:r>
            <w:r>
              <w:rPr>
                <w:rFonts w:ascii="仿宋_GB2312" w:eastAsia="仿宋_GB2312" w:hAnsi="仿宋" w:cs="仿宋" w:hint="eastAsia"/>
                <w:sz w:val="20"/>
                <w:lang w:val="en-US"/>
              </w:rPr>
              <w:t>知识产权</w:t>
            </w:r>
            <w:r>
              <w:rPr>
                <w:rFonts w:ascii="仿宋_GB2312" w:eastAsia="仿宋_GB2312" w:hAnsi="仿宋" w:cs="仿宋" w:hint="eastAsia"/>
                <w:sz w:val="20"/>
              </w:rPr>
              <w:t>管理部门可以要求受送达人签署送达地址确认书，送达至受送达人确认的地址，即视为送达。</w:t>
            </w:r>
          </w:p>
          <w:p w:rsidR="00800760" w:rsidRDefault="00235733" w:rsidP="00C22A7B">
            <w:pPr>
              <w:spacing w:beforeLines="50" w:line="288" w:lineRule="auto"/>
              <w:ind w:firstLine="400"/>
              <w:rPr>
                <w:rFonts w:ascii="仿宋_GB2312" w:eastAsia="仿宋_GB2312" w:hAnsi="仿宋" w:cs="仿宋"/>
                <w:sz w:val="20"/>
              </w:rPr>
            </w:pPr>
            <w:r>
              <w:rPr>
                <w:rFonts w:ascii="仿宋_GB2312" w:eastAsia="仿宋_GB2312" w:hAnsi="仿宋" w:cs="仿宋" w:hint="eastAsia"/>
                <w:sz w:val="20"/>
              </w:rPr>
              <w:t>二、受送达人送达地址发生变更的，应当及时书面告知</w:t>
            </w:r>
            <w:r>
              <w:rPr>
                <w:rFonts w:ascii="仿宋_GB2312" w:eastAsia="仿宋_GB2312" w:hAnsi="仿宋" w:cs="仿宋" w:hint="eastAsia"/>
                <w:sz w:val="20"/>
                <w:lang w:val="en-US"/>
              </w:rPr>
              <w:t>知识产权</w:t>
            </w:r>
            <w:r>
              <w:rPr>
                <w:rFonts w:ascii="仿宋_GB2312" w:eastAsia="仿宋_GB2312" w:hAnsi="仿宋" w:cs="仿宋" w:hint="eastAsia"/>
                <w:sz w:val="20"/>
              </w:rPr>
              <w:t>管理部门;未及时告知的，</w:t>
            </w:r>
            <w:r>
              <w:rPr>
                <w:rFonts w:ascii="仿宋_GB2312" w:eastAsia="仿宋_GB2312" w:hAnsi="仿宋" w:cs="仿宋" w:hint="eastAsia"/>
                <w:sz w:val="20"/>
                <w:lang w:val="en-US"/>
              </w:rPr>
              <w:t>知识产权</w:t>
            </w:r>
            <w:r>
              <w:rPr>
                <w:rFonts w:ascii="仿宋_GB2312" w:eastAsia="仿宋_GB2312" w:hAnsi="仿宋" w:cs="仿宋" w:hint="eastAsia"/>
                <w:sz w:val="20"/>
              </w:rPr>
              <w:t>管理部门按原地址送达，视为依法送达。</w:t>
            </w:r>
          </w:p>
          <w:p w:rsidR="00800760" w:rsidRDefault="00235733" w:rsidP="00C22A7B">
            <w:pPr>
              <w:spacing w:beforeLines="50" w:line="288" w:lineRule="auto"/>
              <w:ind w:firstLine="400"/>
              <w:rPr>
                <w:rFonts w:ascii="仿宋_GB2312" w:eastAsia="仿宋_GB2312" w:hAnsi="仿宋" w:cs="仿宋"/>
                <w:sz w:val="20"/>
              </w:rPr>
            </w:pPr>
            <w:r>
              <w:rPr>
                <w:rFonts w:ascii="仿宋_GB2312" w:eastAsia="仿宋_GB2312" w:hAnsi="仿宋" w:cs="仿宋" w:hint="eastAsia"/>
                <w:sz w:val="20"/>
              </w:rPr>
              <w:t>三、因受送达人提供的送达地址不准确、送达地址变更未书面告知</w:t>
            </w:r>
            <w:r>
              <w:rPr>
                <w:rFonts w:ascii="仿宋_GB2312" w:eastAsia="仿宋_GB2312" w:hAnsi="仿宋" w:cs="仿宋" w:hint="eastAsia"/>
                <w:sz w:val="20"/>
                <w:lang w:val="en-US"/>
              </w:rPr>
              <w:t>知识产权</w:t>
            </w:r>
            <w:r>
              <w:rPr>
                <w:rFonts w:ascii="仿宋_GB2312" w:eastAsia="仿宋_GB2312" w:hAnsi="仿宋" w:cs="仿宋" w:hint="eastAsia"/>
                <w:sz w:val="20"/>
              </w:rPr>
              <w:t>管理部门，导致办案文书未能被受送达人实际接收的，直接送达的，办案文书留在该地址之日为送达之日; 邮寄送达的，办案文书被退回之日为送达之日。</w:t>
            </w:r>
          </w:p>
          <w:p w:rsidR="00800760" w:rsidRDefault="00235733" w:rsidP="00C22A7B">
            <w:pPr>
              <w:spacing w:beforeLines="50" w:line="288" w:lineRule="auto"/>
              <w:ind w:firstLine="400"/>
              <w:rPr>
                <w:rFonts w:ascii="仿宋_GB2312" w:eastAsia="仿宋_GB2312" w:hAnsi="仿宋" w:cs="仿宋"/>
                <w:sz w:val="20"/>
              </w:rPr>
            </w:pPr>
            <w:r>
              <w:rPr>
                <w:rFonts w:ascii="仿宋_GB2312" w:eastAsia="仿宋_GB2312" w:hAnsi="仿宋" w:cs="仿宋" w:hint="eastAsia"/>
                <w:sz w:val="20"/>
              </w:rPr>
              <w:t>四、经受送达人同意，可以采用手机短信、传真、电子邮件、即时通讯账号等能够确认其收悉的电子方式送达文书（</w:t>
            </w:r>
            <w:r>
              <w:rPr>
                <w:rFonts w:ascii="仿宋_GB2312" w:eastAsia="仿宋_GB2312" w:hAnsi="仿宋" w:cs="仿宋" w:hint="eastAsia"/>
                <w:sz w:val="20"/>
                <w:lang w:val="en-US"/>
              </w:rPr>
              <w:t>除行政裁决书、调解协议书以外</w:t>
            </w:r>
            <w:r>
              <w:rPr>
                <w:rFonts w:ascii="仿宋_GB2312" w:eastAsia="仿宋_GB2312" w:hAnsi="仿宋" w:cs="仿宋" w:hint="eastAsia"/>
                <w:sz w:val="20"/>
              </w:rPr>
              <w:t>），手机短信、传真、电子邮件、即时通讯信息等到达受送达人特定系统的日期为送达日期。</w:t>
            </w:r>
          </w:p>
        </w:tc>
      </w:tr>
      <w:tr w:rsidR="00800760">
        <w:trPr>
          <w:trHeight w:val="1555"/>
          <w:jc w:val="center"/>
        </w:trPr>
        <w:tc>
          <w:tcPr>
            <w:tcW w:w="1417"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送</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达</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地</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址</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及</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送</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达</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方</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式</w:t>
            </w:r>
          </w:p>
        </w:tc>
        <w:tc>
          <w:tcPr>
            <w:tcW w:w="2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rPr>
            </w:pPr>
            <w:r>
              <w:rPr>
                <w:rFonts w:ascii="仿宋_GB2312" w:eastAsia="仿宋_GB2312" w:hAnsi="仿宋" w:cs="仿宋" w:hint="eastAsia"/>
                <w:sz w:val="20"/>
              </w:rPr>
              <w:t>是否接受</w:t>
            </w:r>
          </w:p>
          <w:p w:rsidR="00800760" w:rsidRDefault="00235733">
            <w:pPr>
              <w:spacing w:line="288" w:lineRule="auto"/>
              <w:ind w:firstLineChars="0" w:firstLine="0"/>
              <w:jc w:val="center"/>
              <w:rPr>
                <w:rFonts w:ascii="仿宋_GB2312" w:eastAsia="仿宋_GB2312" w:hAnsi="仿宋" w:cs="仿宋"/>
                <w:sz w:val="20"/>
              </w:rPr>
            </w:pPr>
            <w:r>
              <w:rPr>
                <w:rFonts w:ascii="仿宋_GB2312" w:eastAsia="仿宋_GB2312" w:hAnsi="仿宋" w:cs="仿宋" w:hint="eastAsia"/>
                <w:sz w:val="20"/>
              </w:rPr>
              <w:t>电子送达</w:t>
            </w:r>
          </w:p>
          <w:p w:rsidR="00800760" w:rsidRDefault="00800760">
            <w:pPr>
              <w:spacing w:line="288" w:lineRule="auto"/>
              <w:ind w:firstLineChars="0" w:firstLine="0"/>
              <w:jc w:val="center"/>
              <w:rPr>
                <w:rFonts w:ascii="仿宋_GB2312" w:eastAsia="仿宋_GB2312" w:hAnsi="仿宋" w:cs="仿宋"/>
                <w:sz w:val="20"/>
              </w:rPr>
            </w:pPr>
          </w:p>
          <w:p w:rsidR="00800760" w:rsidRDefault="00235733">
            <w:pPr>
              <w:spacing w:line="288" w:lineRule="auto"/>
              <w:ind w:firstLine="400"/>
              <w:rPr>
                <w:rFonts w:ascii="仿宋_GB2312" w:eastAsia="仿宋_GB2312" w:hAnsi="仿宋" w:cs="仿宋"/>
                <w:sz w:val="20"/>
              </w:rPr>
            </w:pPr>
            <w:r>
              <w:rPr>
                <w:rFonts w:ascii="仿宋_GB2312" w:eastAsia="仿宋_GB2312" w:hAnsi="仿宋" w:cs="仿宋" w:hint="eastAsia"/>
                <w:sz w:val="20"/>
                <w:lang w:eastAsia="en-US"/>
              </w:rPr>
              <w:sym w:font="Wingdings 2" w:char="00A3"/>
            </w:r>
            <w:r>
              <w:rPr>
                <w:rFonts w:ascii="仿宋_GB2312" w:eastAsia="仿宋_GB2312" w:hAnsi="仿宋" w:cs="仿宋" w:hint="eastAsia"/>
                <w:sz w:val="20"/>
              </w:rPr>
              <w:t>是</w:t>
            </w:r>
            <w:r>
              <w:rPr>
                <w:rFonts w:ascii="仿宋_GB2312" w:eastAsia="仿宋_GB2312" w:hAnsi="仿宋" w:cs="仿宋" w:hint="eastAsia"/>
                <w:sz w:val="20"/>
                <w:lang w:val="en-US"/>
              </w:rPr>
              <w:t xml:space="preserve">  </w:t>
            </w:r>
            <w:r>
              <w:rPr>
                <w:rFonts w:ascii="仿宋_GB2312" w:eastAsia="仿宋_GB2312" w:hAnsi="仿宋" w:cs="仿宋" w:hint="eastAsia"/>
                <w:sz w:val="20"/>
                <w:lang w:eastAsia="en-US"/>
              </w:rPr>
              <w:sym w:font="Wingdings 2" w:char="00A3"/>
            </w:r>
            <w:r>
              <w:rPr>
                <w:rFonts w:ascii="仿宋_GB2312" w:eastAsia="仿宋_GB2312" w:hAnsi="仿宋" w:cs="仿宋" w:hint="eastAsia"/>
                <w:sz w:val="20"/>
              </w:rPr>
              <w:t>否</w:t>
            </w:r>
          </w:p>
        </w:tc>
        <w:tc>
          <w:tcPr>
            <w:tcW w:w="59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rsidP="00C22A7B">
            <w:pPr>
              <w:spacing w:beforeLines="50" w:line="288" w:lineRule="auto"/>
              <w:ind w:firstLineChars="100" w:firstLine="200"/>
              <w:rPr>
                <w:rFonts w:ascii="仿宋_GB2312" w:eastAsia="仿宋_GB2312" w:hAnsi="仿宋" w:cs="仿宋"/>
                <w:sz w:val="20"/>
                <w:u w:val="single"/>
              </w:rPr>
            </w:pPr>
            <w:r>
              <w:rPr>
                <w:rFonts w:ascii="仿宋_GB2312" w:eastAsia="仿宋_GB2312" w:hAnsi="仿宋" w:cs="仿宋" w:hint="eastAsia"/>
                <w:sz w:val="20"/>
                <w:lang w:eastAsia="en-US"/>
              </w:rPr>
              <w:sym w:font="Wingdings 2" w:char="00A3"/>
            </w:r>
            <w:r>
              <w:rPr>
                <w:rFonts w:ascii="仿宋_GB2312" w:eastAsia="仿宋_GB2312" w:hAnsi="仿宋" w:cs="仿宋" w:hint="eastAsia"/>
                <w:sz w:val="20"/>
              </w:rPr>
              <w:t>手机号码：</w:t>
            </w:r>
            <w:r>
              <w:rPr>
                <w:rFonts w:ascii="仿宋_GB2312" w:eastAsia="仿宋_GB2312" w:hAnsi="仿宋" w:cs="仿宋" w:hint="eastAsia"/>
                <w:sz w:val="20"/>
                <w:u w:val="single"/>
                <w:lang w:val="en-US"/>
              </w:rPr>
              <w:t xml:space="preserve">                   </w:t>
            </w:r>
          </w:p>
          <w:p w:rsidR="00800760" w:rsidRDefault="00235733" w:rsidP="00C22A7B">
            <w:pPr>
              <w:spacing w:beforeLines="50" w:line="288" w:lineRule="auto"/>
              <w:ind w:firstLineChars="100" w:firstLine="200"/>
              <w:rPr>
                <w:rFonts w:ascii="仿宋_GB2312" w:eastAsia="仿宋_GB2312" w:hAnsi="仿宋" w:cs="仿宋"/>
                <w:sz w:val="20"/>
              </w:rPr>
            </w:pPr>
            <w:r>
              <w:rPr>
                <w:rFonts w:ascii="仿宋_GB2312" w:eastAsia="仿宋_GB2312" w:hAnsi="仿宋" w:cs="仿宋" w:hint="eastAsia"/>
                <w:sz w:val="20"/>
                <w:lang w:eastAsia="en-US"/>
              </w:rPr>
              <w:sym w:font="Wingdings 2" w:char="00A3"/>
            </w:r>
            <w:r>
              <w:rPr>
                <w:rFonts w:ascii="仿宋_GB2312" w:eastAsia="仿宋_GB2312" w:hAnsi="仿宋" w:cs="仿宋" w:hint="eastAsia"/>
                <w:sz w:val="20"/>
              </w:rPr>
              <w:t>传真号码：</w:t>
            </w:r>
            <w:r>
              <w:rPr>
                <w:rFonts w:ascii="仿宋_GB2312" w:eastAsia="仿宋_GB2312" w:hAnsi="仿宋" w:cs="仿宋" w:hint="eastAsia"/>
                <w:sz w:val="20"/>
                <w:u w:val="single"/>
                <w:lang w:val="en-US"/>
              </w:rPr>
              <w:t xml:space="preserve">                   </w:t>
            </w:r>
          </w:p>
          <w:p w:rsidR="00800760" w:rsidRDefault="00235733" w:rsidP="00C22A7B">
            <w:pPr>
              <w:spacing w:beforeLines="50" w:line="288" w:lineRule="auto"/>
              <w:ind w:firstLineChars="100" w:firstLine="200"/>
              <w:rPr>
                <w:rFonts w:ascii="仿宋_GB2312" w:eastAsia="仿宋_GB2312" w:hAnsi="仿宋" w:cs="仿宋"/>
                <w:sz w:val="20"/>
              </w:rPr>
            </w:pPr>
            <w:r>
              <w:rPr>
                <w:rFonts w:ascii="仿宋_GB2312" w:eastAsia="仿宋_GB2312" w:hAnsi="仿宋" w:cs="仿宋" w:hint="eastAsia"/>
                <w:sz w:val="20"/>
                <w:lang w:eastAsia="en-US"/>
              </w:rPr>
              <w:sym w:font="Wingdings 2" w:char="00A3"/>
            </w:r>
            <w:r>
              <w:rPr>
                <w:rFonts w:ascii="仿宋_GB2312" w:eastAsia="仿宋_GB2312" w:hAnsi="仿宋" w:cs="仿宋" w:hint="eastAsia"/>
                <w:sz w:val="20"/>
              </w:rPr>
              <w:t>电子邮件地址：</w:t>
            </w:r>
            <w:r>
              <w:rPr>
                <w:rFonts w:ascii="仿宋_GB2312" w:eastAsia="仿宋_GB2312" w:hAnsi="仿宋" w:cs="仿宋" w:hint="eastAsia"/>
                <w:sz w:val="20"/>
                <w:u w:val="single"/>
                <w:lang w:val="en-US"/>
              </w:rPr>
              <w:t xml:space="preserve">               </w:t>
            </w:r>
          </w:p>
          <w:p w:rsidR="00800760" w:rsidRDefault="00235733" w:rsidP="00C22A7B">
            <w:pPr>
              <w:spacing w:beforeLines="50" w:line="288" w:lineRule="auto"/>
              <w:ind w:firstLineChars="100" w:firstLine="200"/>
              <w:rPr>
                <w:rFonts w:ascii="仿宋_GB2312" w:eastAsia="仿宋_GB2312" w:hAnsi="仿宋" w:cs="仿宋"/>
                <w:sz w:val="20"/>
                <w:u w:val="single"/>
              </w:rPr>
            </w:pPr>
            <w:r>
              <w:rPr>
                <w:rFonts w:ascii="仿宋_GB2312" w:eastAsia="仿宋_GB2312" w:hAnsi="仿宋" w:cs="仿宋" w:hint="eastAsia"/>
                <w:sz w:val="20"/>
                <w:lang w:eastAsia="en-US"/>
              </w:rPr>
              <w:sym w:font="Wingdings 2" w:char="00A3"/>
            </w:r>
            <w:r>
              <w:rPr>
                <w:rFonts w:ascii="仿宋_GB2312" w:eastAsia="仿宋_GB2312" w:hAnsi="仿宋" w:cs="仿宋" w:hint="eastAsia"/>
                <w:sz w:val="20"/>
                <w:lang w:val="en-US"/>
              </w:rPr>
              <w:t>即时通信账号：</w:t>
            </w:r>
            <w:r>
              <w:rPr>
                <w:rFonts w:ascii="仿宋_GB2312" w:eastAsia="仿宋_GB2312" w:hAnsi="仿宋" w:cs="仿宋" w:hint="eastAsia"/>
                <w:sz w:val="20"/>
                <w:u w:val="single"/>
                <w:lang w:val="en-US"/>
              </w:rPr>
              <w:t xml:space="preserve">               </w:t>
            </w:r>
          </w:p>
          <w:p w:rsidR="00800760" w:rsidRDefault="00235733" w:rsidP="00C22A7B">
            <w:pPr>
              <w:spacing w:beforeLines="50" w:line="288" w:lineRule="auto"/>
              <w:ind w:firstLineChars="0" w:firstLine="0"/>
              <w:rPr>
                <w:rFonts w:ascii="仿宋_GB2312" w:eastAsia="仿宋_GB2312" w:hAnsi="仿宋" w:cs="仿宋"/>
                <w:sz w:val="20"/>
              </w:rPr>
            </w:pPr>
            <w:r>
              <w:rPr>
                <w:rFonts w:ascii="仿宋_GB2312" w:eastAsia="仿宋_GB2312" w:hAnsi="仿宋" w:cs="仿宋" w:hint="eastAsia"/>
                <w:sz w:val="20"/>
                <w:lang w:val="en-US"/>
              </w:rPr>
              <w:t>以传真、电子邮件等到达本人特定系统的日期为送达日期。</w:t>
            </w:r>
          </w:p>
        </w:tc>
      </w:tr>
      <w:tr w:rsidR="00800760">
        <w:trPr>
          <w:trHeight w:val="477"/>
          <w:jc w:val="center"/>
        </w:trPr>
        <w:tc>
          <w:tcPr>
            <w:tcW w:w="1417" w:type="dxa"/>
            <w:vMerge/>
            <w:tcBorders>
              <w:left w:val="single" w:sz="4" w:space="0" w:color="auto"/>
              <w:right w:val="single" w:sz="4" w:space="0" w:color="auto"/>
            </w:tcBorders>
            <w:tcMar>
              <w:top w:w="0" w:type="dxa"/>
              <w:left w:w="108" w:type="dxa"/>
              <w:bottom w:w="0" w:type="dxa"/>
              <w:right w:w="108" w:type="dxa"/>
            </w:tcMar>
            <w:vAlign w:val="center"/>
          </w:tcPr>
          <w:p w:rsidR="00800760" w:rsidRDefault="00800760">
            <w:pPr>
              <w:spacing w:line="288" w:lineRule="auto"/>
              <w:ind w:firstLineChars="0" w:firstLine="0"/>
              <w:rPr>
                <w:rFonts w:ascii="仿宋_GB2312" w:eastAsia="仿宋_GB2312" w:hAnsi="仿宋" w:cs="仿宋"/>
                <w:sz w:val="20"/>
              </w:rPr>
            </w:pPr>
          </w:p>
        </w:tc>
        <w:tc>
          <w:tcPr>
            <w:tcW w:w="2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送达地址</w:t>
            </w:r>
          </w:p>
        </w:tc>
        <w:tc>
          <w:tcPr>
            <w:tcW w:w="59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800760">
            <w:pPr>
              <w:spacing w:line="288" w:lineRule="auto"/>
              <w:ind w:firstLineChars="0" w:firstLine="0"/>
              <w:rPr>
                <w:rFonts w:ascii="仿宋_GB2312" w:eastAsia="仿宋_GB2312" w:hAnsi="仿宋" w:cs="仿宋"/>
                <w:sz w:val="20"/>
                <w:lang w:eastAsia="en-US"/>
              </w:rPr>
            </w:pPr>
          </w:p>
        </w:tc>
      </w:tr>
      <w:tr w:rsidR="00800760">
        <w:trPr>
          <w:trHeight w:val="278"/>
          <w:jc w:val="center"/>
        </w:trPr>
        <w:tc>
          <w:tcPr>
            <w:tcW w:w="1417" w:type="dxa"/>
            <w:vMerge/>
            <w:tcBorders>
              <w:left w:val="single" w:sz="4" w:space="0" w:color="auto"/>
              <w:right w:val="single" w:sz="4" w:space="0" w:color="auto"/>
            </w:tcBorders>
            <w:tcMar>
              <w:top w:w="0" w:type="dxa"/>
              <w:left w:w="108" w:type="dxa"/>
              <w:bottom w:w="0" w:type="dxa"/>
              <w:right w:w="108" w:type="dxa"/>
            </w:tcMar>
            <w:vAlign w:val="center"/>
          </w:tcPr>
          <w:p w:rsidR="00800760" w:rsidRDefault="00800760">
            <w:pPr>
              <w:spacing w:line="288" w:lineRule="auto"/>
              <w:ind w:firstLineChars="0" w:firstLine="0"/>
              <w:rPr>
                <w:rFonts w:ascii="仿宋_GB2312" w:eastAsia="仿宋_GB2312" w:hAnsi="仿宋" w:cs="仿宋"/>
                <w:sz w:val="20"/>
                <w:lang w:eastAsia="en-US"/>
              </w:rPr>
            </w:pPr>
          </w:p>
        </w:tc>
        <w:tc>
          <w:tcPr>
            <w:tcW w:w="2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收 件 人</w:t>
            </w:r>
          </w:p>
        </w:tc>
        <w:tc>
          <w:tcPr>
            <w:tcW w:w="59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800760">
            <w:pPr>
              <w:spacing w:line="288" w:lineRule="auto"/>
              <w:ind w:firstLineChars="0" w:firstLine="0"/>
              <w:jc w:val="center"/>
              <w:rPr>
                <w:rFonts w:ascii="仿宋_GB2312" w:eastAsia="仿宋_GB2312" w:hAnsi="仿宋" w:cs="仿宋"/>
                <w:sz w:val="20"/>
                <w:lang w:eastAsia="en-US"/>
              </w:rPr>
            </w:pPr>
          </w:p>
        </w:tc>
      </w:tr>
      <w:tr w:rsidR="00800760">
        <w:trPr>
          <w:trHeight w:val="278"/>
          <w:jc w:val="center"/>
        </w:trPr>
        <w:tc>
          <w:tcPr>
            <w:tcW w:w="1417" w:type="dxa"/>
            <w:vMerge/>
            <w:tcBorders>
              <w:left w:val="single" w:sz="4" w:space="0" w:color="auto"/>
              <w:right w:val="single" w:sz="4" w:space="0" w:color="auto"/>
            </w:tcBorders>
            <w:tcMar>
              <w:top w:w="0" w:type="dxa"/>
              <w:left w:w="108" w:type="dxa"/>
              <w:bottom w:w="0" w:type="dxa"/>
              <w:right w:w="108" w:type="dxa"/>
            </w:tcMar>
            <w:vAlign w:val="center"/>
          </w:tcPr>
          <w:p w:rsidR="00800760" w:rsidRDefault="00800760">
            <w:pPr>
              <w:spacing w:line="288" w:lineRule="auto"/>
              <w:ind w:firstLineChars="0" w:firstLine="0"/>
              <w:rPr>
                <w:rFonts w:ascii="仿宋_GB2312" w:eastAsia="仿宋_GB2312" w:hAnsi="仿宋" w:cs="仿宋"/>
                <w:sz w:val="20"/>
                <w:lang w:eastAsia="en-US"/>
              </w:rPr>
            </w:pPr>
          </w:p>
        </w:tc>
        <w:tc>
          <w:tcPr>
            <w:tcW w:w="2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收件人联系电话</w:t>
            </w:r>
          </w:p>
        </w:tc>
        <w:tc>
          <w:tcPr>
            <w:tcW w:w="59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800760">
            <w:pPr>
              <w:spacing w:line="288" w:lineRule="auto"/>
              <w:ind w:firstLineChars="0" w:firstLine="0"/>
              <w:jc w:val="center"/>
              <w:rPr>
                <w:rFonts w:ascii="仿宋_GB2312" w:eastAsia="仿宋_GB2312" w:hAnsi="仿宋" w:cs="仿宋"/>
                <w:sz w:val="20"/>
                <w:lang w:eastAsia="en-US"/>
              </w:rPr>
            </w:pPr>
          </w:p>
        </w:tc>
      </w:tr>
      <w:tr w:rsidR="00800760">
        <w:trPr>
          <w:trHeight w:val="278"/>
          <w:jc w:val="center"/>
        </w:trPr>
        <w:tc>
          <w:tcPr>
            <w:tcW w:w="1417"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800760">
            <w:pPr>
              <w:spacing w:line="288" w:lineRule="auto"/>
              <w:ind w:firstLineChars="0" w:firstLine="0"/>
              <w:rPr>
                <w:rFonts w:ascii="仿宋_GB2312" w:eastAsia="仿宋_GB2312" w:hAnsi="仿宋" w:cs="仿宋"/>
                <w:sz w:val="20"/>
                <w:lang w:eastAsia="en-US"/>
              </w:rPr>
            </w:pPr>
          </w:p>
        </w:tc>
        <w:tc>
          <w:tcPr>
            <w:tcW w:w="2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val="en-US"/>
              </w:rPr>
              <w:t>邮政编码</w:t>
            </w:r>
          </w:p>
        </w:tc>
        <w:tc>
          <w:tcPr>
            <w:tcW w:w="59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800760">
            <w:pPr>
              <w:spacing w:line="288" w:lineRule="auto"/>
              <w:ind w:firstLineChars="0" w:firstLine="0"/>
              <w:jc w:val="center"/>
              <w:rPr>
                <w:rFonts w:ascii="仿宋_GB2312" w:eastAsia="仿宋_GB2312" w:hAnsi="仿宋" w:cs="仿宋"/>
                <w:sz w:val="20"/>
                <w:lang w:eastAsia="en-US"/>
              </w:rPr>
            </w:pPr>
          </w:p>
        </w:tc>
      </w:tr>
      <w:tr w:rsidR="00800760">
        <w:trPr>
          <w:trHeight w:val="1613"/>
          <w:jc w:val="center"/>
        </w:trPr>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受送</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达人</w:t>
            </w:r>
          </w:p>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确认</w:t>
            </w:r>
          </w:p>
        </w:tc>
        <w:tc>
          <w:tcPr>
            <w:tcW w:w="80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0760" w:rsidRDefault="00235733" w:rsidP="00C22A7B">
            <w:pPr>
              <w:spacing w:beforeLines="50" w:line="288" w:lineRule="auto"/>
              <w:ind w:firstLine="400"/>
              <w:rPr>
                <w:rFonts w:ascii="仿宋_GB2312" w:eastAsia="仿宋_GB2312" w:hAnsi="仿宋" w:cs="仿宋"/>
                <w:sz w:val="20"/>
              </w:rPr>
            </w:pPr>
            <w:r>
              <w:rPr>
                <w:rFonts w:ascii="仿宋_GB2312" w:eastAsia="仿宋_GB2312" w:hAnsi="仿宋" w:cs="仿宋" w:hint="eastAsia"/>
                <w:sz w:val="20"/>
                <w:lang w:val="en-US"/>
              </w:rPr>
              <w:t>本人已阅读（已向本人宣读）上述告知事项，保证以上送达地址及送达方式准确、有效，清楚了解并同意本确认书内容及法律意义。</w:t>
            </w:r>
          </w:p>
          <w:p w:rsidR="00800760" w:rsidRDefault="00235733" w:rsidP="00C22A7B">
            <w:pPr>
              <w:spacing w:beforeLines="50" w:line="288" w:lineRule="auto"/>
              <w:ind w:firstLineChars="1650" w:firstLine="3300"/>
              <w:rPr>
                <w:rFonts w:ascii="仿宋_GB2312" w:eastAsia="仿宋_GB2312" w:hAnsi="仿宋" w:cs="仿宋"/>
                <w:sz w:val="20"/>
              </w:rPr>
            </w:pPr>
            <w:r>
              <w:rPr>
                <w:rFonts w:ascii="仿宋_GB2312" w:eastAsia="仿宋_GB2312" w:hAnsi="仿宋" w:cs="仿宋" w:hint="eastAsia"/>
                <w:sz w:val="20"/>
              </w:rPr>
              <w:t>受送达人（</w:t>
            </w:r>
            <w:r>
              <w:rPr>
                <w:rFonts w:ascii="仿宋_GB2312" w:eastAsia="仿宋_GB2312" w:hAnsi="仿宋" w:cs="仿宋" w:hint="eastAsia"/>
                <w:sz w:val="20"/>
                <w:lang w:val="en-US"/>
              </w:rPr>
              <w:t>委托代理人</w:t>
            </w:r>
            <w:r>
              <w:rPr>
                <w:rFonts w:ascii="仿宋_GB2312" w:eastAsia="仿宋_GB2312" w:hAnsi="仿宋" w:cs="仿宋" w:hint="eastAsia"/>
                <w:sz w:val="20"/>
              </w:rPr>
              <w:t>）：</w:t>
            </w:r>
          </w:p>
          <w:p w:rsidR="00800760" w:rsidRDefault="00800760">
            <w:pPr>
              <w:spacing w:line="288" w:lineRule="auto"/>
              <w:ind w:firstLineChars="1650" w:firstLine="3300"/>
              <w:rPr>
                <w:rFonts w:ascii="仿宋_GB2312" w:eastAsia="仿宋_GB2312" w:hAnsi="仿宋" w:cs="仿宋"/>
                <w:sz w:val="20"/>
              </w:rPr>
            </w:pPr>
          </w:p>
          <w:p w:rsidR="00800760" w:rsidRDefault="00235733">
            <w:pPr>
              <w:spacing w:line="288" w:lineRule="auto"/>
              <w:ind w:firstLineChars="0" w:firstLine="0"/>
              <w:rPr>
                <w:rFonts w:ascii="仿宋_GB2312" w:eastAsia="仿宋_GB2312" w:hAnsi="仿宋" w:cs="仿宋"/>
                <w:sz w:val="20"/>
                <w:lang w:eastAsia="en-US"/>
              </w:rPr>
            </w:pPr>
            <w:r>
              <w:rPr>
                <w:rFonts w:ascii="仿宋_GB2312" w:eastAsia="仿宋_GB2312" w:hAnsi="仿宋" w:cs="仿宋" w:hint="eastAsia"/>
                <w:sz w:val="20"/>
              </w:rPr>
              <w:t xml:space="preserve">                                                      </w:t>
            </w:r>
            <w:r>
              <w:rPr>
                <w:rFonts w:ascii="仿宋_GB2312" w:eastAsia="仿宋_GB2312" w:hAnsi="仿宋" w:cs="仿宋" w:hint="eastAsia"/>
                <w:sz w:val="20"/>
                <w:lang w:eastAsia="en-US"/>
              </w:rPr>
              <w:t>年      月      日</w:t>
            </w:r>
          </w:p>
        </w:tc>
      </w:tr>
      <w:tr w:rsidR="00800760">
        <w:trPr>
          <w:trHeight w:val="410"/>
          <w:jc w:val="center"/>
        </w:trPr>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760" w:rsidRDefault="00235733">
            <w:pPr>
              <w:spacing w:line="288"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备</w:t>
            </w:r>
            <w:r>
              <w:rPr>
                <w:rFonts w:ascii="仿宋_GB2312" w:eastAsia="仿宋_GB2312" w:hAnsi="仿宋" w:cs="仿宋" w:hint="eastAsia"/>
                <w:sz w:val="20"/>
                <w:lang w:val="en-US"/>
              </w:rPr>
              <w:t xml:space="preserve">    </w:t>
            </w:r>
            <w:r>
              <w:rPr>
                <w:rFonts w:ascii="仿宋_GB2312" w:eastAsia="仿宋_GB2312" w:hAnsi="仿宋" w:cs="仿宋" w:hint="eastAsia"/>
                <w:sz w:val="20"/>
                <w:lang w:eastAsia="en-US"/>
              </w:rPr>
              <w:t>注</w:t>
            </w:r>
          </w:p>
        </w:tc>
        <w:tc>
          <w:tcPr>
            <w:tcW w:w="80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0760" w:rsidRDefault="00800760">
            <w:pPr>
              <w:spacing w:line="288" w:lineRule="auto"/>
              <w:ind w:firstLineChars="0" w:firstLine="0"/>
              <w:rPr>
                <w:rFonts w:ascii="仿宋_GB2312" w:eastAsia="仿宋_GB2312" w:hAnsi="仿宋" w:cs="仿宋"/>
                <w:sz w:val="20"/>
              </w:rPr>
            </w:pPr>
          </w:p>
        </w:tc>
      </w:tr>
    </w:tbl>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宋体" w:hAnsi="宋体"/>
          <w:b/>
          <w:color w:val="000000"/>
          <w:szCs w:val="21"/>
        </w:rPr>
        <w:br w:type="page"/>
      </w:r>
      <w:r>
        <w:rPr>
          <w:rFonts w:ascii="方正小标宋_GBK" w:eastAsia="方正小标宋_GBK" w:hAnsi="宋体"/>
          <w:color w:val="000000"/>
          <w:spacing w:val="6"/>
          <w:sz w:val="36"/>
          <w:szCs w:val="36"/>
        </w:rPr>
        <w:t>提交专利权评价报告通知书</w:t>
      </w:r>
    </w:p>
    <w:p w:rsidR="00800760" w:rsidRDefault="00235733">
      <w:pPr>
        <w:widowControl w:val="0"/>
        <w:spacing w:line="360" w:lineRule="auto"/>
        <w:ind w:firstLineChars="0" w:firstLine="0"/>
        <w:jc w:val="right"/>
        <w:rPr>
          <w:rFonts w:ascii="仿宋" w:eastAsia="仿宋_GB2312" w:hAnsi="仿宋"/>
          <w:color w:val="000000"/>
          <w:sz w:val="20"/>
        </w:rPr>
      </w:pPr>
      <w:r>
        <w:rPr>
          <w:rFonts w:ascii="仿宋" w:eastAsia="仿宋_GB2312" w:hAnsi="仿宋"/>
          <w:color w:val="000000"/>
          <w:sz w:val="20"/>
          <w:lang w:eastAsia="en-US"/>
        </w:rPr>
        <w:t>案号：</w:t>
      </w:r>
      <w:r>
        <w:rPr>
          <w:rFonts w:ascii="仿宋" w:eastAsia="仿宋_GB2312" w:hAnsi="仿宋" w:hint="eastAsia"/>
          <w:color w:val="000000"/>
          <w:sz w:val="20"/>
        </w:rPr>
        <w:t>____________________</w:t>
      </w:r>
    </w:p>
    <w:tbl>
      <w:tblPr>
        <w:tblW w:w="5000" w:type="pct"/>
        <w:jc w:val="center"/>
        <w:tblCellMar>
          <w:left w:w="10" w:type="dxa"/>
          <w:right w:w="10" w:type="dxa"/>
        </w:tblCellMar>
        <w:tblLook w:val="04A0"/>
      </w:tblPr>
      <w:tblGrid>
        <w:gridCol w:w="1595"/>
        <w:gridCol w:w="8272"/>
      </w:tblGrid>
      <w:tr w:rsidR="00800760">
        <w:trPr>
          <w:trHeight w:val="20"/>
          <w:jc w:val="center"/>
        </w:trPr>
        <w:tc>
          <w:tcPr>
            <w:tcW w:w="808"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4192"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08"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4192"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08"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专利申请日</w:t>
            </w:r>
          </w:p>
        </w:tc>
        <w:tc>
          <w:tcPr>
            <w:tcW w:w="4192"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08"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4192"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08"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19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bl>
    <w:p w:rsidR="00800760" w:rsidRDefault="00235733" w:rsidP="00235733">
      <w:pPr>
        <w:widowControl w:val="0"/>
        <w:spacing w:line="360" w:lineRule="auto"/>
        <w:ind w:firstLine="400"/>
        <w:jc w:val="both"/>
        <w:rPr>
          <w:rFonts w:ascii="仿宋" w:eastAsia="仿宋_GB2312" w:hAnsi="仿宋" w:cs="PMingLiU"/>
          <w:color w:val="000000"/>
          <w:kern w:val="2"/>
          <w:sz w:val="20"/>
          <w:lang w:val="zh-CN" w:bidi="zh-CN"/>
        </w:rPr>
      </w:pPr>
      <w:r>
        <w:rPr>
          <w:rFonts w:ascii="仿宋" w:eastAsia="仿宋_GB2312" w:hAnsi="仿宋" w:cs="PMingLiU" w:hint="eastAsia"/>
          <w:color w:val="000000"/>
          <w:kern w:val="2"/>
          <w:sz w:val="20"/>
          <w:u w:val="single"/>
          <w:lang w:val="zh-CN" w:bidi="zh-CN"/>
        </w:rPr>
        <w:t xml:space="preserve">                         </w:t>
      </w:r>
      <w:r>
        <w:rPr>
          <w:rFonts w:ascii="仿宋" w:eastAsia="仿宋_GB2312" w:hAnsi="仿宋" w:cs="PMingLiU" w:hint="eastAsia"/>
          <w:color w:val="000000"/>
          <w:kern w:val="2"/>
          <w:sz w:val="20"/>
          <w:lang w:val="zh-CN" w:bidi="zh-CN"/>
        </w:rPr>
        <w:t>：</w:t>
      </w:r>
    </w:p>
    <w:p w:rsidR="00800760" w:rsidRDefault="00235733">
      <w:pPr>
        <w:widowControl w:val="0"/>
        <w:spacing w:line="360" w:lineRule="auto"/>
        <w:ind w:firstLine="400"/>
        <w:jc w:val="both"/>
        <w:outlineLvl w:val="0"/>
        <w:rPr>
          <w:rFonts w:ascii="仿宋" w:eastAsia="仿宋_GB2312" w:hAnsi="仿宋" w:cs="PMingLiU"/>
          <w:color w:val="000000"/>
          <w:kern w:val="2"/>
          <w:sz w:val="20"/>
          <w:lang w:val="zh-CN" w:bidi="zh-CN"/>
        </w:rPr>
      </w:pPr>
      <w:bookmarkStart w:id="9314" w:name="_Toc229225663"/>
      <w:r>
        <w:rPr>
          <w:rFonts w:ascii="仿宋" w:eastAsia="仿宋_GB2312" w:hAnsi="仿宋" w:cs="PMingLiU"/>
          <w:color w:val="000000"/>
          <w:kern w:val="2"/>
          <w:sz w:val="20"/>
          <w:lang w:val="zh-CN" w:bidi="zh-CN"/>
        </w:rPr>
        <w:t>根据《中华人民共和国专利法》第六十</w:t>
      </w:r>
      <w:r>
        <w:rPr>
          <w:rFonts w:ascii="仿宋" w:eastAsia="仿宋_GB2312" w:hAnsi="仿宋" w:cs="PMingLiU" w:hint="eastAsia"/>
          <w:color w:val="000000"/>
          <w:kern w:val="2"/>
          <w:sz w:val="20"/>
          <w:lang w:val="zh-CN" w:bidi="zh-CN"/>
        </w:rPr>
        <w:t>六</w:t>
      </w:r>
      <w:r>
        <w:rPr>
          <w:rFonts w:ascii="仿宋" w:eastAsia="仿宋_GB2312" w:hAnsi="仿宋" w:cs="PMingLiU"/>
          <w:color w:val="000000"/>
          <w:kern w:val="2"/>
          <w:sz w:val="20"/>
          <w:lang w:val="zh-CN" w:bidi="zh-CN"/>
        </w:rPr>
        <w:t>条第二款的规定，要求请求人在收到本通知之日起的</w:t>
      </w:r>
      <w:bookmarkEnd w:id="9314"/>
    </w:p>
    <w:p w:rsidR="00800760" w:rsidRDefault="00235733" w:rsidP="00235733">
      <w:pPr>
        <w:widowControl w:val="0"/>
        <w:spacing w:line="360" w:lineRule="auto"/>
        <w:ind w:firstLine="400"/>
        <w:jc w:val="both"/>
        <w:rPr>
          <w:rFonts w:ascii="仿宋" w:eastAsia="仿宋_GB2312" w:hAnsi="仿宋" w:cs="PMingLiU"/>
          <w:color w:val="000000"/>
          <w:kern w:val="2"/>
          <w:sz w:val="20"/>
          <w:lang w:val="zh-CN" w:bidi="zh-CN"/>
        </w:rPr>
      </w:pPr>
      <w:r>
        <w:rPr>
          <w:rFonts w:ascii="仿宋" w:eastAsia="仿宋_GB2312" w:hAnsi="仿宋" w:cs="PMingLiU" w:hint="eastAsia"/>
          <w:color w:val="000000"/>
          <w:kern w:val="2"/>
          <w:sz w:val="20"/>
          <w:u w:val="single"/>
          <w:lang w:val="zh-CN" w:bidi="zh-CN"/>
        </w:rPr>
        <w:t xml:space="preserve">    </w:t>
      </w:r>
      <w:r>
        <w:rPr>
          <w:rFonts w:ascii="仿宋" w:eastAsia="仿宋_GB2312" w:hAnsi="仿宋" w:cs="PMingLiU"/>
          <w:color w:val="000000"/>
          <w:kern w:val="2"/>
          <w:sz w:val="20"/>
          <w:lang w:val="zh-CN" w:bidi="zh-CN"/>
        </w:rPr>
        <w:t>日内向我局提交国家知识产权局对</w:t>
      </w:r>
      <w:r>
        <w:rPr>
          <w:rFonts w:ascii="仿宋" w:eastAsia="仿宋_GB2312" w:hAnsi="仿宋" w:cs="PMingLiU" w:hint="eastAsia"/>
          <w:color w:val="000000"/>
          <w:kern w:val="2"/>
          <w:sz w:val="20"/>
          <w:u w:val="single"/>
          <w:lang w:val="zh-CN" w:bidi="zh-CN"/>
        </w:rPr>
        <w:t xml:space="preserve">           </w:t>
      </w:r>
      <w:r>
        <w:rPr>
          <w:rFonts w:ascii="仿宋" w:eastAsia="仿宋_GB2312" w:hAnsi="仿宋" w:cs="PMingLiU"/>
          <w:color w:val="000000"/>
          <w:kern w:val="2"/>
          <w:sz w:val="20"/>
          <w:lang w:val="zh-CN" w:bidi="zh-CN"/>
        </w:rPr>
        <w:t>号专利作出的专利权评价报告。</w:t>
      </w:r>
    </w:p>
    <w:p w:rsidR="00800760" w:rsidRDefault="00235733">
      <w:pPr>
        <w:widowControl w:val="0"/>
        <w:spacing w:line="360" w:lineRule="auto"/>
        <w:ind w:firstLineChars="244" w:firstLine="488"/>
        <w:jc w:val="both"/>
        <w:rPr>
          <w:rFonts w:ascii="仿宋" w:eastAsia="仿宋_GB2312" w:hAnsi="仿宋" w:cs="PMingLiU"/>
          <w:color w:val="000000"/>
          <w:kern w:val="2"/>
          <w:sz w:val="20"/>
          <w:lang w:val="zh-CN" w:bidi="zh-CN"/>
        </w:rPr>
      </w:pPr>
      <w:r>
        <w:rPr>
          <w:rFonts w:ascii="仿宋" w:eastAsia="仿宋_GB2312" w:hAnsi="仿宋" w:cs="PMingLiU"/>
          <w:color w:val="000000"/>
          <w:kern w:val="2"/>
          <w:sz w:val="20"/>
          <w:lang w:val="zh-CN" w:bidi="zh-CN"/>
        </w:rPr>
        <w:t>特此通知。</w:t>
      </w:r>
    </w:p>
    <w:p w:rsidR="00800760" w:rsidRDefault="00800760">
      <w:pPr>
        <w:widowControl w:val="0"/>
        <w:spacing w:line="360" w:lineRule="auto"/>
        <w:ind w:firstLineChars="0" w:firstLine="600"/>
        <w:rPr>
          <w:rFonts w:ascii="仿宋_GB2312" w:eastAsia="仿宋_GB2312" w:hAnsi="宋体"/>
          <w:color w:val="000000"/>
          <w:spacing w:val="6"/>
          <w:sz w:val="20"/>
        </w:rPr>
      </w:pPr>
    </w:p>
    <w:p w:rsidR="00800760" w:rsidRDefault="00235733">
      <w:pPr>
        <w:widowControl w:val="0"/>
        <w:spacing w:line="360"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pPr>
        <w:widowControl w:val="0"/>
        <w:spacing w:line="360"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widowControl w:val="0"/>
        <w:spacing w:line="360" w:lineRule="auto"/>
        <w:ind w:firstLineChars="244" w:firstLine="488"/>
        <w:jc w:val="both"/>
        <w:rPr>
          <w:rFonts w:ascii="仿宋" w:eastAsia="仿宋_GB2312" w:hAnsi="仿宋" w:cs="PMingLiU"/>
          <w:color w:val="000000"/>
          <w:kern w:val="2"/>
          <w:sz w:val="20"/>
          <w:lang w:val="zh-CN" w:bidi="zh-CN"/>
        </w:rPr>
      </w:pPr>
    </w:p>
    <w:p w:rsidR="00800760" w:rsidRDefault="00235733" w:rsidP="00235733">
      <w:pPr>
        <w:widowControl w:val="0"/>
        <w:spacing w:line="360" w:lineRule="auto"/>
        <w:ind w:firstLine="400"/>
        <w:jc w:val="both"/>
        <w:rPr>
          <w:rFonts w:ascii="仿宋" w:eastAsia="仿宋_GB2312" w:hAnsi="仿宋" w:cs="PMingLiU"/>
          <w:color w:val="000000"/>
          <w:kern w:val="2"/>
          <w:sz w:val="20"/>
          <w:lang w:val="zh-CN" w:bidi="zh-CN"/>
        </w:rPr>
      </w:pPr>
      <w:r>
        <w:rPr>
          <w:rFonts w:ascii="仿宋" w:eastAsia="仿宋_GB2312" w:hAnsi="仿宋" w:cs="PMingLiU"/>
          <w:color w:val="000000"/>
          <w:kern w:val="2"/>
          <w:sz w:val="20"/>
          <w:lang w:val="zh-CN" w:bidi="zh-CN"/>
        </w:rPr>
        <w:t>联</w:t>
      </w:r>
      <w:r>
        <w:rPr>
          <w:rFonts w:ascii="仿宋" w:eastAsia="仿宋_GB2312" w:hAnsi="仿宋" w:cs="PMingLiU" w:hint="eastAsia"/>
          <w:color w:val="000000"/>
          <w:kern w:val="2"/>
          <w:sz w:val="20"/>
          <w:lang w:val="zh-CN" w:bidi="zh-CN"/>
        </w:rPr>
        <w:t xml:space="preserve"> </w:t>
      </w:r>
      <w:r>
        <w:rPr>
          <w:rFonts w:ascii="仿宋" w:eastAsia="仿宋_GB2312" w:hAnsi="仿宋" w:cs="PMingLiU"/>
          <w:color w:val="000000"/>
          <w:kern w:val="2"/>
          <w:sz w:val="20"/>
          <w:lang w:val="zh-CN" w:bidi="zh-CN"/>
        </w:rPr>
        <w:t>系</w:t>
      </w:r>
      <w:r>
        <w:rPr>
          <w:rFonts w:ascii="仿宋" w:eastAsia="仿宋_GB2312" w:hAnsi="仿宋" w:cs="PMingLiU" w:hint="eastAsia"/>
          <w:color w:val="000000"/>
          <w:kern w:val="2"/>
          <w:sz w:val="20"/>
          <w:lang w:val="zh-CN" w:bidi="zh-CN"/>
        </w:rPr>
        <w:t xml:space="preserve"> </w:t>
      </w:r>
      <w:r>
        <w:rPr>
          <w:rFonts w:ascii="仿宋" w:eastAsia="仿宋_GB2312" w:hAnsi="仿宋" w:cs="PMingLiU"/>
          <w:color w:val="000000"/>
          <w:kern w:val="2"/>
          <w:sz w:val="20"/>
          <w:lang w:val="zh-CN" w:bidi="zh-CN"/>
        </w:rPr>
        <w:t>人：</w:t>
      </w:r>
    </w:p>
    <w:p w:rsidR="00800760" w:rsidRDefault="00235733" w:rsidP="00235733">
      <w:pPr>
        <w:widowControl w:val="0"/>
        <w:spacing w:line="360" w:lineRule="auto"/>
        <w:ind w:firstLine="400"/>
        <w:jc w:val="both"/>
        <w:rPr>
          <w:rFonts w:ascii="仿宋" w:eastAsia="仿宋_GB2312" w:hAnsi="仿宋" w:cs="PMingLiU"/>
          <w:color w:val="000000"/>
          <w:kern w:val="2"/>
          <w:sz w:val="20"/>
          <w:lang w:val="zh-CN" w:bidi="zh-CN"/>
        </w:rPr>
      </w:pPr>
      <w:r>
        <w:rPr>
          <w:rFonts w:ascii="仿宋" w:eastAsia="仿宋_GB2312" w:hAnsi="仿宋" w:cs="PMingLiU"/>
          <w:color w:val="000000"/>
          <w:kern w:val="2"/>
          <w:sz w:val="20"/>
          <w:lang w:val="zh-CN" w:bidi="zh-CN"/>
        </w:rPr>
        <w:t>联系电话</w:t>
      </w:r>
      <w:r>
        <w:rPr>
          <w:rFonts w:ascii="仿宋" w:eastAsia="仿宋_GB2312" w:hAnsi="仿宋" w:cs="PMingLiU"/>
          <w:color w:val="000000"/>
          <w:kern w:val="2"/>
          <w:sz w:val="20"/>
          <w:lang w:val="zh-CN" w:bidi="zh-CN"/>
        </w:rPr>
        <w:t>:</w:t>
      </w:r>
    </w:p>
    <w:p w:rsidR="00800760" w:rsidRDefault="00235733" w:rsidP="00235733">
      <w:pPr>
        <w:widowControl w:val="0"/>
        <w:spacing w:line="360" w:lineRule="auto"/>
        <w:ind w:firstLine="400"/>
        <w:jc w:val="both"/>
        <w:rPr>
          <w:rFonts w:ascii="仿宋" w:eastAsia="仿宋_GB2312" w:hAnsi="仿宋" w:cs="PMingLiU"/>
          <w:color w:val="000000"/>
          <w:kern w:val="2"/>
          <w:sz w:val="20"/>
          <w:lang w:val="zh-CN" w:bidi="zh-CN"/>
        </w:rPr>
      </w:pPr>
      <w:r>
        <w:rPr>
          <w:rFonts w:ascii="仿宋" w:eastAsia="仿宋_GB2312" w:hAnsi="仿宋" w:cs="PMingLiU"/>
          <w:color w:val="000000"/>
          <w:kern w:val="2"/>
          <w:sz w:val="20"/>
          <w:lang w:val="zh-CN" w:bidi="zh-CN"/>
        </w:rPr>
        <w:t>本局地址：</w:t>
      </w:r>
    </w:p>
    <w:p w:rsidR="00800760" w:rsidRDefault="00235733" w:rsidP="00235733">
      <w:pPr>
        <w:widowControl w:val="0"/>
        <w:spacing w:line="360" w:lineRule="auto"/>
        <w:ind w:firstLine="400"/>
        <w:jc w:val="both"/>
        <w:rPr>
          <w:rFonts w:ascii="仿宋" w:eastAsia="仿宋_GB2312" w:hAnsi="仿宋" w:cs="PMingLiU"/>
          <w:color w:val="000000"/>
          <w:kern w:val="2"/>
          <w:sz w:val="20"/>
          <w:lang w:val="zh-CN" w:bidi="zh-CN"/>
        </w:rPr>
      </w:pPr>
      <w:r>
        <w:rPr>
          <w:rFonts w:ascii="仿宋" w:eastAsia="仿宋_GB2312" w:hAnsi="仿宋" w:cs="PMingLiU"/>
          <w:color w:val="000000"/>
          <w:kern w:val="2"/>
          <w:sz w:val="20"/>
          <w:lang w:val="zh-CN" w:bidi="zh-CN"/>
        </w:rPr>
        <w:t>邮政编码</w:t>
      </w:r>
      <w:r>
        <w:rPr>
          <w:rFonts w:ascii="仿宋" w:eastAsia="仿宋_GB2312" w:hAnsi="仿宋" w:cs="PMingLiU"/>
          <w:color w:val="000000"/>
          <w:kern w:val="2"/>
          <w:sz w:val="20"/>
          <w:lang w:val="zh-CN" w:bidi="zh-CN"/>
        </w:rPr>
        <w:t xml:space="preserve">: </w:t>
      </w:r>
    </w:p>
    <w:p w:rsidR="00800760" w:rsidRDefault="00800760">
      <w:pPr>
        <w:widowControl w:val="0"/>
        <w:spacing w:line="360" w:lineRule="auto"/>
        <w:ind w:firstLineChars="244" w:firstLine="488"/>
        <w:jc w:val="both"/>
        <w:rPr>
          <w:rFonts w:ascii="仿宋" w:eastAsia="仿宋_GB2312" w:hAnsi="仿宋" w:cs="PMingLiU"/>
          <w:color w:val="000000"/>
          <w:kern w:val="2"/>
          <w:sz w:val="20"/>
          <w:lang w:val="zh-CN" w:bidi="zh-CN"/>
        </w:rPr>
      </w:pPr>
    </w:p>
    <w:p w:rsidR="00800760" w:rsidRDefault="00800760">
      <w:pPr>
        <w:widowControl w:val="0"/>
        <w:spacing w:line="360" w:lineRule="auto"/>
        <w:ind w:firstLineChars="244" w:firstLine="488"/>
        <w:jc w:val="both"/>
        <w:rPr>
          <w:rFonts w:ascii="仿宋" w:eastAsia="仿宋_GB2312" w:hAnsi="仿宋" w:cs="PMingLiU"/>
          <w:color w:val="000000"/>
          <w:kern w:val="2"/>
          <w:sz w:val="20"/>
          <w:lang w:val="zh-CN" w:bidi="zh-CN"/>
        </w:rPr>
      </w:pPr>
    </w:p>
    <w:p w:rsidR="00800760" w:rsidRDefault="00800760">
      <w:pPr>
        <w:widowControl w:val="0"/>
        <w:spacing w:line="360" w:lineRule="auto"/>
        <w:ind w:firstLineChars="244" w:firstLine="488"/>
        <w:jc w:val="both"/>
        <w:rPr>
          <w:rFonts w:ascii="仿宋" w:eastAsia="仿宋_GB2312" w:hAnsi="仿宋" w:cs="PMingLiU"/>
          <w:color w:val="000000"/>
          <w:kern w:val="2"/>
          <w:sz w:val="20"/>
          <w:lang w:val="zh-CN" w:bidi="zh-CN"/>
        </w:rPr>
      </w:pPr>
    </w:p>
    <w:p w:rsidR="00800760" w:rsidRDefault="00800760">
      <w:pPr>
        <w:widowControl w:val="0"/>
        <w:spacing w:line="360" w:lineRule="auto"/>
        <w:ind w:firstLineChars="244" w:firstLine="488"/>
        <w:jc w:val="both"/>
        <w:rPr>
          <w:rFonts w:ascii="仿宋" w:eastAsia="仿宋_GB2312" w:hAnsi="仿宋" w:cs="PMingLiU"/>
          <w:color w:val="000000"/>
          <w:kern w:val="2"/>
          <w:sz w:val="20"/>
          <w:lang w:val="zh-CN" w:bidi="zh-CN"/>
        </w:rPr>
      </w:pPr>
    </w:p>
    <w:p w:rsidR="00800760" w:rsidRDefault="00800760">
      <w:pPr>
        <w:widowControl w:val="0"/>
        <w:spacing w:line="360" w:lineRule="auto"/>
        <w:ind w:firstLineChars="244" w:firstLine="488"/>
        <w:jc w:val="both"/>
        <w:rPr>
          <w:rFonts w:ascii="仿宋" w:eastAsia="仿宋_GB2312" w:hAnsi="仿宋" w:cs="PMingLiU"/>
          <w:color w:val="000000"/>
          <w:kern w:val="2"/>
          <w:sz w:val="20"/>
          <w:lang w:val="zh-CN" w:bidi="zh-CN"/>
        </w:rPr>
      </w:pPr>
    </w:p>
    <w:p w:rsidR="00800760" w:rsidRDefault="00235733" w:rsidP="00235733">
      <w:pPr>
        <w:widowControl w:val="0"/>
        <w:spacing w:line="360" w:lineRule="auto"/>
        <w:ind w:firstLine="400"/>
        <w:jc w:val="both"/>
        <w:rPr>
          <w:rFonts w:ascii="仿宋" w:eastAsia="仿宋_GB2312" w:hAnsi="仿宋" w:cs="PMingLiU"/>
          <w:color w:val="000000"/>
          <w:kern w:val="2"/>
          <w:sz w:val="20"/>
          <w:lang w:val="zh-CN" w:bidi="zh-CN"/>
        </w:rPr>
      </w:pPr>
      <w:r>
        <w:rPr>
          <w:rFonts w:ascii="仿宋" w:eastAsia="仿宋_GB2312" w:hAnsi="仿宋" w:cs="PMingLiU"/>
          <w:color w:val="000000"/>
          <w:kern w:val="2"/>
          <w:sz w:val="20"/>
          <w:lang w:val="zh-CN" w:bidi="zh-CN"/>
        </w:rPr>
        <w:t>说明：本通知书一式两份，一份送达当事人，一份由知识产权局存档</w:t>
      </w:r>
      <w:r>
        <w:rPr>
          <w:rFonts w:ascii="仿宋" w:eastAsia="仿宋_GB2312" w:hAnsi="仿宋" w:cs="PMingLiU" w:hint="eastAsia"/>
          <w:color w:val="000000"/>
          <w:kern w:val="2"/>
          <w:sz w:val="20"/>
          <w:lang w:val="zh-CN" w:bidi="zh-CN"/>
        </w:rPr>
        <w:t>。</w:t>
      </w:r>
    </w:p>
    <w:p w:rsidR="00800760" w:rsidRDefault="00235733">
      <w:pPr>
        <w:spacing w:line="360" w:lineRule="auto"/>
        <w:ind w:firstLineChars="0" w:firstLine="0"/>
        <w:rPr>
          <w:rFonts w:ascii="仿宋" w:eastAsia="仿宋_GB2312" w:hAnsi="仿宋" w:cs="PMingLiU"/>
          <w:color w:val="000000"/>
          <w:kern w:val="2"/>
          <w:sz w:val="20"/>
          <w:lang w:val="zh-CN" w:bidi="zh-CN"/>
        </w:rPr>
      </w:pPr>
      <w:r>
        <w:rPr>
          <w:rFonts w:ascii="仿宋" w:eastAsia="仿宋_GB2312" w:hAnsi="仿宋"/>
          <w:sz w:val="20"/>
        </w:rPr>
        <w:br w:type="page"/>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答辩通知书</w:t>
      </w:r>
    </w:p>
    <w:p w:rsidR="00800760" w:rsidRDefault="00235733">
      <w:pPr>
        <w:widowControl w:val="0"/>
        <w:spacing w:line="360" w:lineRule="auto"/>
        <w:ind w:firstLineChars="0" w:firstLine="0"/>
        <w:jc w:val="right"/>
        <w:rPr>
          <w:rFonts w:ascii="仿宋" w:eastAsia="仿宋_GB2312" w:hAnsi="仿宋"/>
          <w:color w:val="000000"/>
          <w:sz w:val="20"/>
        </w:rPr>
      </w:pPr>
      <w:r>
        <w:rPr>
          <w:rFonts w:ascii="仿宋" w:eastAsia="仿宋_GB2312" w:hAnsi="仿宋"/>
          <w:color w:val="000000"/>
          <w:sz w:val="20"/>
        </w:rPr>
        <w:t>案号：</w:t>
      </w:r>
      <w:r>
        <w:rPr>
          <w:rFonts w:ascii="仿宋" w:eastAsia="仿宋_GB2312" w:hAnsi="仿宋" w:hint="eastAsia"/>
          <w:color w:val="000000"/>
          <w:sz w:val="20"/>
        </w:rPr>
        <w:t>____________________</w:t>
      </w:r>
    </w:p>
    <w:tbl>
      <w:tblPr>
        <w:tblW w:w="5000" w:type="pct"/>
        <w:jc w:val="center"/>
        <w:tblCellMar>
          <w:left w:w="10" w:type="dxa"/>
          <w:right w:w="10" w:type="dxa"/>
        </w:tblCellMar>
        <w:tblLook w:val="04A0"/>
      </w:tblPr>
      <w:tblGrid>
        <w:gridCol w:w="1914"/>
        <w:gridCol w:w="7953"/>
      </w:tblGrid>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70"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4030"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bl>
    <w:p w:rsidR="00800760" w:rsidRDefault="00235733">
      <w:pPr>
        <w:tabs>
          <w:tab w:val="left" w:leader="underscore" w:pos="3094"/>
        </w:tabs>
        <w:ind w:firstLineChars="0" w:firstLine="0"/>
        <w:jc w:val="both"/>
        <w:rPr>
          <w:rFonts w:ascii="仿宋" w:hAnsi="仿宋"/>
          <w:color w:val="000000"/>
          <w:sz w:val="20"/>
        </w:rPr>
      </w:pPr>
      <w:r>
        <w:rPr>
          <w:rFonts w:hint="eastAsia"/>
          <w:color w:val="000000"/>
          <w:sz w:val="20"/>
          <w:u w:val="single"/>
        </w:rPr>
        <w:t xml:space="preserve">  </w:t>
      </w:r>
      <w:r>
        <w:rPr>
          <w:rFonts w:ascii="仿宋" w:eastAsia="仿宋_GB2312" w:hAnsi="仿宋" w:hint="eastAsia"/>
          <w:sz w:val="20"/>
          <w:u w:val="single"/>
        </w:rPr>
        <w:t xml:space="preserve">     </w:t>
      </w:r>
      <w:r>
        <w:rPr>
          <w:rFonts w:hint="eastAsia"/>
          <w:color w:val="000000"/>
          <w:sz w:val="20"/>
          <w:u w:val="single"/>
        </w:rPr>
        <w:t xml:space="preserve">   </w:t>
      </w:r>
      <w:r>
        <w:rPr>
          <w:rFonts w:hint="eastAsia"/>
          <w:color w:val="000000"/>
          <w:sz w:val="20"/>
        </w:rPr>
        <w:t>：</w:t>
      </w:r>
    </w:p>
    <w:p w:rsidR="00800760" w:rsidRDefault="00235733">
      <w:pPr>
        <w:tabs>
          <w:tab w:val="left" w:leader="underscore" w:pos="3094"/>
        </w:tabs>
        <w:ind w:firstLine="400"/>
        <w:jc w:val="both"/>
        <w:rPr>
          <w:rFonts w:ascii="仿宋" w:eastAsia="仿宋_GB2312" w:hAnsi="仿宋"/>
          <w:color w:val="000000"/>
          <w:sz w:val="20"/>
        </w:rPr>
      </w:pPr>
      <w:r>
        <w:rPr>
          <w:rFonts w:ascii="仿宋" w:eastAsia="仿宋_GB2312" w:hAnsi="仿宋"/>
          <w:color w:val="000000"/>
          <w:sz w:val="20"/>
        </w:rPr>
        <w:t>本局已经对请求人</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年</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月</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日提交的专利权纠纷处理请求进行立案。根据</w:t>
      </w:r>
      <w:r>
        <w:rPr>
          <w:rFonts w:ascii="仿宋" w:eastAsia="仿宋_GB2312" w:hAnsi="仿宋" w:hint="eastAsia"/>
          <w:color w:val="000000"/>
          <w:sz w:val="20"/>
        </w:rPr>
        <w:t>《专利纠纷行政裁决和调解办法》第二十二条的</w:t>
      </w:r>
      <w:r>
        <w:rPr>
          <w:rFonts w:ascii="仿宋" w:eastAsia="仿宋_GB2312" w:hAnsi="仿宋"/>
          <w:color w:val="000000"/>
          <w:sz w:val="20"/>
        </w:rPr>
        <w:t>规定，现将专利侵权纠纷处理请求书及其附件的副本发送给你（单位），并将有关事项通知如下：</w:t>
      </w:r>
    </w:p>
    <w:p w:rsidR="00800760" w:rsidRDefault="00235733">
      <w:pPr>
        <w:tabs>
          <w:tab w:val="left" w:leader="underscore" w:pos="3094"/>
        </w:tabs>
        <w:ind w:firstLine="400"/>
        <w:jc w:val="both"/>
        <w:rPr>
          <w:rFonts w:ascii="仿宋" w:eastAsia="仿宋_GB2312" w:hAnsi="仿宋"/>
          <w:color w:val="000000"/>
          <w:sz w:val="20"/>
        </w:rPr>
      </w:pPr>
      <w:r>
        <w:rPr>
          <w:rFonts w:ascii="仿宋" w:eastAsia="仿宋_GB2312" w:hAnsi="仿宋"/>
          <w:color w:val="000000"/>
          <w:sz w:val="20"/>
        </w:rPr>
        <w:t>你（单位</w:t>
      </w:r>
      <w:r>
        <w:rPr>
          <w:rFonts w:ascii="仿宋" w:eastAsia="仿宋_GB2312" w:hAnsi="仿宋" w:hint="eastAsia"/>
          <w:color w:val="000000"/>
          <w:sz w:val="20"/>
        </w:rPr>
        <w:t>）</w:t>
      </w:r>
      <w:r>
        <w:rPr>
          <w:rFonts w:ascii="仿宋" w:eastAsia="仿宋_GB2312" w:hAnsi="仿宋"/>
          <w:color w:val="000000"/>
          <w:sz w:val="20"/>
        </w:rPr>
        <w:t>应当在收到请求书副本之日起</w:t>
      </w:r>
      <w:r>
        <w:rPr>
          <w:rFonts w:eastAsia="仿宋_GB2312"/>
          <w:color w:val="000000"/>
          <w:sz w:val="20"/>
        </w:rPr>
        <w:t>15</w:t>
      </w:r>
      <w:r>
        <w:rPr>
          <w:rFonts w:ascii="仿宋" w:eastAsia="仿宋_GB2312" w:hAnsi="仿宋"/>
          <w:color w:val="000000"/>
          <w:sz w:val="20"/>
        </w:rPr>
        <w:t>日内向本局提交：</w:t>
      </w:r>
    </w:p>
    <w:p w:rsidR="00800760" w:rsidRDefault="00235733">
      <w:pPr>
        <w:tabs>
          <w:tab w:val="left" w:leader="underscore" w:pos="3094"/>
        </w:tabs>
        <w:ind w:firstLine="400"/>
        <w:jc w:val="both"/>
        <w:rPr>
          <w:rFonts w:ascii="仿宋_GB2312" w:eastAsia="仿宋_GB2312" w:hAnsi="仿宋"/>
          <w:color w:val="000000"/>
          <w:sz w:val="20"/>
        </w:rPr>
      </w:pPr>
      <w:r>
        <w:rPr>
          <w:rFonts w:eastAsia="仿宋_GB2312" w:hint="eastAsia"/>
          <w:color w:val="000000"/>
          <w:sz w:val="20"/>
        </w:rPr>
        <w:t>1.</w:t>
      </w:r>
      <w:r>
        <w:rPr>
          <w:rFonts w:ascii="仿宋_GB2312" w:eastAsia="仿宋_GB2312" w:hAnsi="仿宋" w:hint="eastAsia"/>
          <w:color w:val="000000"/>
          <w:sz w:val="20"/>
        </w:rPr>
        <w:t>答辩书及相关证据</w:t>
      </w:r>
      <w:r>
        <w:rPr>
          <w:rFonts w:ascii="仿宋" w:eastAsia="仿宋_GB2312" w:hAnsi="仿宋" w:hint="eastAsia"/>
          <w:color w:val="000000"/>
          <w:sz w:val="20"/>
        </w:rPr>
        <w:t>一</w:t>
      </w:r>
      <w:r>
        <w:rPr>
          <w:rFonts w:ascii="仿宋_GB2312" w:eastAsia="仿宋_GB2312" w:hAnsi="仿宋" w:hint="eastAsia"/>
          <w:color w:val="000000"/>
          <w:sz w:val="20"/>
        </w:rPr>
        <w:t>份，并按照请求人的人数提出副本。</w:t>
      </w:r>
    </w:p>
    <w:p w:rsidR="00800760" w:rsidRDefault="00235733">
      <w:pPr>
        <w:tabs>
          <w:tab w:val="left" w:leader="underscore" w:pos="3094"/>
        </w:tabs>
        <w:ind w:firstLine="400"/>
        <w:jc w:val="both"/>
        <w:rPr>
          <w:rFonts w:ascii="Cambria Math" w:eastAsia="仿宋_GB2312" w:hAnsi="Cambria Math"/>
          <w:color w:val="000000"/>
          <w:sz w:val="20"/>
        </w:rPr>
      </w:pPr>
      <w:r>
        <w:rPr>
          <w:rFonts w:eastAsia="仿宋_GB2312" w:hint="eastAsia"/>
          <w:color w:val="000000"/>
          <w:sz w:val="20"/>
        </w:rPr>
        <w:t>2.</w:t>
      </w:r>
      <w:r>
        <w:rPr>
          <w:rFonts w:ascii="Cambria Math" w:eastAsia="仿宋_GB2312" w:hAnsi="仿宋"/>
          <w:color w:val="000000"/>
          <w:sz w:val="20"/>
        </w:rPr>
        <w:t>主体资格证明（如：</w:t>
      </w:r>
      <w:r>
        <w:rPr>
          <w:rFonts w:ascii="仿宋" w:eastAsia="仿宋_GB2312" w:hAnsi="仿宋" w:hint="eastAsia"/>
          <w:color w:val="000000"/>
          <w:sz w:val="20"/>
        </w:rPr>
        <w:t>注册登记的</w:t>
      </w:r>
      <w:r>
        <w:rPr>
          <w:rFonts w:ascii="Cambria Math" w:eastAsia="仿宋_GB2312" w:hAnsi="仿宋"/>
          <w:color w:val="000000"/>
          <w:sz w:val="20"/>
        </w:rPr>
        <w:t>法人提供营业执照副本复印件或者其他主体资格证明文件并加盖单位公章，自然人提供身份证正反面复印件）。</w:t>
      </w:r>
    </w:p>
    <w:p w:rsidR="00800760" w:rsidRDefault="00235733">
      <w:pPr>
        <w:tabs>
          <w:tab w:val="left" w:pos="794"/>
        </w:tabs>
        <w:ind w:left="440" w:firstLineChars="0" w:firstLine="0"/>
        <w:jc w:val="both"/>
        <w:rPr>
          <w:rFonts w:ascii="仿宋_GB2312" w:eastAsia="仿宋_GB2312" w:hAnsi="仿宋"/>
          <w:color w:val="000000"/>
          <w:sz w:val="20"/>
        </w:rPr>
      </w:pPr>
      <w:r>
        <w:rPr>
          <w:rFonts w:eastAsia="仿宋_GB2312" w:hint="eastAsia"/>
          <w:color w:val="000000"/>
          <w:sz w:val="20"/>
        </w:rPr>
        <w:t>3.</w:t>
      </w:r>
      <w:r>
        <w:rPr>
          <w:rFonts w:ascii="仿宋_GB2312" w:eastAsia="仿宋_GB2312" w:hAnsi="仿宋" w:hint="eastAsia"/>
          <w:color w:val="000000"/>
          <w:sz w:val="20"/>
        </w:rPr>
        <w:t>如委托代理人的，需提交授权委托书</w:t>
      </w:r>
      <w:r>
        <w:rPr>
          <w:rFonts w:ascii="仿宋" w:eastAsia="仿宋_GB2312" w:hAnsi="仿宋" w:hint="eastAsia"/>
          <w:color w:val="000000"/>
          <w:sz w:val="20"/>
        </w:rPr>
        <w:t>，明确委托事项</w:t>
      </w:r>
      <w:r>
        <w:rPr>
          <w:rFonts w:ascii="仿宋_GB2312" w:eastAsia="仿宋_GB2312" w:hAnsi="仿宋" w:hint="eastAsia"/>
          <w:color w:val="000000"/>
          <w:sz w:val="20"/>
        </w:rPr>
        <w:t>。</w:t>
      </w:r>
    </w:p>
    <w:p w:rsidR="00800760" w:rsidRDefault="00235733">
      <w:pPr>
        <w:ind w:firstLineChars="0" w:firstLine="440"/>
        <w:jc w:val="both"/>
        <w:rPr>
          <w:rFonts w:ascii="仿宋" w:eastAsia="仿宋_GB2312" w:hAnsi="仿宋"/>
          <w:color w:val="000000"/>
          <w:sz w:val="20"/>
        </w:rPr>
      </w:pPr>
      <w:r>
        <w:rPr>
          <w:rFonts w:ascii="仿宋" w:eastAsia="仿宋_GB2312" w:hAnsi="仿宋"/>
          <w:color w:val="000000"/>
          <w:sz w:val="20"/>
        </w:rPr>
        <w:t>逾期不提交的，不影响本局对本案进行处理。</w:t>
      </w:r>
    </w:p>
    <w:p w:rsidR="00800760" w:rsidRDefault="00235733">
      <w:pPr>
        <w:ind w:firstLineChars="0" w:firstLine="440"/>
        <w:jc w:val="both"/>
        <w:rPr>
          <w:rFonts w:ascii="仿宋" w:eastAsia="仿宋_GB2312" w:hAnsi="仿宋"/>
          <w:color w:val="000000"/>
          <w:sz w:val="20"/>
        </w:rPr>
      </w:pPr>
      <w:r>
        <w:rPr>
          <w:rFonts w:ascii="仿宋" w:eastAsia="仿宋_GB2312" w:hAnsi="仿宋"/>
          <w:color w:val="000000"/>
          <w:sz w:val="20"/>
        </w:rPr>
        <w:t>被请求人向国家知识产权局提出专利权无效宣告请求的，应当将</w:t>
      </w:r>
      <w:r>
        <w:rPr>
          <w:rFonts w:ascii="仿宋" w:eastAsia="仿宋_GB2312" w:hAnsi="仿宋" w:hint="eastAsia"/>
          <w:color w:val="000000"/>
          <w:sz w:val="20"/>
        </w:rPr>
        <w:t>国家知识产权局</w:t>
      </w:r>
      <w:r>
        <w:rPr>
          <w:rFonts w:ascii="仿宋" w:eastAsia="仿宋_GB2312" w:hAnsi="仿宋"/>
          <w:color w:val="000000"/>
          <w:sz w:val="20"/>
        </w:rPr>
        <w:t>的受理通知书以及无效宣告请求书的复印件送交本局。</w:t>
      </w:r>
    </w:p>
    <w:p w:rsidR="00800760" w:rsidRDefault="00800760">
      <w:pPr>
        <w:widowControl w:val="0"/>
        <w:wordWrap w:val="0"/>
        <w:ind w:firstLineChars="0" w:firstLine="600"/>
        <w:jc w:val="right"/>
        <w:rPr>
          <w:rFonts w:ascii="仿宋_GB2312" w:eastAsia="仿宋_GB2312" w:hAnsi="宋体"/>
          <w:color w:val="000000"/>
          <w:spacing w:val="6"/>
          <w:sz w:val="20"/>
        </w:rPr>
      </w:pPr>
    </w:p>
    <w:p w:rsidR="00800760" w:rsidRDefault="00235733">
      <w:pPr>
        <w:widowControl w:val="0"/>
        <w:wordWrap w:val="0"/>
        <w:ind w:firstLineChars="0" w:firstLine="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235733">
      <w:pPr>
        <w:tabs>
          <w:tab w:val="left" w:pos="4482"/>
        </w:tabs>
        <w:ind w:firstLineChars="0" w:firstLine="0"/>
        <w:jc w:val="both"/>
        <w:rPr>
          <w:rFonts w:ascii="仿宋" w:eastAsia="仿宋_GB2312" w:hAnsi="仿宋"/>
          <w:color w:val="000000"/>
          <w:sz w:val="20"/>
        </w:rPr>
      </w:pPr>
      <w:r>
        <w:rPr>
          <w:rFonts w:ascii="仿宋" w:eastAsia="仿宋_GB2312" w:hAnsi="仿宋"/>
          <w:color w:val="000000"/>
          <w:sz w:val="20"/>
        </w:rPr>
        <w:t>案件承办人：</w:t>
      </w:r>
    </w:p>
    <w:p w:rsidR="00800760" w:rsidRDefault="00235733">
      <w:pPr>
        <w:tabs>
          <w:tab w:val="left" w:pos="4482"/>
        </w:tabs>
        <w:ind w:firstLineChars="0" w:firstLine="0"/>
        <w:jc w:val="both"/>
        <w:rPr>
          <w:rFonts w:ascii="仿宋" w:eastAsia="仿宋_GB2312" w:hAnsi="仿宋"/>
          <w:color w:val="000000"/>
          <w:sz w:val="20"/>
        </w:rPr>
      </w:pPr>
      <w:r>
        <w:rPr>
          <w:rFonts w:ascii="仿宋" w:eastAsia="仿宋_GB2312" w:hAnsi="仿宋"/>
          <w:color w:val="000000"/>
          <w:sz w:val="20"/>
        </w:rPr>
        <w:t>联系电话：</w:t>
      </w:r>
      <w:r>
        <w:rPr>
          <w:rFonts w:ascii="仿宋" w:eastAsia="仿宋_GB2312" w:hAnsi="仿宋" w:hint="eastAsia"/>
          <w:color w:val="000000"/>
          <w:sz w:val="20"/>
        </w:rPr>
        <w:t xml:space="preserve">                                 </w:t>
      </w:r>
    </w:p>
    <w:p w:rsidR="00800760" w:rsidRDefault="00235733">
      <w:pPr>
        <w:tabs>
          <w:tab w:val="left" w:pos="4482"/>
        </w:tabs>
        <w:ind w:firstLineChars="0" w:firstLine="0"/>
        <w:jc w:val="both"/>
        <w:rPr>
          <w:rFonts w:ascii="仿宋" w:eastAsia="仿宋_GB2312" w:hAnsi="仿宋"/>
          <w:color w:val="000000"/>
          <w:sz w:val="20"/>
        </w:rPr>
      </w:pPr>
      <w:r>
        <w:rPr>
          <w:rFonts w:ascii="仿宋" w:eastAsia="仿宋_GB2312" w:hAnsi="仿宋"/>
          <w:color w:val="000000"/>
          <w:sz w:val="20"/>
        </w:rPr>
        <w:t>本局地址：</w:t>
      </w:r>
    </w:p>
    <w:p w:rsidR="00800760" w:rsidRDefault="00235733">
      <w:pPr>
        <w:tabs>
          <w:tab w:val="left" w:pos="4482"/>
        </w:tabs>
        <w:ind w:firstLineChars="0" w:firstLine="0"/>
        <w:jc w:val="both"/>
        <w:rPr>
          <w:rFonts w:ascii="仿宋" w:eastAsia="仿宋_GB2312" w:hAnsi="仿宋"/>
          <w:color w:val="000000"/>
          <w:sz w:val="20"/>
        </w:rPr>
      </w:pPr>
      <w:r>
        <w:rPr>
          <w:rFonts w:ascii="仿宋" w:eastAsia="仿宋_GB2312" w:hAnsi="仿宋"/>
          <w:color w:val="000000"/>
          <w:sz w:val="20"/>
        </w:rPr>
        <w:t>邮政编码：</w:t>
      </w:r>
    </w:p>
    <w:p w:rsidR="00800760" w:rsidRDefault="00800760" w:rsidP="00C22A7B">
      <w:pPr>
        <w:tabs>
          <w:tab w:val="left" w:pos="4482"/>
        </w:tabs>
        <w:spacing w:beforeLines="50" w:afterLines="50"/>
        <w:ind w:firstLineChars="0" w:firstLine="0"/>
        <w:jc w:val="both"/>
        <w:rPr>
          <w:rFonts w:ascii="仿宋" w:eastAsia="仿宋_GB2312" w:hAnsi="仿宋"/>
          <w:color w:val="000000"/>
          <w:sz w:val="20"/>
        </w:rPr>
      </w:pPr>
    </w:p>
    <w:p w:rsidR="00800760" w:rsidRDefault="00235733" w:rsidP="00235733">
      <w:pPr>
        <w:shd w:val="clear" w:color="auto" w:fill="FFFFFF"/>
        <w:spacing w:line="600" w:lineRule="atLeast"/>
        <w:ind w:firstLine="424"/>
        <w:outlineLvl w:val="0"/>
        <w:rPr>
          <w:rFonts w:ascii="仿宋" w:eastAsia="仿宋_GB2312" w:hAnsi="仿宋" w:cs="Arial"/>
          <w:color w:val="000000"/>
          <w:spacing w:val="6"/>
          <w:sz w:val="20"/>
          <w:lang w:val="en-US"/>
        </w:rPr>
      </w:pPr>
      <w:bookmarkStart w:id="9315" w:name="_Toc229225664"/>
      <w:r>
        <w:rPr>
          <w:rFonts w:ascii="仿宋" w:eastAsia="仿宋_GB2312" w:hAnsi="仿宋" w:cs="Arial"/>
          <w:color w:val="000000"/>
          <w:spacing w:val="6"/>
          <w:sz w:val="20"/>
          <w:lang w:val="en-US"/>
        </w:rPr>
        <w:t>说明：本通知书一式两份，一份送达当事人，一份由知识产权局存档</w:t>
      </w:r>
      <w:r>
        <w:rPr>
          <w:rFonts w:ascii="仿宋" w:eastAsia="仿宋_GB2312" w:hAnsi="仿宋" w:cs="Arial" w:hint="eastAsia"/>
          <w:color w:val="000000"/>
          <w:spacing w:val="6"/>
          <w:sz w:val="20"/>
          <w:lang w:val="en-US"/>
        </w:rPr>
        <w:t>。</w:t>
      </w:r>
      <w:bookmarkEnd w:id="9315"/>
    </w:p>
    <w:p w:rsidR="00800760" w:rsidRDefault="00235733">
      <w:pPr>
        <w:spacing w:line="240" w:lineRule="auto"/>
        <w:ind w:firstLineChars="0" w:firstLine="0"/>
        <w:rPr>
          <w:rFonts w:cs="Arial"/>
          <w:spacing w:val="6"/>
          <w:sz w:val="20"/>
          <w:lang w:val="en-US"/>
        </w:rPr>
      </w:pPr>
      <w:r>
        <w:rPr>
          <w:sz w:val="20"/>
        </w:rPr>
        <w:br w:type="page"/>
      </w:r>
    </w:p>
    <w:p w:rsidR="00800760" w:rsidRDefault="00235733" w:rsidP="00C22A7B">
      <w:pPr>
        <w:spacing w:beforeLines="50" w:afterLines="50" w:line="360" w:lineRule="auto"/>
        <w:ind w:firstLineChars="0" w:firstLine="744"/>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重大专利侵权纠纷行政裁决答辩通知书</w:t>
      </w:r>
    </w:p>
    <w:p w:rsidR="00800760" w:rsidRDefault="00235733">
      <w:pPr>
        <w:spacing w:line="360" w:lineRule="auto"/>
        <w:ind w:firstLineChars="0" w:firstLine="0"/>
        <w:jc w:val="right"/>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案号：____________________</w:t>
      </w:r>
    </w:p>
    <w:tbl>
      <w:tblPr>
        <w:tblW w:w="5000" w:type="pct"/>
        <w:jc w:val="center"/>
        <w:tblCellMar>
          <w:left w:w="10" w:type="dxa"/>
          <w:right w:w="10" w:type="dxa"/>
        </w:tblCellMar>
        <w:tblLook w:val="04A0"/>
      </w:tblPr>
      <w:tblGrid>
        <w:gridCol w:w="1914"/>
        <w:gridCol w:w="7953"/>
      </w:tblGrid>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专利号</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szCs w:val="21"/>
                <w:lang w:eastAsia="en-US"/>
              </w:rPr>
            </w:pPr>
          </w:p>
        </w:tc>
      </w:tr>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专利名称</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专利权人</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szCs w:val="21"/>
                <w:lang w:eastAsia="en-US"/>
              </w:rPr>
            </w:pPr>
          </w:p>
        </w:tc>
      </w:tr>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请求人</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szCs w:val="21"/>
                <w:lang w:eastAsia="en-US"/>
              </w:rPr>
            </w:pPr>
          </w:p>
        </w:tc>
      </w:tr>
      <w:tr w:rsidR="00800760">
        <w:trPr>
          <w:trHeight w:val="20"/>
          <w:jc w:val="center"/>
        </w:trPr>
        <w:tc>
          <w:tcPr>
            <w:tcW w:w="970"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被请求人</w:t>
            </w:r>
          </w:p>
        </w:tc>
        <w:tc>
          <w:tcPr>
            <w:tcW w:w="4030"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szCs w:val="21"/>
                <w:lang w:eastAsia="en-US"/>
              </w:rPr>
            </w:pPr>
          </w:p>
        </w:tc>
      </w:tr>
    </w:tbl>
    <w:p w:rsidR="00800760" w:rsidRDefault="00235733">
      <w:pPr>
        <w:tabs>
          <w:tab w:val="left" w:leader="underscore" w:pos="3094"/>
        </w:tabs>
        <w:spacing w:line="360" w:lineRule="auto"/>
        <w:ind w:firstLineChars="0" w:firstLine="0"/>
        <w:rPr>
          <w:rFonts w:ascii="仿宋_GB2312" w:eastAsia="仿宋_GB2312" w:hAnsi="仿宋"/>
          <w:color w:val="000000"/>
          <w:sz w:val="20"/>
          <w:szCs w:val="21"/>
          <w:lang w:eastAsia="en-US"/>
        </w:rPr>
      </w:pPr>
      <w:r>
        <w:rPr>
          <w:rFonts w:ascii="仿宋_GB2312" w:eastAsia="仿宋_GB2312" w:hint="eastAsia"/>
          <w:color w:val="000000"/>
          <w:sz w:val="20"/>
          <w:szCs w:val="21"/>
          <w:u w:val="single"/>
          <w:lang w:eastAsia="en-US"/>
        </w:rPr>
        <w:t xml:space="preserve">                            </w:t>
      </w:r>
      <w:r>
        <w:rPr>
          <w:rFonts w:ascii="仿宋_GB2312" w:eastAsia="仿宋_GB2312" w:hint="eastAsia"/>
          <w:color w:val="000000"/>
          <w:sz w:val="20"/>
          <w:szCs w:val="21"/>
          <w:lang w:eastAsia="en-US"/>
        </w:rPr>
        <w:t>：</w:t>
      </w:r>
    </w:p>
    <w:p w:rsidR="00800760" w:rsidRDefault="00235733">
      <w:pPr>
        <w:tabs>
          <w:tab w:val="left" w:leader="underscore" w:pos="3094"/>
        </w:tabs>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本局已经对请求人</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日提交的专利权纠纷行政裁决请求进行立案。根据《</w:t>
      </w:r>
      <w:r>
        <w:rPr>
          <w:rFonts w:ascii="仿宋" w:eastAsia="仿宋_GB2312" w:hAnsi="仿宋" w:hint="eastAsia"/>
          <w:color w:val="000000"/>
          <w:sz w:val="20"/>
        </w:rPr>
        <w:t>专利纠纷行政裁决和调解办法》第二十二条</w:t>
      </w:r>
      <w:r>
        <w:rPr>
          <w:rFonts w:ascii="仿宋_GB2312" w:eastAsia="仿宋_GB2312" w:hAnsi="仿宋" w:hint="eastAsia"/>
          <w:color w:val="000000"/>
          <w:sz w:val="20"/>
          <w:szCs w:val="21"/>
        </w:rPr>
        <w:t>的规定，现将重大专利侵权纠纷行政裁决请求书及其附件的副本发送给你（单位），并将有关事项通知如下：</w:t>
      </w:r>
    </w:p>
    <w:p w:rsidR="00800760" w:rsidRDefault="00235733">
      <w:pPr>
        <w:tabs>
          <w:tab w:val="left" w:leader="underscore" w:pos="3094"/>
        </w:tabs>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你（单位）应当在收到请求书副本之日起</w:t>
      </w:r>
      <w:r>
        <w:rPr>
          <w:rFonts w:ascii="仿宋_GB2312" w:eastAsia="仿宋_GB2312" w:hint="eastAsia"/>
          <w:color w:val="000000"/>
          <w:sz w:val="20"/>
          <w:szCs w:val="21"/>
        </w:rPr>
        <w:t>15</w:t>
      </w:r>
      <w:r>
        <w:rPr>
          <w:rFonts w:ascii="仿宋_GB2312" w:eastAsia="仿宋_GB2312" w:hAnsi="仿宋" w:hint="eastAsia"/>
          <w:color w:val="000000"/>
          <w:sz w:val="20"/>
          <w:szCs w:val="21"/>
        </w:rPr>
        <w:t>日内向本局提交：</w:t>
      </w:r>
    </w:p>
    <w:p w:rsidR="00800760" w:rsidRDefault="00235733">
      <w:pPr>
        <w:tabs>
          <w:tab w:val="left" w:leader="underscore" w:pos="3094"/>
        </w:tabs>
        <w:spacing w:line="360" w:lineRule="auto"/>
        <w:ind w:firstLine="400"/>
        <w:rPr>
          <w:rFonts w:ascii="仿宋_GB2312" w:eastAsia="仿宋_GB2312" w:hAnsi="仿宋"/>
          <w:color w:val="000000"/>
          <w:sz w:val="20"/>
          <w:szCs w:val="21"/>
        </w:rPr>
      </w:pPr>
      <w:r>
        <w:rPr>
          <w:rFonts w:ascii="仿宋_GB2312" w:eastAsia="仿宋_GB2312" w:hint="eastAsia"/>
          <w:color w:val="000000"/>
          <w:sz w:val="20"/>
          <w:szCs w:val="21"/>
        </w:rPr>
        <w:t>1.</w:t>
      </w:r>
      <w:r>
        <w:rPr>
          <w:rFonts w:ascii="仿宋_GB2312" w:eastAsia="仿宋_GB2312" w:hAnsi="仿宋" w:hint="eastAsia"/>
          <w:color w:val="000000"/>
          <w:sz w:val="20"/>
          <w:szCs w:val="21"/>
        </w:rPr>
        <w:t>答辩书及相关证据一份，并按照请求人的人数提出副本。</w:t>
      </w:r>
    </w:p>
    <w:p w:rsidR="00800760" w:rsidRDefault="00235733">
      <w:pPr>
        <w:tabs>
          <w:tab w:val="left" w:leader="underscore" w:pos="3094"/>
        </w:tabs>
        <w:spacing w:line="360" w:lineRule="auto"/>
        <w:ind w:firstLine="400"/>
        <w:rPr>
          <w:rFonts w:ascii="仿宋_GB2312" w:eastAsia="仿宋_GB2312" w:hAnsi="Cambria Math"/>
          <w:color w:val="000000"/>
          <w:sz w:val="20"/>
          <w:szCs w:val="21"/>
        </w:rPr>
      </w:pPr>
      <w:r>
        <w:rPr>
          <w:rFonts w:ascii="仿宋_GB2312" w:eastAsia="仿宋_GB2312" w:hint="eastAsia"/>
          <w:color w:val="000000"/>
          <w:sz w:val="20"/>
          <w:szCs w:val="21"/>
        </w:rPr>
        <w:t>2.</w:t>
      </w:r>
      <w:r>
        <w:rPr>
          <w:rFonts w:ascii="仿宋_GB2312" w:eastAsia="仿宋_GB2312" w:hAnsi="仿宋" w:hint="eastAsia"/>
          <w:color w:val="000000"/>
          <w:sz w:val="20"/>
          <w:szCs w:val="21"/>
        </w:rPr>
        <w:t>主体资格证明（如：法人提供营业执照副本复印件或者其他主体资格证明文件并加盖单位公章，自然人提供身份证正反面复印件）。</w:t>
      </w:r>
    </w:p>
    <w:p w:rsidR="00800760" w:rsidRDefault="00235733">
      <w:pPr>
        <w:tabs>
          <w:tab w:val="left" w:pos="794"/>
        </w:tabs>
        <w:spacing w:line="360" w:lineRule="auto"/>
        <w:ind w:left="440" w:firstLineChars="0" w:firstLine="0"/>
        <w:rPr>
          <w:rFonts w:ascii="仿宋_GB2312" w:eastAsia="仿宋_GB2312" w:hAnsi="仿宋"/>
          <w:color w:val="000000"/>
          <w:sz w:val="20"/>
          <w:szCs w:val="21"/>
        </w:rPr>
      </w:pPr>
      <w:r>
        <w:rPr>
          <w:rFonts w:ascii="仿宋_GB2312" w:eastAsia="仿宋_GB2312" w:hint="eastAsia"/>
          <w:color w:val="000000"/>
          <w:sz w:val="20"/>
          <w:szCs w:val="21"/>
        </w:rPr>
        <w:t>3.</w:t>
      </w:r>
      <w:r>
        <w:rPr>
          <w:rFonts w:ascii="仿宋_GB2312" w:eastAsia="仿宋_GB2312" w:hAnsi="仿宋" w:hint="eastAsia"/>
          <w:color w:val="000000"/>
          <w:sz w:val="20"/>
          <w:szCs w:val="21"/>
        </w:rPr>
        <w:t>如委托代理人的，需提交授权委托书。</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逾期不提交的，不影响本局对本案进行处理。</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被请求人向国家知识产权局提出专利权无效宣告请求的，应当将国家知识产权局的受理通知书以及无效宣告请求书的复印件送交本局。</w:t>
      </w:r>
    </w:p>
    <w:p w:rsidR="00800760" w:rsidRDefault="00800760">
      <w:pPr>
        <w:spacing w:line="360" w:lineRule="auto"/>
        <w:ind w:firstLineChars="0" w:firstLine="444"/>
        <w:rPr>
          <w:rFonts w:ascii="仿宋_GB2312" w:eastAsia="仿宋_GB2312" w:hAnsi="宋体"/>
          <w:color w:val="000000"/>
          <w:spacing w:val="6"/>
          <w:sz w:val="20"/>
          <w:szCs w:val="21"/>
        </w:rPr>
      </w:pP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国家知识产权局（盖章）　　</w:t>
      </w: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235733">
      <w:pPr>
        <w:tabs>
          <w:tab w:val="left" w:pos="4482"/>
        </w:tabs>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案件承办人：</w:t>
      </w:r>
    </w:p>
    <w:p w:rsidR="00800760" w:rsidRDefault="00235733">
      <w:pPr>
        <w:tabs>
          <w:tab w:val="left" w:pos="4482"/>
        </w:tabs>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联系电话：</w:t>
      </w:r>
    </w:p>
    <w:p w:rsidR="00800760" w:rsidRDefault="00235733">
      <w:pPr>
        <w:tabs>
          <w:tab w:val="left" w:pos="4482"/>
        </w:tabs>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本局地址：</w:t>
      </w:r>
    </w:p>
    <w:p w:rsidR="00800760" w:rsidRDefault="00235733">
      <w:pPr>
        <w:tabs>
          <w:tab w:val="left" w:pos="4482"/>
        </w:tabs>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邮政编码：</w:t>
      </w:r>
    </w:p>
    <w:p w:rsidR="00800760" w:rsidRDefault="00235733">
      <w:pPr>
        <w:spacing w:line="360" w:lineRule="auto"/>
        <w:ind w:firstLineChars="0" w:firstLine="0"/>
        <w:rPr>
          <w:rFonts w:ascii="仿宋_GB2312" w:eastAsia="仿宋_GB2312" w:hAnsi="仿宋" w:cs="PMingLiU"/>
          <w:color w:val="000000"/>
          <w:sz w:val="20"/>
          <w:szCs w:val="21"/>
        </w:rPr>
      </w:pPr>
      <w:r>
        <w:rPr>
          <w:rFonts w:ascii="仿宋_GB2312" w:eastAsia="仿宋_GB2312" w:hAnsi="仿宋" w:cs="PMingLiU"/>
          <w:color w:val="000000"/>
          <w:sz w:val="20"/>
          <w:szCs w:val="21"/>
        </w:rPr>
        <w:br/>
      </w:r>
      <w:r>
        <w:rPr>
          <w:rFonts w:ascii="仿宋_GB2312" w:eastAsia="仿宋_GB2312" w:hAnsi="仿宋" w:cs="PMingLiU" w:hint="eastAsia"/>
          <w:color w:val="000000"/>
          <w:sz w:val="20"/>
          <w:szCs w:val="21"/>
        </w:rPr>
        <w:t>说明：本通知书一式两份，一份送达当事人，一份由国家知识产权局存档。</w:t>
      </w:r>
      <w:r>
        <w:rPr>
          <w:rFonts w:ascii="仿宋_GB2312" w:eastAsia="仿宋_GB2312" w:hint="eastAsia"/>
          <w:b/>
          <w:color w:val="000000"/>
          <w:sz w:val="20"/>
          <w:szCs w:val="21"/>
        </w:rPr>
        <w:br w:type="page"/>
      </w:r>
    </w:p>
    <w:p w:rsidR="00800760" w:rsidRDefault="00235733">
      <w:pPr>
        <w:spacing w:line="240" w:lineRule="auto"/>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专利侵权</w:t>
      </w:r>
      <w:r>
        <w:rPr>
          <w:rFonts w:ascii="方正小标宋_GBK" w:eastAsia="方正小标宋_GBK" w:hAnsi="宋体" w:hint="eastAsia"/>
          <w:color w:val="000000"/>
          <w:spacing w:val="6"/>
          <w:sz w:val="36"/>
          <w:szCs w:val="36"/>
        </w:rPr>
        <w:t>纠纷追加当事人请求书</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1"/>
        <w:gridCol w:w="1679"/>
        <w:gridCol w:w="2072"/>
        <w:gridCol w:w="1537"/>
        <w:gridCol w:w="3588"/>
      </w:tblGrid>
      <w:tr w:rsidR="00800760">
        <w:trPr>
          <w:trHeight w:val="20"/>
          <w:jc w:val="center"/>
        </w:trPr>
        <w:tc>
          <w:tcPr>
            <w:tcW w:w="1353" w:type="pct"/>
            <w:gridSpan w:val="2"/>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专利号</w:t>
            </w:r>
          </w:p>
        </w:tc>
        <w:tc>
          <w:tcPr>
            <w:tcW w:w="3647" w:type="pct"/>
            <w:gridSpan w:val="3"/>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1353" w:type="pct"/>
            <w:gridSpan w:val="2"/>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专利名称</w:t>
            </w:r>
          </w:p>
        </w:tc>
        <w:tc>
          <w:tcPr>
            <w:tcW w:w="3647" w:type="pct"/>
            <w:gridSpan w:val="3"/>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1353" w:type="pct"/>
            <w:gridSpan w:val="2"/>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专利权人</w:t>
            </w:r>
          </w:p>
        </w:tc>
        <w:tc>
          <w:tcPr>
            <w:tcW w:w="3647" w:type="pct"/>
            <w:gridSpan w:val="3"/>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val="restar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追加请求人</w:t>
            </w: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姓名或名称</w:t>
            </w:r>
          </w:p>
        </w:tc>
        <w:tc>
          <w:tcPr>
            <w:tcW w:w="1050"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779"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rPr>
            </w:pPr>
            <w:r>
              <w:rPr>
                <w:rFonts w:ascii="仿宋_GB2312" w:eastAsia="仿宋_GB2312" w:hAnsi="宋体" w:hint="eastAsia"/>
                <w:color w:val="000000"/>
                <w:sz w:val="20"/>
              </w:rPr>
              <w:t>法定代表人</w:t>
            </w:r>
          </w:p>
          <w:p w:rsidR="00800760" w:rsidRDefault="00235733">
            <w:pPr>
              <w:ind w:firstLineChars="0" w:firstLine="0"/>
              <w:jc w:val="center"/>
              <w:rPr>
                <w:rFonts w:ascii="仿宋_GB2312" w:eastAsia="仿宋_GB2312" w:hAnsi="宋体"/>
                <w:color w:val="000000"/>
                <w:sz w:val="20"/>
              </w:rPr>
            </w:pPr>
            <w:r>
              <w:rPr>
                <w:rFonts w:ascii="仿宋_GB2312" w:eastAsia="仿宋_GB2312" w:hAnsi="宋体" w:hint="eastAsia"/>
                <w:color w:val="000000"/>
                <w:sz w:val="20"/>
              </w:rPr>
              <w:t>（负责人）</w:t>
            </w:r>
          </w:p>
        </w:tc>
        <w:tc>
          <w:tcPr>
            <w:tcW w:w="1818"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rPr>
            </w:pPr>
          </w:p>
        </w:tc>
      </w:tr>
      <w:tr w:rsidR="00800760">
        <w:trPr>
          <w:trHeight w:val="20"/>
          <w:jc w:val="center"/>
        </w:trPr>
        <w:tc>
          <w:tcPr>
            <w:tcW w:w="502" w:type="pct"/>
            <w:vMerge/>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rPr>
            </w:pP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779"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代理人姓名</w:t>
            </w:r>
          </w:p>
        </w:tc>
        <w:tc>
          <w:tcPr>
            <w:tcW w:w="1050"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779"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机构名称</w:t>
            </w:r>
          </w:p>
        </w:tc>
        <w:tc>
          <w:tcPr>
            <w:tcW w:w="1818"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779"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代理人姓名</w:t>
            </w:r>
          </w:p>
        </w:tc>
        <w:tc>
          <w:tcPr>
            <w:tcW w:w="1050"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779"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机构名称</w:t>
            </w:r>
          </w:p>
        </w:tc>
        <w:tc>
          <w:tcPr>
            <w:tcW w:w="1818"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val="restar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被追加人</w:t>
            </w: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姓名或名称</w:t>
            </w:r>
          </w:p>
        </w:tc>
        <w:tc>
          <w:tcPr>
            <w:tcW w:w="3647" w:type="pct"/>
            <w:gridSpan w:val="3"/>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851"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779" w:type="pct"/>
            <w:shd w:val="clear" w:color="auto" w:fill="auto"/>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shd w:val="clear" w:color="auto" w:fill="auto"/>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194"/>
          <w:jc w:val="center"/>
        </w:trPr>
        <w:tc>
          <w:tcPr>
            <w:tcW w:w="5000" w:type="pct"/>
            <w:gridSpan w:val="5"/>
            <w:shd w:val="clear" w:color="auto" w:fill="auto"/>
            <w:tcMar>
              <w:left w:w="57" w:type="dxa"/>
              <w:right w:w="57" w:type="dxa"/>
            </w:tcMar>
          </w:tcPr>
          <w:p w:rsidR="00800760" w:rsidRDefault="00235733">
            <w:pPr>
              <w:ind w:firstLineChars="0" w:firstLine="0"/>
              <w:rPr>
                <w:rFonts w:ascii="仿宋_GB2312" w:eastAsia="仿宋_GB2312" w:hAnsi="宋体"/>
                <w:color w:val="000000"/>
                <w:sz w:val="20"/>
                <w:lang w:eastAsia="en-US"/>
              </w:rPr>
            </w:pPr>
            <w:r>
              <w:rPr>
                <w:rFonts w:ascii="仿宋_GB2312" w:eastAsia="仿宋_GB2312" w:hAnsi="宋体" w:hint="eastAsia"/>
                <w:color w:val="000000"/>
                <w:sz w:val="20"/>
                <w:lang w:eastAsia="en-US"/>
              </w:rPr>
              <w:t>追加理由：</w:t>
            </w:r>
          </w:p>
          <w:p w:rsidR="00800760" w:rsidRDefault="00800760">
            <w:pPr>
              <w:ind w:firstLineChars="0" w:firstLine="0"/>
              <w:rPr>
                <w:rFonts w:ascii="仿宋_GB2312" w:eastAsia="仿宋_GB2312" w:hAnsi="宋体"/>
                <w:color w:val="000000"/>
                <w:sz w:val="20"/>
                <w:lang w:eastAsia="en-US"/>
              </w:rPr>
            </w:pPr>
          </w:p>
          <w:p w:rsidR="00800760" w:rsidRDefault="00800760">
            <w:pPr>
              <w:ind w:firstLineChars="0" w:firstLine="0"/>
              <w:rPr>
                <w:rFonts w:ascii="仿宋_GB2312" w:eastAsia="仿宋_GB2312" w:hAnsi="宋体"/>
                <w:color w:val="000000"/>
                <w:sz w:val="20"/>
                <w:lang w:eastAsia="en-US"/>
              </w:rPr>
            </w:pPr>
          </w:p>
          <w:p w:rsidR="00800760" w:rsidRDefault="00800760">
            <w:pPr>
              <w:ind w:firstLineChars="0" w:firstLine="0"/>
              <w:rPr>
                <w:rFonts w:ascii="仿宋_GB2312" w:eastAsia="仿宋_GB2312" w:hAnsi="宋体"/>
                <w:color w:val="000000"/>
                <w:sz w:val="20"/>
                <w:lang w:eastAsia="en-US"/>
              </w:rPr>
            </w:pPr>
          </w:p>
          <w:p w:rsidR="00800760" w:rsidRDefault="00800760">
            <w:pPr>
              <w:ind w:firstLineChars="0" w:firstLine="0"/>
              <w:rPr>
                <w:rFonts w:ascii="仿宋_GB2312" w:eastAsia="仿宋_GB2312" w:hAnsi="宋体"/>
                <w:color w:val="000000"/>
                <w:sz w:val="20"/>
                <w:lang w:eastAsia="en-US"/>
              </w:rPr>
            </w:pPr>
          </w:p>
          <w:p w:rsidR="00800760" w:rsidRDefault="00800760">
            <w:pPr>
              <w:ind w:firstLineChars="0" w:firstLine="0"/>
              <w:rPr>
                <w:rFonts w:ascii="仿宋_GB2312" w:eastAsia="仿宋_GB2312" w:hAnsi="宋体"/>
                <w:color w:val="000000"/>
                <w:sz w:val="20"/>
                <w:lang w:eastAsia="en-US"/>
              </w:rPr>
            </w:pPr>
          </w:p>
          <w:p w:rsidR="00800760" w:rsidRDefault="00800760">
            <w:pPr>
              <w:ind w:firstLineChars="0" w:firstLine="0"/>
              <w:rPr>
                <w:rFonts w:ascii="仿宋_GB2312" w:eastAsia="仿宋_GB2312" w:hAnsi="宋体"/>
                <w:color w:val="000000"/>
                <w:sz w:val="20"/>
                <w:lang w:eastAsia="en-US"/>
              </w:rPr>
            </w:pPr>
          </w:p>
          <w:p w:rsidR="00800760" w:rsidRDefault="00800760">
            <w:pPr>
              <w:ind w:firstLineChars="0" w:firstLine="0"/>
              <w:rPr>
                <w:rFonts w:ascii="仿宋_GB2312" w:eastAsia="仿宋_GB2312" w:hAnsi="宋体"/>
                <w:color w:val="000000"/>
                <w:sz w:val="20"/>
                <w:lang w:eastAsia="en-US"/>
              </w:rPr>
            </w:pPr>
          </w:p>
          <w:p w:rsidR="00800760" w:rsidRDefault="00800760">
            <w:pPr>
              <w:ind w:firstLineChars="0" w:firstLine="0"/>
              <w:rPr>
                <w:rFonts w:ascii="仿宋_GB2312" w:eastAsia="仿宋_GB2312" w:hAnsi="宋体"/>
                <w:color w:val="000000"/>
                <w:sz w:val="20"/>
                <w:lang w:eastAsia="en-US"/>
              </w:rPr>
            </w:pPr>
          </w:p>
          <w:p w:rsidR="00800760" w:rsidRDefault="00800760">
            <w:pPr>
              <w:ind w:firstLineChars="0" w:firstLine="0"/>
              <w:rPr>
                <w:rFonts w:ascii="仿宋_GB2312" w:eastAsia="仿宋_GB2312" w:hAnsi="宋体"/>
                <w:color w:val="000000"/>
                <w:sz w:val="20"/>
                <w:lang w:eastAsia="en-US"/>
              </w:rPr>
            </w:pPr>
          </w:p>
        </w:tc>
      </w:tr>
      <w:tr w:rsidR="00800760">
        <w:trPr>
          <w:trHeight w:val="20"/>
          <w:jc w:val="center"/>
        </w:trPr>
        <w:tc>
          <w:tcPr>
            <w:tcW w:w="5000" w:type="pct"/>
            <w:gridSpan w:val="5"/>
            <w:shd w:val="clear" w:color="auto" w:fill="auto"/>
            <w:tcMar>
              <w:left w:w="57" w:type="dxa"/>
              <w:right w:w="57" w:type="dxa"/>
            </w:tcMar>
          </w:tcPr>
          <w:p w:rsidR="00800760" w:rsidRDefault="00235733">
            <w:pPr>
              <w:ind w:firstLineChars="0" w:firstLine="0"/>
              <w:rPr>
                <w:rFonts w:ascii="仿宋_GB2312" w:eastAsia="仿宋_GB2312" w:hAnsi="宋体"/>
                <w:color w:val="000000"/>
                <w:sz w:val="20"/>
              </w:rPr>
            </w:pPr>
            <w:r>
              <w:rPr>
                <w:rFonts w:ascii="仿宋_GB2312" w:eastAsia="仿宋_GB2312" w:hAnsi="宋体" w:hint="eastAsia"/>
                <w:color w:val="000000"/>
                <w:sz w:val="20"/>
              </w:rPr>
              <w:t>追加请求人签章：</w:t>
            </w:r>
          </w:p>
          <w:p w:rsidR="00800760" w:rsidRDefault="00800760">
            <w:pPr>
              <w:ind w:firstLineChars="0" w:firstLine="0"/>
              <w:rPr>
                <w:rFonts w:ascii="仿宋_GB2312" w:eastAsia="仿宋_GB2312" w:hAnsi="宋体"/>
                <w:color w:val="000000"/>
                <w:sz w:val="20"/>
              </w:rPr>
            </w:pPr>
          </w:p>
          <w:p w:rsidR="00800760" w:rsidRDefault="00800760">
            <w:pPr>
              <w:ind w:firstLineChars="0" w:firstLine="0"/>
              <w:rPr>
                <w:rFonts w:ascii="仿宋_GB2312" w:eastAsia="仿宋_GB2312" w:hAnsi="宋体"/>
                <w:color w:val="000000"/>
                <w:sz w:val="20"/>
              </w:rPr>
            </w:pPr>
          </w:p>
          <w:p w:rsidR="00800760" w:rsidRDefault="00800760">
            <w:pPr>
              <w:ind w:firstLineChars="0" w:firstLine="0"/>
              <w:rPr>
                <w:rFonts w:ascii="仿宋_GB2312" w:eastAsia="仿宋_GB2312" w:hAnsi="宋体"/>
                <w:color w:val="000000"/>
                <w:sz w:val="20"/>
              </w:rPr>
            </w:pPr>
          </w:p>
          <w:p w:rsidR="00800760" w:rsidRDefault="00235733">
            <w:pPr>
              <w:ind w:firstLineChars="0" w:firstLine="0"/>
              <w:rPr>
                <w:rFonts w:ascii="仿宋_GB2312" w:eastAsia="仿宋_GB2312" w:hAnsi="宋体"/>
                <w:color w:val="000000"/>
                <w:spacing w:val="6"/>
                <w:sz w:val="20"/>
                <w:u w:val="single"/>
              </w:rPr>
            </w:pPr>
            <w:r>
              <w:rPr>
                <w:rFonts w:ascii="仿宋_GB2312" w:eastAsia="仿宋_GB2312" w:hAnsi="宋体" w:hint="eastAsia"/>
                <w:color w:val="000000"/>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bl>
    <w:p w:rsidR="00800760" w:rsidRDefault="00800760" w:rsidP="00C22A7B">
      <w:pPr>
        <w:spacing w:beforeLines="50" w:afterLines="50" w:line="480" w:lineRule="auto"/>
        <w:ind w:firstLineChars="0" w:firstLine="0"/>
        <w:jc w:val="center"/>
        <w:rPr>
          <w:rFonts w:ascii="方正小标宋_GBK" w:eastAsia="方正小标宋_GBK" w:hAnsi="宋体"/>
          <w:color w:val="000000"/>
          <w:spacing w:val="6"/>
          <w:sz w:val="36"/>
          <w:szCs w:val="36"/>
        </w:rPr>
      </w:pPr>
    </w:p>
    <w:p w:rsidR="00800760" w:rsidRDefault="00235733" w:rsidP="00C22A7B">
      <w:pPr>
        <w:spacing w:beforeLines="50" w:afterLines="50" w:line="480" w:lineRule="auto"/>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hint="eastAsia"/>
          <w:color w:val="000000"/>
          <w:spacing w:val="6"/>
          <w:sz w:val="36"/>
          <w:szCs w:val="36"/>
        </w:rPr>
        <w:t>追加当事人申请决定</w:t>
      </w:r>
    </w:p>
    <w:p w:rsidR="00800760" w:rsidRDefault="00235733">
      <w:pPr>
        <w:spacing w:line="360" w:lineRule="auto"/>
        <w:ind w:firstLineChars="0" w:firstLine="0"/>
        <w:jc w:val="right"/>
        <w:rPr>
          <w:rFonts w:ascii="仿宋_GB2312" w:eastAsia="仿宋_GB2312" w:hAnsi="仿宋"/>
          <w:color w:val="000000"/>
          <w:sz w:val="20"/>
          <w:szCs w:val="21"/>
        </w:rPr>
      </w:pPr>
      <w:r>
        <w:rPr>
          <w:rFonts w:ascii="仿宋_GB2312" w:eastAsia="仿宋_GB2312" w:hAnsi="仿宋" w:hint="eastAsia"/>
          <w:color w:val="000000"/>
          <w:sz w:val="20"/>
          <w:szCs w:val="21"/>
        </w:rPr>
        <w:t>案号：____________________</w:t>
      </w:r>
    </w:p>
    <w:tbl>
      <w:tblPr>
        <w:tblW w:w="5000" w:type="pct"/>
        <w:jc w:val="center"/>
        <w:tblCellMar>
          <w:left w:w="10" w:type="dxa"/>
          <w:right w:w="10" w:type="dxa"/>
        </w:tblCellMar>
        <w:tblLook w:val="04A0"/>
      </w:tblPr>
      <w:tblGrid>
        <w:gridCol w:w="2827"/>
        <w:gridCol w:w="2483"/>
        <w:gridCol w:w="971"/>
        <w:gridCol w:w="3586"/>
      </w:tblGrid>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案由</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宋体" w:hint="eastAsia"/>
                <w:color w:val="000000"/>
                <w:sz w:val="20"/>
                <w:szCs w:val="21"/>
                <w:lang w:eastAsia="en-US"/>
              </w:rPr>
              <w:t>追加请求人</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rPr>
            </w:pPr>
            <w:r>
              <w:rPr>
                <w:rFonts w:ascii="仿宋_GB2312" w:eastAsia="仿宋_GB2312" w:hAnsi="仿宋" w:hint="eastAsia"/>
                <w:color w:val="000000"/>
                <w:sz w:val="20"/>
                <w:szCs w:val="21"/>
              </w:rPr>
              <w:t>法定代表人（负责人）</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jc w:val="center"/>
              <w:rPr>
                <w:rFonts w:ascii="仿宋_GB2312" w:eastAsia="仿宋_GB2312" w:hAnsi="仿宋"/>
                <w:color w:val="000000"/>
                <w:sz w:val="20"/>
                <w:szCs w:val="21"/>
              </w:rPr>
            </w:pPr>
          </w:p>
        </w:tc>
      </w:tr>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住所</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jc w:val="center"/>
        </w:trPr>
        <w:tc>
          <w:tcPr>
            <w:tcW w:w="1433"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邮政编码</w:t>
            </w:r>
          </w:p>
        </w:tc>
        <w:tc>
          <w:tcPr>
            <w:tcW w:w="1258" w:type="pct"/>
            <w:tcBorders>
              <w:top w:val="single" w:sz="4" w:space="0" w:color="auto"/>
              <w:left w:val="single" w:sz="4" w:space="0" w:color="auto"/>
              <w:bottom w:val="single" w:sz="4" w:space="0" w:color="auto"/>
            </w:tcBorders>
            <w:shd w:val="clear" w:color="auto" w:fill="FFFFFF"/>
            <w:tcMar>
              <w:left w:w="57" w:type="dxa"/>
              <w:right w:w="57" w:type="dxa"/>
            </w:tcMar>
          </w:tcPr>
          <w:p w:rsidR="00800760" w:rsidRDefault="00800760">
            <w:pPr>
              <w:spacing w:line="360" w:lineRule="auto"/>
              <w:ind w:leftChars="103" w:left="216" w:firstLineChars="0" w:firstLine="0"/>
              <w:jc w:val="center"/>
              <w:rPr>
                <w:rFonts w:ascii="仿宋_GB2312" w:eastAsia="仿宋_GB2312" w:hAnsi="仿宋"/>
                <w:color w:val="000000"/>
                <w:sz w:val="20"/>
                <w:szCs w:val="21"/>
                <w:lang w:eastAsia="en-US"/>
              </w:rPr>
            </w:pPr>
          </w:p>
        </w:tc>
        <w:tc>
          <w:tcPr>
            <w:tcW w:w="49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235733" w:rsidP="00235733">
            <w:pPr>
              <w:spacing w:line="360" w:lineRule="auto"/>
              <w:ind w:leftChars="8" w:left="17"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电话</w:t>
            </w:r>
          </w:p>
        </w:tc>
        <w:tc>
          <w:tcPr>
            <w:tcW w:w="1817"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spacing w:line="360" w:lineRule="auto"/>
              <w:ind w:leftChars="103" w:left="216" w:firstLineChars="0" w:firstLine="0"/>
              <w:rPr>
                <w:rFonts w:ascii="仿宋_GB2312" w:eastAsia="仿宋_GB2312" w:hAnsi="仿宋"/>
                <w:color w:val="000000"/>
                <w:sz w:val="20"/>
                <w:szCs w:val="21"/>
                <w:lang w:eastAsia="en-US"/>
              </w:rPr>
            </w:pPr>
          </w:p>
        </w:tc>
      </w:tr>
    </w:tbl>
    <w:p w:rsidR="00800760" w:rsidRDefault="00800760">
      <w:pPr>
        <w:spacing w:line="360" w:lineRule="auto"/>
        <w:ind w:right="21" w:firstLineChars="0" w:firstLine="0"/>
        <w:rPr>
          <w:rFonts w:ascii="仿宋_GB2312" w:eastAsia="仿宋_GB2312" w:hAnsi="仿宋"/>
          <w:color w:val="000000"/>
          <w:sz w:val="20"/>
          <w:szCs w:val="21"/>
          <w:u w:val="single"/>
        </w:rPr>
      </w:pPr>
    </w:p>
    <w:p w:rsidR="00800760" w:rsidRDefault="00235733">
      <w:pPr>
        <w:spacing w:line="360" w:lineRule="auto"/>
        <w:ind w:right="21" w:firstLineChars="0" w:firstLine="0"/>
        <w:rPr>
          <w:rFonts w:ascii="仿宋_GB2312" w:eastAsia="仿宋_GB2312" w:hAnsi="仿宋"/>
          <w:color w:val="000000"/>
          <w:sz w:val="20"/>
          <w:szCs w:val="21"/>
          <w:lang w:eastAsia="en-US"/>
        </w:rPr>
      </w:pPr>
      <w:r>
        <w:rPr>
          <w:rFonts w:ascii="仿宋_GB2312" w:eastAsia="仿宋_GB2312" w:hAnsi="仿宋" w:hint="eastAsia"/>
          <w:color w:val="000000"/>
          <w:sz w:val="20"/>
          <w:szCs w:val="21"/>
          <w:u w:val="single"/>
          <w:lang w:eastAsia="en-US"/>
        </w:rPr>
        <w:t xml:space="preserve">                           </w:t>
      </w:r>
      <w:r>
        <w:rPr>
          <w:rFonts w:ascii="仿宋_GB2312" w:eastAsia="仿宋_GB2312" w:hAnsi="仿宋" w:hint="eastAsia"/>
          <w:color w:val="000000"/>
          <w:sz w:val="20"/>
          <w:szCs w:val="21"/>
          <w:lang w:eastAsia="en-US"/>
        </w:rPr>
        <w:t>：</w:t>
      </w:r>
    </w:p>
    <w:p w:rsidR="00800760" w:rsidRDefault="00235733">
      <w:pPr>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你（单位）于</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年</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月</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日向本局提出的追加当事人请求，经调查核实，我局认为：</w:t>
      </w:r>
    </w:p>
    <w:p w:rsidR="00800760" w:rsidRDefault="00235733">
      <w:pPr>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□追加请求理由成立，批准你（单位）的追加请求，追加</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为本案被请求人。</w:t>
      </w:r>
    </w:p>
    <w:p w:rsidR="00800760" w:rsidRDefault="00235733">
      <w:pPr>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□追加请求理由不成立，不批准你（单位）的追加请求。</w:t>
      </w:r>
    </w:p>
    <w:p w:rsidR="00800760" w:rsidRDefault="00235733">
      <w:pPr>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□追加</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为本案第三人。</w:t>
      </w:r>
    </w:p>
    <w:p w:rsidR="00800760" w:rsidRDefault="00800760">
      <w:pPr>
        <w:spacing w:line="360" w:lineRule="auto"/>
        <w:ind w:firstLineChars="0" w:firstLine="600"/>
        <w:rPr>
          <w:rFonts w:ascii="仿宋_GB2312" w:eastAsia="仿宋_GB2312" w:hAnsi="宋体"/>
          <w:color w:val="000000"/>
          <w:spacing w:val="6"/>
          <w:sz w:val="20"/>
          <w:szCs w:val="21"/>
        </w:rPr>
      </w:pPr>
    </w:p>
    <w:p w:rsidR="00800760" w:rsidRDefault="00235733">
      <w:pPr>
        <w:spacing w:line="360" w:lineRule="auto"/>
        <w:ind w:firstLineChars="0" w:firstLine="600"/>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知识产权局（盖章）　　</w:t>
      </w:r>
    </w:p>
    <w:p w:rsidR="00800760" w:rsidRDefault="00235733">
      <w:pPr>
        <w:spacing w:line="360" w:lineRule="auto"/>
        <w:ind w:firstLineChars="0" w:firstLine="600"/>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800760" w:rsidP="00235733">
      <w:pPr>
        <w:widowControl w:val="0"/>
        <w:spacing w:line="360" w:lineRule="auto"/>
        <w:ind w:left="420" w:firstLineChars="1937" w:firstLine="4068"/>
        <w:jc w:val="both"/>
        <w:rPr>
          <w:rFonts w:ascii="仿宋_GB2312" w:eastAsia="仿宋_GB2312" w:hAnsi="仿宋" w:cs="PMingLiU"/>
          <w:color w:val="000000"/>
          <w:kern w:val="2"/>
          <w:szCs w:val="21"/>
          <w:lang w:val="en-US"/>
        </w:rPr>
      </w:pPr>
    </w:p>
    <w:p w:rsidR="00800760" w:rsidRDefault="00800760" w:rsidP="00235733">
      <w:pPr>
        <w:widowControl w:val="0"/>
        <w:spacing w:line="360" w:lineRule="auto"/>
        <w:ind w:left="420" w:firstLineChars="1937" w:firstLine="4068"/>
        <w:jc w:val="both"/>
        <w:rPr>
          <w:rFonts w:ascii="仿宋_GB2312" w:eastAsia="仿宋_GB2312" w:hAnsi="仿宋" w:cs="PMingLiU"/>
          <w:color w:val="000000"/>
          <w:kern w:val="2"/>
          <w:szCs w:val="21"/>
          <w:lang w:val="en-US"/>
        </w:rPr>
      </w:pPr>
    </w:p>
    <w:p w:rsidR="00800760" w:rsidRDefault="00800760" w:rsidP="00235733">
      <w:pPr>
        <w:widowControl w:val="0"/>
        <w:spacing w:line="360" w:lineRule="auto"/>
        <w:ind w:left="420" w:firstLineChars="1937" w:firstLine="4068"/>
        <w:jc w:val="both"/>
        <w:rPr>
          <w:rFonts w:ascii="仿宋_GB2312" w:eastAsia="仿宋_GB2312" w:hAnsi="仿宋" w:cs="PMingLiU"/>
          <w:color w:val="000000"/>
          <w:kern w:val="2"/>
          <w:szCs w:val="21"/>
          <w:lang w:val="en-US"/>
        </w:rPr>
      </w:pPr>
    </w:p>
    <w:p w:rsidR="00800760" w:rsidRDefault="00800760">
      <w:pPr>
        <w:spacing w:line="360" w:lineRule="auto"/>
        <w:ind w:firstLineChars="0" w:firstLine="0"/>
        <w:rPr>
          <w:rFonts w:ascii="仿宋_GB2312" w:eastAsia="仿宋_GB2312" w:hAnsi="宋体" w:cs="MingLiU_HKSCS"/>
          <w:color w:val="000000"/>
          <w:sz w:val="20"/>
          <w:szCs w:val="21"/>
          <w:lang w:val="zh-CN"/>
        </w:rPr>
      </w:pPr>
    </w:p>
    <w:p w:rsidR="00800760" w:rsidRDefault="00800760">
      <w:pPr>
        <w:widowControl w:val="0"/>
        <w:spacing w:line="360" w:lineRule="auto"/>
        <w:jc w:val="both"/>
        <w:rPr>
          <w:rFonts w:ascii="仿宋_GB2312" w:eastAsia="仿宋_GB2312" w:hAnsi="仿宋" w:cs="PMingLiU"/>
          <w:color w:val="000000"/>
          <w:kern w:val="2"/>
          <w:szCs w:val="21"/>
        </w:rPr>
      </w:pPr>
    </w:p>
    <w:p w:rsidR="00800760" w:rsidRDefault="00235733">
      <w:pPr>
        <w:widowControl w:val="0"/>
        <w:jc w:val="both"/>
        <w:rPr>
          <w:rFonts w:ascii="仿宋_GB2312" w:eastAsia="仿宋_GB2312" w:hAnsi="仿宋" w:cs="PMingLiU"/>
          <w:color w:val="000000"/>
          <w:kern w:val="2"/>
          <w:szCs w:val="21"/>
          <w:lang w:val="en-US"/>
        </w:rPr>
      </w:pPr>
      <w:r>
        <w:rPr>
          <w:rFonts w:ascii="仿宋_GB2312" w:eastAsia="仿宋_GB2312" w:hAnsi="仿宋" w:cs="PMingLiU"/>
          <w:color w:val="000000"/>
          <w:kern w:val="2"/>
          <w:szCs w:val="21"/>
          <w:lang w:val="en-US"/>
        </w:rPr>
        <w:br w:type="page"/>
      </w:r>
    </w:p>
    <w:p w:rsidR="00800760" w:rsidRDefault="00235733">
      <w:pPr>
        <w:spacing w:line="240" w:lineRule="auto"/>
        <w:ind w:firstLineChars="0" w:firstLine="0"/>
        <w:jc w:val="center"/>
        <w:rPr>
          <w:rFonts w:ascii="方正小标宋简体" w:eastAsia="方正小标宋简体" w:hAnsi="方正小标宋简体" w:cs="方正小标宋简体"/>
          <w:bCs/>
          <w:sz w:val="36"/>
          <w:szCs w:val="36"/>
        </w:rPr>
      </w:pPr>
      <w:r>
        <w:rPr>
          <w:rFonts w:ascii="方正小标宋简体" w:eastAsia="方正小标宋简体" w:hAnsi="黑体" w:cs="黑体" w:hint="eastAsia"/>
          <w:sz w:val="36"/>
          <w:szCs w:val="36"/>
        </w:rPr>
        <w:t>举证通知书</w:t>
      </w:r>
    </w:p>
    <w:p w:rsidR="00800760" w:rsidRDefault="00235733">
      <w:pPr>
        <w:spacing w:line="360" w:lineRule="auto"/>
        <w:ind w:firstLineChars="0" w:firstLine="0"/>
        <w:jc w:val="center"/>
        <w:rPr>
          <w:rFonts w:ascii="仿宋_GB2312" w:eastAsia="仿宋_GB2312" w:hAnsi="仿宋"/>
          <w:sz w:val="20"/>
          <w:lang w:val="en-US"/>
        </w:rPr>
      </w:pPr>
      <w:r>
        <w:rPr>
          <w:rFonts w:ascii="仿宋" w:eastAsia="仿宋" w:hAnsi="仿宋" w:hint="eastAsia"/>
          <w:sz w:val="20"/>
        </w:rPr>
        <w:t xml:space="preserve">                                                           </w:t>
      </w:r>
      <w:r>
        <w:rPr>
          <w:rFonts w:ascii="仿宋_GB2312" w:eastAsia="仿宋_GB2312" w:hAnsi="仿宋" w:hint="eastAsia"/>
          <w:sz w:val="20"/>
        </w:rPr>
        <w:t xml:space="preserve"> </w:t>
      </w:r>
      <w:r>
        <w:rPr>
          <w:rFonts w:ascii="仿宋_GB2312" w:eastAsia="仿宋_GB2312" w:hAnsi="仿宋" w:hint="eastAsia"/>
          <w:color w:val="000000"/>
          <w:sz w:val="20"/>
        </w:rPr>
        <w:t>案号：____________________</w:t>
      </w:r>
    </w:p>
    <w:tbl>
      <w:tblPr>
        <w:tblpPr w:leftFromText="180" w:rightFromText="180" w:vertAnchor="text" w:horzAnchor="page" w:tblpX="1407" w:tblpY="231"/>
        <w:tblOverlap w:val="never"/>
        <w:tblW w:w="9072" w:type="dxa"/>
        <w:tblLayout w:type="fixed"/>
        <w:tblCellMar>
          <w:left w:w="10" w:type="dxa"/>
          <w:right w:w="10" w:type="dxa"/>
        </w:tblCellMar>
        <w:tblLook w:val="04A0"/>
      </w:tblPr>
      <w:tblGrid>
        <w:gridCol w:w="1992"/>
        <w:gridCol w:w="7080"/>
      </w:tblGrid>
      <w:tr w:rsidR="00800760">
        <w:trPr>
          <w:trHeight w:hRule="exact" w:val="427"/>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专利号</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zh-CN"/>
              </w:rPr>
            </w:pPr>
          </w:p>
        </w:tc>
      </w:tr>
      <w:tr w:rsidR="00800760">
        <w:trPr>
          <w:trHeight w:hRule="exact" w:val="422"/>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专利名称</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zh-CN"/>
              </w:rPr>
            </w:pPr>
          </w:p>
        </w:tc>
      </w:tr>
      <w:tr w:rsidR="00800760">
        <w:trPr>
          <w:trHeight w:hRule="exact" w:val="418"/>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专利权人</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zh-CN"/>
              </w:rPr>
            </w:pPr>
          </w:p>
        </w:tc>
      </w:tr>
      <w:tr w:rsidR="00800760">
        <w:trPr>
          <w:trHeight w:hRule="exact" w:val="439"/>
        </w:trPr>
        <w:tc>
          <w:tcPr>
            <w:tcW w:w="1992" w:type="dxa"/>
            <w:tcBorders>
              <w:top w:val="single" w:sz="4" w:space="0" w:color="auto"/>
              <w:left w:val="single" w:sz="4" w:space="0" w:color="auto"/>
              <w:bottom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请求人</w:t>
            </w:r>
          </w:p>
        </w:tc>
        <w:tc>
          <w:tcPr>
            <w:tcW w:w="7080" w:type="dxa"/>
            <w:tcBorders>
              <w:top w:val="single" w:sz="4" w:space="0" w:color="auto"/>
              <w:left w:val="single" w:sz="4" w:space="0" w:color="auto"/>
              <w:bottom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zh-CN"/>
              </w:rPr>
            </w:pPr>
          </w:p>
        </w:tc>
      </w:tr>
      <w:tr w:rsidR="00800760">
        <w:trPr>
          <w:trHeight w:hRule="exact" w:val="429"/>
        </w:trPr>
        <w:tc>
          <w:tcPr>
            <w:tcW w:w="1992" w:type="dxa"/>
            <w:tcBorders>
              <w:top w:val="single" w:sz="4" w:space="0" w:color="auto"/>
              <w:left w:val="single" w:sz="4" w:space="0" w:color="auto"/>
              <w:bottom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s="仿宋"/>
                <w:sz w:val="20"/>
                <w:lang w:eastAsia="en-US"/>
              </w:rPr>
            </w:pPr>
            <w:r>
              <w:rPr>
                <w:rFonts w:ascii="仿宋_GB2312" w:eastAsia="仿宋_GB2312" w:hAnsi="仿宋" w:cs="仿宋" w:hint="eastAsia"/>
                <w:sz w:val="20"/>
                <w:lang w:eastAsia="en-US"/>
              </w:rPr>
              <w:t>被请求人</w:t>
            </w:r>
          </w:p>
        </w:tc>
        <w:tc>
          <w:tcPr>
            <w:tcW w:w="7080" w:type="dxa"/>
            <w:tcBorders>
              <w:top w:val="single" w:sz="4" w:space="0" w:color="auto"/>
              <w:left w:val="single" w:sz="4" w:space="0" w:color="auto"/>
              <w:bottom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en-US"/>
              </w:rPr>
            </w:pPr>
          </w:p>
        </w:tc>
      </w:tr>
    </w:tbl>
    <w:p w:rsidR="00800760" w:rsidRDefault="00235733" w:rsidP="00C22A7B">
      <w:pPr>
        <w:tabs>
          <w:tab w:val="left" w:leader="underscore" w:pos="3094"/>
        </w:tabs>
        <w:spacing w:beforeLines="100" w:afterLines="100"/>
        <w:ind w:firstLineChars="0" w:firstLine="0"/>
        <w:jc w:val="both"/>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w:t>
      </w:r>
    </w:p>
    <w:p w:rsidR="00800760" w:rsidRDefault="00235733" w:rsidP="00C22A7B">
      <w:pPr>
        <w:tabs>
          <w:tab w:val="left" w:leader="underscore" w:pos="3094"/>
        </w:tabs>
        <w:spacing w:beforeLines="100" w:afterLines="100"/>
        <w:ind w:firstLine="400"/>
        <w:jc w:val="both"/>
        <w:rPr>
          <w:rFonts w:ascii="仿宋_GB2312" w:eastAsia="仿宋_GB2312" w:hAnsi="仿宋"/>
          <w:color w:val="000000"/>
          <w:sz w:val="20"/>
        </w:rPr>
      </w:pPr>
      <w:r>
        <w:rPr>
          <w:rFonts w:ascii="仿宋_GB2312" w:eastAsia="仿宋_GB2312" w:hAnsi="仿宋" w:hint="eastAsia"/>
          <w:color w:val="000000"/>
          <w:sz w:val="20"/>
        </w:rPr>
        <w:t>根据《专利纠纷行政裁决和调解办法》第四十四条第一款、第五十四条之规定，请你司（你）于本案口头审理之日前提交答辩期内未提交的证据。</w:t>
      </w:r>
    </w:p>
    <w:p w:rsidR="00800760" w:rsidRDefault="00235733" w:rsidP="00C22A7B">
      <w:pPr>
        <w:tabs>
          <w:tab w:val="left" w:leader="underscore" w:pos="3094"/>
        </w:tabs>
        <w:spacing w:beforeLines="100" w:afterLines="100"/>
        <w:ind w:firstLine="400"/>
        <w:jc w:val="both"/>
        <w:rPr>
          <w:rFonts w:ascii="仿宋_GB2312" w:eastAsia="仿宋_GB2312" w:hAnsi="仿宋"/>
          <w:color w:val="000000"/>
          <w:sz w:val="20"/>
        </w:rPr>
      </w:pPr>
      <w:r>
        <w:rPr>
          <w:rFonts w:ascii="仿宋_GB2312" w:eastAsia="仿宋_GB2312" w:hAnsi="仿宋" w:hint="eastAsia"/>
          <w:color w:val="000000"/>
          <w:sz w:val="20"/>
        </w:rPr>
        <w:t>附件：1.《专利侵权纠纷行政裁决和调解办法》有关规定</w:t>
      </w:r>
    </w:p>
    <w:p w:rsidR="00800760" w:rsidRDefault="00235733" w:rsidP="00C22A7B">
      <w:pPr>
        <w:tabs>
          <w:tab w:val="left" w:leader="underscore" w:pos="3094"/>
        </w:tabs>
        <w:spacing w:beforeLines="100" w:afterLines="100"/>
        <w:ind w:firstLineChars="500" w:firstLine="1000"/>
        <w:jc w:val="both"/>
        <w:rPr>
          <w:rFonts w:ascii="仿宋_GB2312" w:eastAsia="仿宋_GB2312" w:hAnsi="仿宋"/>
          <w:color w:val="000000"/>
          <w:sz w:val="20"/>
        </w:rPr>
      </w:pPr>
      <w:r>
        <w:rPr>
          <w:rFonts w:ascii="仿宋_GB2312" w:eastAsia="仿宋_GB2312" w:hAnsi="仿宋" w:hint="eastAsia"/>
          <w:color w:val="000000"/>
          <w:sz w:val="20"/>
        </w:rPr>
        <w:t>2.《证据材料清单》样表</w:t>
      </w:r>
    </w:p>
    <w:p w:rsidR="00800760" w:rsidRDefault="00800760">
      <w:pPr>
        <w:tabs>
          <w:tab w:val="left" w:leader="underscore" w:pos="3094"/>
        </w:tabs>
        <w:ind w:firstLineChars="3250" w:firstLine="6500"/>
        <w:jc w:val="both"/>
        <w:rPr>
          <w:rFonts w:ascii="仿宋_GB2312" w:eastAsia="仿宋_GB2312" w:hAnsi="仿宋"/>
          <w:color w:val="000000"/>
          <w:sz w:val="20"/>
        </w:rPr>
      </w:pPr>
    </w:p>
    <w:p w:rsidR="00800760" w:rsidRDefault="00800760">
      <w:pPr>
        <w:tabs>
          <w:tab w:val="left" w:leader="underscore" w:pos="3094"/>
        </w:tabs>
        <w:ind w:firstLineChars="3250" w:firstLine="6500"/>
        <w:jc w:val="both"/>
        <w:rPr>
          <w:rFonts w:ascii="仿宋_GB2312" w:eastAsia="仿宋_GB2312" w:hAnsi="仿宋"/>
          <w:color w:val="000000"/>
          <w:sz w:val="20"/>
        </w:rPr>
      </w:pPr>
    </w:p>
    <w:p w:rsidR="00800760" w:rsidRDefault="00235733">
      <w:pPr>
        <w:widowControl w:val="0"/>
        <w:wordWrap w:val="0"/>
        <w:ind w:right="222" w:firstLineChars="0" w:firstLine="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pPr>
        <w:tabs>
          <w:tab w:val="left" w:leader="underscore" w:pos="3094"/>
        </w:tabs>
        <w:ind w:firstLineChars="3400" w:firstLine="7208"/>
        <w:jc w:val="both"/>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pPr>
        <w:tabs>
          <w:tab w:val="left" w:leader="underscore" w:pos="3094"/>
        </w:tabs>
        <w:ind w:firstLine="400"/>
        <w:jc w:val="both"/>
        <w:rPr>
          <w:rFonts w:ascii="仿宋_GB2312" w:eastAsia="仿宋_GB2312" w:hAnsi="仿宋"/>
          <w:color w:val="000000"/>
          <w:sz w:val="20"/>
        </w:rPr>
      </w:pPr>
    </w:p>
    <w:p w:rsidR="00800760" w:rsidRDefault="00800760">
      <w:pPr>
        <w:tabs>
          <w:tab w:val="left" w:leader="underscore" w:pos="3094"/>
        </w:tabs>
        <w:ind w:firstLine="400"/>
        <w:jc w:val="both"/>
        <w:rPr>
          <w:rFonts w:ascii="仿宋_GB2312" w:eastAsia="仿宋_GB2312" w:hAnsi="仿宋"/>
          <w:color w:val="000000"/>
          <w:sz w:val="20"/>
        </w:rPr>
      </w:pPr>
    </w:p>
    <w:p w:rsidR="00800760" w:rsidRDefault="00800760">
      <w:pPr>
        <w:tabs>
          <w:tab w:val="left" w:leader="underscore" w:pos="3094"/>
        </w:tabs>
        <w:ind w:firstLine="400"/>
        <w:jc w:val="both"/>
        <w:rPr>
          <w:rFonts w:ascii="仿宋_GB2312" w:eastAsia="仿宋_GB2312" w:hAnsi="仿宋"/>
          <w:color w:val="000000"/>
          <w:sz w:val="20"/>
        </w:rPr>
      </w:pPr>
    </w:p>
    <w:p w:rsidR="00800760" w:rsidRDefault="00800760">
      <w:pPr>
        <w:tabs>
          <w:tab w:val="left" w:leader="underscore" w:pos="3094"/>
        </w:tabs>
        <w:ind w:firstLine="400"/>
        <w:jc w:val="both"/>
        <w:rPr>
          <w:rFonts w:ascii="仿宋_GB2312" w:eastAsia="仿宋_GB2312" w:hAnsi="仿宋"/>
          <w:color w:val="000000"/>
          <w:sz w:val="20"/>
        </w:rPr>
      </w:pPr>
    </w:p>
    <w:p w:rsidR="00800760" w:rsidRDefault="00800760">
      <w:pPr>
        <w:tabs>
          <w:tab w:val="left" w:leader="underscore" w:pos="3094"/>
        </w:tabs>
        <w:ind w:firstLine="400"/>
        <w:jc w:val="both"/>
        <w:rPr>
          <w:rFonts w:ascii="仿宋_GB2312" w:eastAsia="仿宋_GB2312" w:hAnsi="仿宋"/>
          <w:color w:val="000000"/>
          <w:sz w:val="20"/>
        </w:rPr>
      </w:pPr>
    </w:p>
    <w:p w:rsidR="00800760" w:rsidRDefault="00800760">
      <w:pPr>
        <w:tabs>
          <w:tab w:val="left" w:leader="underscore" w:pos="3094"/>
        </w:tabs>
        <w:ind w:firstLine="400"/>
        <w:jc w:val="both"/>
        <w:rPr>
          <w:rFonts w:ascii="仿宋_GB2312" w:eastAsia="仿宋_GB2312" w:hAnsi="仿宋"/>
          <w:color w:val="000000"/>
          <w:sz w:val="20"/>
        </w:rPr>
      </w:pPr>
    </w:p>
    <w:p w:rsidR="00800760" w:rsidRDefault="00800760">
      <w:pPr>
        <w:tabs>
          <w:tab w:val="left" w:leader="underscore" w:pos="3094"/>
        </w:tabs>
        <w:ind w:firstLine="400"/>
        <w:jc w:val="both"/>
        <w:rPr>
          <w:rFonts w:ascii="仿宋_GB2312" w:eastAsia="仿宋_GB2312" w:hAnsi="仿宋"/>
          <w:color w:val="000000"/>
          <w:sz w:val="20"/>
        </w:rPr>
      </w:pPr>
    </w:p>
    <w:p w:rsidR="00800760" w:rsidRDefault="00235733">
      <w:pPr>
        <w:tabs>
          <w:tab w:val="left" w:leader="underscore" w:pos="3094"/>
        </w:tabs>
        <w:ind w:firstLineChars="0" w:firstLine="0"/>
        <w:jc w:val="both"/>
        <w:rPr>
          <w:rFonts w:ascii="仿宋_GB2312" w:eastAsia="仿宋_GB2312" w:hAnsi="仿宋"/>
          <w:color w:val="000000"/>
          <w:sz w:val="20"/>
        </w:rPr>
      </w:pPr>
      <w:r>
        <w:rPr>
          <w:rFonts w:ascii="仿宋_GB2312" w:eastAsia="仿宋_GB2312" w:hAnsi="仿宋" w:hint="eastAsia"/>
          <w:color w:val="000000"/>
          <w:sz w:val="20"/>
        </w:rPr>
        <w:t>说明：本通知书一式两份，一份送达当事人，一份由知识产权局存档。</w:t>
      </w:r>
    </w:p>
    <w:p w:rsidR="00800760" w:rsidRDefault="00235733">
      <w:pPr>
        <w:spacing w:line="240" w:lineRule="auto"/>
        <w:ind w:firstLineChars="0" w:firstLine="0"/>
        <w:rPr>
          <w:rFonts w:ascii="仿宋_GB2312" w:eastAsia="仿宋_GB2312" w:hAnsi="仿宋"/>
          <w:color w:val="000000"/>
          <w:sz w:val="20"/>
        </w:rPr>
      </w:pPr>
      <w:r>
        <w:rPr>
          <w:rFonts w:ascii="仿宋_GB2312" w:eastAsia="仿宋_GB2312" w:hAnsi="仿宋" w:hint="eastAsia"/>
          <w:color w:val="000000"/>
          <w:sz w:val="20"/>
        </w:rPr>
        <w:br w:type="page"/>
      </w:r>
    </w:p>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hint="eastAsia"/>
          <w:color w:val="000000"/>
          <w:spacing w:val="6"/>
          <w:sz w:val="36"/>
          <w:szCs w:val="36"/>
        </w:rPr>
        <w:t>出具确认不侵权咨询意见请求书</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1"/>
        <w:gridCol w:w="1679"/>
        <w:gridCol w:w="2072"/>
        <w:gridCol w:w="1537"/>
        <w:gridCol w:w="3588"/>
      </w:tblGrid>
      <w:tr w:rsidR="00800760">
        <w:trPr>
          <w:trHeight w:val="20"/>
          <w:jc w:val="center"/>
        </w:trPr>
        <w:tc>
          <w:tcPr>
            <w:tcW w:w="1353" w:type="pct"/>
            <w:gridSpan w:val="2"/>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专利号</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353" w:type="pct"/>
            <w:gridSpan w:val="2"/>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专利名称</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353" w:type="pct"/>
            <w:gridSpan w:val="2"/>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专利权人</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val="restar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请求人</w:t>
            </w: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姓名或名称</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rPr>
            </w:pPr>
            <w:r>
              <w:rPr>
                <w:rFonts w:ascii="仿宋_GB2312" w:eastAsia="仿宋_GB2312" w:hAnsi="宋体" w:hint="eastAsia"/>
                <w:color w:val="000000"/>
                <w:sz w:val="20"/>
              </w:rPr>
              <w:t>法定代表人</w:t>
            </w:r>
          </w:p>
          <w:p w:rsidR="00800760" w:rsidRDefault="00235733">
            <w:pPr>
              <w:spacing w:line="360" w:lineRule="auto"/>
              <w:ind w:firstLineChars="0" w:firstLine="0"/>
              <w:jc w:val="center"/>
              <w:rPr>
                <w:rFonts w:ascii="仿宋_GB2312" w:eastAsia="仿宋_GB2312" w:hAnsi="宋体"/>
                <w:color w:val="000000"/>
                <w:sz w:val="20"/>
              </w:rPr>
            </w:pPr>
            <w:r>
              <w:rPr>
                <w:rFonts w:ascii="仿宋_GB2312" w:eastAsia="仿宋_GB2312" w:hAnsi="宋体" w:hint="eastAsia"/>
                <w:color w:val="000000"/>
                <w:sz w:val="20"/>
              </w:rPr>
              <w:t>（负责人）</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代理人姓名</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机构名称</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代理人姓名</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机构名称</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val="restar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被请求人</w:t>
            </w: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姓名或名称</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194"/>
          <w:jc w:val="center"/>
        </w:trPr>
        <w:tc>
          <w:tcPr>
            <w:tcW w:w="5000" w:type="pct"/>
            <w:gridSpan w:val="5"/>
            <w:tcMar>
              <w:left w:w="57" w:type="dxa"/>
              <w:right w:w="57" w:type="dxa"/>
            </w:tcMar>
          </w:tcPr>
          <w:p w:rsidR="00800760" w:rsidRDefault="00235733">
            <w:pPr>
              <w:spacing w:line="360" w:lineRule="auto"/>
              <w:ind w:firstLineChars="0" w:firstLine="0"/>
              <w:rPr>
                <w:rFonts w:ascii="仿宋_GB2312" w:eastAsia="仿宋_GB2312" w:hAnsi="宋体"/>
                <w:color w:val="000000"/>
                <w:sz w:val="20"/>
              </w:rPr>
            </w:pPr>
            <w:r>
              <w:rPr>
                <w:rFonts w:ascii="仿宋_GB2312" w:eastAsia="仿宋_GB2312" w:hAnsi="宋体" w:hint="eastAsia"/>
                <w:color w:val="000000"/>
                <w:sz w:val="20"/>
                <w:lang w:eastAsia="en-US"/>
              </w:rPr>
              <w:t>请求处理的事项：</w:t>
            </w: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tc>
      </w:tr>
    </w:tbl>
    <w:p w:rsidR="00800760" w:rsidRDefault="00235733">
      <w:pPr>
        <w:spacing w:line="360" w:lineRule="auto"/>
        <w:ind w:firstLineChars="0" w:firstLine="0"/>
        <w:rPr>
          <w:rFonts w:ascii="仿宋_GB2312" w:eastAsia="仿宋_GB2312"/>
          <w:color w:val="000000"/>
          <w:sz w:val="20"/>
          <w:lang w:eastAsia="en-US"/>
        </w:rPr>
      </w:pPr>
      <w:r>
        <w:rPr>
          <w:rFonts w:ascii="仿宋_GB2312" w:eastAsia="仿宋_GB2312" w:hint="eastAsia"/>
          <w:color w:val="000000"/>
          <w:sz w:val="20"/>
          <w:lang w:eastAsia="en-US"/>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67"/>
      </w:tblGrid>
      <w:tr w:rsidR="00800760">
        <w:trPr>
          <w:trHeight w:val="20"/>
        </w:trPr>
        <w:tc>
          <w:tcPr>
            <w:tcW w:w="5000" w:type="pct"/>
            <w:tcMar>
              <w:left w:w="57" w:type="dxa"/>
              <w:right w:w="57" w:type="dxa"/>
            </w:tcMar>
          </w:tcPr>
          <w:p w:rsidR="00800760" w:rsidRDefault="00235733">
            <w:pPr>
              <w:spacing w:line="360" w:lineRule="auto"/>
              <w:ind w:firstLineChars="0" w:firstLine="0"/>
              <w:rPr>
                <w:rFonts w:ascii="仿宋_GB2312" w:eastAsia="仿宋_GB2312" w:hAnsi="宋体"/>
                <w:color w:val="000000"/>
                <w:sz w:val="20"/>
                <w:lang w:eastAsia="en-US"/>
              </w:rPr>
            </w:pPr>
            <w:r>
              <w:rPr>
                <w:rFonts w:ascii="仿宋_GB2312" w:eastAsia="仿宋_GB2312" w:hAnsi="宋体" w:hint="eastAsia"/>
                <w:color w:val="000000"/>
                <w:sz w:val="20"/>
                <w:lang w:eastAsia="en-US"/>
              </w:rPr>
              <w:t>事实和理由：</w:t>
            </w: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tc>
      </w:tr>
      <w:tr w:rsidR="00800760">
        <w:trPr>
          <w:trHeight w:val="20"/>
        </w:trPr>
        <w:tc>
          <w:tcPr>
            <w:tcW w:w="5000" w:type="pct"/>
            <w:tcMar>
              <w:left w:w="57" w:type="dxa"/>
              <w:right w:w="57" w:type="dxa"/>
            </w:tcMar>
          </w:tcPr>
          <w:p w:rsidR="00800760" w:rsidRDefault="00235733">
            <w:pPr>
              <w:spacing w:line="360" w:lineRule="auto"/>
              <w:ind w:firstLineChars="0" w:firstLine="0"/>
              <w:rPr>
                <w:rFonts w:ascii="仿宋_GB2312" w:eastAsia="仿宋_GB2312" w:hAnsi="宋体"/>
                <w:color w:val="000000"/>
                <w:sz w:val="20"/>
                <w:lang w:eastAsia="en-US"/>
              </w:rPr>
            </w:pPr>
            <w:r>
              <w:rPr>
                <w:rFonts w:ascii="仿宋_GB2312" w:eastAsia="仿宋_GB2312" w:hAnsi="宋体" w:hint="eastAsia"/>
                <w:color w:val="000000"/>
                <w:sz w:val="20"/>
                <w:lang w:eastAsia="en-US"/>
              </w:rPr>
              <w:t>请求人签章：</w:t>
            </w: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rPr>
            </w:pPr>
          </w:p>
          <w:p w:rsidR="00800760" w:rsidRDefault="00800760">
            <w:pPr>
              <w:spacing w:line="360" w:lineRule="auto"/>
              <w:ind w:firstLineChars="0" w:firstLine="0"/>
              <w:rPr>
                <w:rFonts w:ascii="仿宋_GB2312" w:eastAsia="仿宋_GB2312" w:hAnsi="宋体"/>
                <w:color w:val="000000"/>
                <w:sz w:val="20"/>
              </w:rPr>
            </w:pPr>
          </w:p>
          <w:p w:rsidR="00800760" w:rsidRDefault="00800760">
            <w:pPr>
              <w:spacing w:line="360" w:lineRule="auto"/>
              <w:ind w:firstLineChars="0" w:firstLine="0"/>
              <w:rPr>
                <w:rFonts w:ascii="仿宋_GB2312" w:eastAsia="仿宋_GB2312" w:hAnsi="宋体"/>
                <w:color w:val="000000"/>
                <w:sz w:val="20"/>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235733">
            <w:pPr>
              <w:spacing w:line="360" w:lineRule="auto"/>
              <w:ind w:firstLineChars="0" w:firstLine="0"/>
              <w:rPr>
                <w:rFonts w:ascii="仿宋_GB2312" w:eastAsia="仿宋_GB2312" w:hAnsi="宋体"/>
                <w:color w:val="000000"/>
                <w:sz w:val="20"/>
                <w:u w:val="single"/>
                <w:lang w:eastAsia="en-US"/>
              </w:rPr>
            </w:pPr>
            <w:r>
              <w:rPr>
                <w:rFonts w:ascii="仿宋_GB2312" w:eastAsia="仿宋_GB2312" w:hAnsi="宋体" w:hint="eastAsia"/>
                <w:color w:val="000000"/>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r>
    </w:tbl>
    <w:p w:rsidR="00800760" w:rsidRDefault="00800760" w:rsidP="00C22A7B">
      <w:pPr>
        <w:spacing w:beforeLines="50" w:afterLines="50" w:line="360" w:lineRule="auto"/>
        <w:ind w:firstLineChars="0" w:firstLine="0"/>
        <w:jc w:val="center"/>
        <w:rPr>
          <w:rFonts w:ascii="仿宋_GB2312" w:eastAsia="仿宋_GB2312" w:hAnsi="宋体"/>
          <w:b/>
          <w:color w:val="000000"/>
          <w:sz w:val="20"/>
        </w:rPr>
      </w:pPr>
    </w:p>
    <w:p w:rsidR="00800760" w:rsidRDefault="00235733">
      <w:pPr>
        <w:spacing w:line="240" w:lineRule="auto"/>
        <w:ind w:firstLineChars="0" w:firstLine="0"/>
        <w:rPr>
          <w:rFonts w:ascii="宋体" w:hAnsi="宋体"/>
          <w:b/>
          <w:color w:val="000000"/>
          <w:sz w:val="20"/>
          <w:szCs w:val="21"/>
        </w:rPr>
      </w:pPr>
      <w:r>
        <w:rPr>
          <w:rFonts w:ascii="宋体" w:hAnsi="宋体"/>
          <w:b/>
          <w:color w:val="000000"/>
          <w:sz w:val="20"/>
          <w:szCs w:val="21"/>
        </w:rPr>
        <w:br w:type="page"/>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hint="eastAsia"/>
          <w:color w:val="000000"/>
          <w:spacing w:val="6"/>
          <w:sz w:val="36"/>
          <w:szCs w:val="36"/>
        </w:rPr>
        <w:t>确认不侵权咨询意见</w:t>
      </w:r>
      <w:r>
        <w:rPr>
          <w:rFonts w:ascii="方正小标宋_GBK" w:eastAsia="方正小标宋_GBK" w:hAnsi="宋体"/>
          <w:color w:val="000000"/>
          <w:spacing w:val="6"/>
          <w:sz w:val="36"/>
          <w:szCs w:val="36"/>
        </w:rPr>
        <w:t>请求受理通知书</w:t>
      </w:r>
    </w:p>
    <w:p w:rsidR="00800760" w:rsidRDefault="00235733">
      <w:pPr>
        <w:widowControl w:val="0"/>
        <w:spacing w:line="360" w:lineRule="auto"/>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jc w:val="center"/>
        <w:tblCellMar>
          <w:left w:w="10" w:type="dxa"/>
          <w:right w:w="10" w:type="dxa"/>
        </w:tblCellMar>
        <w:tblLook w:val="04A0"/>
      </w:tblPr>
      <w:tblGrid>
        <w:gridCol w:w="1979"/>
        <w:gridCol w:w="7888"/>
      </w:tblGrid>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both"/>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both"/>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both"/>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3997"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both"/>
              <w:rPr>
                <w:rFonts w:ascii="仿宋_GB2312" w:eastAsia="仿宋_GB2312" w:hAnsi="仿宋"/>
                <w:color w:val="000000"/>
                <w:sz w:val="20"/>
                <w:lang w:eastAsia="en-US"/>
              </w:rPr>
            </w:pPr>
          </w:p>
        </w:tc>
      </w:tr>
      <w:tr w:rsidR="00800760">
        <w:trPr>
          <w:trHeight w:val="20"/>
          <w:jc w:val="center"/>
        </w:trPr>
        <w:tc>
          <w:tcPr>
            <w:tcW w:w="1003"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3997"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both"/>
              <w:rPr>
                <w:rFonts w:ascii="仿宋_GB2312" w:eastAsia="仿宋_GB2312" w:hAnsi="仿宋"/>
                <w:color w:val="000000"/>
                <w:sz w:val="20"/>
                <w:lang w:eastAsia="en-US"/>
              </w:rPr>
            </w:pPr>
          </w:p>
        </w:tc>
      </w:tr>
    </w:tbl>
    <w:p w:rsidR="00800760" w:rsidRDefault="00235733">
      <w:pPr>
        <w:widowControl w:val="0"/>
        <w:tabs>
          <w:tab w:val="left" w:leader="underscore" w:pos="2120"/>
        </w:tabs>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w:t>
      </w:r>
    </w:p>
    <w:p w:rsidR="00800760" w:rsidRDefault="00235733">
      <w:pPr>
        <w:tabs>
          <w:tab w:val="left" w:leader="underscore" w:pos="3094"/>
          <w:tab w:val="left" w:leader="underscore" w:pos="3762"/>
          <w:tab w:val="left" w:leader="underscore" w:pos="4424"/>
        </w:tabs>
        <w:spacing w:line="360" w:lineRule="auto"/>
        <w:ind w:firstLineChars="244" w:firstLine="488"/>
        <w:jc w:val="both"/>
        <w:rPr>
          <w:rFonts w:ascii="仿宋_GB2312" w:eastAsia="仿宋_GB2312" w:hAnsi="仿宋"/>
          <w:color w:val="000000"/>
          <w:sz w:val="20"/>
        </w:rPr>
      </w:pPr>
      <w:r>
        <w:rPr>
          <w:rFonts w:ascii="仿宋_GB2312" w:eastAsia="仿宋_GB2312" w:hAnsi="仿宋" w:hint="eastAsia"/>
          <w:color w:val="000000"/>
          <w:sz w:val="20"/>
        </w:rPr>
        <w:t>经审查，请求人于</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年</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月</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日提交的确认不侵权咨询意见请求符合《专利纠纷行政裁决和调解办法》规定的受理条件，本局予以受理。</w:t>
      </w:r>
    </w:p>
    <w:p w:rsidR="00800760" w:rsidRDefault="00235733">
      <w:pPr>
        <w:spacing w:line="360" w:lineRule="auto"/>
        <w:ind w:left="440" w:firstLineChars="0" w:firstLine="0"/>
        <w:jc w:val="both"/>
        <w:rPr>
          <w:rFonts w:ascii="仿宋_GB2312" w:eastAsia="仿宋_GB2312" w:hAnsi="仿宋"/>
          <w:color w:val="000000"/>
          <w:sz w:val="20"/>
        </w:rPr>
      </w:pPr>
      <w:r>
        <w:rPr>
          <w:rFonts w:ascii="仿宋_GB2312" w:eastAsia="仿宋_GB2312" w:hAnsi="仿宋" w:hint="eastAsia"/>
          <w:color w:val="000000"/>
          <w:sz w:val="20"/>
        </w:rPr>
        <w:t>特此通知。</w:t>
      </w:r>
    </w:p>
    <w:p w:rsidR="00800760" w:rsidRDefault="00800760">
      <w:pPr>
        <w:widowControl w:val="0"/>
        <w:spacing w:line="360" w:lineRule="auto"/>
        <w:ind w:firstLineChars="0" w:firstLine="600"/>
        <w:rPr>
          <w:rFonts w:ascii="仿宋_GB2312" w:eastAsia="仿宋_GB2312" w:hAnsi="宋体"/>
          <w:color w:val="000000"/>
          <w:spacing w:val="6"/>
          <w:sz w:val="20"/>
        </w:rPr>
      </w:pPr>
    </w:p>
    <w:p w:rsidR="00800760" w:rsidRDefault="00235733">
      <w:pPr>
        <w:widowControl w:val="0"/>
        <w:spacing w:line="360"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pPr>
        <w:widowControl w:val="0"/>
        <w:spacing w:line="360"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tabs>
          <w:tab w:val="left" w:leader="underscore" w:pos="6075"/>
          <w:tab w:val="left" w:leader="underscore" w:pos="6546"/>
        </w:tabs>
        <w:spacing w:line="360" w:lineRule="auto"/>
        <w:ind w:right="919" w:firstLineChars="0" w:firstLine="0"/>
        <w:rPr>
          <w:rFonts w:ascii="仿宋_GB2312" w:eastAsia="仿宋_GB2312" w:hAnsi="仿宋"/>
          <w:color w:val="000000"/>
          <w:sz w:val="20"/>
        </w:rPr>
      </w:pPr>
    </w:p>
    <w:p w:rsidR="00800760" w:rsidRDefault="00800760">
      <w:pPr>
        <w:tabs>
          <w:tab w:val="left" w:leader="underscore" w:pos="6075"/>
          <w:tab w:val="left" w:leader="underscore" w:pos="6546"/>
        </w:tabs>
        <w:spacing w:line="360" w:lineRule="auto"/>
        <w:ind w:right="919" w:firstLineChars="2283" w:firstLine="4566"/>
        <w:rPr>
          <w:rFonts w:ascii="仿宋_GB2312" w:eastAsia="仿宋_GB2312" w:hAnsi="仿宋"/>
          <w:color w:val="000000"/>
          <w:sz w:val="20"/>
        </w:rPr>
      </w:pPr>
    </w:p>
    <w:p w:rsidR="00800760" w:rsidRDefault="00235733">
      <w:pPr>
        <w:widowControl w:val="0"/>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 xml:space="preserve">案件承办人: </w:t>
      </w:r>
    </w:p>
    <w:p w:rsidR="00800760" w:rsidRDefault="00235733">
      <w:pPr>
        <w:widowControl w:val="0"/>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联系电话：</w:t>
      </w:r>
    </w:p>
    <w:p w:rsidR="00800760" w:rsidRDefault="00235733">
      <w:pPr>
        <w:widowControl w:val="0"/>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本局地址：</w:t>
      </w:r>
    </w:p>
    <w:p w:rsidR="00800760" w:rsidRDefault="00235733">
      <w:pPr>
        <w:widowControl w:val="0"/>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邮政编码：</w:t>
      </w:r>
    </w:p>
    <w:p w:rsidR="00800760" w:rsidRDefault="00800760">
      <w:pPr>
        <w:spacing w:line="360" w:lineRule="auto"/>
        <w:ind w:left="442" w:right="6600" w:firstLineChars="0" w:firstLine="0"/>
        <w:rPr>
          <w:rFonts w:ascii="仿宋_GB2312" w:eastAsia="仿宋_GB2312" w:hAnsi="仿宋"/>
          <w:color w:val="000000"/>
          <w:sz w:val="20"/>
        </w:rPr>
      </w:pPr>
    </w:p>
    <w:p w:rsidR="00800760" w:rsidRDefault="00800760">
      <w:pPr>
        <w:spacing w:line="360" w:lineRule="auto"/>
        <w:ind w:left="442" w:right="6600" w:firstLineChars="0" w:firstLine="0"/>
        <w:rPr>
          <w:rFonts w:ascii="仿宋_GB2312" w:eastAsia="仿宋_GB2312" w:hAnsi="仿宋"/>
          <w:color w:val="000000"/>
          <w:sz w:val="20"/>
        </w:rPr>
      </w:pPr>
    </w:p>
    <w:p w:rsidR="00800760" w:rsidRDefault="00800760">
      <w:pPr>
        <w:spacing w:line="360" w:lineRule="auto"/>
        <w:ind w:left="442" w:right="6600" w:firstLineChars="0" w:firstLine="0"/>
        <w:rPr>
          <w:rFonts w:ascii="仿宋_GB2312" w:eastAsia="仿宋_GB2312" w:hAnsi="仿宋"/>
          <w:color w:val="000000"/>
          <w:sz w:val="20"/>
        </w:rPr>
      </w:pPr>
    </w:p>
    <w:p w:rsidR="00800760" w:rsidRDefault="00800760">
      <w:pPr>
        <w:spacing w:line="360" w:lineRule="auto"/>
        <w:ind w:firstLineChars="0" w:firstLine="0"/>
        <w:rPr>
          <w:rFonts w:ascii="仿宋_GB2312" w:eastAsia="仿宋_GB2312" w:hAnsi="仿宋"/>
          <w:color w:val="000000"/>
          <w:sz w:val="20"/>
        </w:rPr>
      </w:pPr>
    </w:p>
    <w:p w:rsidR="00800760" w:rsidRDefault="00800760">
      <w:pPr>
        <w:spacing w:line="360" w:lineRule="auto"/>
        <w:ind w:firstLineChars="0" w:firstLine="0"/>
        <w:rPr>
          <w:rFonts w:ascii="仿宋_GB2312" w:eastAsia="仿宋_GB2312" w:hAnsi="仿宋"/>
          <w:color w:val="000000"/>
          <w:sz w:val="20"/>
        </w:rPr>
      </w:pPr>
    </w:p>
    <w:p w:rsidR="00800760" w:rsidRDefault="00800760">
      <w:pPr>
        <w:spacing w:line="360" w:lineRule="auto"/>
        <w:ind w:firstLineChars="0" w:firstLine="0"/>
        <w:rPr>
          <w:rFonts w:ascii="仿宋_GB2312" w:eastAsia="仿宋_GB2312" w:hAnsi="仿宋"/>
          <w:color w:val="000000"/>
          <w:sz w:val="20"/>
        </w:rPr>
      </w:pPr>
    </w:p>
    <w:p w:rsidR="00800760" w:rsidRDefault="00800760">
      <w:pPr>
        <w:spacing w:line="360" w:lineRule="auto"/>
        <w:ind w:firstLineChars="0" w:firstLine="0"/>
        <w:rPr>
          <w:rFonts w:ascii="仿宋_GB2312" w:eastAsia="仿宋_GB2312" w:hAnsi="仿宋"/>
          <w:color w:val="000000"/>
          <w:sz w:val="20"/>
        </w:rPr>
      </w:pPr>
    </w:p>
    <w:p w:rsidR="00800760" w:rsidRDefault="00235733">
      <w:pPr>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说明：本通知书一式两份，一份送达当事人，一份由国家知识产权局存档。</w:t>
      </w:r>
    </w:p>
    <w:p w:rsidR="00800760" w:rsidRDefault="00800760">
      <w:pPr>
        <w:spacing w:line="360" w:lineRule="auto"/>
        <w:ind w:firstLineChars="0" w:firstLine="0"/>
        <w:rPr>
          <w:rFonts w:ascii="仿宋_GB2312" w:eastAsia="仿宋_GB2312" w:hAnsi="仿宋"/>
          <w:color w:val="000000"/>
          <w:sz w:val="20"/>
        </w:rPr>
      </w:pPr>
    </w:p>
    <w:p w:rsidR="00885A51" w:rsidRDefault="00885A51">
      <w:pPr>
        <w:spacing w:line="240" w:lineRule="auto"/>
        <w:ind w:firstLineChars="0" w:firstLine="0"/>
        <w:jc w:val="center"/>
        <w:rPr>
          <w:rFonts w:ascii="方正小标宋简体" w:eastAsia="方正小标宋简体" w:hAnsi="宋体"/>
          <w:sz w:val="36"/>
          <w:szCs w:val="36"/>
        </w:rPr>
      </w:pPr>
    </w:p>
    <w:p w:rsidR="00800760" w:rsidRDefault="00235733">
      <w:pPr>
        <w:spacing w:line="240" w:lineRule="auto"/>
        <w:ind w:firstLineChars="0" w:firstLine="0"/>
        <w:jc w:val="center"/>
        <w:rPr>
          <w:rFonts w:ascii="仿宋_GB2312" w:eastAsia="仿宋_GB2312" w:hAnsi="仿宋" w:cs="PMingLiU"/>
          <w:color w:val="000000"/>
          <w:kern w:val="2"/>
          <w:sz w:val="20"/>
          <w:lang w:val="en-US"/>
        </w:rPr>
      </w:pPr>
      <w:r>
        <w:rPr>
          <w:rFonts w:ascii="方正小标宋简体" w:eastAsia="方正小标宋简体" w:hAnsi="宋体" w:hint="eastAsia"/>
          <w:sz w:val="36"/>
          <w:szCs w:val="36"/>
        </w:rPr>
        <w:t>确认不侵权意见请求材料补正通知书</w:t>
      </w:r>
    </w:p>
    <w:p w:rsidR="00800760" w:rsidRDefault="00800760" w:rsidP="00235733">
      <w:pPr>
        <w:widowControl w:val="0"/>
        <w:spacing w:line="360" w:lineRule="auto"/>
        <w:ind w:firstLine="400"/>
        <w:rPr>
          <w:rFonts w:ascii="仿宋_GB2312" w:eastAsia="仿宋_GB2312" w:hAnsi="仿宋" w:cs="PMingLiU"/>
          <w:kern w:val="2"/>
          <w:sz w:val="20"/>
          <w:lang w:val="en-US"/>
        </w:rPr>
      </w:pPr>
    </w:p>
    <w:tbl>
      <w:tblPr>
        <w:tblW w:w="9072" w:type="dxa"/>
        <w:jc w:val="center"/>
        <w:tblLayout w:type="fixed"/>
        <w:tblCellMar>
          <w:left w:w="10" w:type="dxa"/>
          <w:right w:w="10" w:type="dxa"/>
        </w:tblCellMar>
        <w:tblLook w:val="04A0"/>
      </w:tblPr>
      <w:tblGrid>
        <w:gridCol w:w="1992"/>
        <w:gridCol w:w="7080"/>
      </w:tblGrid>
      <w:tr w:rsidR="00800760">
        <w:trPr>
          <w:trHeight w:hRule="exact" w:val="427"/>
          <w:jc w:val="center"/>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r w:rsidR="00800760">
        <w:trPr>
          <w:trHeight w:hRule="exact" w:val="422"/>
          <w:jc w:val="center"/>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r w:rsidR="00800760">
        <w:trPr>
          <w:trHeight w:hRule="exact" w:val="418"/>
          <w:jc w:val="center"/>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r w:rsidR="00800760">
        <w:trPr>
          <w:trHeight w:hRule="exact" w:val="418"/>
          <w:jc w:val="center"/>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r w:rsidR="00800760">
        <w:trPr>
          <w:trHeight w:hRule="exact" w:val="475"/>
          <w:jc w:val="center"/>
        </w:trPr>
        <w:tc>
          <w:tcPr>
            <w:tcW w:w="1992" w:type="dxa"/>
            <w:tcBorders>
              <w:top w:val="single" w:sz="4" w:space="0" w:color="auto"/>
              <w:left w:val="single" w:sz="4" w:space="0" w:color="auto"/>
              <w:bottom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7080" w:type="dxa"/>
            <w:tcBorders>
              <w:top w:val="single" w:sz="4" w:space="0" w:color="auto"/>
              <w:left w:val="single" w:sz="4" w:space="0" w:color="auto"/>
              <w:bottom w:val="single" w:sz="4" w:space="0" w:color="auto"/>
              <w:right w:val="single" w:sz="4" w:space="0" w:color="auto"/>
            </w:tcBorders>
            <w:shd w:val="clear" w:color="auto" w:fill="FFFFFF"/>
          </w:tcPr>
          <w:p w:rsidR="00800760" w:rsidRDefault="00800760">
            <w:pPr>
              <w:spacing w:line="360" w:lineRule="auto"/>
              <w:ind w:firstLineChars="75" w:firstLine="150"/>
              <w:rPr>
                <w:rFonts w:ascii="仿宋" w:eastAsia="仿宋_GB2312" w:hAnsi="仿宋"/>
                <w:color w:val="000000"/>
                <w:sz w:val="20"/>
              </w:rPr>
            </w:pPr>
          </w:p>
        </w:tc>
      </w:tr>
    </w:tbl>
    <w:p w:rsidR="00800760" w:rsidRDefault="00800760">
      <w:pPr>
        <w:widowControl w:val="0"/>
        <w:tabs>
          <w:tab w:val="left" w:leader="underscore" w:pos="2550"/>
          <w:tab w:val="left" w:leader="underscore" w:pos="3762"/>
          <w:tab w:val="left" w:leader="underscore" w:pos="4424"/>
        </w:tabs>
        <w:spacing w:line="360" w:lineRule="auto"/>
        <w:ind w:firstLineChars="50" w:firstLine="100"/>
        <w:jc w:val="both"/>
        <w:rPr>
          <w:rFonts w:ascii="仿宋" w:eastAsia="仿宋_GB2312" w:hAnsi="仿宋"/>
          <w:color w:val="000000"/>
          <w:kern w:val="2"/>
          <w:sz w:val="20"/>
        </w:rPr>
      </w:pPr>
    </w:p>
    <w:p w:rsidR="00800760" w:rsidRDefault="00235733">
      <w:pPr>
        <w:widowControl w:val="0"/>
        <w:tabs>
          <w:tab w:val="left" w:leader="underscore" w:pos="2550"/>
          <w:tab w:val="left" w:leader="underscore" w:pos="3762"/>
          <w:tab w:val="left" w:leader="underscore" w:pos="4424"/>
        </w:tabs>
        <w:spacing w:line="360" w:lineRule="auto"/>
        <w:ind w:firstLineChars="50" w:firstLine="106"/>
        <w:jc w:val="both"/>
        <w:rPr>
          <w:rFonts w:ascii="仿宋" w:eastAsia="仿宋_GB2312" w:hAnsi="仿宋"/>
          <w:color w:val="000000"/>
          <w:kern w:val="2"/>
          <w:sz w:val="20"/>
        </w:rPr>
      </w:pPr>
      <w:r>
        <w:rPr>
          <w:rFonts w:ascii="仿宋_GB2312" w:eastAsia="仿宋_GB2312" w:hAnsi="宋体" w:cs="PMingLiU" w:hint="eastAsia"/>
          <w:color w:val="000000"/>
          <w:spacing w:val="6"/>
          <w:kern w:val="2"/>
          <w:sz w:val="20"/>
          <w:u w:val="single"/>
          <w:lang w:val="zh-CN" w:bidi="zh-CN"/>
        </w:rPr>
        <w:t xml:space="preserve">        </w:t>
      </w:r>
      <w:r>
        <w:rPr>
          <w:rFonts w:ascii="仿宋" w:eastAsia="仿宋_GB2312" w:hAnsi="仿宋" w:hint="eastAsia"/>
          <w:color w:val="000000"/>
          <w:kern w:val="2"/>
          <w:sz w:val="20"/>
        </w:rPr>
        <w:t>:</w:t>
      </w:r>
    </w:p>
    <w:p w:rsidR="00800760" w:rsidRDefault="00235733">
      <w:pPr>
        <w:widowControl w:val="0"/>
        <w:tabs>
          <w:tab w:val="left" w:leader="underscore" w:pos="3094"/>
          <w:tab w:val="left" w:leader="underscore" w:pos="3762"/>
          <w:tab w:val="left" w:leader="underscore" w:pos="4424"/>
        </w:tabs>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经审查，请求人于</w:t>
      </w:r>
      <w:r>
        <w:rPr>
          <w:rFonts w:ascii="仿宋" w:eastAsia="仿宋_GB2312" w:hAnsi="仿宋" w:hint="eastAsia"/>
          <w:color w:val="000000"/>
          <w:kern w:val="2"/>
          <w:sz w:val="20"/>
        </w:rPr>
        <w:t xml:space="preserve"> 20XX </w:t>
      </w:r>
      <w:r>
        <w:rPr>
          <w:rFonts w:ascii="仿宋" w:eastAsia="仿宋_GB2312" w:hAnsi="仿宋" w:hint="eastAsia"/>
          <w:color w:val="000000"/>
          <w:kern w:val="2"/>
          <w:sz w:val="20"/>
        </w:rPr>
        <w:t>年</w:t>
      </w:r>
      <w:r>
        <w:rPr>
          <w:rFonts w:ascii="仿宋" w:eastAsia="仿宋_GB2312" w:hAnsi="仿宋" w:hint="eastAsia"/>
          <w:color w:val="000000"/>
          <w:kern w:val="2"/>
          <w:sz w:val="20"/>
        </w:rPr>
        <w:t xml:space="preserve"> X</w:t>
      </w:r>
      <w:r>
        <w:rPr>
          <w:rFonts w:ascii="仿宋" w:eastAsia="仿宋_GB2312" w:hAnsi="仿宋" w:hint="eastAsia"/>
          <w:color w:val="000000"/>
          <w:kern w:val="2"/>
          <w:sz w:val="20"/>
        </w:rPr>
        <w:t>月</w:t>
      </w:r>
      <w:r>
        <w:rPr>
          <w:rFonts w:ascii="仿宋" w:eastAsia="仿宋_GB2312" w:hAnsi="仿宋" w:hint="eastAsia"/>
          <w:color w:val="000000"/>
          <w:kern w:val="2"/>
          <w:sz w:val="20"/>
        </w:rPr>
        <w:t>X</w:t>
      </w:r>
      <w:r>
        <w:rPr>
          <w:rFonts w:ascii="仿宋" w:eastAsia="仿宋_GB2312" w:hAnsi="仿宋" w:hint="eastAsia"/>
          <w:color w:val="000000"/>
          <w:kern w:val="2"/>
          <w:sz w:val="20"/>
        </w:rPr>
        <w:t>日提交到我局的确认不侵权意见请求符合《专利纠纷行政裁决和调解办法》规定的受理条件。请你根据《专利纠纷行政裁决和调解办法》第十六条、三十六条等规定，于</w:t>
      </w:r>
      <w:r>
        <w:rPr>
          <w:rFonts w:ascii="仿宋_GB2312" w:eastAsia="仿宋_GB2312" w:hAnsi="宋体" w:cs="PMingLiU" w:hint="eastAsia"/>
          <w:color w:val="000000"/>
          <w:spacing w:val="6"/>
          <w:kern w:val="2"/>
          <w:sz w:val="18"/>
          <w:szCs w:val="18"/>
          <w:u w:val="single"/>
          <w:lang w:val="zh-CN" w:bidi="zh-CN"/>
        </w:rPr>
        <w:t xml:space="preserve">    </w:t>
      </w:r>
      <w:r>
        <w:rPr>
          <w:rFonts w:ascii="仿宋" w:eastAsia="仿宋_GB2312" w:hAnsi="仿宋" w:hint="eastAsia"/>
          <w:color w:val="000000"/>
          <w:kern w:val="2"/>
          <w:sz w:val="20"/>
        </w:rPr>
        <w:t>日内提供以下补正内容：</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t>一、请求管理专利工作的部门出具确认不侵权意见，应当提交请求书及下列证明材料：</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自然人应当提交居民身份证或者其他有效身份证件；</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法人、非法人组织应当提交有效的营业执照或者其他主体资格证明文件副本及法定代表人或者主要负责人的身份证明；</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如请求人是利害关系人的，应提交证明材料；</w:t>
      </w:r>
      <w:r>
        <w:rPr>
          <w:rFonts w:ascii="仿宋" w:eastAsia="仿宋_GB2312" w:hAnsi="仿宋" w:hint="eastAsia"/>
          <w:color w:val="000000"/>
          <w:sz w:val="20"/>
        </w:rPr>
        <w:t xml:space="preserve"> </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国务院专利行政部门出具的专利登记簿副本；</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请求人应当按照被请求人的数量提供请求书副本及有关证据；</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请求事项证据清单。</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t>二、请求书应当记载以下内容：</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请求人的姓名或者名称、地址、联系方式</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法定代表人或者主要负责人的姓名、职务；</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委托代理人的，应当提供代理人的姓名、联系方式和代理机构或者所在单位的名称、地址，授权委托书必须记明委托事项和代理权限；</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被请求人的姓名或者名称、地址、联系方式；</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sym w:font="Wingdings 2" w:char="00A3"/>
      </w:r>
      <w:r>
        <w:rPr>
          <w:rFonts w:ascii="仿宋" w:eastAsia="仿宋_GB2312" w:hAnsi="仿宋" w:hint="eastAsia"/>
          <w:color w:val="000000"/>
          <w:sz w:val="20"/>
        </w:rPr>
        <w:t>请求处理的事项以及事实和理由；</w:t>
      </w:r>
    </w:p>
    <w:p w:rsidR="00800760" w:rsidRDefault="00235733">
      <w:pPr>
        <w:spacing w:line="360" w:lineRule="auto"/>
        <w:ind w:firstLine="400"/>
        <w:jc w:val="both"/>
        <w:rPr>
          <w:rFonts w:ascii="仿宋" w:eastAsia="仿宋_GB2312" w:hAnsi="仿宋"/>
          <w:color w:val="000000"/>
          <w:sz w:val="20"/>
        </w:rPr>
      </w:pPr>
      <w:r>
        <w:rPr>
          <w:rFonts w:ascii="仿宋" w:eastAsia="仿宋_GB2312" w:hAnsi="仿宋" w:hint="eastAsia"/>
          <w:color w:val="000000"/>
          <w:sz w:val="20"/>
        </w:rPr>
        <w:t>有关证据和证明材料可以以请求书附件的形式提交。请求书应当由请求人签字或者盖章。</w:t>
      </w:r>
    </w:p>
    <w:p w:rsidR="00800760" w:rsidRDefault="00235733">
      <w:pPr>
        <w:widowControl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书面形式一次性全面告知后，材料在指定期限内经补正符合本办法第十四条、第十五条等规定条件的，管理专利工作的部门将及时立案。逾期未补正或者补正后仍不符合相关规定的，不予立案。</w:t>
      </w:r>
    </w:p>
    <w:p w:rsidR="00800760" w:rsidRDefault="00235733">
      <w:pPr>
        <w:widowControl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特此通知。</w:t>
      </w:r>
    </w:p>
    <w:p w:rsidR="00800760" w:rsidRDefault="00800760">
      <w:pPr>
        <w:widowControl w:val="0"/>
        <w:spacing w:line="360" w:lineRule="auto"/>
        <w:ind w:firstLine="400"/>
        <w:jc w:val="both"/>
        <w:rPr>
          <w:rFonts w:ascii="仿宋" w:eastAsia="仿宋_GB2312" w:hAnsi="仿宋"/>
          <w:color w:val="000000"/>
          <w:kern w:val="2"/>
          <w:sz w:val="20"/>
        </w:rPr>
      </w:pPr>
    </w:p>
    <w:p w:rsidR="00800760" w:rsidRDefault="00800760" w:rsidP="00235733">
      <w:pPr>
        <w:widowControl w:val="0"/>
        <w:spacing w:line="360" w:lineRule="auto"/>
        <w:ind w:firstLine="400"/>
        <w:jc w:val="both"/>
        <w:rPr>
          <w:rFonts w:ascii="仿宋" w:eastAsia="仿宋_GB2312" w:hAnsi="仿宋"/>
          <w:color w:val="000000"/>
          <w:kern w:val="2"/>
          <w:sz w:val="20"/>
        </w:rPr>
      </w:pPr>
    </w:p>
    <w:p w:rsidR="00800760" w:rsidRDefault="00235733">
      <w:pPr>
        <w:widowControl w:val="0"/>
        <w:spacing w:line="360" w:lineRule="auto"/>
        <w:ind w:right="444" w:firstLineChars="0" w:firstLine="600"/>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pPr>
        <w:widowControl w:val="0"/>
        <w:tabs>
          <w:tab w:val="left" w:leader="underscore" w:pos="3094"/>
          <w:tab w:val="left" w:leader="underscore" w:pos="3762"/>
          <w:tab w:val="left" w:leader="underscore" w:pos="4424"/>
        </w:tabs>
        <w:snapToGrid w:val="0"/>
        <w:spacing w:line="360" w:lineRule="auto"/>
        <w:ind w:firstLineChars="2950" w:firstLine="6254"/>
        <w:jc w:val="both"/>
        <w:rPr>
          <w:rFonts w:ascii="仿宋_GB2312" w:eastAsia="仿宋_GB2312" w:hAnsi="宋体" w:cs="PMingLiU"/>
          <w:color w:val="000000"/>
          <w:spacing w:val="6"/>
          <w:kern w:val="2"/>
          <w:sz w:val="20"/>
          <w:lang w:val="zh-CN" w:bidi="zh-CN"/>
        </w:rPr>
      </w:pPr>
      <w:r>
        <w:rPr>
          <w:rFonts w:ascii="仿宋_GB2312" w:eastAsia="仿宋_GB2312" w:hAnsi="宋体" w:cs="PMingLiU" w:hint="eastAsia"/>
          <w:color w:val="000000"/>
          <w:spacing w:val="6"/>
          <w:kern w:val="2"/>
          <w:sz w:val="20"/>
          <w:u w:val="single"/>
          <w:lang w:val="zh-CN" w:bidi="zh-CN"/>
        </w:rPr>
        <w:t xml:space="preserve">      </w:t>
      </w:r>
      <w:r>
        <w:rPr>
          <w:rFonts w:ascii="仿宋_GB2312" w:eastAsia="仿宋_GB2312" w:hAnsi="宋体" w:cs="PMingLiU" w:hint="eastAsia"/>
          <w:color w:val="000000"/>
          <w:spacing w:val="6"/>
          <w:kern w:val="2"/>
          <w:sz w:val="20"/>
          <w:lang w:val="zh-CN" w:bidi="zh-CN"/>
        </w:rPr>
        <w:t>年</w:t>
      </w:r>
      <w:r>
        <w:rPr>
          <w:rFonts w:ascii="仿宋_GB2312" w:eastAsia="仿宋_GB2312" w:hAnsi="宋体" w:cs="PMingLiU" w:hint="eastAsia"/>
          <w:color w:val="000000"/>
          <w:spacing w:val="6"/>
          <w:kern w:val="2"/>
          <w:sz w:val="20"/>
          <w:u w:val="single"/>
          <w:lang w:val="zh-CN" w:bidi="zh-CN"/>
        </w:rPr>
        <w:t xml:space="preserve">    </w:t>
      </w:r>
      <w:r>
        <w:rPr>
          <w:rFonts w:ascii="仿宋_GB2312" w:eastAsia="仿宋_GB2312" w:hAnsi="宋体" w:cs="PMingLiU" w:hint="eastAsia"/>
          <w:color w:val="000000"/>
          <w:spacing w:val="6"/>
          <w:kern w:val="2"/>
          <w:sz w:val="20"/>
          <w:lang w:val="zh-CN" w:bidi="zh-CN"/>
        </w:rPr>
        <w:t>月</w:t>
      </w:r>
      <w:r>
        <w:rPr>
          <w:rFonts w:ascii="仿宋_GB2312" w:eastAsia="仿宋_GB2312" w:hAnsi="宋体" w:cs="PMingLiU" w:hint="eastAsia"/>
          <w:color w:val="000000"/>
          <w:spacing w:val="6"/>
          <w:kern w:val="2"/>
          <w:sz w:val="20"/>
          <w:u w:val="single"/>
          <w:lang w:val="zh-CN" w:bidi="zh-CN"/>
        </w:rPr>
        <w:t xml:space="preserve">    </w:t>
      </w:r>
      <w:r>
        <w:rPr>
          <w:rFonts w:ascii="仿宋_GB2312" w:eastAsia="仿宋_GB2312" w:hAnsi="宋体" w:cs="PMingLiU" w:hint="eastAsia"/>
          <w:color w:val="000000"/>
          <w:spacing w:val="6"/>
          <w:kern w:val="2"/>
          <w:sz w:val="20"/>
          <w:lang w:val="zh-CN" w:bidi="zh-CN"/>
        </w:rPr>
        <w:t>日</w:t>
      </w:r>
    </w:p>
    <w:p w:rsidR="00800760" w:rsidRDefault="00800760">
      <w:pPr>
        <w:widowControl w:val="0"/>
        <w:tabs>
          <w:tab w:val="left" w:leader="underscore" w:pos="3094"/>
          <w:tab w:val="left" w:leader="underscore" w:pos="3762"/>
          <w:tab w:val="left" w:leader="underscore" w:pos="4424"/>
        </w:tabs>
        <w:snapToGrid w:val="0"/>
        <w:spacing w:line="360" w:lineRule="auto"/>
        <w:ind w:firstLineChars="2550" w:firstLine="5100"/>
        <w:jc w:val="both"/>
        <w:rPr>
          <w:rFonts w:ascii="仿宋" w:eastAsia="仿宋_GB2312" w:hAnsi="仿宋"/>
          <w:color w:val="000000"/>
          <w:kern w:val="2"/>
          <w:sz w:val="20"/>
        </w:rPr>
      </w:pPr>
    </w:p>
    <w:p w:rsidR="00800760" w:rsidRDefault="00235733">
      <w:pPr>
        <w:widowControl w:val="0"/>
        <w:tabs>
          <w:tab w:val="left" w:leader="underscore" w:pos="3094"/>
          <w:tab w:val="left" w:leader="underscore" w:pos="3762"/>
          <w:tab w:val="left" w:leader="underscore" w:pos="4424"/>
        </w:tabs>
        <w:snapToGrid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联</w:t>
      </w:r>
      <w:r>
        <w:rPr>
          <w:rFonts w:ascii="仿宋" w:eastAsia="仿宋_GB2312" w:hAnsi="仿宋" w:hint="eastAsia"/>
          <w:color w:val="000000"/>
          <w:kern w:val="2"/>
          <w:sz w:val="20"/>
        </w:rPr>
        <w:t xml:space="preserve"> </w:t>
      </w:r>
      <w:r>
        <w:rPr>
          <w:rFonts w:ascii="仿宋" w:eastAsia="仿宋_GB2312" w:hAnsi="仿宋" w:hint="eastAsia"/>
          <w:color w:val="000000"/>
          <w:kern w:val="2"/>
          <w:sz w:val="20"/>
        </w:rPr>
        <w:t>系</w:t>
      </w:r>
      <w:r>
        <w:rPr>
          <w:rFonts w:ascii="仿宋" w:eastAsia="仿宋_GB2312" w:hAnsi="仿宋" w:hint="eastAsia"/>
          <w:color w:val="000000"/>
          <w:kern w:val="2"/>
          <w:sz w:val="20"/>
        </w:rPr>
        <w:t xml:space="preserve"> </w:t>
      </w:r>
      <w:r>
        <w:rPr>
          <w:rFonts w:ascii="仿宋" w:eastAsia="仿宋_GB2312" w:hAnsi="仿宋" w:hint="eastAsia"/>
          <w:color w:val="000000"/>
          <w:kern w:val="2"/>
          <w:sz w:val="20"/>
        </w:rPr>
        <w:t>人</w:t>
      </w:r>
      <w:r>
        <w:rPr>
          <w:rFonts w:ascii="仿宋" w:eastAsia="仿宋_GB2312" w:hAnsi="仿宋" w:hint="eastAsia"/>
          <w:color w:val="000000"/>
          <w:kern w:val="2"/>
          <w:sz w:val="20"/>
        </w:rPr>
        <w:t>:</w:t>
      </w:r>
    </w:p>
    <w:p w:rsidR="00800760" w:rsidRDefault="00235733">
      <w:pPr>
        <w:widowControl w:val="0"/>
        <w:tabs>
          <w:tab w:val="left" w:leader="underscore" w:pos="3094"/>
          <w:tab w:val="left" w:leader="underscore" w:pos="3762"/>
          <w:tab w:val="left" w:leader="underscore" w:pos="4424"/>
        </w:tabs>
        <w:snapToGrid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联系电话：</w:t>
      </w:r>
      <w:r>
        <w:rPr>
          <w:rFonts w:ascii="仿宋" w:eastAsia="仿宋_GB2312" w:hAnsi="仿宋" w:hint="eastAsia"/>
          <w:color w:val="000000"/>
          <w:kern w:val="2"/>
          <w:sz w:val="20"/>
        </w:rPr>
        <w:t xml:space="preserve"> </w:t>
      </w:r>
    </w:p>
    <w:p w:rsidR="00800760" w:rsidRDefault="00235733">
      <w:pPr>
        <w:widowControl w:val="0"/>
        <w:tabs>
          <w:tab w:val="left" w:leader="underscore" w:pos="3094"/>
          <w:tab w:val="left" w:leader="underscore" w:pos="3762"/>
          <w:tab w:val="left" w:leader="underscore" w:pos="4424"/>
        </w:tabs>
        <w:snapToGrid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本局地址：</w:t>
      </w:r>
      <w:r>
        <w:rPr>
          <w:rFonts w:ascii="仿宋" w:eastAsia="仿宋_GB2312" w:hAnsi="仿宋" w:hint="eastAsia"/>
          <w:color w:val="000000"/>
          <w:kern w:val="2"/>
          <w:sz w:val="20"/>
        </w:rPr>
        <w:t xml:space="preserve">  </w:t>
      </w:r>
    </w:p>
    <w:p w:rsidR="00800760" w:rsidRDefault="00235733">
      <w:pPr>
        <w:widowControl w:val="0"/>
        <w:tabs>
          <w:tab w:val="left" w:leader="underscore" w:pos="3094"/>
          <w:tab w:val="left" w:leader="underscore" w:pos="3762"/>
          <w:tab w:val="left" w:leader="underscore" w:pos="4424"/>
        </w:tabs>
        <w:snapToGrid w:val="0"/>
        <w:spacing w:line="360" w:lineRule="auto"/>
        <w:ind w:firstLine="400"/>
        <w:jc w:val="both"/>
        <w:rPr>
          <w:rFonts w:ascii="仿宋" w:eastAsia="仿宋_GB2312" w:hAnsi="仿宋"/>
          <w:color w:val="000000"/>
          <w:kern w:val="2"/>
          <w:sz w:val="20"/>
        </w:rPr>
      </w:pPr>
      <w:r>
        <w:rPr>
          <w:rFonts w:ascii="仿宋" w:eastAsia="仿宋_GB2312" w:hAnsi="仿宋" w:hint="eastAsia"/>
          <w:color w:val="000000"/>
          <w:kern w:val="2"/>
          <w:sz w:val="20"/>
        </w:rPr>
        <w:t>邮政编码：</w:t>
      </w:r>
      <w:r>
        <w:rPr>
          <w:rFonts w:ascii="仿宋" w:eastAsia="仿宋_GB2312" w:hAnsi="仿宋" w:hint="eastAsia"/>
          <w:color w:val="000000"/>
          <w:kern w:val="2"/>
          <w:sz w:val="20"/>
        </w:rPr>
        <w:t xml:space="preserve"> </w:t>
      </w:r>
    </w:p>
    <w:p w:rsidR="00800760" w:rsidRDefault="00800760">
      <w:pPr>
        <w:spacing w:line="360" w:lineRule="auto"/>
        <w:ind w:firstLineChars="0" w:firstLine="0"/>
        <w:rPr>
          <w:rFonts w:ascii="仿宋_GB2312" w:eastAsia="仿宋_GB2312" w:hAnsi="仿宋"/>
          <w:color w:val="000000"/>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800760" w:rsidRDefault="00800760">
      <w:pPr>
        <w:spacing w:line="240" w:lineRule="auto"/>
        <w:ind w:firstLineChars="0" w:firstLine="0"/>
        <w:rPr>
          <w:sz w:val="20"/>
        </w:rPr>
      </w:pPr>
    </w:p>
    <w:p w:rsidR="00E0701A" w:rsidRDefault="00E0701A"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E0701A" w:rsidRDefault="00E0701A"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B30D69" w:rsidRDefault="00B30D69"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B30D69" w:rsidRDefault="00B30D69"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545851" w:rsidRDefault="00545851"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hint="eastAsia"/>
          <w:color w:val="000000"/>
          <w:spacing w:val="6"/>
          <w:sz w:val="36"/>
          <w:szCs w:val="36"/>
        </w:rPr>
        <w:t>确认不侵权咨询意见</w:t>
      </w:r>
      <w:r>
        <w:rPr>
          <w:rFonts w:ascii="方正小标宋_GBK" w:eastAsia="方正小标宋_GBK" w:hAnsi="宋体"/>
          <w:color w:val="000000"/>
          <w:spacing w:val="6"/>
          <w:sz w:val="36"/>
          <w:szCs w:val="36"/>
        </w:rPr>
        <w:t>答辩通知书</w:t>
      </w:r>
    </w:p>
    <w:p w:rsidR="00800760" w:rsidRDefault="00235733">
      <w:pPr>
        <w:widowControl w:val="0"/>
        <w:spacing w:line="360" w:lineRule="auto"/>
        <w:ind w:firstLineChars="0" w:firstLine="0"/>
        <w:jc w:val="right"/>
        <w:rPr>
          <w:rFonts w:ascii="仿宋" w:eastAsia="仿宋_GB2312" w:hAnsi="仿宋"/>
          <w:color w:val="000000"/>
          <w:sz w:val="20"/>
        </w:rPr>
      </w:pPr>
      <w:r>
        <w:rPr>
          <w:rFonts w:ascii="仿宋" w:eastAsia="仿宋_GB2312" w:hAnsi="仿宋"/>
          <w:color w:val="000000"/>
          <w:sz w:val="20"/>
        </w:rPr>
        <w:t>案号：</w:t>
      </w:r>
      <w:r>
        <w:rPr>
          <w:rFonts w:ascii="仿宋" w:eastAsia="仿宋_GB2312" w:hAnsi="仿宋" w:hint="eastAsia"/>
          <w:color w:val="000000"/>
          <w:sz w:val="20"/>
        </w:rPr>
        <w:t>____________________</w:t>
      </w:r>
    </w:p>
    <w:tbl>
      <w:tblPr>
        <w:tblW w:w="5000" w:type="pct"/>
        <w:jc w:val="center"/>
        <w:tblCellMar>
          <w:left w:w="10" w:type="dxa"/>
          <w:right w:w="10" w:type="dxa"/>
        </w:tblCellMar>
        <w:tblLook w:val="04A0"/>
      </w:tblPr>
      <w:tblGrid>
        <w:gridCol w:w="1914"/>
        <w:gridCol w:w="7953"/>
      </w:tblGrid>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7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03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70"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4030"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bl>
    <w:p w:rsidR="00800760" w:rsidRDefault="00235733">
      <w:pPr>
        <w:tabs>
          <w:tab w:val="left" w:leader="underscore" w:pos="3094"/>
        </w:tabs>
        <w:ind w:firstLineChars="0" w:firstLine="0"/>
        <w:jc w:val="both"/>
        <w:rPr>
          <w:rFonts w:ascii="仿宋" w:hAnsi="仿宋"/>
          <w:color w:val="000000"/>
          <w:sz w:val="20"/>
        </w:rPr>
      </w:pPr>
      <w:r>
        <w:rPr>
          <w:rFonts w:hint="eastAsia"/>
          <w:color w:val="000000"/>
          <w:sz w:val="20"/>
          <w:u w:val="single"/>
        </w:rPr>
        <w:t xml:space="preserve">  </w:t>
      </w:r>
      <w:r>
        <w:rPr>
          <w:rFonts w:ascii="仿宋" w:eastAsia="仿宋_GB2312" w:hAnsi="仿宋" w:hint="eastAsia"/>
          <w:sz w:val="20"/>
          <w:u w:val="single"/>
        </w:rPr>
        <w:t xml:space="preserve">     </w:t>
      </w:r>
      <w:r>
        <w:rPr>
          <w:rFonts w:hint="eastAsia"/>
          <w:color w:val="000000"/>
          <w:sz w:val="20"/>
          <w:u w:val="single"/>
        </w:rPr>
        <w:t xml:space="preserve">   </w:t>
      </w:r>
      <w:r>
        <w:rPr>
          <w:rFonts w:hint="eastAsia"/>
          <w:color w:val="000000"/>
          <w:sz w:val="20"/>
        </w:rPr>
        <w:t>：</w:t>
      </w:r>
    </w:p>
    <w:p w:rsidR="00800760" w:rsidRDefault="00235733">
      <w:pPr>
        <w:tabs>
          <w:tab w:val="left" w:leader="underscore" w:pos="3094"/>
        </w:tabs>
        <w:ind w:firstLine="400"/>
        <w:jc w:val="both"/>
        <w:rPr>
          <w:rFonts w:ascii="仿宋" w:eastAsia="仿宋_GB2312" w:hAnsi="仿宋"/>
          <w:color w:val="000000"/>
          <w:sz w:val="20"/>
        </w:rPr>
      </w:pPr>
      <w:r>
        <w:rPr>
          <w:rFonts w:ascii="仿宋" w:eastAsia="仿宋_GB2312" w:hAnsi="仿宋"/>
          <w:color w:val="000000"/>
          <w:sz w:val="20"/>
        </w:rPr>
        <w:t>本局已经对请求人</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年</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月</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日提交的专利权纠纷处理请求进行立案。根据</w:t>
      </w:r>
      <w:r>
        <w:rPr>
          <w:rFonts w:ascii="仿宋" w:eastAsia="仿宋_GB2312" w:hAnsi="仿宋" w:hint="eastAsia"/>
          <w:color w:val="000000"/>
          <w:sz w:val="20"/>
        </w:rPr>
        <w:t>《专利纠纷行政裁决和调解办法》的</w:t>
      </w:r>
      <w:r>
        <w:rPr>
          <w:rFonts w:ascii="仿宋" w:eastAsia="仿宋_GB2312" w:hAnsi="仿宋"/>
          <w:color w:val="000000"/>
          <w:sz w:val="20"/>
        </w:rPr>
        <w:t>规定，现将</w:t>
      </w:r>
      <w:r>
        <w:rPr>
          <w:rFonts w:ascii="仿宋" w:eastAsia="仿宋_GB2312" w:hAnsi="仿宋" w:hint="eastAsia"/>
          <w:color w:val="000000"/>
          <w:sz w:val="20"/>
        </w:rPr>
        <w:t>确认出具不侵权咨询意见</w:t>
      </w:r>
      <w:r>
        <w:rPr>
          <w:rFonts w:ascii="仿宋" w:eastAsia="仿宋_GB2312" w:hAnsi="仿宋"/>
          <w:color w:val="000000"/>
          <w:sz w:val="20"/>
        </w:rPr>
        <w:t>请求书及其附件的副本发送给你（单位），并将有关事项通知如下：</w:t>
      </w:r>
    </w:p>
    <w:p w:rsidR="00800760" w:rsidRDefault="00235733">
      <w:pPr>
        <w:tabs>
          <w:tab w:val="left" w:leader="underscore" w:pos="3094"/>
        </w:tabs>
        <w:ind w:firstLine="400"/>
        <w:jc w:val="both"/>
        <w:rPr>
          <w:rFonts w:ascii="仿宋" w:eastAsia="仿宋_GB2312" w:hAnsi="仿宋"/>
          <w:color w:val="000000"/>
          <w:sz w:val="20"/>
        </w:rPr>
      </w:pPr>
      <w:r>
        <w:rPr>
          <w:rFonts w:ascii="仿宋" w:eastAsia="仿宋_GB2312" w:hAnsi="仿宋"/>
          <w:color w:val="000000"/>
          <w:sz w:val="20"/>
        </w:rPr>
        <w:t>你（单位</w:t>
      </w:r>
      <w:r>
        <w:rPr>
          <w:rFonts w:ascii="仿宋" w:eastAsia="仿宋_GB2312" w:hAnsi="仿宋" w:hint="eastAsia"/>
          <w:color w:val="000000"/>
          <w:sz w:val="20"/>
        </w:rPr>
        <w:t>）</w:t>
      </w:r>
      <w:r>
        <w:rPr>
          <w:rFonts w:ascii="仿宋" w:eastAsia="仿宋_GB2312" w:hAnsi="仿宋"/>
          <w:color w:val="000000"/>
          <w:sz w:val="20"/>
        </w:rPr>
        <w:t>应当在收到请求书副本之日起</w:t>
      </w:r>
      <w:r>
        <w:rPr>
          <w:rFonts w:eastAsia="仿宋_GB2312"/>
          <w:color w:val="000000"/>
          <w:sz w:val="20"/>
        </w:rPr>
        <w:t>15</w:t>
      </w:r>
      <w:r>
        <w:rPr>
          <w:rFonts w:ascii="仿宋" w:eastAsia="仿宋_GB2312" w:hAnsi="仿宋"/>
          <w:color w:val="000000"/>
          <w:sz w:val="20"/>
        </w:rPr>
        <w:t>日内向本局提交：</w:t>
      </w:r>
    </w:p>
    <w:p w:rsidR="00800760" w:rsidRDefault="00235733">
      <w:pPr>
        <w:tabs>
          <w:tab w:val="left" w:leader="underscore" w:pos="3094"/>
        </w:tabs>
        <w:ind w:firstLine="400"/>
        <w:jc w:val="both"/>
        <w:rPr>
          <w:rFonts w:ascii="仿宋_GB2312" w:eastAsia="仿宋_GB2312" w:hAnsi="仿宋"/>
          <w:color w:val="000000"/>
          <w:sz w:val="20"/>
        </w:rPr>
      </w:pPr>
      <w:r>
        <w:rPr>
          <w:rFonts w:eastAsia="仿宋_GB2312" w:hint="eastAsia"/>
          <w:color w:val="000000"/>
          <w:sz w:val="20"/>
        </w:rPr>
        <w:t>1.</w:t>
      </w:r>
      <w:r>
        <w:rPr>
          <w:rFonts w:ascii="仿宋_GB2312" w:eastAsia="仿宋_GB2312" w:hAnsi="仿宋" w:hint="eastAsia"/>
          <w:color w:val="000000"/>
          <w:sz w:val="20"/>
        </w:rPr>
        <w:t>答辩书及相关证据</w:t>
      </w:r>
      <w:r>
        <w:rPr>
          <w:rFonts w:ascii="仿宋" w:eastAsia="仿宋_GB2312" w:hAnsi="仿宋" w:hint="eastAsia"/>
          <w:color w:val="000000"/>
          <w:sz w:val="20"/>
        </w:rPr>
        <w:t>一</w:t>
      </w:r>
      <w:r>
        <w:rPr>
          <w:rFonts w:ascii="仿宋_GB2312" w:eastAsia="仿宋_GB2312" w:hAnsi="仿宋" w:hint="eastAsia"/>
          <w:color w:val="000000"/>
          <w:sz w:val="20"/>
        </w:rPr>
        <w:t>份，并按照请求人的人数提出副本。</w:t>
      </w:r>
    </w:p>
    <w:p w:rsidR="00800760" w:rsidRDefault="00235733">
      <w:pPr>
        <w:tabs>
          <w:tab w:val="left" w:leader="underscore" w:pos="3094"/>
        </w:tabs>
        <w:ind w:firstLine="400"/>
        <w:jc w:val="both"/>
        <w:rPr>
          <w:rFonts w:ascii="Cambria Math" w:eastAsia="仿宋_GB2312" w:hAnsi="Cambria Math"/>
          <w:color w:val="000000"/>
          <w:sz w:val="20"/>
        </w:rPr>
      </w:pPr>
      <w:r>
        <w:rPr>
          <w:rFonts w:eastAsia="仿宋_GB2312" w:hint="eastAsia"/>
          <w:color w:val="000000"/>
          <w:sz w:val="20"/>
        </w:rPr>
        <w:t>2.</w:t>
      </w:r>
      <w:r>
        <w:rPr>
          <w:rFonts w:ascii="Cambria Math" w:eastAsia="仿宋_GB2312" w:hAnsi="仿宋"/>
          <w:color w:val="000000"/>
          <w:sz w:val="20"/>
        </w:rPr>
        <w:t>主体资格证明（如：</w:t>
      </w:r>
      <w:r>
        <w:rPr>
          <w:rFonts w:ascii="仿宋" w:eastAsia="仿宋_GB2312" w:hAnsi="仿宋" w:hint="eastAsia"/>
          <w:color w:val="000000"/>
          <w:sz w:val="20"/>
        </w:rPr>
        <w:t>注册登记的</w:t>
      </w:r>
      <w:r>
        <w:rPr>
          <w:rFonts w:ascii="Cambria Math" w:eastAsia="仿宋_GB2312" w:hAnsi="仿宋"/>
          <w:color w:val="000000"/>
          <w:sz w:val="20"/>
        </w:rPr>
        <w:t>法人提供营业执照副本复印件或者其他主体资格证明文件并加盖单位公章，自然人提供身份证正反面复印件）。</w:t>
      </w:r>
    </w:p>
    <w:p w:rsidR="00800760" w:rsidRDefault="00235733">
      <w:pPr>
        <w:tabs>
          <w:tab w:val="left" w:pos="794"/>
        </w:tabs>
        <w:ind w:left="440" w:firstLineChars="0" w:firstLine="0"/>
        <w:jc w:val="both"/>
        <w:rPr>
          <w:rFonts w:ascii="仿宋_GB2312" w:eastAsia="仿宋_GB2312" w:hAnsi="仿宋"/>
          <w:color w:val="000000"/>
          <w:sz w:val="20"/>
        </w:rPr>
      </w:pPr>
      <w:r>
        <w:rPr>
          <w:rFonts w:eastAsia="仿宋_GB2312" w:hint="eastAsia"/>
          <w:color w:val="000000"/>
          <w:sz w:val="20"/>
        </w:rPr>
        <w:t>3.</w:t>
      </w:r>
      <w:r>
        <w:rPr>
          <w:rFonts w:ascii="仿宋_GB2312" w:eastAsia="仿宋_GB2312" w:hAnsi="仿宋" w:hint="eastAsia"/>
          <w:color w:val="000000"/>
          <w:sz w:val="20"/>
        </w:rPr>
        <w:t>如委托代理人的，需提交授权委托书</w:t>
      </w:r>
      <w:r>
        <w:rPr>
          <w:rFonts w:ascii="仿宋" w:eastAsia="仿宋_GB2312" w:hAnsi="仿宋" w:hint="eastAsia"/>
          <w:color w:val="000000"/>
          <w:sz w:val="20"/>
        </w:rPr>
        <w:t>，明确委托事项</w:t>
      </w:r>
      <w:r>
        <w:rPr>
          <w:rFonts w:ascii="仿宋_GB2312" w:eastAsia="仿宋_GB2312" w:hAnsi="仿宋" w:hint="eastAsia"/>
          <w:color w:val="000000"/>
          <w:sz w:val="20"/>
        </w:rPr>
        <w:t>。</w:t>
      </w:r>
    </w:p>
    <w:p w:rsidR="00800760" w:rsidRDefault="00235733">
      <w:pPr>
        <w:ind w:firstLineChars="0" w:firstLine="440"/>
        <w:jc w:val="both"/>
        <w:rPr>
          <w:rFonts w:ascii="仿宋" w:eastAsia="仿宋_GB2312" w:hAnsi="仿宋"/>
          <w:color w:val="000000"/>
          <w:sz w:val="20"/>
        </w:rPr>
      </w:pPr>
      <w:r>
        <w:rPr>
          <w:rFonts w:ascii="仿宋" w:eastAsia="仿宋_GB2312" w:hAnsi="仿宋"/>
          <w:color w:val="000000"/>
          <w:sz w:val="20"/>
        </w:rPr>
        <w:t>逾期不提交的，不影响本局对本案进行处理。</w:t>
      </w:r>
    </w:p>
    <w:p w:rsidR="00800760" w:rsidRDefault="00800760">
      <w:pPr>
        <w:widowControl w:val="0"/>
        <w:wordWrap w:val="0"/>
        <w:ind w:firstLineChars="0" w:firstLine="600"/>
        <w:jc w:val="right"/>
        <w:rPr>
          <w:rFonts w:ascii="仿宋_GB2312" w:eastAsia="仿宋_GB2312" w:hAnsi="宋体"/>
          <w:color w:val="000000"/>
          <w:spacing w:val="6"/>
          <w:sz w:val="20"/>
        </w:rPr>
      </w:pPr>
    </w:p>
    <w:p w:rsidR="00800760" w:rsidRDefault="00235733">
      <w:pPr>
        <w:widowControl w:val="0"/>
        <w:wordWrap w:val="0"/>
        <w:ind w:firstLineChars="0" w:firstLine="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235733">
      <w:pPr>
        <w:tabs>
          <w:tab w:val="left" w:pos="4482"/>
        </w:tabs>
        <w:ind w:firstLineChars="0" w:firstLine="0"/>
        <w:jc w:val="both"/>
        <w:rPr>
          <w:rFonts w:ascii="仿宋" w:eastAsia="仿宋_GB2312" w:hAnsi="仿宋"/>
          <w:color w:val="000000"/>
          <w:sz w:val="20"/>
        </w:rPr>
      </w:pPr>
      <w:r>
        <w:rPr>
          <w:rFonts w:ascii="仿宋" w:eastAsia="仿宋_GB2312" w:hAnsi="仿宋"/>
          <w:color w:val="000000"/>
          <w:sz w:val="20"/>
        </w:rPr>
        <w:t>案件承办人：</w:t>
      </w:r>
    </w:p>
    <w:p w:rsidR="00800760" w:rsidRDefault="00235733">
      <w:pPr>
        <w:tabs>
          <w:tab w:val="left" w:pos="4482"/>
        </w:tabs>
        <w:ind w:firstLineChars="0" w:firstLine="0"/>
        <w:jc w:val="both"/>
        <w:rPr>
          <w:rFonts w:ascii="仿宋" w:eastAsia="仿宋_GB2312" w:hAnsi="仿宋"/>
          <w:color w:val="000000"/>
          <w:sz w:val="20"/>
        </w:rPr>
      </w:pPr>
      <w:r>
        <w:rPr>
          <w:rFonts w:ascii="仿宋" w:eastAsia="仿宋_GB2312" w:hAnsi="仿宋"/>
          <w:color w:val="000000"/>
          <w:sz w:val="20"/>
        </w:rPr>
        <w:t>联系电话：</w:t>
      </w:r>
      <w:r>
        <w:rPr>
          <w:rFonts w:ascii="仿宋" w:eastAsia="仿宋_GB2312" w:hAnsi="仿宋" w:hint="eastAsia"/>
          <w:color w:val="000000"/>
          <w:sz w:val="20"/>
        </w:rPr>
        <w:t xml:space="preserve">                                 </w:t>
      </w:r>
    </w:p>
    <w:p w:rsidR="00800760" w:rsidRDefault="00235733">
      <w:pPr>
        <w:tabs>
          <w:tab w:val="left" w:pos="4482"/>
        </w:tabs>
        <w:ind w:firstLineChars="0" w:firstLine="0"/>
        <w:jc w:val="both"/>
        <w:rPr>
          <w:rFonts w:ascii="仿宋" w:eastAsia="仿宋_GB2312" w:hAnsi="仿宋"/>
          <w:color w:val="000000"/>
          <w:sz w:val="20"/>
        </w:rPr>
      </w:pPr>
      <w:r>
        <w:rPr>
          <w:rFonts w:ascii="仿宋" w:eastAsia="仿宋_GB2312" w:hAnsi="仿宋"/>
          <w:color w:val="000000"/>
          <w:sz w:val="20"/>
        </w:rPr>
        <w:t>本局地址：</w:t>
      </w:r>
    </w:p>
    <w:p w:rsidR="00800760" w:rsidRDefault="00235733">
      <w:pPr>
        <w:tabs>
          <w:tab w:val="left" w:pos="4482"/>
        </w:tabs>
        <w:ind w:firstLineChars="0" w:firstLine="0"/>
        <w:jc w:val="both"/>
        <w:rPr>
          <w:rFonts w:ascii="仿宋" w:eastAsia="仿宋_GB2312" w:hAnsi="仿宋"/>
          <w:color w:val="000000"/>
          <w:sz w:val="20"/>
        </w:rPr>
      </w:pPr>
      <w:r>
        <w:rPr>
          <w:rFonts w:ascii="仿宋" w:eastAsia="仿宋_GB2312" w:hAnsi="仿宋"/>
          <w:color w:val="000000"/>
          <w:sz w:val="20"/>
        </w:rPr>
        <w:t>邮政编码：</w:t>
      </w:r>
    </w:p>
    <w:p w:rsidR="00800760" w:rsidRDefault="00800760" w:rsidP="00C22A7B">
      <w:pPr>
        <w:tabs>
          <w:tab w:val="left" w:pos="4482"/>
        </w:tabs>
        <w:spacing w:beforeLines="50" w:afterLines="50"/>
        <w:ind w:firstLineChars="0" w:firstLine="0"/>
        <w:jc w:val="both"/>
        <w:rPr>
          <w:rFonts w:ascii="仿宋" w:eastAsia="仿宋_GB2312" w:hAnsi="仿宋"/>
          <w:color w:val="000000"/>
          <w:sz w:val="20"/>
        </w:rPr>
      </w:pPr>
    </w:p>
    <w:p w:rsidR="00800760" w:rsidRDefault="00235733">
      <w:pPr>
        <w:shd w:val="clear" w:color="auto" w:fill="FFFFFF"/>
        <w:spacing w:line="600" w:lineRule="atLeast"/>
        <w:ind w:firstLine="424"/>
        <w:outlineLvl w:val="0"/>
        <w:rPr>
          <w:rFonts w:ascii="仿宋" w:eastAsia="仿宋_GB2312" w:hAnsi="仿宋" w:cs="Arial"/>
          <w:color w:val="000000"/>
          <w:spacing w:val="6"/>
          <w:sz w:val="20"/>
          <w:lang w:val="en-US"/>
        </w:rPr>
      </w:pPr>
      <w:bookmarkStart w:id="9316" w:name="_Toc229225665"/>
      <w:r>
        <w:rPr>
          <w:rFonts w:ascii="仿宋" w:eastAsia="仿宋_GB2312" w:hAnsi="仿宋" w:cs="Arial"/>
          <w:color w:val="000000"/>
          <w:spacing w:val="6"/>
          <w:sz w:val="20"/>
          <w:lang w:val="en-US"/>
        </w:rPr>
        <w:t>说明：本通知书一式两份，一份送达当事人，一份由知识产权局存档</w:t>
      </w:r>
      <w:r>
        <w:rPr>
          <w:rFonts w:ascii="仿宋" w:eastAsia="仿宋_GB2312" w:hAnsi="仿宋" w:cs="Arial" w:hint="eastAsia"/>
          <w:color w:val="000000"/>
          <w:spacing w:val="6"/>
          <w:sz w:val="20"/>
          <w:lang w:val="en-US"/>
        </w:rPr>
        <w:t>。</w:t>
      </w:r>
      <w:bookmarkEnd w:id="9316"/>
    </w:p>
    <w:p w:rsidR="00800760" w:rsidRDefault="00235733">
      <w:pPr>
        <w:spacing w:line="240" w:lineRule="auto"/>
        <w:ind w:firstLineChars="0" w:firstLine="0"/>
        <w:rPr>
          <w:rFonts w:cs="Arial"/>
          <w:spacing w:val="6"/>
          <w:sz w:val="20"/>
          <w:lang w:val="en-US"/>
        </w:rPr>
      </w:pPr>
      <w:r>
        <w:rPr>
          <w:sz w:val="20"/>
        </w:rPr>
        <w:br w:type="page"/>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hint="eastAsia"/>
          <w:color w:val="000000"/>
          <w:spacing w:val="6"/>
          <w:sz w:val="36"/>
          <w:szCs w:val="36"/>
        </w:rPr>
        <w:t>确认不侵权咨询意见决定书</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请求人：</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法定代表人</w:t>
      </w:r>
      <w:r>
        <w:rPr>
          <w:rFonts w:ascii="仿宋_GB2312" w:eastAsia="仿宋_GB2312" w:hAnsi="仿宋" w:cs="PMingLiU" w:hint="eastAsia"/>
          <w:color w:val="000000"/>
          <w:sz w:val="20"/>
          <w:lang w:val="en-US" w:bidi="en-US"/>
        </w:rPr>
        <w:t>（</w:t>
      </w:r>
      <w:r>
        <w:rPr>
          <w:rFonts w:ascii="仿宋_GB2312" w:eastAsia="仿宋_GB2312" w:hAnsi="仿宋" w:cs="PMingLiU" w:hint="eastAsia"/>
          <w:color w:val="000000"/>
          <w:sz w:val="20"/>
        </w:rPr>
        <w:t>负责人</w:t>
      </w:r>
      <w:r>
        <w:rPr>
          <w:rFonts w:ascii="仿宋_GB2312" w:eastAsia="仿宋_GB2312" w:hAnsi="仿宋" w:cs="PMingLiU" w:hint="eastAsia"/>
          <w:color w:val="000000"/>
          <w:sz w:val="20"/>
          <w:lang w:val="en-US" w:bidi="en-US"/>
        </w:rPr>
        <w:t>）：</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住所：</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委托代理人：</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被请求人：</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法定代表人</w:t>
      </w:r>
      <w:r>
        <w:rPr>
          <w:rFonts w:ascii="仿宋_GB2312" w:eastAsia="仿宋_GB2312" w:hAnsi="仿宋" w:cs="PMingLiU" w:hint="eastAsia"/>
          <w:color w:val="000000"/>
          <w:sz w:val="20"/>
          <w:lang w:val="en-US" w:bidi="en-US"/>
        </w:rPr>
        <w:t>（</w:t>
      </w:r>
      <w:r>
        <w:rPr>
          <w:rFonts w:ascii="仿宋_GB2312" w:eastAsia="仿宋_GB2312" w:hAnsi="仿宋" w:cs="PMingLiU" w:hint="eastAsia"/>
          <w:color w:val="000000"/>
          <w:sz w:val="20"/>
        </w:rPr>
        <w:t>负责人</w:t>
      </w:r>
      <w:r>
        <w:rPr>
          <w:rFonts w:ascii="仿宋_GB2312" w:eastAsia="仿宋_GB2312" w:hAnsi="仿宋" w:cs="PMingLiU" w:hint="eastAsia"/>
          <w:color w:val="000000"/>
          <w:sz w:val="20"/>
          <w:lang w:val="en-US" w:bidi="en-US"/>
        </w:rPr>
        <w:t>）：</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住所：</w:t>
      </w:r>
    </w:p>
    <w:p w:rsidR="00800760" w:rsidRDefault="00800760">
      <w:pPr>
        <w:spacing w:line="288" w:lineRule="auto"/>
        <w:ind w:firstLine="400"/>
        <w:rPr>
          <w:rFonts w:ascii="仿宋_GB2312" w:eastAsia="仿宋_GB2312" w:hAnsi="仿宋" w:cs="PMingLiU"/>
          <w:color w:val="000000"/>
          <w:sz w:val="20"/>
        </w:rPr>
      </w:pP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委托代理人：</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一、案由</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请求人</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以</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为被请求人提出出具确认不侵权意见请求。请求涉及名称为“</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”的发明/实用新型/外观设计专利(专利号：ZLXX，以下简称“涉案专利”)。</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本局</w:t>
      </w:r>
      <w:r>
        <w:rPr>
          <w:rFonts w:ascii="仿宋_GB2312" w:eastAsia="仿宋_GB2312" w:hAnsi="仿宋" w:hint="eastAsia"/>
          <w:color w:val="000000"/>
          <w:sz w:val="20"/>
        </w:rPr>
        <w:t>依据《专利纠纷行政裁决和调解办法》第十三条的规定于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仿宋" w:cs="PMingLiU" w:hint="eastAsia"/>
          <w:color w:val="000000"/>
          <w:sz w:val="20"/>
        </w:rPr>
        <w:t>受理该请求，并依据请求人和被请求人提交的材料完成审理。</w:t>
      </w:r>
    </w:p>
    <w:p w:rsidR="00800760" w:rsidRDefault="00235733">
      <w:pPr>
        <w:tabs>
          <w:tab w:val="left" w:leader="underscore" w:pos="1947"/>
        </w:tabs>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二、双方当事人提交的证据</w:t>
      </w:r>
    </w:p>
    <w:p w:rsidR="00800760" w:rsidRDefault="00235733">
      <w:pPr>
        <w:tabs>
          <w:tab w:val="left" w:leader="underscore" w:pos="1947"/>
        </w:tabs>
        <w:spacing w:line="288" w:lineRule="auto"/>
        <w:ind w:firstLineChars="250" w:firstLine="500"/>
        <w:jc w:val="both"/>
        <w:rPr>
          <w:rFonts w:ascii="仿宋_GB2312" w:eastAsia="仿宋_GB2312" w:hAnsi="仿宋"/>
          <w:color w:val="000000"/>
          <w:sz w:val="20"/>
        </w:rPr>
      </w:pPr>
      <w:r>
        <w:rPr>
          <w:rFonts w:ascii="仿宋_GB2312" w:eastAsia="仿宋_GB2312" w:hAnsi="仿宋" w:hint="eastAsia"/>
          <w:color w:val="000000"/>
          <w:sz w:val="20"/>
        </w:rPr>
        <w:t xml:space="preserve">（一）请求人 </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为证明其主张提交了X份证据。</w:t>
      </w:r>
    </w:p>
    <w:p w:rsidR="00800760" w:rsidRDefault="00235733">
      <w:pPr>
        <w:tabs>
          <w:tab w:val="left" w:leader="underscore" w:pos="1947"/>
        </w:tabs>
        <w:spacing w:line="288" w:lineRule="auto"/>
        <w:ind w:firstLineChars="250" w:firstLine="500"/>
        <w:jc w:val="both"/>
        <w:rPr>
          <w:rFonts w:ascii="仿宋_GB2312" w:eastAsia="仿宋_GB2312" w:hAnsi="仿宋"/>
          <w:color w:val="000000"/>
          <w:sz w:val="20"/>
        </w:rPr>
      </w:pPr>
      <w:r>
        <w:rPr>
          <w:rFonts w:ascii="仿宋_GB2312" w:eastAsia="仿宋_GB2312" w:hAnsi="仿宋" w:hint="eastAsia"/>
          <w:color w:val="000000"/>
          <w:sz w:val="20"/>
        </w:rPr>
        <w:t>（二）被请求人</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为证明其主张提交了X份证据。</w:t>
      </w:r>
    </w:p>
    <w:p w:rsidR="00800760" w:rsidRDefault="00235733">
      <w:pPr>
        <w:tabs>
          <w:tab w:val="left" w:leader="underscore" w:pos="1947"/>
        </w:tabs>
        <w:spacing w:line="288" w:lineRule="auto"/>
        <w:ind w:firstLine="400"/>
        <w:jc w:val="both"/>
        <w:rPr>
          <w:rFonts w:ascii="仿宋_GB2312" w:eastAsia="仿宋_GB2312" w:hAnsi="仿宋" w:cs="PMingLiU"/>
          <w:color w:val="000000"/>
          <w:sz w:val="20"/>
        </w:rPr>
      </w:pPr>
      <w:r>
        <w:rPr>
          <w:rFonts w:ascii="仿宋_GB2312" w:eastAsia="仿宋_GB2312" w:hAnsi="仿宋" w:cs="PMingLiU" w:hint="eastAsia"/>
          <w:color w:val="000000"/>
          <w:sz w:val="20"/>
        </w:rPr>
        <w:t>三、合议组查明的事实</w:t>
      </w:r>
    </w:p>
    <w:p w:rsidR="00800760" w:rsidRDefault="00235733">
      <w:pPr>
        <w:tabs>
          <w:tab w:val="left" w:leader="underscore" w:pos="1947"/>
        </w:tabs>
        <w:spacing w:line="288" w:lineRule="auto"/>
        <w:ind w:firstLine="400"/>
        <w:jc w:val="both"/>
        <w:rPr>
          <w:rFonts w:ascii="仿宋_GB2312" w:eastAsia="仿宋_GB2312" w:hAnsi="仿宋" w:cs="PMingLiU"/>
          <w:color w:val="000000"/>
          <w:sz w:val="20"/>
        </w:rPr>
      </w:pPr>
      <w:r>
        <w:rPr>
          <w:rFonts w:ascii="仿宋_GB2312" w:eastAsia="仿宋_GB2312" w:hAnsi="仿宋" w:cs="PMingLiU" w:hint="eastAsia"/>
          <w:color w:val="000000"/>
          <w:sz w:val="20"/>
        </w:rPr>
        <w:t>（一）关于涉案专利</w:t>
      </w:r>
    </w:p>
    <w:p w:rsidR="00800760" w:rsidRDefault="00235733">
      <w:pPr>
        <w:tabs>
          <w:tab w:val="left" w:leader="underscore" w:pos="1947"/>
        </w:tabs>
        <w:spacing w:line="288" w:lineRule="auto"/>
        <w:ind w:left="442" w:firstLineChars="250" w:firstLine="500"/>
        <w:jc w:val="both"/>
        <w:rPr>
          <w:rFonts w:ascii="仿宋_GB2312" w:eastAsia="仿宋_GB2312" w:hAnsi="仿宋" w:cs="PMingLiU"/>
          <w:color w:val="000000"/>
          <w:sz w:val="20"/>
        </w:rPr>
      </w:pPr>
      <w:r>
        <w:rPr>
          <w:rFonts w:ascii="仿宋_GB2312" w:eastAsia="仿宋_GB2312" w:hAnsi="仿宋" w:cs="PMingLiU" w:hint="eastAsia"/>
          <w:color w:val="000000"/>
          <w:sz w:val="20"/>
        </w:rPr>
        <w:t>涉案发明/实用新型/外观设计专利名称为“   ”(专利号：ZLX XXX)。专利申请日为  年  月  日，授权公告日为 年 月 日。X年X月X日，本案被请求人为涉案专利的专利权人。在请求人提出行政裁决请求时，涉案专利处于有效状态。</w:t>
      </w:r>
    </w:p>
    <w:p w:rsidR="00800760" w:rsidRDefault="00235733">
      <w:pPr>
        <w:tabs>
          <w:tab w:val="left" w:leader="underscore" w:pos="1947"/>
        </w:tabs>
        <w:spacing w:line="288" w:lineRule="auto"/>
        <w:ind w:left="442" w:firstLine="400"/>
        <w:jc w:val="both"/>
        <w:rPr>
          <w:rFonts w:ascii="仿宋_GB2312" w:eastAsia="仿宋_GB2312" w:hAnsi="仿宋" w:cs="PMingLiU"/>
          <w:color w:val="000000"/>
          <w:sz w:val="20"/>
        </w:rPr>
      </w:pPr>
      <w:r>
        <w:rPr>
          <w:rFonts w:ascii="仿宋_GB2312" w:eastAsia="仿宋_GB2312" w:hAnsi="仿宋" w:cs="PMingLiU" w:hint="eastAsia"/>
          <w:color w:val="000000"/>
          <w:sz w:val="20"/>
        </w:rPr>
        <w:t>涉案专利权利要求如下：（根据请求人在请求书中载明据以请求确认请求人不侵犯其专利权的权利要求项记录）</w:t>
      </w:r>
    </w:p>
    <w:p w:rsidR="00800760" w:rsidRDefault="00235733">
      <w:pPr>
        <w:tabs>
          <w:tab w:val="left" w:leader="underscore" w:pos="1947"/>
        </w:tabs>
        <w:spacing w:line="288" w:lineRule="auto"/>
        <w:ind w:firstLineChars="450" w:firstLine="900"/>
        <w:jc w:val="both"/>
        <w:rPr>
          <w:rFonts w:ascii="仿宋_GB2312" w:eastAsia="仿宋_GB2312" w:hAnsi="仿宋" w:cs="PMingLiU"/>
          <w:color w:val="000000"/>
          <w:sz w:val="20"/>
        </w:rPr>
      </w:pPr>
      <w:r>
        <w:rPr>
          <w:rFonts w:ascii="仿宋_GB2312" w:eastAsia="仿宋_GB2312" w:hAnsi="仿宋" w:cs="PMingLiU" w:hint="eastAsia"/>
          <w:color w:val="000000"/>
          <w:sz w:val="20"/>
        </w:rPr>
        <w:t>（二）关于被控侵权产品</w:t>
      </w:r>
    </w:p>
    <w:p w:rsidR="00800760" w:rsidRDefault="00235733">
      <w:pPr>
        <w:tabs>
          <w:tab w:val="left" w:leader="underscore" w:pos="1947"/>
        </w:tabs>
        <w:spacing w:line="288" w:lineRule="auto"/>
        <w:ind w:left="442" w:firstLineChars="250" w:firstLine="500"/>
        <w:jc w:val="both"/>
        <w:rPr>
          <w:rFonts w:ascii="仿宋_GB2312" w:eastAsia="仿宋_GB2312" w:hAnsi="仿宋" w:cs="PMingLiU"/>
          <w:color w:val="000000"/>
          <w:sz w:val="20"/>
        </w:rPr>
      </w:pPr>
      <w:r>
        <w:rPr>
          <w:rFonts w:ascii="仿宋_GB2312" w:eastAsia="仿宋_GB2312" w:hAnsi="仿宋" w:cs="PMingLiU" w:hint="eastAsia"/>
          <w:color w:val="000000"/>
          <w:sz w:val="20"/>
        </w:rPr>
        <w:t>（三）关于被控侵权产品的制造/销售/许诺销售/使用/出口行为。</w:t>
      </w:r>
    </w:p>
    <w:p w:rsidR="00800760" w:rsidRDefault="00235733">
      <w:pPr>
        <w:tabs>
          <w:tab w:val="left" w:leader="underscore" w:pos="1947"/>
        </w:tabs>
        <w:spacing w:line="288" w:lineRule="auto"/>
        <w:ind w:firstLineChars="150" w:firstLine="300"/>
        <w:jc w:val="both"/>
        <w:rPr>
          <w:rFonts w:ascii="仿宋_GB2312" w:eastAsia="仿宋_GB2312" w:hAnsi="仿宋" w:cs="PMingLiU"/>
          <w:color w:val="000000"/>
          <w:sz w:val="20"/>
        </w:rPr>
      </w:pPr>
      <w:r>
        <w:rPr>
          <w:rFonts w:ascii="仿宋_GB2312" w:eastAsia="仿宋_GB2312" w:hAnsi="仿宋" w:cs="PMingLiU" w:hint="eastAsia"/>
          <w:color w:val="000000"/>
          <w:sz w:val="20"/>
        </w:rPr>
        <w:t>四、裁决的理由</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合议组审理认为，本案的争议焦点在于：</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（一）</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（二）</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进一步围绕辩论焦点和侵权行为进行阐明。</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合议组认为：</w:t>
      </w:r>
    </w:p>
    <w:p w:rsidR="00800760" w:rsidRDefault="00235733">
      <w:pPr>
        <w:spacing w:line="288" w:lineRule="auto"/>
        <w:ind w:left="440" w:right="21" w:firstLine="400"/>
        <w:rPr>
          <w:rFonts w:ascii="仿宋_GB2312" w:eastAsia="仿宋_GB2312" w:hAnsi="仿宋" w:cs="PMingLiU"/>
          <w:color w:val="000000"/>
          <w:sz w:val="20"/>
        </w:rPr>
      </w:pPr>
      <w:r>
        <w:rPr>
          <w:rFonts w:ascii="仿宋_GB2312" w:eastAsia="仿宋_GB2312" w:hAnsi="仿宋" w:cs="PMingLiU" w:hint="eastAsia"/>
          <w:color w:val="000000"/>
          <w:sz w:val="20"/>
        </w:rPr>
        <w:t>五、决定</w:t>
      </w:r>
    </w:p>
    <w:p w:rsidR="00800760" w:rsidRDefault="00235733">
      <w:pPr>
        <w:spacing w:line="288" w:lineRule="auto"/>
        <w:ind w:left="440" w:right="21" w:firstLine="400"/>
        <w:rPr>
          <w:rFonts w:ascii="仿宋_GB2312" w:eastAsia="仿宋_GB2312" w:hAnsi="仿宋" w:cs="PMingLiU"/>
          <w:color w:val="000000"/>
          <w:sz w:val="20"/>
        </w:rPr>
      </w:pPr>
      <w:r>
        <w:rPr>
          <w:rFonts w:ascii="仿宋_GB2312" w:eastAsia="仿宋_GB2312" w:hAnsi="仿宋" w:cs="PMingLiU" w:hint="eastAsia"/>
          <w:color w:val="000000"/>
          <w:sz w:val="20"/>
        </w:rPr>
        <w:t>综上所述，根据《中华人民共和国专利法》第　　条、《中华人民共和国专利法实施细则》第　　条、</w:t>
      </w:r>
      <w:r>
        <w:rPr>
          <w:rFonts w:ascii="仿宋_GB2312" w:eastAsia="仿宋_GB2312" w:hAnsi="宋体" w:hint="eastAsia"/>
          <w:color w:val="000000"/>
          <w:sz w:val="20"/>
        </w:rPr>
        <w:t>《专利纠纷行政裁决和调解办法》</w:t>
      </w:r>
      <w:r>
        <w:rPr>
          <w:rFonts w:ascii="仿宋_GB2312" w:eastAsia="仿宋_GB2312" w:hAnsi="仿宋" w:cs="PMingLiU" w:hint="eastAsia"/>
          <w:color w:val="000000"/>
          <w:sz w:val="20"/>
        </w:rPr>
        <w:t>第　　条之规定，本局作出决定如下：</w:t>
      </w:r>
    </w:p>
    <w:p w:rsidR="00800760" w:rsidRDefault="00235733">
      <w:pPr>
        <w:spacing w:line="288" w:lineRule="auto"/>
        <w:ind w:left="440" w:firstLineChars="0" w:firstLine="0"/>
        <w:jc w:val="both"/>
        <w:rPr>
          <w:rFonts w:ascii="仿宋_GB2312" w:eastAsia="仿宋_GB2312" w:hAnsi="仿宋" w:cs="PMingLiU"/>
          <w:color w:val="000000"/>
          <w:sz w:val="20"/>
          <w:lang w:val="en-US" w:bidi="en-US"/>
        </w:rPr>
      </w:pPr>
      <w:r>
        <w:rPr>
          <w:rFonts w:ascii="仿宋_GB2312" w:eastAsia="仿宋_GB2312" w:cs="PMingLiU" w:hint="eastAsia"/>
          <w:color w:val="000000"/>
          <w:sz w:val="20"/>
          <w:lang w:val="en-US" w:bidi="en-US"/>
        </w:rPr>
        <w:t>1</w:t>
      </w:r>
      <w:r>
        <w:rPr>
          <w:rFonts w:ascii="仿宋_GB2312" w:eastAsia="仿宋_GB2312" w:hAnsi="仿宋" w:cs="PMingLiU" w:hint="eastAsia"/>
          <w:color w:val="000000"/>
          <w:sz w:val="20"/>
          <w:lang w:val="en-US" w:bidi="en-US"/>
        </w:rPr>
        <w:t>.</w:t>
      </w:r>
      <w:r>
        <w:rPr>
          <w:rFonts w:ascii="仿宋_GB2312" w:eastAsia="仿宋_GB2312" w:hAnsi="宋体" w:cs="PMingLiU" w:hint="eastAsia"/>
          <w:color w:val="000000"/>
          <w:sz w:val="20"/>
        </w:rPr>
        <w:t>……</w:t>
      </w:r>
    </w:p>
    <w:p w:rsidR="00800760" w:rsidRDefault="00235733">
      <w:pPr>
        <w:spacing w:line="288" w:lineRule="auto"/>
        <w:ind w:left="440" w:firstLineChars="0" w:firstLine="0"/>
        <w:jc w:val="both"/>
        <w:rPr>
          <w:rFonts w:ascii="仿宋_GB2312" w:eastAsia="仿宋_GB2312" w:hAnsi="仿宋" w:cs="PMingLiU"/>
          <w:color w:val="000000"/>
          <w:sz w:val="20"/>
          <w:lang w:val="en-US" w:bidi="en-US"/>
        </w:rPr>
      </w:pPr>
      <w:r>
        <w:rPr>
          <w:rFonts w:ascii="仿宋_GB2312" w:eastAsia="仿宋_GB2312" w:cs="PMingLiU" w:hint="eastAsia"/>
          <w:color w:val="000000"/>
          <w:sz w:val="20"/>
          <w:lang w:val="en-US" w:bidi="en-US"/>
        </w:rPr>
        <w:t>2</w:t>
      </w:r>
      <w:r>
        <w:rPr>
          <w:rFonts w:ascii="仿宋_GB2312" w:eastAsia="仿宋_GB2312" w:hAnsi="仿宋" w:cs="PMingLiU" w:hint="eastAsia"/>
          <w:color w:val="000000"/>
          <w:sz w:val="20"/>
          <w:lang w:val="en-US" w:bidi="en-US"/>
        </w:rPr>
        <w:t>.</w:t>
      </w:r>
      <w:r>
        <w:rPr>
          <w:rFonts w:ascii="仿宋_GB2312" w:eastAsia="仿宋_GB2312" w:hAnsi="宋体" w:cs="PMingLiU" w:hint="eastAsia"/>
          <w:color w:val="000000"/>
          <w:sz w:val="20"/>
        </w:rPr>
        <w:t>……</w:t>
      </w:r>
    </w:p>
    <w:p w:rsidR="00800760" w:rsidRDefault="00235733">
      <w:pPr>
        <w:spacing w:line="288" w:lineRule="auto"/>
        <w:ind w:left="440" w:firstLineChars="0" w:firstLine="0"/>
        <w:jc w:val="both"/>
        <w:rPr>
          <w:rFonts w:ascii="仿宋_GB2312" w:eastAsia="仿宋_GB2312" w:hAnsi="宋体" w:cs="PMingLiU"/>
          <w:color w:val="000000"/>
          <w:sz w:val="20"/>
        </w:rPr>
      </w:pPr>
      <w:r>
        <w:rPr>
          <w:rFonts w:ascii="仿宋_GB2312" w:eastAsia="仿宋_GB2312" w:hAnsi="宋体" w:cs="PMingLiU" w:hint="eastAsia"/>
          <w:color w:val="000000"/>
          <w:sz w:val="20"/>
        </w:rPr>
        <w:t>……</w:t>
      </w:r>
    </w:p>
    <w:p w:rsidR="00800760" w:rsidRDefault="00235733">
      <w:pPr>
        <w:spacing w:line="288" w:lineRule="auto"/>
        <w:ind w:firstLine="400"/>
        <w:jc w:val="both"/>
        <w:rPr>
          <w:rFonts w:ascii="仿宋_GB2312" w:eastAsia="仿宋_GB2312" w:hAnsi="仿宋" w:cs="PMingLiU"/>
          <w:color w:val="000000"/>
          <w:sz w:val="20"/>
        </w:rPr>
      </w:pPr>
      <w:r>
        <w:rPr>
          <w:rFonts w:ascii="仿宋_GB2312" w:eastAsia="仿宋_GB2312" w:hAnsi="仿宋" w:cs="PMingLiU" w:hint="eastAsia"/>
          <w:color w:val="000000"/>
          <w:sz w:val="20"/>
        </w:rPr>
        <w:t>当事人如不服本决定，可另行申请行政裁决或民事诉讼。</w:t>
      </w:r>
    </w:p>
    <w:p w:rsidR="00800760" w:rsidRDefault="00800760">
      <w:pPr>
        <w:tabs>
          <w:tab w:val="left" w:leader="underscore" w:pos="4022"/>
        </w:tabs>
        <w:spacing w:line="288" w:lineRule="auto"/>
        <w:ind w:firstLineChars="0" w:firstLine="0"/>
        <w:jc w:val="both"/>
        <w:rPr>
          <w:rFonts w:ascii="仿宋_GB2312" w:eastAsia="仿宋_GB2312" w:hAnsi="仿宋" w:cs="PMingLiU"/>
          <w:color w:val="000000"/>
          <w:sz w:val="20"/>
        </w:rPr>
      </w:pPr>
    </w:p>
    <w:p w:rsidR="00800760" w:rsidRDefault="00800760">
      <w:pPr>
        <w:tabs>
          <w:tab w:val="left" w:leader="underscore" w:pos="4022"/>
        </w:tabs>
        <w:spacing w:line="288" w:lineRule="auto"/>
        <w:ind w:firstLineChars="0" w:firstLine="0"/>
        <w:jc w:val="both"/>
        <w:rPr>
          <w:rFonts w:ascii="仿宋_GB2312" w:eastAsia="仿宋_GB2312" w:hAnsi="仿宋" w:cs="PMingLiU"/>
          <w:color w:val="000000"/>
          <w:sz w:val="20"/>
        </w:rPr>
      </w:pP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合议组长：</w:t>
      </w:r>
      <w:r>
        <w:rPr>
          <w:rFonts w:ascii="仿宋_GB2312" w:eastAsia="仿宋_GB2312" w:hAnsi="仿宋" w:cs="PMingLiU" w:hint="eastAsia"/>
          <w:color w:val="000000"/>
          <w:sz w:val="20"/>
          <w:u w:val="single"/>
        </w:rPr>
        <w:tab/>
      </w: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主审员：</w:t>
      </w:r>
      <w:r>
        <w:rPr>
          <w:rFonts w:ascii="仿宋_GB2312" w:eastAsia="仿宋_GB2312" w:hAnsi="仿宋" w:cs="PMingLiU" w:hint="eastAsia"/>
          <w:color w:val="000000"/>
          <w:sz w:val="20"/>
          <w:u w:val="single"/>
        </w:rPr>
        <w:tab/>
      </w: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参审员：</w:t>
      </w:r>
      <w:r>
        <w:rPr>
          <w:rFonts w:ascii="仿宋_GB2312" w:eastAsia="仿宋_GB2312" w:hAnsi="仿宋" w:cs="PMingLiU" w:hint="eastAsia"/>
          <w:color w:val="000000"/>
          <w:sz w:val="20"/>
          <w:u w:val="single"/>
        </w:rPr>
        <w:tab/>
      </w:r>
    </w:p>
    <w:p w:rsidR="00800760" w:rsidRDefault="00800760">
      <w:pPr>
        <w:widowControl w:val="0"/>
        <w:spacing w:line="288" w:lineRule="auto"/>
        <w:ind w:firstLineChars="0" w:firstLine="600"/>
        <w:rPr>
          <w:rFonts w:ascii="仿宋_GB2312" w:eastAsia="仿宋_GB2312" w:hAnsi="宋体"/>
          <w:color w:val="000000"/>
          <w:spacing w:val="6"/>
          <w:sz w:val="20"/>
        </w:rPr>
      </w:pPr>
    </w:p>
    <w:p w:rsidR="00800760" w:rsidRDefault="00235733">
      <w:pPr>
        <w:widowControl w:val="0"/>
        <w:spacing w:line="288"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pPr>
        <w:widowControl w:val="0"/>
        <w:spacing w:line="288"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pPr>
        <w:tabs>
          <w:tab w:val="left" w:leader="underscore" w:pos="4022"/>
        </w:tabs>
        <w:spacing w:line="288" w:lineRule="auto"/>
        <w:ind w:firstLineChars="0" w:firstLine="0"/>
        <w:jc w:val="both"/>
        <w:rPr>
          <w:rFonts w:ascii="仿宋_GB2312" w:eastAsia="仿宋_GB2312" w:hAnsi="仿宋" w:cs="PMingLiU"/>
          <w:color w:val="000000"/>
          <w:sz w:val="20"/>
        </w:rPr>
      </w:pPr>
    </w:p>
    <w:p w:rsidR="00800760" w:rsidRDefault="00800760">
      <w:pPr>
        <w:tabs>
          <w:tab w:val="left" w:leader="underscore" w:pos="4022"/>
          <w:tab w:val="right" w:pos="9412"/>
        </w:tabs>
        <w:spacing w:line="288" w:lineRule="auto"/>
        <w:ind w:firstLineChars="0" w:firstLine="0"/>
        <w:jc w:val="both"/>
        <w:rPr>
          <w:rFonts w:ascii="仿宋_GB2312" w:eastAsia="仿宋_GB2312" w:hAnsi="仿宋" w:cs="PMingLiU"/>
          <w:color w:val="000000"/>
          <w:sz w:val="20"/>
        </w:rPr>
      </w:pP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技术调查官：</w:t>
      </w:r>
      <w:r>
        <w:rPr>
          <w:rFonts w:ascii="仿宋_GB2312" w:eastAsia="仿宋_GB2312" w:hAnsi="仿宋" w:cs="PMingLiU" w:hint="eastAsia"/>
          <w:color w:val="000000"/>
          <w:sz w:val="20"/>
          <w:u w:val="single"/>
        </w:rPr>
        <w:tab/>
      </w: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书记员：</w:t>
      </w:r>
      <w:r>
        <w:rPr>
          <w:rFonts w:ascii="仿宋_GB2312" w:eastAsia="仿宋_GB2312" w:hAnsi="仿宋" w:cs="PMingLiU" w:hint="eastAsia"/>
          <w:color w:val="000000"/>
          <w:sz w:val="20"/>
          <w:u w:val="single"/>
        </w:rPr>
        <w:tab/>
      </w:r>
    </w:p>
    <w:p w:rsidR="00800760" w:rsidRDefault="00800760">
      <w:pPr>
        <w:spacing w:line="240" w:lineRule="auto"/>
        <w:ind w:firstLineChars="0" w:firstLine="0"/>
        <w:rPr>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800760" w:rsidRDefault="00800760">
      <w:pPr>
        <w:spacing w:line="240" w:lineRule="auto"/>
        <w:ind w:firstLineChars="0" w:firstLine="0"/>
        <w:rPr>
          <w:rFonts w:ascii="仿宋_GB2312" w:eastAsia="仿宋_GB2312" w:hAnsi="仿宋"/>
          <w:color w:val="000000"/>
          <w:sz w:val="20"/>
        </w:rPr>
      </w:pPr>
    </w:p>
    <w:p w:rsidR="00DC3A0E" w:rsidRDefault="00DC3A0E">
      <w:pPr>
        <w:widowControl w:val="0"/>
        <w:spacing w:line="520" w:lineRule="exact"/>
        <w:ind w:firstLineChars="0" w:firstLine="0"/>
        <w:rPr>
          <w:rFonts w:ascii="黑体" w:eastAsia="黑体" w:hAnsi="黑体" w:cs="黑体"/>
          <w:sz w:val="28"/>
          <w:szCs w:val="28"/>
          <w:lang w:val="en-US"/>
        </w:rPr>
      </w:pPr>
    </w:p>
    <w:p w:rsidR="00DC3A0E" w:rsidRDefault="00DC3A0E">
      <w:pPr>
        <w:widowControl w:val="0"/>
        <w:spacing w:line="520" w:lineRule="exact"/>
        <w:ind w:firstLineChars="0" w:firstLine="0"/>
        <w:rPr>
          <w:rFonts w:ascii="黑体" w:eastAsia="黑体" w:hAnsi="黑体" w:cs="黑体"/>
          <w:sz w:val="28"/>
          <w:szCs w:val="28"/>
          <w:lang w:val="en-US"/>
        </w:rPr>
      </w:pPr>
    </w:p>
    <w:p w:rsidR="00DC3A0E" w:rsidRDefault="00DC3A0E">
      <w:pPr>
        <w:widowControl w:val="0"/>
        <w:spacing w:line="520" w:lineRule="exact"/>
        <w:ind w:firstLineChars="0" w:firstLine="0"/>
        <w:rPr>
          <w:rFonts w:ascii="黑体" w:eastAsia="黑体" w:hAnsi="黑体" w:cs="黑体"/>
          <w:sz w:val="28"/>
          <w:szCs w:val="28"/>
          <w:lang w:val="en-US"/>
        </w:rPr>
      </w:pPr>
    </w:p>
    <w:p w:rsidR="00800760" w:rsidRDefault="00235733">
      <w:pPr>
        <w:widowControl w:val="0"/>
        <w:spacing w:line="520" w:lineRule="exact"/>
        <w:ind w:firstLineChars="0" w:firstLine="0"/>
        <w:rPr>
          <w:rFonts w:ascii="黑体" w:eastAsia="黑体" w:hAnsi="黑体" w:cs="黑体"/>
          <w:sz w:val="28"/>
          <w:szCs w:val="28"/>
          <w:lang w:val="en-US"/>
        </w:rPr>
      </w:pPr>
      <w:r>
        <w:rPr>
          <w:rFonts w:ascii="黑体" w:eastAsia="黑体" w:hAnsi="黑体" w:cs="黑体" w:hint="eastAsia"/>
          <w:sz w:val="28"/>
          <w:szCs w:val="28"/>
          <w:lang w:val="en-US"/>
        </w:rPr>
        <w:t>附件1</w:t>
      </w:r>
    </w:p>
    <w:p w:rsidR="00800760" w:rsidRDefault="00800760">
      <w:pPr>
        <w:widowControl w:val="0"/>
        <w:spacing w:line="520" w:lineRule="exact"/>
        <w:ind w:firstLineChars="0" w:firstLine="0"/>
        <w:rPr>
          <w:rFonts w:ascii="方正小标宋简体" w:eastAsia="方正小标宋简体" w:hAnsi="方正小标宋简体" w:cs="方正小标宋简体"/>
          <w:sz w:val="44"/>
          <w:szCs w:val="44"/>
          <w:lang w:val="en-US"/>
        </w:rPr>
      </w:pPr>
    </w:p>
    <w:p w:rsidR="00800760" w:rsidRDefault="00235733">
      <w:pPr>
        <w:widowControl w:val="0"/>
        <w:spacing w:line="520" w:lineRule="exact"/>
        <w:ind w:firstLineChars="0" w:firstLine="0"/>
        <w:jc w:val="center"/>
        <w:rPr>
          <w:rFonts w:ascii="方正小标宋简体" w:eastAsia="方正小标宋简体" w:hAnsi="黑体" w:cs="黑体"/>
          <w:sz w:val="36"/>
          <w:szCs w:val="36"/>
        </w:rPr>
      </w:pPr>
      <w:r>
        <w:rPr>
          <w:rFonts w:ascii="方正小标宋简体" w:eastAsia="方正小标宋简体" w:hAnsi="黑体" w:cs="黑体" w:hint="eastAsia"/>
          <w:sz w:val="36"/>
          <w:szCs w:val="36"/>
        </w:rPr>
        <w:t>《专利纠纷行政裁决和调解办法》</w:t>
      </w:r>
    </w:p>
    <w:p w:rsidR="00800760" w:rsidRDefault="00235733">
      <w:pPr>
        <w:widowControl w:val="0"/>
        <w:spacing w:line="520" w:lineRule="exact"/>
        <w:ind w:firstLineChars="0" w:firstLine="0"/>
        <w:jc w:val="center"/>
        <w:rPr>
          <w:rFonts w:ascii="方正小标宋简体" w:eastAsia="方正小标宋简体" w:hAnsi="黑体" w:cs="黑体"/>
          <w:sz w:val="36"/>
          <w:szCs w:val="36"/>
        </w:rPr>
      </w:pPr>
      <w:r>
        <w:rPr>
          <w:rFonts w:ascii="方正小标宋简体" w:eastAsia="方正小标宋简体" w:hAnsi="黑体" w:cs="黑体" w:hint="eastAsia"/>
          <w:sz w:val="36"/>
          <w:szCs w:val="36"/>
        </w:rPr>
        <w:t>有关规定</w:t>
      </w:r>
    </w:p>
    <w:p w:rsidR="00800760" w:rsidRDefault="00800760">
      <w:pPr>
        <w:widowControl w:val="0"/>
        <w:spacing w:line="520" w:lineRule="exact"/>
        <w:ind w:firstLineChars="225" w:firstLine="450"/>
        <w:rPr>
          <w:rFonts w:ascii="方正小标宋简体" w:eastAsia="方正小标宋简体" w:hAnsi="黑体" w:cs="黑体"/>
          <w:sz w:val="20"/>
        </w:rPr>
      </w:pPr>
    </w:p>
    <w:p w:rsidR="00800760" w:rsidRDefault="00235733" w:rsidP="00C22A7B">
      <w:pPr>
        <w:tabs>
          <w:tab w:val="left" w:leader="underscore" w:pos="3094"/>
        </w:tabs>
        <w:spacing w:beforeLines="100" w:afterLines="100"/>
        <w:ind w:firstLine="400"/>
        <w:jc w:val="both"/>
        <w:rPr>
          <w:rFonts w:ascii="仿宋" w:eastAsia="仿宋_GB2312" w:hAnsi="仿宋"/>
          <w:color w:val="000000"/>
          <w:sz w:val="20"/>
        </w:rPr>
      </w:pPr>
      <w:r>
        <w:rPr>
          <w:rFonts w:ascii="仿宋" w:eastAsia="仿宋_GB2312" w:hAnsi="仿宋" w:hint="eastAsia"/>
          <w:color w:val="000000"/>
          <w:sz w:val="20"/>
        </w:rPr>
        <w:t>《专利纠纷行政裁决和调解办法》第四十四条第一款：当事人在案件中对自己的主张有提供证据证实的责任，对其提供的证据或者证明材料的真实性负责，承担举证不力的法律后果。</w:t>
      </w:r>
    </w:p>
    <w:p w:rsidR="00800760" w:rsidRDefault="00235733" w:rsidP="00C22A7B">
      <w:pPr>
        <w:tabs>
          <w:tab w:val="left" w:leader="underscore" w:pos="3094"/>
        </w:tabs>
        <w:spacing w:beforeLines="100" w:afterLines="100"/>
        <w:ind w:firstLine="400"/>
        <w:jc w:val="both"/>
        <w:rPr>
          <w:rFonts w:ascii="仿宋" w:eastAsia="仿宋_GB2312" w:hAnsi="仿宋"/>
          <w:color w:val="000000"/>
          <w:sz w:val="20"/>
        </w:rPr>
      </w:pPr>
      <w:r>
        <w:rPr>
          <w:rFonts w:ascii="仿宋" w:eastAsia="仿宋_GB2312" w:hAnsi="仿宋" w:hint="eastAsia"/>
          <w:color w:val="000000"/>
          <w:sz w:val="20"/>
        </w:rPr>
        <w:t>《专利纠纷行政裁决和调解办法》第五十四条：管理专利工作的部门处理案件过程中，应当向当事人指定不少于十五日的举证期限。举证期限也可以由当事人协商，并经管理专利工作的部门批准。该举证期限自当事人收到通知书之日起算。当事人申请延长举证期限的，管理专利工作的部门根据案情决定是否延长，并通知双方当事人。</w:t>
      </w:r>
      <w:r>
        <w:rPr>
          <w:rFonts w:ascii="仿宋" w:eastAsia="仿宋_GB2312" w:hAnsi="仿宋" w:hint="eastAsia"/>
          <w:color w:val="000000"/>
          <w:sz w:val="20"/>
        </w:rPr>
        <w:cr/>
      </w: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widowControl w:val="0"/>
        <w:spacing w:line="520" w:lineRule="exact"/>
        <w:ind w:firstLineChars="225" w:firstLine="630"/>
        <w:rPr>
          <w:rFonts w:ascii="仿宋" w:eastAsia="仿宋" w:hAnsi="仿宋"/>
          <w:sz w:val="28"/>
          <w:szCs w:val="28"/>
          <w:lang w:val="en-US"/>
        </w:rPr>
      </w:pPr>
    </w:p>
    <w:p w:rsidR="00800760" w:rsidRDefault="00800760">
      <w:pPr>
        <w:spacing w:line="240" w:lineRule="auto"/>
        <w:ind w:firstLineChars="0" w:firstLine="0"/>
        <w:rPr>
          <w:rFonts w:ascii="黑体" w:eastAsia="黑体" w:hAnsi="黑体" w:cs="黑体"/>
          <w:sz w:val="28"/>
          <w:szCs w:val="28"/>
          <w:lang w:val="en-US"/>
        </w:rPr>
      </w:pPr>
    </w:p>
    <w:p w:rsidR="00800760" w:rsidRDefault="00235733">
      <w:pPr>
        <w:spacing w:line="240" w:lineRule="auto"/>
        <w:ind w:firstLineChars="0" w:firstLine="0"/>
        <w:rPr>
          <w:rFonts w:ascii="黑体" w:eastAsia="黑体" w:hAnsi="黑体" w:cs="黑体"/>
          <w:sz w:val="28"/>
          <w:szCs w:val="28"/>
          <w:lang w:val="en-US"/>
        </w:rPr>
      </w:pPr>
      <w:r>
        <w:rPr>
          <w:rFonts w:ascii="黑体" w:eastAsia="黑体" w:hAnsi="黑体" w:cs="黑体"/>
          <w:sz w:val="28"/>
          <w:szCs w:val="28"/>
          <w:lang w:val="en-US"/>
        </w:rPr>
        <w:br w:type="page"/>
      </w:r>
    </w:p>
    <w:p w:rsidR="00800760" w:rsidRDefault="00235733">
      <w:pPr>
        <w:widowControl w:val="0"/>
        <w:spacing w:line="520" w:lineRule="exact"/>
        <w:ind w:firstLineChars="0" w:firstLine="0"/>
        <w:rPr>
          <w:rFonts w:ascii="黑体" w:eastAsia="黑体" w:hAnsi="黑体" w:cs="黑体"/>
          <w:sz w:val="28"/>
          <w:szCs w:val="28"/>
          <w:lang w:val="en-US"/>
        </w:rPr>
      </w:pPr>
      <w:r>
        <w:rPr>
          <w:rFonts w:ascii="黑体" w:eastAsia="黑体" w:hAnsi="黑体" w:cs="黑体" w:hint="eastAsia"/>
          <w:sz w:val="28"/>
          <w:szCs w:val="28"/>
          <w:lang w:val="en-US"/>
        </w:rPr>
        <w:t>附件2</w:t>
      </w:r>
    </w:p>
    <w:p w:rsidR="00800760" w:rsidRDefault="00235733" w:rsidP="00235733">
      <w:pPr>
        <w:keepNext/>
        <w:keepLines/>
        <w:widowControl w:val="0"/>
        <w:shd w:val="clear" w:color="auto" w:fill="FFFFFF"/>
        <w:spacing w:before="100" w:beforeAutospacing="1" w:line="660" w:lineRule="exact"/>
        <w:ind w:firstLine="880"/>
        <w:jc w:val="center"/>
        <w:outlineLvl w:val="0"/>
        <w:rPr>
          <w:rFonts w:ascii="方正小标宋简体" w:eastAsia="方正小标宋简体" w:hAnsi="宋体" w:cs="PMingLiU"/>
          <w:color w:val="000000"/>
          <w:spacing w:val="40"/>
          <w:kern w:val="2"/>
          <w:sz w:val="40"/>
          <w:szCs w:val="40"/>
          <w:lang w:val="en-US"/>
        </w:rPr>
      </w:pPr>
      <w:bookmarkStart w:id="9317" w:name="_Toc229225666"/>
      <w:r>
        <w:rPr>
          <w:rFonts w:ascii="方正小标宋简体" w:eastAsia="方正小标宋简体" w:hAnsi="方正小标宋简体" w:cs="方正小标宋简体" w:hint="eastAsia"/>
          <w:color w:val="000000"/>
          <w:spacing w:val="40"/>
          <w:kern w:val="2"/>
          <w:sz w:val="36"/>
          <w:szCs w:val="36"/>
          <w:lang w:val="en-US"/>
        </w:rPr>
        <w:t>证据材料清单</w:t>
      </w:r>
      <w:r>
        <w:rPr>
          <w:rFonts w:ascii="方正小标宋简体" w:eastAsia="方正小标宋简体" w:hAnsi="方正小标宋简体" w:cs="方正小标宋简体" w:hint="eastAsia"/>
          <w:color w:val="000000"/>
          <w:spacing w:val="40"/>
          <w:kern w:val="2"/>
          <w:sz w:val="28"/>
          <w:szCs w:val="28"/>
          <w:lang w:val="en-US"/>
        </w:rPr>
        <w:t>（样表）</w:t>
      </w:r>
      <w:bookmarkEnd w:id="9317"/>
    </w:p>
    <w:p w:rsidR="00800760" w:rsidRDefault="00235733">
      <w:pPr>
        <w:tabs>
          <w:tab w:val="left" w:leader="underscore" w:pos="3094"/>
        </w:tabs>
        <w:ind w:firstLine="400"/>
        <w:jc w:val="both"/>
        <w:rPr>
          <w:rFonts w:ascii="仿宋_GB2312" w:eastAsia="仿宋_GB2312" w:hAnsi="仿宋"/>
          <w:color w:val="000000"/>
          <w:sz w:val="20"/>
        </w:rPr>
      </w:pPr>
      <w:r>
        <w:rPr>
          <w:rFonts w:ascii="仿宋_GB2312" w:eastAsia="仿宋_GB2312" w:hAnsi="仿宋" w:hint="eastAsia"/>
          <w:color w:val="000000"/>
          <w:sz w:val="20"/>
        </w:rPr>
        <w:t xml:space="preserve">案号：____________________                      </w:t>
      </w:r>
    </w:p>
    <w:p w:rsidR="00800760" w:rsidRDefault="00235733">
      <w:pPr>
        <w:tabs>
          <w:tab w:val="left" w:leader="underscore" w:pos="3094"/>
        </w:tabs>
        <w:ind w:firstLine="400"/>
        <w:jc w:val="both"/>
        <w:rPr>
          <w:rFonts w:ascii="仿宋_GB2312" w:eastAsia="仿宋_GB2312" w:hAnsi="仿宋"/>
          <w:color w:val="000000"/>
          <w:sz w:val="20"/>
        </w:rPr>
      </w:pPr>
      <w:r>
        <w:rPr>
          <w:rFonts w:ascii="仿宋_GB2312" w:eastAsia="仿宋_GB2312" w:hAnsi="仿宋" w:hint="eastAsia"/>
          <w:color w:val="000000"/>
          <w:sz w:val="20"/>
        </w:rPr>
        <w:t xml:space="preserve">递交人（签章）：_____________        </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1350"/>
        <w:gridCol w:w="2009"/>
        <w:gridCol w:w="2391"/>
        <w:gridCol w:w="1358"/>
        <w:gridCol w:w="1964"/>
      </w:tblGrid>
      <w:tr w:rsidR="00800760">
        <w:trPr>
          <w:trHeight w:val="567"/>
          <w:jc w:val="center"/>
        </w:trPr>
        <w:tc>
          <w:tcPr>
            <w:tcW w:w="1350" w:type="dxa"/>
            <w:shd w:val="clear" w:color="auto" w:fill="FFFFFF"/>
            <w:vAlign w:val="center"/>
          </w:tcPr>
          <w:p w:rsidR="00800760" w:rsidRDefault="00235733">
            <w:pPr>
              <w:tabs>
                <w:tab w:val="left" w:leader="underscore" w:pos="3094"/>
              </w:tabs>
              <w:ind w:firstLine="400"/>
              <w:jc w:val="both"/>
              <w:rPr>
                <w:rFonts w:ascii="仿宋_GB2312" w:eastAsia="仿宋_GB2312" w:hAnsi="仿宋"/>
                <w:color w:val="000000"/>
                <w:sz w:val="20"/>
              </w:rPr>
            </w:pPr>
            <w:r>
              <w:rPr>
                <w:rFonts w:ascii="仿宋_GB2312" w:eastAsia="仿宋_GB2312" w:hAnsi="仿宋" w:hint="eastAsia"/>
                <w:color w:val="000000"/>
                <w:sz w:val="20"/>
              </w:rPr>
              <w:t>序号</w:t>
            </w:r>
          </w:p>
        </w:tc>
        <w:tc>
          <w:tcPr>
            <w:tcW w:w="2009" w:type="dxa"/>
            <w:shd w:val="clear" w:color="auto" w:fill="FFFFFF"/>
            <w:vAlign w:val="center"/>
          </w:tcPr>
          <w:p w:rsidR="00800760" w:rsidRDefault="00235733">
            <w:pPr>
              <w:tabs>
                <w:tab w:val="left" w:leader="underscore" w:pos="3094"/>
              </w:tabs>
              <w:ind w:firstLine="400"/>
              <w:jc w:val="both"/>
              <w:rPr>
                <w:rFonts w:ascii="仿宋_GB2312" w:eastAsia="仿宋_GB2312" w:hAnsi="仿宋"/>
                <w:color w:val="000000"/>
                <w:sz w:val="20"/>
              </w:rPr>
            </w:pPr>
            <w:r>
              <w:rPr>
                <w:rFonts w:ascii="仿宋_GB2312" w:eastAsia="仿宋_GB2312" w:hAnsi="仿宋" w:hint="eastAsia"/>
                <w:color w:val="000000"/>
                <w:sz w:val="20"/>
              </w:rPr>
              <w:t>证据材料名称</w:t>
            </w:r>
          </w:p>
        </w:tc>
        <w:tc>
          <w:tcPr>
            <w:tcW w:w="2391" w:type="dxa"/>
            <w:shd w:val="clear" w:color="auto" w:fill="FFFFFF"/>
            <w:vAlign w:val="center"/>
          </w:tcPr>
          <w:p w:rsidR="00800760" w:rsidRDefault="00235733">
            <w:pPr>
              <w:tabs>
                <w:tab w:val="left" w:leader="underscore" w:pos="3094"/>
              </w:tabs>
              <w:ind w:firstLine="400"/>
              <w:jc w:val="both"/>
              <w:rPr>
                <w:rFonts w:ascii="仿宋_GB2312" w:eastAsia="仿宋_GB2312" w:hAnsi="仿宋"/>
                <w:color w:val="000000"/>
                <w:sz w:val="20"/>
              </w:rPr>
            </w:pPr>
            <w:r>
              <w:rPr>
                <w:rFonts w:ascii="仿宋_GB2312" w:eastAsia="仿宋_GB2312" w:hAnsi="仿宋" w:hint="eastAsia"/>
                <w:color w:val="000000"/>
                <w:sz w:val="20"/>
              </w:rPr>
              <w:t>所要说明的事实</w:t>
            </w:r>
          </w:p>
        </w:tc>
        <w:tc>
          <w:tcPr>
            <w:tcW w:w="1358" w:type="dxa"/>
            <w:shd w:val="clear" w:color="auto" w:fill="FFFFFF"/>
            <w:vAlign w:val="center"/>
          </w:tcPr>
          <w:p w:rsidR="00800760" w:rsidRDefault="00235733">
            <w:pPr>
              <w:tabs>
                <w:tab w:val="left" w:leader="underscore" w:pos="3094"/>
              </w:tabs>
              <w:ind w:firstLine="400"/>
              <w:jc w:val="both"/>
              <w:rPr>
                <w:rFonts w:ascii="仿宋_GB2312" w:eastAsia="仿宋_GB2312" w:hAnsi="仿宋"/>
                <w:color w:val="000000"/>
                <w:sz w:val="20"/>
              </w:rPr>
            </w:pPr>
            <w:r>
              <w:rPr>
                <w:rFonts w:ascii="仿宋_GB2312" w:eastAsia="仿宋_GB2312" w:hAnsi="仿宋" w:hint="eastAsia"/>
                <w:color w:val="000000"/>
                <w:sz w:val="20"/>
              </w:rPr>
              <w:t>页数</w:t>
            </w:r>
          </w:p>
        </w:tc>
        <w:tc>
          <w:tcPr>
            <w:tcW w:w="1964" w:type="dxa"/>
            <w:shd w:val="clear" w:color="auto" w:fill="FFFFFF"/>
            <w:vAlign w:val="center"/>
          </w:tcPr>
          <w:p w:rsidR="00800760" w:rsidRDefault="00235733">
            <w:pPr>
              <w:tabs>
                <w:tab w:val="left" w:leader="underscore" w:pos="3094"/>
              </w:tabs>
              <w:ind w:firstLine="400"/>
              <w:jc w:val="both"/>
              <w:rPr>
                <w:rFonts w:ascii="仿宋_GB2312" w:eastAsia="仿宋_GB2312" w:hAnsi="仿宋"/>
                <w:color w:val="000000"/>
                <w:sz w:val="20"/>
              </w:rPr>
            </w:pPr>
            <w:r>
              <w:rPr>
                <w:rFonts w:ascii="仿宋_GB2312" w:eastAsia="仿宋_GB2312" w:hAnsi="仿宋" w:hint="eastAsia"/>
                <w:color w:val="000000"/>
                <w:sz w:val="20"/>
              </w:rPr>
              <w:t>备注</w:t>
            </w:r>
          </w:p>
        </w:tc>
      </w:tr>
      <w:tr w:rsidR="00800760">
        <w:trPr>
          <w:trHeight w:val="567"/>
          <w:jc w:val="center"/>
        </w:trPr>
        <w:tc>
          <w:tcPr>
            <w:tcW w:w="1350" w:type="dxa"/>
            <w:shd w:val="clear" w:color="auto" w:fill="FFFFFF"/>
          </w:tcPr>
          <w:p w:rsidR="00800760" w:rsidRDefault="00800760">
            <w:pPr>
              <w:tabs>
                <w:tab w:val="left" w:leader="underscore" w:pos="3094"/>
              </w:tabs>
              <w:ind w:firstLine="400"/>
              <w:jc w:val="both"/>
              <w:rPr>
                <w:rFonts w:ascii="仿宋_GB2312" w:eastAsia="仿宋_GB2312" w:hAnsi="仿宋"/>
                <w:color w:val="000000"/>
                <w:sz w:val="20"/>
              </w:rPr>
            </w:pPr>
          </w:p>
        </w:tc>
        <w:tc>
          <w:tcPr>
            <w:tcW w:w="2009" w:type="dxa"/>
            <w:shd w:val="clear" w:color="auto" w:fill="FFFFFF"/>
          </w:tcPr>
          <w:p w:rsidR="00800760" w:rsidRDefault="00800760">
            <w:pPr>
              <w:tabs>
                <w:tab w:val="left" w:leader="underscore" w:pos="3094"/>
              </w:tabs>
              <w:ind w:firstLine="400"/>
              <w:jc w:val="both"/>
              <w:rPr>
                <w:rFonts w:ascii="仿宋_GB2312" w:eastAsia="仿宋_GB2312" w:hAnsi="仿宋"/>
                <w:color w:val="000000"/>
                <w:sz w:val="20"/>
              </w:rPr>
            </w:pPr>
          </w:p>
        </w:tc>
        <w:tc>
          <w:tcPr>
            <w:tcW w:w="2391" w:type="dxa"/>
            <w:shd w:val="clear" w:color="auto" w:fill="FFFFFF"/>
          </w:tcPr>
          <w:p w:rsidR="00800760" w:rsidRDefault="00800760">
            <w:pPr>
              <w:tabs>
                <w:tab w:val="left" w:leader="underscore" w:pos="3094"/>
              </w:tabs>
              <w:ind w:firstLine="400"/>
              <w:jc w:val="both"/>
              <w:rPr>
                <w:rFonts w:ascii="仿宋_GB2312" w:eastAsia="仿宋_GB2312" w:hAnsi="仿宋"/>
                <w:color w:val="000000"/>
                <w:sz w:val="20"/>
              </w:rPr>
            </w:pPr>
          </w:p>
        </w:tc>
        <w:tc>
          <w:tcPr>
            <w:tcW w:w="1358" w:type="dxa"/>
            <w:shd w:val="clear" w:color="auto" w:fill="FFFFFF"/>
          </w:tcPr>
          <w:p w:rsidR="00800760" w:rsidRDefault="00800760">
            <w:pPr>
              <w:tabs>
                <w:tab w:val="left" w:leader="underscore" w:pos="3094"/>
              </w:tabs>
              <w:ind w:firstLine="400"/>
              <w:jc w:val="both"/>
              <w:rPr>
                <w:rFonts w:ascii="仿宋_GB2312" w:eastAsia="仿宋_GB2312" w:hAnsi="仿宋"/>
                <w:color w:val="000000"/>
                <w:sz w:val="20"/>
              </w:rPr>
            </w:pPr>
          </w:p>
        </w:tc>
        <w:tc>
          <w:tcPr>
            <w:tcW w:w="1964" w:type="dxa"/>
            <w:shd w:val="clear" w:color="auto" w:fill="FFFFFF"/>
          </w:tcPr>
          <w:p w:rsidR="00800760" w:rsidRDefault="00800760">
            <w:pPr>
              <w:tabs>
                <w:tab w:val="left" w:leader="underscore" w:pos="3094"/>
              </w:tabs>
              <w:ind w:firstLine="400"/>
              <w:jc w:val="both"/>
              <w:rPr>
                <w:rFonts w:ascii="仿宋_GB2312" w:eastAsia="仿宋_GB2312" w:hAnsi="仿宋"/>
                <w:color w:val="000000"/>
                <w:sz w:val="20"/>
              </w:rPr>
            </w:pPr>
          </w:p>
        </w:tc>
      </w:tr>
      <w:tr w:rsidR="00800760">
        <w:trPr>
          <w:trHeight w:val="567"/>
          <w:jc w:val="center"/>
        </w:trPr>
        <w:tc>
          <w:tcPr>
            <w:tcW w:w="1350"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009"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391"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358"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964"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r>
      <w:tr w:rsidR="00800760">
        <w:trPr>
          <w:trHeight w:val="567"/>
          <w:jc w:val="center"/>
        </w:trPr>
        <w:tc>
          <w:tcPr>
            <w:tcW w:w="1350"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009"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391"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358"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964"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r>
      <w:tr w:rsidR="00800760">
        <w:trPr>
          <w:trHeight w:val="567"/>
          <w:jc w:val="center"/>
        </w:trPr>
        <w:tc>
          <w:tcPr>
            <w:tcW w:w="1350"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009"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391"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358"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964"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r>
      <w:tr w:rsidR="00800760">
        <w:trPr>
          <w:trHeight w:val="567"/>
          <w:jc w:val="center"/>
        </w:trPr>
        <w:tc>
          <w:tcPr>
            <w:tcW w:w="1350"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009"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391"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358"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964"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r>
      <w:tr w:rsidR="00800760">
        <w:trPr>
          <w:trHeight w:val="567"/>
          <w:jc w:val="center"/>
        </w:trPr>
        <w:tc>
          <w:tcPr>
            <w:tcW w:w="1350"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009"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391"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358"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964"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r>
      <w:tr w:rsidR="00800760">
        <w:trPr>
          <w:trHeight w:val="567"/>
          <w:jc w:val="center"/>
        </w:trPr>
        <w:tc>
          <w:tcPr>
            <w:tcW w:w="1350"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009"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391"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358"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964"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r>
      <w:tr w:rsidR="00800760">
        <w:trPr>
          <w:trHeight w:val="567"/>
          <w:jc w:val="center"/>
        </w:trPr>
        <w:tc>
          <w:tcPr>
            <w:tcW w:w="1350"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009"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391"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358"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964"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r>
      <w:tr w:rsidR="00800760">
        <w:trPr>
          <w:trHeight w:val="567"/>
          <w:jc w:val="center"/>
        </w:trPr>
        <w:tc>
          <w:tcPr>
            <w:tcW w:w="1350"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009"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391"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358"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964"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r>
      <w:tr w:rsidR="00800760">
        <w:trPr>
          <w:trHeight w:val="567"/>
          <w:jc w:val="center"/>
        </w:trPr>
        <w:tc>
          <w:tcPr>
            <w:tcW w:w="1350"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009"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2391"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358"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c>
          <w:tcPr>
            <w:tcW w:w="1964" w:type="dxa"/>
            <w:shd w:val="clear" w:color="auto" w:fill="FFFFFF"/>
          </w:tcPr>
          <w:p w:rsidR="00800760" w:rsidRDefault="00800760">
            <w:pPr>
              <w:widowControl w:val="0"/>
              <w:spacing w:line="400" w:lineRule="exact"/>
              <w:ind w:firstLineChars="0" w:firstLine="0"/>
              <w:rPr>
                <w:rFonts w:ascii="仿宋_GB2312" w:eastAsia="仿宋_GB2312" w:hAnsi="仿宋"/>
                <w:color w:val="000000"/>
                <w:sz w:val="20"/>
                <w:lang w:eastAsia="en-US"/>
              </w:rPr>
            </w:pPr>
          </w:p>
        </w:tc>
      </w:tr>
    </w:tbl>
    <w:p w:rsidR="00800760" w:rsidRDefault="00800760">
      <w:pPr>
        <w:tabs>
          <w:tab w:val="left" w:leader="underscore" w:pos="3094"/>
        </w:tabs>
        <w:ind w:firstLineChars="250" w:firstLine="500"/>
        <w:jc w:val="both"/>
        <w:rPr>
          <w:rFonts w:ascii="仿宋_GB2312" w:eastAsia="仿宋_GB2312"/>
          <w:color w:val="000000"/>
          <w:sz w:val="20"/>
          <w:lang w:val="en-US"/>
        </w:rPr>
      </w:pPr>
    </w:p>
    <w:p w:rsidR="00800760" w:rsidRDefault="00235733" w:rsidP="00885A51">
      <w:pPr>
        <w:tabs>
          <w:tab w:val="left" w:leader="underscore" w:pos="3094"/>
        </w:tabs>
        <w:ind w:firstLineChars="2860" w:firstLine="5720"/>
        <w:jc w:val="both"/>
        <w:rPr>
          <w:rFonts w:ascii="仿宋_GB2312" w:eastAsia="仿宋_GB2312" w:hAnsi="仿宋"/>
          <w:color w:val="000000"/>
          <w:sz w:val="20"/>
        </w:rPr>
      </w:pPr>
      <w:r>
        <w:rPr>
          <w:rFonts w:ascii="仿宋_GB2312" w:eastAsia="仿宋_GB2312" w:hAnsi="仿宋" w:hint="eastAsia"/>
          <w:color w:val="000000"/>
          <w:sz w:val="20"/>
        </w:rPr>
        <w:t xml:space="preserve">接收人（签章）：            </w:t>
      </w:r>
    </w:p>
    <w:p w:rsidR="00800760" w:rsidRDefault="00235733" w:rsidP="00885A51">
      <w:pPr>
        <w:tabs>
          <w:tab w:val="left" w:leader="underscore" w:pos="3094"/>
        </w:tabs>
        <w:ind w:right="300" w:firstLineChars="3150" w:firstLine="6300"/>
        <w:rPr>
          <w:rFonts w:ascii="仿宋_GB2312" w:eastAsia="仿宋_GB2312" w:hAnsi="仿宋"/>
          <w:color w:val="000000"/>
          <w:sz w:val="20"/>
        </w:rPr>
      </w:pPr>
      <w:r>
        <w:rPr>
          <w:rFonts w:ascii="仿宋_GB2312" w:eastAsia="仿宋_GB2312" w:hAnsi="仿宋" w:hint="eastAsia"/>
          <w:color w:val="000000"/>
          <w:sz w:val="20"/>
        </w:rPr>
        <w:t>接收日期：     年    月    日</w:t>
      </w:r>
    </w:p>
    <w:p w:rsidR="00800760" w:rsidRDefault="00800760">
      <w:pPr>
        <w:tabs>
          <w:tab w:val="left" w:leader="underscore" w:pos="3094"/>
        </w:tabs>
        <w:ind w:firstLine="400"/>
        <w:jc w:val="both"/>
        <w:rPr>
          <w:rFonts w:ascii="仿宋_GB2312" w:eastAsia="仿宋_GB2312" w:hAnsi="仿宋"/>
          <w:color w:val="000000"/>
          <w:sz w:val="20"/>
        </w:rPr>
      </w:pPr>
    </w:p>
    <w:p w:rsidR="00800760" w:rsidRDefault="00800760">
      <w:pPr>
        <w:tabs>
          <w:tab w:val="left" w:leader="underscore" w:pos="3094"/>
        </w:tabs>
        <w:ind w:firstLine="400"/>
        <w:jc w:val="both"/>
        <w:rPr>
          <w:rFonts w:ascii="仿宋_GB2312" w:eastAsia="仿宋_GB2312" w:hAnsi="仿宋"/>
          <w:color w:val="000000"/>
          <w:sz w:val="20"/>
        </w:rPr>
      </w:pPr>
    </w:p>
    <w:p w:rsidR="00800760" w:rsidRDefault="00800760">
      <w:pPr>
        <w:tabs>
          <w:tab w:val="left" w:leader="underscore" w:pos="3094"/>
        </w:tabs>
        <w:ind w:firstLine="400"/>
        <w:jc w:val="both"/>
        <w:rPr>
          <w:rFonts w:ascii="仿宋_GB2312" w:eastAsia="仿宋_GB2312" w:hAnsi="仿宋"/>
          <w:color w:val="000000"/>
          <w:sz w:val="20"/>
        </w:rPr>
      </w:pPr>
    </w:p>
    <w:p w:rsidR="00800760" w:rsidRDefault="00800760">
      <w:pPr>
        <w:tabs>
          <w:tab w:val="left" w:leader="underscore" w:pos="3094"/>
        </w:tabs>
        <w:ind w:firstLine="400"/>
        <w:jc w:val="both"/>
        <w:rPr>
          <w:rFonts w:ascii="仿宋_GB2312" w:eastAsia="仿宋_GB2312" w:hAnsi="仿宋"/>
          <w:color w:val="000000"/>
          <w:sz w:val="20"/>
        </w:rPr>
      </w:pPr>
    </w:p>
    <w:p w:rsidR="00800760" w:rsidRDefault="00235733">
      <w:pPr>
        <w:tabs>
          <w:tab w:val="left" w:leader="underscore" w:pos="3094"/>
        </w:tabs>
        <w:ind w:firstLineChars="0" w:firstLine="0"/>
        <w:jc w:val="both"/>
        <w:rPr>
          <w:rFonts w:ascii="仿宋_GB2312" w:eastAsia="仿宋_GB2312" w:hAnsi="仿宋"/>
          <w:color w:val="000000"/>
          <w:sz w:val="20"/>
        </w:rPr>
      </w:pPr>
      <w:r>
        <w:rPr>
          <w:rFonts w:ascii="仿宋_GB2312" w:eastAsia="仿宋_GB2312" w:hAnsi="仿宋" w:hint="eastAsia"/>
          <w:color w:val="000000"/>
          <w:sz w:val="20"/>
        </w:rPr>
        <w:t>说明：本清单一式两份，一份递交知识产权局，一份由递交人留存。</w:t>
      </w:r>
    </w:p>
    <w:p w:rsidR="00800760" w:rsidRDefault="00235733">
      <w:pPr>
        <w:spacing w:line="240" w:lineRule="auto"/>
        <w:ind w:firstLineChars="0" w:firstLine="0"/>
        <w:rPr>
          <w:rFonts w:ascii="仿宋_GB2312" w:eastAsia="仿宋_GB2312" w:hAnsi="仿宋"/>
          <w:color w:val="000000"/>
          <w:sz w:val="20"/>
        </w:rPr>
      </w:pPr>
      <w:r>
        <w:rPr>
          <w:rFonts w:ascii="仿宋_GB2312" w:eastAsia="仿宋_GB2312" w:hAnsi="仿宋" w:hint="eastAsia"/>
          <w:color w:val="000000"/>
          <w:sz w:val="20"/>
        </w:rPr>
        <w:br w:type="page"/>
      </w:r>
    </w:p>
    <w:p w:rsidR="00800760" w:rsidRDefault="00235733">
      <w:pPr>
        <w:tabs>
          <w:tab w:val="left" w:leader="underscore" w:pos="3094"/>
        </w:tabs>
        <w:ind w:firstLineChars="0" w:firstLine="0"/>
        <w:jc w:val="center"/>
        <w:rPr>
          <w:rFonts w:ascii="仿宋" w:eastAsia="仿宋_GB2312" w:hAnsi="仿宋"/>
          <w:color w:val="000000"/>
          <w:szCs w:val="21"/>
        </w:rPr>
      </w:pPr>
      <w:r>
        <w:rPr>
          <w:rFonts w:ascii="方正小标宋简体" w:eastAsia="方正小标宋简体" w:hAnsi="方正小标宋简体" w:cs="方正小标宋简体" w:hint="eastAsia"/>
          <w:bCs/>
          <w:sz w:val="36"/>
          <w:szCs w:val="36"/>
          <w:lang w:val="en-US"/>
        </w:rPr>
        <w:t>______知识产权局调查通知书</w:t>
      </w:r>
    </w:p>
    <w:p w:rsidR="00800760" w:rsidRDefault="00235733">
      <w:pPr>
        <w:widowControl w:val="0"/>
        <w:spacing w:line="360" w:lineRule="auto"/>
        <w:ind w:firstLineChars="0" w:firstLine="0"/>
        <w:jc w:val="center"/>
        <w:rPr>
          <w:rFonts w:ascii="仿宋_GB2312" w:eastAsia="仿宋_GB2312" w:hAnsi="仿宋"/>
          <w:color w:val="000000"/>
          <w:sz w:val="20"/>
        </w:rPr>
      </w:pPr>
      <w:r>
        <w:rPr>
          <w:rFonts w:ascii="仿宋_GB2312" w:eastAsia="仿宋_GB2312" w:hAnsi="仿宋" w:hint="eastAsia"/>
          <w:color w:val="000000"/>
          <w:sz w:val="20"/>
        </w:rPr>
        <w:t>（不得在送达答辩书前发出）</w:t>
      </w:r>
    </w:p>
    <w:p w:rsidR="00800760" w:rsidRDefault="00235733">
      <w:pPr>
        <w:spacing w:line="360" w:lineRule="auto"/>
        <w:ind w:firstLineChars="0" w:firstLine="0"/>
        <w:jc w:val="right"/>
        <w:rPr>
          <w:rFonts w:ascii="仿宋_GB2312" w:eastAsia="仿宋_GB2312" w:hAnsi="仿宋_GB2312" w:cs="仿宋_GB2312"/>
          <w:sz w:val="20"/>
        </w:rPr>
      </w:pPr>
      <w:r>
        <w:rPr>
          <w:rFonts w:ascii="仿宋_GB2312" w:eastAsia="仿宋_GB2312" w:hAnsi="仿宋" w:hint="eastAsia"/>
          <w:color w:val="000000"/>
          <w:sz w:val="20"/>
        </w:rPr>
        <w:t>案号：____________________</w:t>
      </w:r>
      <w:r>
        <w:rPr>
          <w:rFonts w:ascii="仿宋_GB2312" w:eastAsia="仿宋_GB2312" w:hAnsi="仿宋" w:hint="eastAsia"/>
          <w:sz w:val="20"/>
        </w:rPr>
        <w:t xml:space="preserve"> </w:t>
      </w:r>
    </w:p>
    <w:tbl>
      <w:tblPr>
        <w:tblpPr w:leftFromText="180" w:rightFromText="180" w:vertAnchor="text" w:horzAnchor="page" w:tblpX="1407" w:tblpY="231"/>
        <w:tblOverlap w:val="never"/>
        <w:tblW w:w="9072" w:type="dxa"/>
        <w:tblLayout w:type="fixed"/>
        <w:tblCellMar>
          <w:left w:w="10" w:type="dxa"/>
          <w:right w:w="10" w:type="dxa"/>
        </w:tblCellMar>
        <w:tblLook w:val="04A0"/>
      </w:tblPr>
      <w:tblGrid>
        <w:gridCol w:w="1992"/>
        <w:gridCol w:w="7080"/>
      </w:tblGrid>
      <w:tr w:rsidR="00800760">
        <w:trPr>
          <w:trHeight w:hRule="exact" w:val="427"/>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100" w:firstLine="200"/>
              <w:jc w:val="center"/>
              <w:rPr>
                <w:rFonts w:ascii="仿宋_GB2312" w:eastAsia="仿宋_GB2312" w:hAnsi="仿宋"/>
                <w:color w:val="000000"/>
                <w:sz w:val="20"/>
              </w:rPr>
            </w:pPr>
            <w:r>
              <w:rPr>
                <w:rFonts w:ascii="仿宋_GB2312" w:eastAsia="仿宋_GB2312" w:hAnsi="仿宋" w:hint="eastAsia"/>
                <w:color w:val="000000"/>
                <w:sz w:val="20"/>
              </w:rPr>
              <w:t>专利号</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jc w:val="center"/>
              <w:rPr>
                <w:rFonts w:ascii="仿宋_GB2312" w:eastAsia="仿宋_GB2312" w:hAnsi="仿宋"/>
                <w:color w:val="000000"/>
                <w:sz w:val="20"/>
              </w:rPr>
            </w:pPr>
          </w:p>
        </w:tc>
      </w:tr>
      <w:tr w:rsidR="00800760">
        <w:trPr>
          <w:trHeight w:hRule="exact" w:val="422"/>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100" w:firstLine="200"/>
              <w:jc w:val="center"/>
              <w:rPr>
                <w:rFonts w:ascii="仿宋_GB2312" w:eastAsia="仿宋_GB2312" w:hAnsi="仿宋"/>
                <w:color w:val="000000"/>
                <w:sz w:val="20"/>
              </w:rPr>
            </w:pPr>
            <w:r>
              <w:rPr>
                <w:rFonts w:ascii="仿宋_GB2312" w:eastAsia="仿宋_GB2312" w:hAnsi="仿宋" w:hint="eastAsia"/>
                <w:color w:val="000000"/>
                <w:sz w:val="20"/>
              </w:rPr>
              <w:t>专利名称</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jc w:val="center"/>
              <w:rPr>
                <w:rFonts w:ascii="仿宋_GB2312" w:eastAsia="仿宋_GB2312" w:hAnsi="仿宋"/>
                <w:color w:val="000000"/>
                <w:sz w:val="20"/>
              </w:rPr>
            </w:pPr>
          </w:p>
        </w:tc>
      </w:tr>
      <w:tr w:rsidR="00800760">
        <w:trPr>
          <w:trHeight w:hRule="exact" w:val="418"/>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100" w:firstLine="200"/>
              <w:jc w:val="center"/>
              <w:rPr>
                <w:rFonts w:ascii="仿宋_GB2312" w:eastAsia="仿宋_GB2312" w:hAnsi="仿宋"/>
                <w:color w:val="000000"/>
                <w:sz w:val="20"/>
              </w:rPr>
            </w:pPr>
            <w:r>
              <w:rPr>
                <w:rFonts w:ascii="仿宋_GB2312" w:eastAsia="仿宋_GB2312" w:hAnsi="仿宋" w:hint="eastAsia"/>
                <w:color w:val="000000"/>
                <w:sz w:val="20"/>
              </w:rPr>
              <w:t>专利权人</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jc w:val="center"/>
              <w:rPr>
                <w:rFonts w:ascii="仿宋_GB2312" w:eastAsia="仿宋_GB2312" w:hAnsi="仿宋"/>
                <w:color w:val="000000"/>
                <w:sz w:val="20"/>
              </w:rPr>
            </w:pPr>
          </w:p>
        </w:tc>
      </w:tr>
      <w:tr w:rsidR="00800760">
        <w:trPr>
          <w:trHeight w:hRule="exact" w:val="418"/>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100" w:firstLine="200"/>
              <w:jc w:val="center"/>
              <w:rPr>
                <w:rFonts w:ascii="仿宋_GB2312" w:eastAsia="仿宋_GB2312" w:hAnsi="仿宋"/>
                <w:color w:val="000000"/>
                <w:sz w:val="20"/>
              </w:rPr>
            </w:pPr>
            <w:r>
              <w:rPr>
                <w:rFonts w:ascii="仿宋_GB2312" w:eastAsia="仿宋_GB2312" w:hAnsi="仿宋" w:hint="eastAsia"/>
                <w:color w:val="000000"/>
                <w:sz w:val="20"/>
              </w:rPr>
              <w:t>请求人</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jc w:val="center"/>
              <w:rPr>
                <w:rFonts w:ascii="仿宋_GB2312" w:eastAsia="仿宋_GB2312" w:hAnsi="仿宋"/>
                <w:color w:val="000000"/>
                <w:sz w:val="20"/>
              </w:rPr>
            </w:pPr>
          </w:p>
        </w:tc>
      </w:tr>
      <w:tr w:rsidR="00800760">
        <w:trPr>
          <w:trHeight w:hRule="exact" w:val="466"/>
        </w:trPr>
        <w:tc>
          <w:tcPr>
            <w:tcW w:w="1992" w:type="dxa"/>
            <w:tcBorders>
              <w:top w:val="single" w:sz="4" w:space="0" w:color="auto"/>
              <w:left w:val="single" w:sz="4" w:space="0" w:color="auto"/>
              <w:bottom w:val="single" w:sz="4" w:space="0" w:color="auto"/>
            </w:tcBorders>
            <w:shd w:val="clear" w:color="auto" w:fill="FFFFFF"/>
            <w:vAlign w:val="center"/>
          </w:tcPr>
          <w:p w:rsidR="00800760" w:rsidRDefault="00235733">
            <w:pPr>
              <w:spacing w:line="360" w:lineRule="auto"/>
              <w:ind w:firstLineChars="100" w:firstLine="200"/>
              <w:jc w:val="center"/>
              <w:rPr>
                <w:rFonts w:ascii="仿宋_GB2312" w:eastAsia="仿宋_GB2312" w:hAnsi="仿宋"/>
                <w:color w:val="000000"/>
                <w:sz w:val="20"/>
              </w:rPr>
            </w:pPr>
            <w:r>
              <w:rPr>
                <w:rFonts w:ascii="仿宋_GB2312" w:eastAsia="仿宋_GB2312" w:hAnsi="仿宋" w:hint="eastAsia"/>
                <w:color w:val="000000"/>
                <w:sz w:val="20"/>
              </w:rPr>
              <w:t>被请求人</w:t>
            </w:r>
          </w:p>
        </w:tc>
        <w:tc>
          <w:tcPr>
            <w:tcW w:w="7080" w:type="dxa"/>
            <w:tcBorders>
              <w:top w:val="single" w:sz="4" w:space="0" w:color="auto"/>
              <w:left w:val="single" w:sz="4" w:space="0" w:color="auto"/>
              <w:bottom w:val="single" w:sz="4" w:space="0" w:color="auto"/>
              <w:right w:val="single" w:sz="4" w:space="0" w:color="auto"/>
            </w:tcBorders>
            <w:shd w:val="clear" w:color="auto" w:fill="FFFFFF"/>
          </w:tcPr>
          <w:p w:rsidR="00800760" w:rsidRDefault="00800760">
            <w:pPr>
              <w:spacing w:line="360" w:lineRule="auto"/>
              <w:ind w:firstLineChars="100" w:firstLine="200"/>
              <w:jc w:val="center"/>
              <w:rPr>
                <w:rFonts w:ascii="仿宋_GB2312" w:eastAsia="仿宋_GB2312" w:hAnsi="仿宋"/>
                <w:color w:val="000000"/>
                <w:sz w:val="20"/>
              </w:rPr>
            </w:pPr>
          </w:p>
        </w:tc>
      </w:tr>
    </w:tbl>
    <w:p w:rsidR="00800760" w:rsidRDefault="00800760">
      <w:pPr>
        <w:spacing w:line="360" w:lineRule="auto"/>
        <w:ind w:firstLineChars="0" w:firstLine="0"/>
        <w:rPr>
          <w:rFonts w:ascii="仿宋_GB2312" w:eastAsia="仿宋_GB2312" w:hAnsi="仿宋"/>
          <w:color w:val="000000"/>
          <w:sz w:val="20"/>
        </w:rPr>
      </w:pPr>
    </w:p>
    <w:p w:rsidR="00800760" w:rsidRDefault="00235733" w:rsidP="00C22A7B">
      <w:pPr>
        <w:spacing w:beforeLines="50" w:afterLines="50"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被调查人:</w:t>
      </w:r>
    </w:p>
    <w:p w:rsidR="00800760" w:rsidRDefault="00235733" w:rsidP="00C22A7B">
      <w:pPr>
        <w:spacing w:beforeLines="50" w:afterLines="50" w:line="360" w:lineRule="auto"/>
        <w:ind w:firstLine="400"/>
        <w:rPr>
          <w:rFonts w:ascii="仿宋_GB2312" w:eastAsia="仿宋_GB2312" w:hAnsi="仿宋_GB2312" w:cs="仿宋_GB2312"/>
          <w:sz w:val="20"/>
        </w:rPr>
      </w:pPr>
      <w:r>
        <w:rPr>
          <w:rFonts w:ascii="仿宋_GB2312" w:eastAsia="仿宋_GB2312" w:hAnsi="仿宋_GB2312" w:cs="仿宋_GB2312" w:hint="eastAsia"/>
          <w:sz w:val="20"/>
        </w:rPr>
        <w:t>本局受理的请求人</w:t>
      </w:r>
      <w:r>
        <w:rPr>
          <w:rFonts w:ascii="仿宋_GB2312" w:eastAsia="仿宋_GB2312" w:hAnsi="方正小标宋简体" w:cs="方正小标宋简体" w:hint="eastAsia"/>
          <w:bCs/>
          <w:sz w:val="20"/>
          <w:lang w:val="en-US"/>
        </w:rPr>
        <w:t>___</w:t>
      </w:r>
      <w:r>
        <w:rPr>
          <w:rFonts w:ascii="仿宋_GB2312" w:eastAsia="仿宋_GB2312" w:hAnsi="仿宋_GB2312" w:cs="仿宋_GB2312" w:hint="eastAsia"/>
          <w:sz w:val="20"/>
        </w:rPr>
        <w:t>与被请求人</w:t>
      </w:r>
      <w:r>
        <w:rPr>
          <w:rFonts w:ascii="仿宋_GB2312" w:eastAsia="仿宋_GB2312" w:hAnsi="方正小标宋简体" w:cs="方正小标宋简体" w:hint="eastAsia"/>
          <w:bCs/>
          <w:sz w:val="20"/>
          <w:lang w:val="en-US"/>
        </w:rPr>
        <w:t>___</w:t>
      </w:r>
      <w:r>
        <w:rPr>
          <w:rFonts w:ascii="仿宋_GB2312" w:eastAsia="仿宋_GB2312" w:hAnsi="仿宋_GB2312" w:cs="仿宋_GB2312" w:hint="eastAsia"/>
          <w:sz w:val="20"/>
        </w:rPr>
        <w:t>侵害</w:t>
      </w:r>
      <w:r>
        <w:rPr>
          <w:rFonts w:ascii="仿宋_GB2312" w:eastAsia="仿宋_GB2312" w:hAnsi="方正小标宋简体" w:cs="方正小标宋简体" w:hint="eastAsia"/>
          <w:bCs/>
          <w:sz w:val="20"/>
          <w:lang w:val="en-US"/>
        </w:rPr>
        <w:t>______</w:t>
      </w:r>
      <w:r>
        <w:rPr>
          <w:rFonts w:ascii="仿宋_GB2312" w:eastAsia="仿宋_GB2312" w:hAnsi="仿宋_GB2312" w:cs="仿宋_GB2312" w:hint="eastAsia"/>
          <w:sz w:val="20"/>
        </w:rPr>
        <w:t>专利权纠纷一案，为查明有关案件事实，根据《专利纠纷行政裁决和调解办法》第四十四条第二款，本局现指定</w:t>
      </w:r>
      <w:r>
        <w:rPr>
          <w:rFonts w:ascii="仿宋_GB2312" w:eastAsia="仿宋_GB2312" w:hAnsi="方正小标宋简体" w:cs="方正小标宋简体" w:hint="eastAsia"/>
          <w:bCs/>
          <w:sz w:val="20"/>
          <w:lang w:val="en-US"/>
        </w:rPr>
        <w:t>_____</w:t>
      </w:r>
      <w:r>
        <w:rPr>
          <w:rFonts w:ascii="仿宋_GB2312" w:eastAsia="仿宋_GB2312" w:hAnsi="仿宋_GB2312" w:cs="仿宋_GB2312" w:hint="eastAsia"/>
          <w:sz w:val="20"/>
        </w:rPr>
        <w:t>前来你处调查收集下列证据材料:</w:t>
      </w:r>
    </w:p>
    <w:p w:rsidR="00800760" w:rsidRDefault="00235733" w:rsidP="00C22A7B">
      <w:pPr>
        <w:spacing w:beforeLines="50" w:afterLines="50" w:line="360" w:lineRule="auto"/>
        <w:ind w:firstLine="400"/>
        <w:rPr>
          <w:rFonts w:ascii="仿宋_GB2312" w:eastAsia="仿宋_GB2312" w:hAnsi="仿宋_GB2312" w:cs="仿宋_GB2312"/>
          <w:sz w:val="20"/>
        </w:rPr>
      </w:pPr>
      <w:r>
        <w:rPr>
          <w:rFonts w:ascii="仿宋_GB2312" w:eastAsia="仿宋_GB2312" w:hAnsi="仿宋_GB2312" w:cs="仿宋_GB2312" w:hint="eastAsia"/>
          <w:i/>
          <w:iCs/>
          <w:sz w:val="20"/>
        </w:rPr>
        <w:t>（根据代理人申请。不涉及国家秘密、商业秘密或者个人隐私的相关证据。）</w:t>
      </w:r>
      <w:r>
        <w:rPr>
          <w:rFonts w:ascii="仿宋_GB2312" w:eastAsia="仿宋_GB2312" w:hAnsi="仿宋_GB2312" w:cs="仿宋_GB2312" w:hint="eastAsia"/>
          <w:sz w:val="20"/>
        </w:rPr>
        <w:t>你单位和个人应予以配合。</w:t>
      </w:r>
    </w:p>
    <w:p w:rsidR="00800760" w:rsidRDefault="00235733" w:rsidP="00C22A7B">
      <w:pPr>
        <w:spacing w:beforeLines="50" w:afterLines="50" w:line="360" w:lineRule="auto"/>
        <w:ind w:firstLine="400"/>
        <w:rPr>
          <w:rFonts w:ascii="仿宋_GB2312" w:eastAsia="仿宋_GB2312" w:hAnsi="仿宋_GB2312" w:cs="仿宋_GB2312"/>
          <w:sz w:val="20"/>
          <w:lang w:val="en-US"/>
        </w:rPr>
      </w:pPr>
      <w:r>
        <w:rPr>
          <w:rFonts w:ascii="仿宋_GB2312" w:eastAsia="仿宋_GB2312" w:hAnsi="仿宋_GB2312" w:cs="仿宋_GB2312" w:hint="eastAsia"/>
          <w:sz w:val="20"/>
        </w:rPr>
        <w:t>代理人:</w:t>
      </w:r>
      <w:r>
        <w:rPr>
          <w:rFonts w:ascii="仿宋_GB2312" w:eastAsia="仿宋_GB2312" w:hAnsi="仿宋_GB2312" w:cs="仿宋_GB2312" w:hint="eastAsia"/>
          <w:sz w:val="20"/>
          <w:lang w:val="en-US"/>
        </w:rPr>
        <w:t xml:space="preserve"> </w:t>
      </w:r>
      <w:r>
        <w:rPr>
          <w:rFonts w:ascii="仿宋_GB2312" w:eastAsia="仿宋_GB2312" w:hAnsi="方正小标宋简体" w:cs="方正小标宋简体" w:hint="eastAsia"/>
          <w:bCs/>
          <w:sz w:val="20"/>
          <w:lang w:val="en-US"/>
        </w:rPr>
        <w:t>______</w:t>
      </w:r>
    </w:p>
    <w:p w:rsidR="00800760" w:rsidRDefault="00235733" w:rsidP="00C22A7B">
      <w:pPr>
        <w:spacing w:beforeLines="50" w:afterLines="50" w:line="360" w:lineRule="auto"/>
        <w:ind w:firstLine="400"/>
        <w:rPr>
          <w:rFonts w:ascii="仿宋_GB2312" w:eastAsia="仿宋_GB2312" w:hAnsi="仿宋_GB2312" w:cs="仿宋_GB2312"/>
          <w:sz w:val="20"/>
        </w:rPr>
      </w:pPr>
      <w:r>
        <w:rPr>
          <w:rFonts w:ascii="仿宋_GB2312" w:eastAsia="仿宋_GB2312" w:hAnsi="仿宋_GB2312" w:cs="仿宋_GB2312" w:hint="eastAsia"/>
          <w:sz w:val="20"/>
        </w:rPr>
        <w:t>身份证号码</w:t>
      </w:r>
      <w:r>
        <w:rPr>
          <w:rFonts w:ascii="仿宋_GB2312" w:eastAsia="仿宋_GB2312" w:hAnsi="方正小标宋简体" w:cs="方正小标宋简体" w:hint="eastAsia"/>
          <w:bCs/>
          <w:sz w:val="20"/>
          <w:lang w:val="en-US"/>
        </w:rPr>
        <w:t>______</w:t>
      </w:r>
      <w:r>
        <w:rPr>
          <w:rFonts w:ascii="仿宋_GB2312" w:eastAsia="仿宋_GB2312" w:hAnsi="仿宋_GB2312" w:cs="仿宋_GB2312" w:hint="eastAsia"/>
          <w:sz w:val="20"/>
        </w:rPr>
        <w:t>（专利代理师证号：</w:t>
      </w:r>
      <w:r>
        <w:rPr>
          <w:rFonts w:ascii="仿宋_GB2312" w:eastAsia="仿宋_GB2312" w:hAnsi="方正小标宋简体" w:cs="方正小标宋简体" w:hint="eastAsia"/>
          <w:bCs/>
          <w:sz w:val="20"/>
          <w:lang w:val="en-US"/>
        </w:rPr>
        <w:t>______</w:t>
      </w:r>
      <w:r>
        <w:rPr>
          <w:rFonts w:ascii="仿宋_GB2312" w:eastAsia="仿宋_GB2312" w:hAnsi="仿宋_GB2312" w:cs="仿宋_GB2312" w:hint="eastAsia"/>
          <w:sz w:val="20"/>
        </w:rPr>
        <w:t>。律师执业证号:</w:t>
      </w:r>
      <w:r>
        <w:rPr>
          <w:rFonts w:ascii="仿宋_GB2312" w:eastAsia="仿宋_GB2312" w:hAnsi="方正小标宋简体" w:cs="方正小标宋简体" w:hint="eastAsia"/>
          <w:bCs/>
          <w:sz w:val="20"/>
          <w:lang w:val="en-US"/>
        </w:rPr>
        <w:t xml:space="preserve"> ______</w:t>
      </w:r>
      <w:r>
        <w:rPr>
          <w:rFonts w:ascii="仿宋_GB2312" w:eastAsia="仿宋_GB2312" w:hAnsi="仿宋_GB2312" w:cs="仿宋_GB2312" w:hint="eastAsia"/>
          <w:sz w:val="20"/>
        </w:rPr>
        <w:t>。）</w:t>
      </w:r>
    </w:p>
    <w:p w:rsidR="00800760" w:rsidRDefault="00235733" w:rsidP="00C22A7B">
      <w:pPr>
        <w:spacing w:beforeLines="50" w:afterLines="50" w:line="360" w:lineRule="auto"/>
        <w:ind w:firstLine="400"/>
        <w:rPr>
          <w:rFonts w:ascii="仿宋_GB2312" w:eastAsia="仿宋_GB2312" w:hAnsi="仿宋_GB2312" w:cs="仿宋_GB2312"/>
          <w:sz w:val="20"/>
        </w:rPr>
      </w:pPr>
      <w:r>
        <w:rPr>
          <w:rFonts w:ascii="仿宋_GB2312" w:eastAsia="仿宋_GB2312" w:hAnsi="仿宋_GB2312" w:cs="仿宋_GB2312" w:hint="eastAsia"/>
          <w:sz w:val="20"/>
        </w:rPr>
        <w:t>所属工作单位:</w:t>
      </w:r>
      <w:r>
        <w:rPr>
          <w:rFonts w:ascii="仿宋_GB2312" w:eastAsia="仿宋_GB2312" w:hAnsi="仿宋_GB2312" w:cs="仿宋_GB2312" w:hint="eastAsia"/>
          <w:sz w:val="20"/>
          <w:lang w:val="en-US"/>
        </w:rPr>
        <w:t>XX</w:t>
      </w:r>
      <w:r>
        <w:rPr>
          <w:rFonts w:ascii="仿宋_GB2312" w:eastAsia="仿宋_GB2312" w:hAnsi="仿宋_GB2312" w:cs="仿宋_GB2312" w:hint="eastAsia"/>
          <w:sz w:val="20"/>
        </w:rPr>
        <w:t>。</w:t>
      </w:r>
    </w:p>
    <w:p w:rsidR="00800760" w:rsidRDefault="00235733" w:rsidP="00C22A7B">
      <w:pPr>
        <w:spacing w:beforeLines="50" w:afterLines="50" w:line="360" w:lineRule="auto"/>
        <w:ind w:firstLine="400"/>
        <w:rPr>
          <w:rFonts w:ascii="仿宋_GB2312" w:eastAsia="仿宋_GB2312" w:hAnsi="仿宋_GB2312" w:cs="仿宋_GB2312"/>
          <w:sz w:val="20"/>
        </w:rPr>
      </w:pPr>
      <w:r>
        <w:rPr>
          <w:rFonts w:ascii="仿宋_GB2312" w:eastAsia="仿宋_GB2312" w:hAnsi="仿宋_GB2312" w:cs="仿宋_GB2312" w:hint="eastAsia"/>
          <w:sz w:val="20"/>
        </w:rPr>
        <w:t>本调查通知书有效期截至202</w:t>
      </w:r>
      <w:r>
        <w:rPr>
          <w:rFonts w:ascii="仿宋_GB2312" w:eastAsia="仿宋_GB2312" w:hAnsi="仿宋_GB2312" w:cs="仿宋_GB2312" w:hint="eastAsia"/>
          <w:sz w:val="20"/>
          <w:lang w:val="en-US"/>
        </w:rPr>
        <w:t xml:space="preserve"> </w:t>
      </w:r>
      <w:r>
        <w:rPr>
          <w:rFonts w:ascii="仿宋_GB2312" w:eastAsia="仿宋_GB2312" w:hAnsi="仿宋_GB2312" w:cs="仿宋_GB2312" w:hint="eastAsia"/>
          <w:sz w:val="20"/>
        </w:rPr>
        <w:t>年</w:t>
      </w:r>
      <w:r>
        <w:rPr>
          <w:rFonts w:ascii="仿宋_GB2312" w:eastAsia="仿宋_GB2312" w:hAnsi="仿宋_GB2312" w:cs="仿宋_GB2312" w:hint="eastAsia"/>
          <w:sz w:val="20"/>
          <w:lang w:val="en-US"/>
        </w:rPr>
        <w:t xml:space="preserve"> </w:t>
      </w:r>
      <w:r>
        <w:rPr>
          <w:rFonts w:ascii="仿宋_GB2312" w:eastAsia="仿宋_GB2312" w:hAnsi="仿宋_GB2312" w:cs="仿宋_GB2312" w:hint="eastAsia"/>
          <w:sz w:val="20"/>
        </w:rPr>
        <w:t>月</w:t>
      </w:r>
      <w:r>
        <w:rPr>
          <w:rFonts w:ascii="仿宋_GB2312" w:eastAsia="仿宋_GB2312" w:hAnsi="仿宋_GB2312" w:cs="仿宋_GB2312" w:hint="eastAsia"/>
          <w:sz w:val="20"/>
          <w:lang w:val="en-US"/>
        </w:rPr>
        <w:t xml:space="preserve"> </w:t>
      </w:r>
      <w:r>
        <w:rPr>
          <w:rFonts w:ascii="仿宋_GB2312" w:eastAsia="仿宋_GB2312" w:hAnsi="仿宋_GB2312" w:cs="仿宋_GB2312" w:hint="eastAsia"/>
          <w:sz w:val="20"/>
        </w:rPr>
        <w:t>日</w:t>
      </w:r>
      <w:r>
        <w:rPr>
          <w:rFonts w:ascii="仿宋_GB2312" w:eastAsia="仿宋_GB2312" w:hAnsi="仿宋_GB2312" w:cs="仿宋_GB2312" w:hint="eastAsia"/>
          <w:i/>
          <w:iCs/>
          <w:sz w:val="20"/>
        </w:rPr>
        <w:t>（通知书发出后</w:t>
      </w:r>
      <w:r>
        <w:rPr>
          <w:rFonts w:ascii="仿宋_GB2312" w:eastAsia="仿宋_GB2312" w:hAnsi="仿宋_GB2312" w:cs="仿宋_GB2312" w:hint="eastAsia"/>
          <w:i/>
          <w:iCs/>
          <w:sz w:val="20"/>
          <w:lang w:val="en-US"/>
        </w:rPr>
        <w:t>+5个工作日</w:t>
      </w:r>
      <w:r>
        <w:rPr>
          <w:rFonts w:ascii="仿宋_GB2312" w:eastAsia="仿宋_GB2312" w:hAnsi="仿宋_GB2312" w:cs="仿宋_GB2312" w:hint="eastAsia"/>
          <w:i/>
          <w:iCs/>
          <w:sz w:val="20"/>
        </w:rPr>
        <w:t>）</w:t>
      </w:r>
      <w:r>
        <w:rPr>
          <w:rFonts w:ascii="仿宋_GB2312" w:eastAsia="仿宋_GB2312" w:hAnsi="仿宋_GB2312" w:cs="仿宋_GB2312" w:hint="eastAsia"/>
          <w:sz w:val="20"/>
        </w:rPr>
        <w:t>。</w:t>
      </w:r>
    </w:p>
    <w:p w:rsidR="00800760" w:rsidRDefault="00800760" w:rsidP="00C22A7B">
      <w:pPr>
        <w:spacing w:beforeLines="50" w:afterLines="50" w:line="360" w:lineRule="auto"/>
        <w:ind w:firstLineChars="3250" w:firstLine="6500"/>
        <w:rPr>
          <w:rFonts w:ascii="仿宋_GB2312" w:eastAsia="仿宋_GB2312" w:hAnsi="仿宋_GB2312" w:cs="仿宋_GB2312"/>
          <w:sz w:val="20"/>
          <w:lang w:val="en-US"/>
        </w:rPr>
      </w:pPr>
    </w:p>
    <w:p w:rsidR="00800760" w:rsidRDefault="00800760" w:rsidP="00C22A7B">
      <w:pPr>
        <w:spacing w:beforeLines="50" w:afterLines="50" w:line="360" w:lineRule="auto"/>
        <w:ind w:firstLineChars="3250" w:firstLine="6500"/>
        <w:rPr>
          <w:rFonts w:ascii="仿宋_GB2312" w:eastAsia="仿宋_GB2312" w:hAnsi="仿宋_GB2312" w:cs="仿宋_GB2312"/>
          <w:sz w:val="20"/>
          <w:lang w:val="en-US"/>
        </w:rPr>
      </w:pPr>
    </w:p>
    <w:p w:rsidR="00800760" w:rsidRDefault="00235733" w:rsidP="00C22A7B">
      <w:pPr>
        <w:spacing w:beforeLines="50" w:afterLines="50" w:line="360" w:lineRule="auto"/>
        <w:ind w:firstLineChars="3550" w:firstLine="7100"/>
        <w:rPr>
          <w:rFonts w:ascii="仿宋_GB2312" w:eastAsia="仿宋_GB2312" w:hAnsi="仿宋_GB2312" w:cs="仿宋_GB2312"/>
          <w:sz w:val="20"/>
          <w:lang w:val="en-US"/>
        </w:rPr>
      </w:pPr>
      <w:r>
        <w:rPr>
          <w:rFonts w:ascii="仿宋_GB2312" w:eastAsia="仿宋_GB2312" w:hAnsi="仿宋_GB2312" w:cs="仿宋_GB2312" w:hint="eastAsia"/>
          <w:sz w:val="20"/>
          <w:lang w:val="en-US"/>
        </w:rPr>
        <w:t xml:space="preserve">  年</w:t>
      </w:r>
      <w:r w:rsidR="00885A51">
        <w:rPr>
          <w:rFonts w:ascii="仿宋_GB2312" w:eastAsia="仿宋_GB2312" w:hAnsi="仿宋_GB2312" w:cs="仿宋_GB2312" w:hint="eastAsia"/>
          <w:sz w:val="20"/>
          <w:lang w:val="en-US"/>
        </w:rPr>
        <w:t xml:space="preserve"> </w:t>
      </w:r>
      <w:r>
        <w:rPr>
          <w:rFonts w:ascii="仿宋_GB2312" w:eastAsia="仿宋_GB2312" w:hAnsi="仿宋_GB2312" w:cs="仿宋_GB2312" w:hint="eastAsia"/>
          <w:sz w:val="20"/>
          <w:lang w:val="en-US"/>
        </w:rPr>
        <w:t xml:space="preserve"> </w:t>
      </w:r>
      <w:r w:rsidR="00885A51">
        <w:rPr>
          <w:rFonts w:ascii="仿宋_GB2312" w:eastAsia="仿宋_GB2312" w:hAnsi="仿宋_GB2312" w:cs="仿宋_GB2312" w:hint="eastAsia"/>
          <w:sz w:val="20"/>
          <w:lang w:val="en-US"/>
        </w:rPr>
        <w:t xml:space="preserve"> </w:t>
      </w:r>
      <w:r>
        <w:rPr>
          <w:rFonts w:ascii="仿宋_GB2312" w:eastAsia="仿宋_GB2312" w:hAnsi="仿宋_GB2312" w:cs="仿宋_GB2312" w:hint="eastAsia"/>
          <w:sz w:val="20"/>
          <w:lang w:val="en-US"/>
        </w:rPr>
        <w:t xml:space="preserve"> 月</w:t>
      </w:r>
      <w:r w:rsidR="00885A51">
        <w:rPr>
          <w:rFonts w:ascii="仿宋_GB2312" w:eastAsia="仿宋_GB2312" w:hAnsi="仿宋_GB2312" w:cs="仿宋_GB2312" w:hint="eastAsia"/>
          <w:sz w:val="20"/>
          <w:lang w:val="en-US"/>
        </w:rPr>
        <w:t xml:space="preserve">  </w:t>
      </w:r>
      <w:r>
        <w:rPr>
          <w:rFonts w:ascii="仿宋_GB2312" w:eastAsia="仿宋_GB2312" w:hAnsi="仿宋_GB2312" w:cs="仿宋_GB2312" w:hint="eastAsia"/>
          <w:sz w:val="20"/>
          <w:lang w:val="en-US"/>
        </w:rPr>
        <w:t xml:space="preserve">  日</w:t>
      </w:r>
    </w:p>
    <w:p w:rsidR="00800760" w:rsidRDefault="00800760">
      <w:pPr>
        <w:spacing w:line="360" w:lineRule="auto"/>
        <w:ind w:firstLineChars="0" w:firstLine="0"/>
        <w:rPr>
          <w:rFonts w:ascii="仿宋_GB2312" w:eastAsia="仿宋_GB2312" w:hAnsi="仿宋"/>
          <w:sz w:val="20"/>
        </w:rPr>
      </w:pPr>
    </w:p>
    <w:p w:rsidR="00800760" w:rsidRDefault="00800760">
      <w:pPr>
        <w:spacing w:line="360" w:lineRule="auto"/>
        <w:ind w:firstLineChars="0" w:firstLine="0"/>
        <w:rPr>
          <w:rFonts w:ascii="仿宋_GB2312" w:eastAsia="仿宋_GB2312" w:hAnsi="仿宋"/>
          <w:sz w:val="20"/>
        </w:rPr>
      </w:pPr>
    </w:p>
    <w:p w:rsidR="00800760" w:rsidRDefault="00235733">
      <w:pPr>
        <w:spacing w:line="360" w:lineRule="auto"/>
        <w:ind w:firstLineChars="0" w:firstLine="0"/>
        <w:rPr>
          <w:rFonts w:ascii="仿宋_GB2312" w:eastAsia="仿宋_GB2312" w:hAnsi="仿宋"/>
          <w:sz w:val="20"/>
        </w:rPr>
      </w:pPr>
      <w:r>
        <w:rPr>
          <w:rFonts w:ascii="仿宋_GB2312" w:eastAsia="仿宋_GB2312" w:hAnsi="仿宋" w:hint="eastAsia"/>
          <w:sz w:val="20"/>
        </w:rPr>
        <w:t>说明：本通知书一式二份，一份送达请求人，一份由知识产权局存档。</w:t>
      </w:r>
    </w:p>
    <w:p w:rsidR="00800760" w:rsidRDefault="00800760">
      <w:pPr>
        <w:spacing w:line="360" w:lineRule="auto"/>
        <w:ind w:firstLineChars="0" w:firstLine="0"/>
        <w:rPr>
          <w:rFonts w:ascii="仿宋_GB2312" w:eastAsia="仿宋_GB2312" w:hAnsi="仿宋"/>
          <w:sz w:val="20"/>
        </w:rPr>
      </w:pPr>
    </w:p>
    <w:p w:rsidR="00800760" w:rsidRDefault="00235733">
      <w:pPr>
        <w:spacing w:line="360" w:lineRule="auto"/>
        <w:ind w:firstLineChars="0" w:firstLine="0"/>
        <w:jc w:val="center"/>
        <w:rPr>
          <w:rFonts w:ascii="仿宋_GB2312" w:eastAsia="仿宋_GB2312" w:hAnsi="仿宋"/>
          <w:sz w:val="20"/>
        </w:rPr>
      </w:pPr>
      <w:r>
        <w:rPr>
          <w:rFonts w:ascii="仿宋_GB2312" w:eastAsia="仿宋_GB2312" w:hAnsi="仿宋" w:hint="eastAsia"/>
          <w:sz w:val="20"/>
        </w:rPr>
        <w:br w:type="page"/>
      </w:r>
    </w:p>
    <w:p w:rsidR="00800760" w:rsidRDefault="00235733">
      <w:pPr>
        <w:spacing w:line="360" w:lineRule="auto"/>
        <w:ind w:firstLineChars="0" w:firstLine="0"/>
        <w:jc w:val="center"/>
        <w:rPr>
          <w:rFonts w:ascii="方正小标宋简体" w:eastAsia="方正小标宋简体" w:hAnsi="方正小标宋简体" w:cs="方正小标宋简体"/>
          <w:sz w:val="36"/>
          <w:szCs w:val="36"/>
        </w:rPr>
      </w:pPr>
      <w:r>
        <w:rPr>
          <w:rFonts w:ascii="方正小标宋简体" w:eastAsia="方正小标宋简体" w:hAnsi="方正小标宋简体" w:cs="方正小标宋简体" w:hint="eastAsia"/>
          <w:sz w:val="36"/>
          <w:szCs w:val="36"/>
        </w:rPr>
        <w:t>注意事项</w:t>
      </w:r>
    </w:p>
    <w:p w:rsidR="00800760" w:rsidRDefault="00235733" w:rsidP="00C22A7B">
      <w:pPr>
        <w:spacing w:beforeLines="100" w:afterLines="100" w:line="300" w:lineRule="auto"/>
        <w:ind w:firstLine="400"/>
        <w:rPr>
          <w:rFonts w:ascii="仿宋_GB2312" w:eastAsia="仿宋_GB2312" w:hAnsi="仿宋"/>
          <w:sz w:val="20"/>
        </w:rPr>
      </w:pPr>
      <w:r>
        <w:rPr>
          <w:rFonts w:ascii="仿宋_GB2312" w:eastAsia="仿宋_GB2312" w:hAnsi="仿宋" w:hint="eastAsia"/>
          <w:sz w:val="20"/>
        </w:rPr>
        <w:t>1、请求人的代理人应当主动出示调查通知书和执业证等相关证件。调查取证后，五个工作日内将调查收集的全部证据及接受调查人填写的回执提交知识产权局。</w:t>
      </w:r>
    </w:p>
    <w:p w:rsidR="00800760" w:rsidRDefault="00235733" w:rsidP="00C22A7B">
      <w:pPr>
        <w:spacing w:beforeLines="100" w:afterLines="100" w:line="300" w:lineRule="auto"/>
        <w:ind w:firstLine="400"/>
        <w:rPr>
          <w:rFonts w:ascii="仿宋_GB2312" w:eastAsia="仿宋_GB2312" w:hAnsi="仿宋"/>
          <w:sz w:val="20"/>
        </w:rPr>
      </w:pPr>
      <w:r>
        <w:rPr>
          <w:rFonts w:ascii="仿宋_GB2312" w:eastAsia="仿宋_GB2312" w:hAnsi="仿宋" w:hint="eastAsia"/>
          <w:sz w:val="20"/>
        </w:rPr>
        <w:t>2、请求人的代理人因故未使用调查通知书或者接受调查人未提供证据的，应当在调查通知书载明的有效期限届满后五日内，将调查通知书向知识产权局缴存入卷。</w:t>
      </w:r>
    </w:p>
    <w:p w:rsidR="00800760" w:rsidRDefault="00235733" w:rsidP="00C22A7B">
      <w:pPr>
        <w:spacing w:beforeLines="100" w:afterLines="100" w:line="300" w:lineRule="auto"/>
        <w:ind w:firstLine="400"/>
        <w:rPr>
          <w:rFonts w:ascii="仿宋_GB2312" w:eastAsia="仿宋_GB2312" w:hAnsi="仿宋"/>
          <w:sz w:val="20"/>
        </w:rPr>
      </w:pPr>
      <w:r>
        <w:rPr>
          <w:rFonts w:ascii="仿宋_GB2312" w:eastAsia="仿宋_GB2312" w:hAnsi="仿宋" w:hint="eastAsia"/>
          <w:sz w:val="20"/>
        </w:rPr>
        <w:t>3、请求人的代理人持调查通知书获得的证据及信息，仅限于专利侵权纠纷处理的目的，不得不当使用或者泄露。</w:t>
      </w:r>
    </w:p>
    <w:p w:rsidR="00800760" w:rsidRDefault="00235733" w:rsidP="00C22A7B">
      <w:pPr>
        <w:spacing w:beforeLines="100" w:afterLines="100" w:line="300" w:lineRule="auto"/>
        <w:ind w:firstLine="400"/>
        <w:rPr>
          <w:rFonts w:ascii="仿宋_GB2312" w:eastAsia="仿宋_GB2312" w:hAnsi="仿宋"/>
          <w:sz w:val="20"/>
        </w:rPr>
      </w:pPr>
      <w:r>
        <w:rPr>
          <w:rFonts w:ascii="仿宋_GB2312" w:eastAsia="仿宋_GB2312" w:hAnsi="仿宋" w:hint="eastAsia"/>
          <w:sz w:val="20"/>
        </w:rPr>
        <w:t>4、请求人的代理人持调查通知书时，接受调查人核对调查通知书和相关证件无误后，应当提供调查通知书所指定的证据。不能当即提供的，应当在收到调查通知书之日起五日内提供。</w:t>
      </w:r>
    </w:p>
    <w:p w:rsidR="00800760" w:rsidRDefault="00235733" w:rsidP="00C22A7B">
      <w:pPr>
        <w:spacing w:beforeLines="100" w:afterLines="100" w:line="300" w:lineRule="auto"/>
        <w:ind w:firstLine="400"/>
        <w:rPr>
          <w:rFonts w:ascii="仿宋_GB2312" w:eastAsia="仿宋_GB2312" w:hAnsi="仿宋"/>
          <w:sz w:val="20"/>
        </w:rPr>
      </w:pPr>
      <w:r>
        <w:rPr>
          <w:rFonts w:ascii="仿宋_GB2312" w:eastAsia="仿宋_GB2312" w:hAnsi="仿宋" w:hint="eastAsia"/>
          <w:sz w:val="20"/>
        </w:rPr>
        <w:t>5、接受调查人有权拒绝提供调查通知书指定证据以外的其他材料。</w:t>
      </w:r>
    </w:p>
    <w:p w:rsidR="00800760" w:rsidRDefault="00235733" w:rsidP="00C22A7B">
      <w:pPr>
        <w:spacing w:beforeLines="100" w:afterLines="100" w:line="300" w:lineRule="auto"/>
        <w:ind w:firstLine="400"/>
        <w:rPr>
          <w:rFonts w:ascii="仿宋_GB2312" w:eastAsia="仿宋_GB2312" w:hAnsi="仿宋"/>
          <w:sz w:val="20"/>
        </w:rPr>
      </w:pPr>
      <w:r>
        <w:rPr>
          <w:rFonts w:ascii="仿宋_GB2312" w:eastAsia="仿宋_GB2312" w:hAnsi="仿宋" w:hint="eastAsia"/>
          <w:sz w:val="20"/>
        </w:rPr>
        <w:t>6、接受调查人应当在提供的证据材料上注明与原件核对无异，在回执上注明证据材料的名称、页数等，并签名、盖章。</w:t>
      </w:r>
    </w:p>
    <w:p w:rsidR="00800760" w:rsidRDefault="00235733" w:rsidP="00C22A7B">
      <w:pPr>
        <w:spacing w:beforeLines="100" w:afterLines="100" w:line="300" w:lineRule="auto"/>
        <w:ind w:firstLine="400"/>
        <w:rPr>
          <w:rFonts w:ascii="仿宋_GB2312" w:eastAsia="仿宋_GB2312" w:hAnsi="仿宋"/>
          <w:sz w:val="20"/>
        </w:rPr>
      </w:pPr>
      <w:r>
        <w:rPr>
          <w:rFonts w:ascii="仿宋_GB2312" w:eastAsia="仿宋_GB2312" w:hAnsi="仿宋" w:hint="eastAsia"/>
          <w:sz w:val="20"/>
        </w:rPr>
        <w:t>7、接受调查人不能按时提供证据、无证据提供或者拒绝提供调查通知书指定证据的，应当在调查通知书回执中注明原因。</w:t>
      </w:r>
    </w:p>
    <w:p w:rsidR="00800760" w:rsidRDefault="00800760" w:rsidP="00C22A7B">
      <w:pPr>
        <w:spacing w:beforeLines="100" w:afterLines="100" w:line="300" w:lineRule="auto"/>
        <w:ind w:firstLineChars="0" w:firstLine="0"/>
        <w:rPr>
          <w:rFonts w:ascii="仿宋_GB2312" w:eastAsia="仿宋_GB2312" w:hAnsi="仿宋"/>
          <w:sz w:val="20"/>
        </w:rPr>
      </w:pPr>
    </w:p>
    <w:p w:rsidR="00800760" w:rsidRDefault="00235733">
      <w:pPr>
        <w:spacing w:line="240" w:lineRule="auto"/>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p>
    <w:p w:rsidR="00800760" w:rsidRDefault="00800760">
      <w:pPr>
        <w:spacing w:line="240" w:lineRule="auto"/>
        <w:ind w:firstLineChars="0" w:firstLine="0"/>
        <w:rPr>
          <w:rFonts w:ascii="仿宋_GB2312" w:eastAsia="仿宋_GB2312" w:hAnsi="仿宋_GB2312" w:cs="仿宋_GB2312"/>
          <w:sz w:val="28"/>
          <w:szCs w:val="28"/>
        </w:rPr>
      </w:pPr>
    </w:p>
    <w:p w:rsidR="00800760" w:rsidRDefault="00800760">
      <w:pPr>
        <w:spacing w:line="240" w:lineRule="auto"/>
        <w:ind w:firstLineChars="0" w:firstLine="0"/>
        <w:rPr>
          <w:rFonts w:ascii="仿宋_GB2312" w:eastAsia="仿宋_GB2312" w:hAnsi="仿宋_GB2312" w:cs="仿宋_GB2312"/>
          <w:sz w:val="28"/>
          <w:szCs w:val="28"/>
        </w:rPr>
      </w:pPr>
    </w:p>
    <w:p w:rsidR="00800760" w:rsidRDefault="00800760">
      <w:pPr>
        <w:spacing w:line="240" w:lineRule="auto"/>
        <w:ind w:firstLineChars="0" w:firstLine="0"/>
        <w:rPr>
          <w:rFonts w:ascii="仿宋_GB2312" w:eastAsia="仿宋_GB2312" w:hAnsi="仿宋_GB2312" w:cs="仿宋_GB2312"/>
          <w:sz w:val="28"/>
          <w:szCs w:val="28"/>
        </w:rPr>
      </w:pPr>
    </w:p>
    <w:p w:rsidR="00800760" w:rsidRDefault="00800760">
      <w:pPr>
        <w:spacing w:line="240" w:lineRule="auto"/>
        <w:ind w:firstLineChars="0" w:firstLine="0"/>
        <w:rPr>
          <w:rFonts w:ascii="仿宋_GB2312" w:eastAsia="仿宋_GB2312" w:hAnsi="仿宋_GB2312" w:cs="仿宋_GB2312"/>
          <w:sz w:val="28"/>
          <w:szCs w:val="28"/>
        </w:rPr>
      </w:pPr>
    </w:p>
    <w:p w:rsidR="00800760" w:rsidRDefault="00800760">
      <w:pPr>
        <w:spacing w:line="240" w:lineRule="auto"/>
        <w:ind w:firstLineChars="0" w:firstLine="0"/>
        <w:rPr>
          <w:rFonts w:ascii="仿宋_GB2312" w:eastAsia="仿宋_GB2312" w:hAnsi="仿宋_GB2312" w:cs="仿宋_GB2312"/>
          <w:sz w:val="28"/>
          <w:szCs w:val="28"/>
        </w:rPr>
      </w:pPr>
    </w:p>
    <w:p w:rsidR="00800760" w:rsidRDefault="00800760">
      <w:pPr>
        <w:spacing w:line="240" w:lineRule="auto"/>
        <w:ind w:firstLineChars="0" w:firstLine="0"/>
        <w:rPr>
          <w:rFonts w:ascii="仿宋_GB2312" w:eastAsia="仿宋_GB2312" w:hAnsi="仿宋_GB2312" w:cs="仿宋_GB2312"/>
          <w:sz w:val="28"/>
          <w:szCs w:val="28"/>
        </w:rPr>
      </w:pPr>
    </w:p>
    <w:p w:rsidR="00800760" w:rsidRDefault="00235733">
      <w:pPr>
        <w:spacing w:line="240" w:lineRule="auto"/>
        <w:ind w:firstLineChars="0" w:firstLine="0"/>
        <w:jc w:val="center"/>
        <w:rPr>
          <w:rFonts w:ascii="方正小标宋简体" w:eastAsia="方正小标宋简体" w:hAnsi="方正小标宋简体" w:cs="方正小标宋简体"/>
          <w:bCs/>
          <w:sz w:val="40"/>
          <w:szCs w:val="40"/>
          <w:lang w:val="en-US"/>
        </w:rPr>
      </w:pPr>
      <w:r>
        <w:rPr>
          <w:rFonts w:ascii="仿宋_GB2312" w:eastAsia="仿宋_GB2312" w:hAnsi="仿宋_GB2312" w:cs="仿宋_GB2312"/>
          <w:sz w:val="28"/>
          <w:szCs w:val="28"/>
        </w:rPr>
        <w:br w:type="page"/>
      </w:r>
      <w:r>
        <w:rPr>
          <w:rFonts w:ascii="方正小标宋简体" w:eastAsia="方正小标宋简体" w:hAnsi="方正小标宋简体" w:cs="方正小标宋简体" w:hint="eastAsia"/>
          <w:bCs/>
          <w:sz w:val="36"/>
          <w:szCs w:val="36"/>
          <w:lang w:val="en-US"/>
        </w:rPr>
        <w:t>国家知识产权局调查通知书（回执）</w:t>
      </w:r>
    </w:p>
    <w:p w:rsidR="00800760" w:rsidRDefault="00800760">
      <w:pPr>
        <w:wordWrap w:val="0"/>
        <w:spacing w:line="240" w:lineRule="auto"/>
        <w:ind w:firstLineChars="0" w:firstLine="0"/>
        <w:jc w:val="right"/>
        <w:rPr>
          <w:rFonts w:ascii="仿宋_GB2312" w:eastAsia="仿宋_GB2312" w:hAnsi="仿宋"/>
          <w:szCs w:val="21"/>
        </w:rPr>
      </w:pPr>
    </w:p>
    <w:p w:rsidR="00800760" w:rsidRDefault="00235733">
      <w:pPr>
        <w:spacing w:line="360" w:lineRule="auto"/>
        <w:ind w:firstLineChars="0" w:firstLine="0"/>
        <w:jc w:val="right"/>
        <w:rPr>
          <w:rFonts w:ascii="仿宋_GB2312" w:eastAsia="仿宋_GB2312" w:hAnsi="仿宋"/>
          <w:sz w:val="20"/>
          <w:lang w:val="en-US" w:eastAsia="en-US"/>
        </w:rPr>
      </w:pPr>
      <w:r>
        <w:rPr>
          <w:rFonts w:ascii="仿宋_GB2312" w:eastAsia="仿宋_GB2312" w:hAnsi="仿宋" w:hint="eastAsia"/>
          <w:sz w:val="20"/>
          <w:lang w:eastAsia="en-US"/>
        </w:rPr>
        <w:t>案号：</w:t>
      </w:r>
      <w:r>
        <w:rPr>
          <w:rFonts w:ascii="仿宋_GB2312" w:eastAsia="仿宋_GB2312" w:hAnsi="仿宋" w:hint="eastAsia"/>
          <w:color w:val="000000"/>
          <w:sz w:val="20"/>
        </w:rPr>
        <w:t>______________</w:t>
      </w:r>
      <w:r>
        <w:rPr>
          <w:rFonts w:ascii="仿宋_GB2312" w:eastAsia="仿宋_GB2312" w:hint="eastAsia"/>
          <w:spacing w:val="20"/>
          <w:sz w:val="20"/>
          <w:lang w:val="en-US"/>
        </w:rPr>
        <w:t xml:space="preserve"> </w:t>
      </w:r>
    </w:p>
    <w:tbl>
      <w:tblPr>
        <w:tblpPr w:leftFromText="180" w:rightFromText="180" w:vertAnchor="text" w:horzAnchor="page" w:tblpX="1407" w:tblpY="231"/>
        <w:tblOverlap w:val="never"/>
        <w:tblW w:w="9072" w:type="dxa"/>
        <w:tblLayout w:type="fixed"/>
        <w:tblCellMar>
          <w:left w:w="10" w:type="dxa"/>
          <w:right w:w="10" w:type="dxa"/>
        </w:tblCellMar>
        <w:tblLook w:val="04A0"/>
      </w:tblPr>
      <w:tblGrid>
        <w:gridCol w:w="1992"/>
        <w:gridCol w:w="7080"/>
      </w:tblGrid>
      <w:tr w:rsidR="00800760">
        <w:trPr>
          <w:trHeight w:hRule="exact" w:val="427"/>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sz w:val="20"/>
                <w:lang w:eastAsia="en-US"/>
              </w:rPr>
            </w:pPr>
            <w:r>
              <w:rPr>
                <w:rFonts w:ascii="仿宋_GB2312" w:eastAsia="仿宋_GB2312" w:hAnsi="仿宋" w:hint="eastAsia"/>
                <w:sz w:val="20"/>
                <w:lang w:eastAsia="en-US"/>
              </w:rPr>
              <w:t>专利号</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zh-CN"/>
              </w:rPr>
            </w:pPr>
          </w:p>
        </w:tc>
      </w:tr>
      <w:tr w:rsidR="00800760">
        <w:trPr>
          <w:trHeight w:hRule="exact" w:val="422"/>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sz w:val="20"/>
                <w:lang w:eastAsia="en-US"/>
              </w:rPr>
            </w:pPr>
            <w:r>
              <w:rPr>
                <w:rFonts w:ascii="仿宋_GB2312" w:eastAsia="仿宋_GB2312" w:hAnsi="仿宋" w:hint="eastAsia"/>
                <w:sz w:val="20"/>
                <w:lang w:eastAsia="en-US"/>
              </w:rPr>
              <w:t>专利名称</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zh-CN"/>
              </w:rPr>
            </w:pPr>
          </w:p>
        </w:tc>
      </w:tr>
      <w:tr w:rsidR="00800760">
        <w:trPr>
          <w:trHeight w:hRule="exact" w:val="418"/>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sz w:val="20"/>
                <w:lang w:eastAsia="en-US"/>
              </w:rPr>
            </w:pPr>
            <w:r>
              <w:rPr>
                <w:rFonts w:ascii="仿宋_GB2312" w:eastAsia="仿宋_GB2312" w:hAnsi="仿宋" w:hint="eastAsia"/>
                <w:sz w:val="20"/>
                <w:lang w:eastAsia="en-US"/>
              </w:rPr>
              <w:t>专利权人</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zh-CN"/>
              </w:rPr>
            </w:pPr>
          </w:p>
        </w:tc>
      </w:tr>
      <w:tr w:rsidR="00800760">
        <w:trPr>
          <w:trHeight w:hRule="exact" w:val="418"/>
        </w:trPr>
        <w:tc>
          <w:tcPr>
            <w:tcW w:w="1992" w:type="dxa"/>
            <w:tcBorders>
              <w:top w:val="single" w:sz="4" w:space="0" w:color="auto"/>
              <w:left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sz w:val="20"/>
                <w:lang w:eastAsia="en-US"/>
              </w:rPr>
            </w:pPr>
            <w:r>
              <w:rPr>
                <w:rFonts w:ascii="仿宋_GB2312" w:eastAsia="仿宋_GB2312" w:hAnsi="仿宋" w:hint="eastAsia"/>
                <w:sz w:val="20"/>
                <w:lang w:eastAsia="en-US"/>
              </w:rPr>
              <w:t>请求人</w:t>
            </w:r>
          </w:p>
        </w:tc>
        <w:tc>
          <w:tcPr>
            <w:tcW w:w="7080" w:type="dxa"/>
            <w:tcBorders>
              <w:top w:val="single" w:sz="4" w:space="0" w:color="auto"/>
              <w:left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zh-CN"/>
              </w:rPr>
            </w:pPr>
          </w:p>
        </w:tc>
      </w:tr>
      <w:tr w:rsidR="00800760">
        <w:trPr>
          <w:trHeight w:hRule="exact" w:val="433"/>
        </w:trPr>
        <w:tc>
          <w:tcPr>
            <w:tcW w:w="1992" w:type="dxa"/>
            <w:tcBorders>
              <w:top w:val="single" w:sz="4" w:space="0" w:color="auto"/>
              <w:left w:val="single" w:sz="4" w:space="0" w:color="auto"/>
              <w:bottom w:val="single" w:sz="4"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仿宋"/>
                <w:sz w:val="20"/>
                <w:lang w:val="en-US"/>
              </w:rPr>
            </w:pPr>
            <w:r>
              <w:rPr>
                <w:rFonts w:ascii="仿宋_GB2312" w:eastAsia="仿宋_GB2312" w:hAnsi="仿宋" w:hint="eastAsia"/>
                <w:sz w:val="20"/>
                <w:lang w:val="en-US"/>
              </w:rPr>
              <w:t>被请求人</w:t>
            </w:r>
          </w:p>
        </w:tc>
        <w:tc>
          <w:tcPr>
            <w:tcW w:w="7080" w:type="dxa"/>
            <w:tcBorders>
              <w:top w:val="single" w:sz="4" w:space="0" w:color="auto"/>
              <w:left w:val="single" w:sz="4" w:space="0" w:color="auto"/>
              <w:bottom w:val="single" w:sz="4" w:space="0" w:color="auto"/>
              <w:right w:val="single" w:sz="4" w:space="0" w:color="auto"/>
            </w:tcBorders>
            <w:shd w:val="clear" w:color="auto" w:fill="FFFFFF"/>
          </w:tcPr>
          <w:p w:rsidR="00800760" w:rsidRDefault="00800760">
            <w:pPr>
              <w:spacing w:line="360" w:lineRule="auto"/>
              <w:ind w:firstLineChars="100" w:firstLine="200"/>
              <w:rPr>
                <w:rFonts w:ascii="仿宋_GB2312" w:eastAsia="仿宋_GB2312" w:hAnsi="仿宋"/>
                <w:sz w:val="20"/>
                <w:lang w:val="en-US"/>
              </w:rPr>
            </w:pPr>
          </w:p>
        </w:tc>
      </w:tr>
    </w:tbl>
    <w:p w:rsidR="00800760" w:rsidRDefault="00800760">
      <w:pPr>
        <w:spacing w:line="240" w:lineRule="auto"/>
        <w:ind w:firstLineChars="0" w:firstLine="0"/>
        <w:rPr>
          <w:rFonts w:ascii="仿宋_GB2312" w:eastAsia="仿宋_GB2312" w:hAnsi="仿宋_GB2312" w:cs="仿宋_GB2312"/>
          <w:sz w:val="20"/>
          <w:lang w:eastAsia="en-US"/>
        </w:rPr>
      </w:pPr>
    </w:p>
    <w:p w:rsidR="00800760" w:rsidRDefault="00235733" w:rsidP="00C22A7B">
      <w:pPr>
        <w:spacing w:beforeLines="50" w:afterLines="50" w:line="240" w:lineRule="auto"/>
        <w:ind w:firstLine="400"/>
        <w:rPr>
          <w:rFonts w:ascii="仿宋_GB2312" w:eastAsia="仿宋_GB2312" w:hAnsi="仿宋_GB2312" w:cs="仿宋_GB2312"/>
          <w:sz w:val="20"/>
          <w:lang w:eastAsia="en-US"/>
        </w:rPr>
      </w:pPr>
      <w:r>
        <w:rPr>
          <w:rFonts w:ascii="仿宋_GB2312" w:eastAsia="仿宋_GB2312" w:hAnsi="仿宋_GB2312" w:cs="仿宋_GB2312" w:hint="eastAsia"/>
          <w:sz w:val="20"/>
          <w:lang w:val="en-US"/>
        </w:rPr>
        <w:softHyphen/>
      </w:r>
      <w:r>
        <w:rPr>
          <w:rFonts w:ascii="仿宋_GB2312" w:eastAsia="仿宋_GB2312" w:hAnsi="仿宋_GB2312" w:cs="仿宋_GB2312" w:hint="eastAsia"/>
          <w:sz w:val="20"/>
          <w:lang w:val="en-US"/>
        </w:rPr>
        <w:softHyphen/>
      </w:r>
      <w:r>
        <w:rPr>
          <w:rFonts w:ascii="仿宋_GB2312" w:eastAsia="仿宋_GB2312" w:hAnsi="仿宋_GB2312" w:cs="仿宋_GB2312" w:hint="eastAsia"/>
          <w:sz w:val="20"/>
          <w:lang w:val="en-US"/>
        </w:rPr>
        <w:softHyphen/>
      </w:r>
      <w:r>
        <w:rPr>
          <w:rFonts w:ascii="仿宋_GB2312" w:eastAsia="仿宋_GB2312" w:hAnsi="仿宋_GB2312" w:cs="仿宋_GB2312" w:hint="eastAsia"/>
          <w:sz w:val="20"/>
          <w:lang w:val="en-US"/>
        </w:rPr>
        <w:softHyphen/>
      </w:r>
      <w:r>
        <w:rPr>
          <w:rFonts w:ascii="仿宋_GB2312" w:eastAsia="仿宋_GB2312" w:hAnsi="仿宋" w:hint="eastAsia"/>
          <w:color w:val="000000"/>
          <w:sz w:val="20"/>
        </w:rPr>
        <w:t>______________</w:t>
      </w:r>
      <w:r>
        <w:rPr>
          <w:rFonts w:ascii="仿宋_GB2312" w:eastAsia="仿宋_GB2312" w:hAnsi="仿宋_GB2312" w:cs="仿宋_GB2312" w:hint="eastAsia"/>
          <w:sz w:val="20"/>
          <w:lang w:val="en-US"/>
        </w:rPr>
        <w:t>知识产权局</w:t>
      </w:r>
      <w:r>
        <w:rPr>
          <w:rFonts w:ascii="仿宋_GB2312" w:eastAsia="仿宋_GB2312" w:hAnsi="仿宋_GB2312" w:cs="仿宋_GB2312" w:hint="eastAsia"/>
          <w:sz w:val="20"/>
          <w:lang w:eastAsia="en-US"/>
        </w:rPr>
        <w:t>:</w:t>
      </w:r>
    </w:p>
    <w:p w:rsidR="00800760" w:rsidRDefault="00235733" w:rsidP="00C22A7B">
      <w:pPr>
        <w:spacing w:beforeLines="50" w:afterLines="50" w:line="240" w:lineRule="auto"/>
        <w:ind w:firstLine="400"/>
        <w:rPr>
          <w:rFonts w:ascii="仿宋_GB2312" w:eastAsia="仿宋_GB2312" w:hAnsi="仿宋_GB2312" w:cs="仿宋_GB2312"/>
          <w:sz w:val="20"/>
        </w:rPr>
      </w:pPr>
      <w:r>
        <w:rPr>
          <w:rFonts w:ascii="仿宋_GB2312" w:eastAsia="仿宋_GB2312" w:hAnsi="仿宋_GB2312" w:cs="仿宋_GB2312" w:hint="eastAsia"/>
          <w:sz w:val="20"/>
        </w:rPr>
        <w:t>你局</w:t>
      </w:r>
      <w:r>
        <w:rPr>
          <w:rFonts w:ascii="仿宋_GB2312" w:eastAsia="仿宋_GB2312" w:hAnsi="仿宋" w:hint="eastAsia"/>
          <w:color w:val="000000"/>
          <w:sz w:val="20"/>
        </w:rPr>
        <w:t>_____________</w:t>
      </w:r>
      <w:r>
        <w:rPr>
          <w:rFonts w:ascii="仿宋_GB2312" w:eastAsia="仿宋_GB2312" w:hAnsi="仿宋_GB2312" w:cs="仿宋_GB2312" w:hint="eastAsia"/>
          <w:spacing w:val="20"/>
          <w:sz w:val="20"/>
          <w:lang w:val="en-US"/>
        </w:rPr>
        <w:t>号</w:t>
      </w:r>
      <w:r>
        <w:rPr>
          <w:rFonts w:ascii="仿宋_GB2312" w:eastAsia="仿宋_GB2312" w:hAnsi="仿宋_GB2312" w:cs="仿宋_GB2312" w:hint="eastAsia"/>
          <w:bCs/>
          <w:sz w:val="20"/>
          <w:lang w:val="en-US"/>
        </w:rPr>
        <w:t>调查通知书</w:t>
      </w:r>
      <w:r>
        <w:rPr>
          <w:rFonts w:ascii="仿宋_GB2312" w:eastAsia="仿宋_GB2312" w:hAnsi="仿宋_GB2312" w:cs="仿宋_GB2312" w:hint="eastAsia"/>
          <w:sz w:val="20"/>
        </w:rPr>
        <w:t>已收悉。根据你局的要求，现提供如下证明材料:</w:t>
      </w:r>
    </w:p>
    <w:p w:rsidR="00800760" w:rsidRDefault="00235733" w:rsidP="00C22A7B">
      <w:pPr>
        <w:spacing w:beforeLines="50" w:afterLines="50" w:line="240" w:lineRule="auto"/>
        <w:ind w:firstLine="400"/>
        <w:rPr>
          <w:rFonts w:ascii="仿宋_GB2312" w:eastAsia="仿宋_GB2312" w:hAnsi="仿宋_GB2312" w:cs="仿宋_GB2312"/>
          <w:sz w:val="20"/>
          <w:lang w:val="en-US"/>
        </w:rPr>
      </w:pPr>
      <w:r>
        <w:rPr>
          <w:rFonts w:ascii="仿宋_GB2312" w:eastAsia="仿宋_GB2312" w:hAnsi="仿宋_GB2312" w:cs="仿宋_GB2312" w:hint="eastAsia"/>
          <w:sz w:val="20"/>
        </w:rPr>
        <w:t>经办人:</w:t>
      </w:r>
      <w:r>
        <w:rPr>
          <w:rFonts w:ascii="仿宋_GB2312" w:eastAsia="仿宋_GB2312" w:hAnsi="仿宋_GB2312" w:cs="仿宋_GB2312" w:hint="eastAsia"/>
          <w:sz w:val="20"/>
          <w:lang w:val="en-US"/>
        </w:rPr>
        <w:t xml:space="preserve">    </w:t>
      </w:r>
    </w:p>
    <w:p w:rsidR="00800760" w:rsidRDefault="00235733" w:rsidP="00C22A7B">
      <w:pPr>
        <w:spacing w:beforeLines="50" w:afterLines="50" w:line="240" w:lineRule="auto"/>
        <w:ind w:firstLine="400"/>
        <w:rPr>
          <w:rFonts w:ascii="仿宋_GB2312" w:eastAsia="仿宋_GB2312" w:hAnsi="仿宋_GB2312" w:cs="仿宋_GB2312"/>
          <w:sz w:val="20"/>
          <w:lang w:val="en-US"/>
        </w:rPr>
      </w:pPr>
      <w:r>
        <w:rPr>
          <w:rFonts w:ascii="仿宋_GB2312" w:eastAsia="仿宋_GB2312" w:hAnsi="仿宋_GB2312" w:cs="仿宋_GB2312" w:hint="eastAsia"/>
          <w:sz w:val="20"/>
          <w:lang w:val="en-US"/>
        </w:rPr>
        <w:t xml:space="preserve">联系方式：  </w:t>
      </w:r>
    </w:p>
    <w:p w:rsidR="00800760" w:rsidRDefault="00800760" w:rsidP="00C22A7B">
      <w:pPr>
        <w:spacing w:beforeLines="50" w:afterLines="50" w:line="240" w:lineRule="auto"/>
        <w:ind w:firstLineChars="0" w:firstLine="0"/>
        <w:rPr>
          <w:rFonts w:ascii="仿宋_GB2312" w:eastAsia="仿宋_GB2312" w:hAnsi="仿宋_GB2312" w:cs="仿宋_GB2312"/>
          <w:sz w:val="20"/>
          <w:lang w:val="en-US"/>
        </w:rPr>
      </w:pPr>
    </w:p>
    <w:p w:rsidR="00800760" w:rsidRDefault="00235733" w:rsidP="00C22A7B">
      <w:pPr>
        <w:spacing w:beforeLines="50" w:afterLines="50" w:line="240" w:lineRule="auto"/>
        <w:ind w:firstLineChars="3550" w:firstLine="7100"/>
        <w:rPr>
          <w:rFonts w:ascii="仿宋_GB2312" w:eastAsia="仿宋_GB2312" w:hAnsi="仿宋_GB2312" w:cs="仿宋_GB2312"/>
          <w:sz w:val="20"/>
        </w:rPr>
      </w:pPr>
      <w:r>
        <w:rPr>
          <w:rFonts w:ascii="仿宋_GB2312" w:eastAsia="仿宋_GB2312" w:hAnsi="仿宋_GB2312" w:cs="仿宋_GB2312" w:hint="eastAsia"/>
          <w:sz w:val="20"/>
        </w:rPr>
        <w:t>年</w:t>
      </w:r>
      <w:r>
        <w:rPr>
          <w:rFonts w:ascii="仿宋_GB2312" w:eastAsia="仿宋_GB2312" w:hAnsi="仿宋_GB2312" w:cs="仿宋_GB2312" w:hint="eastAsia"/>
          <w:sz w:val="20"/>
          <w:lang w:val="en-US"/>
        </w:rPr>
        <w:t xml:space="preserve">    </w:t>
      </w:r>
      <w:r>
        <w:rPr>
          <w:rFonts w:ascii="仿宋_GB2312" w:eastAsia="仿宋_GB2312" w:hAnsi="仿宋_GB2312" w:cs="仿宋_GB2312" w:hint="eastAsia"/>
          <w:sz w:val="20"/>
        </w:rPr>
        <w:t>月</w:t>
      </w:r>
      <w:r>
        <w:rPr>
          <w:rFonts w:ascii="仿宋_GB2312" w:eastAsia="仿宋_GB2312" w:hAnsi="仿宋_GB2312" w:cs="仿宋_GB2312" w:hint="eastAsia"/>
          <w:sz w:val="20"/>
          <w:lang w:val="en-US"/>
        </w:rPr>
        <w:t xml:space="preserve">    </w:t>
      </w:r>
      <w:r>
        <w:rPr>
          <w:rFonts w:ascii="仿宋_GB2312" w:eastAsia="仿宋_GB2312" w:hAnsi="仿宋_GB2312" w:cs="仿宋_GB2312" w:hint="eastAsia"/>
          <w:sz w:val="20"/>
        </w:rPr>
        <w:t>日</w:t>
      </w:r>
    </w:p>
    <w:p w:rsidR="00800760" w:rsidRDefault="00235733" w:rsidP="00C22A7B">
      <w:pPr>
        <w:spacing w:beforeLines="50" w:afterLines="50" w:line="240" w:lineRule="auto"/>
        <w:ind w:firstLineChars="3400" w:firstLine="6800"/>
        <w:rPr>
          <w:rFonts w:ascii="仿宋_GB2312" w:eastAsia="仿宋_GB2312" w:hAnsi="仿宋_GB2312" w:cs="仿宋_GB2312"/>
          <w:sz w:val="20"/>
        </w:rPr>
      </w:pPr>
      <w:r>
        <w:rPr>
          <w:rFonts w:ascii="仿宋_GB2312" w:eastAsia="仿宋_GB2312" w:hAnsi="仿宋_GB2312" w:cs="仿宋_GB2312" w:hint="eastAsia"/>
          <w:sz w:val="20"/>
        </w:rPr>
        <w:t>签字(接受调查人印章)</w:t>
      </w:r>
    </w:p>
    <w:p w:rsidR="00800760" w:rsidRDefault="00235733" w:rsidP="00C22A7B">
      <w:pPr>
        <w:spacing w:beforeLines="50" w:afterLines="50" w:line="240" w:lineRule="auto"/>
        <w:ind w:firstLineChars="2950" w:firstLine="5900"/>
        <w:rPr>
          <w:rFonts w:ascii="仿宋_GB2312" w:eastAsia="仿宋_GB2312" w:hAnsi="仿宋_GB2312" w:cs="仿宋_GB2312"/>
          <w:sz w:val="20"/>
        </w:rPr>
      </w:pPr>
      <w:r>
        <w:rPr>
          <w:rFonts w:ascii="仿宋_GB2312" w:eastAsia="仿宋_GB2312" w:hAnsi="仿宋_GB2312" w:cs="仿宋_GB2312" w:hint="eastAsia"/>
          <w:sz w:val="20"/>
        </w:rPr>
        <w:t>(此联由当事人及其代理人交还本局附卷)</w:t>
      </w:r>
    </w:p>
    <w:p w:rsidR="00800760" w:rsidRDefault="00800760" w:rsidP="00C22A7B">
      <w:pPr>
        <w:widowControl w:val="0"/>
        <w:spacing w:beforeLines="50" w:afterLines="50"/>
        <w:ind w:firstLineChars="0" w:firstLine="0"/>
        <w:jc w:val="center"/>
        <w:rPr>
          <w:rFonts w:ascii="仿宋_GB2312" w:eastAsia="仿宋_GB2312" w:hAnsi="宋体"/>
          <w:color w:val="000000"/>
          <w:spacing w:val="6"/>
          <w:sz w:val="20"/>
        </w:rPr>
      </w:pPr>
    </w:p>
    <w:p w:rsidR="00800760" w:rsidRDefault="00800760" w:rsidP="00C22A7B">
      <w:pPr>
        <w:widowControl w:val="0"/>
        <w:spacing w:beforeLines="50" w:afterLines="50"/>
        <w:ind w:firstLineChars="0" w:firstLine="0"/>
        <w:jc w:val="center"/>
        <w:rPr>
          <w:rFonts w:ascii="仿宋_GB2312" w:eastAsia="仿宋_GB2312" w:hAnsi="宋体"/>
          <w:color w:val="000000"/>
          <w:spacing w:val="6"/>
          <w:sz w:val="20"/>
        </w:rPr>
      </w:pPr>
    </w:p>
    <w:p w:rsidR="00800760" w:rsidRDefault="00800760" w:rsidP="00C22A7B">
      <w:pPr>
        <w:widowControl w:val="0"/>
        <w:spacing w:beforeLines="50" w:afterLines="50"/>
        <w:ind w:firstLineChars="0" w:firstLine="0"/>
        <w:jc w:val="center"/>
        <w:rPr>
          <w:rFonts w:ascii="仿宋_GB2312" w:eastAsia="仿宋_GB2312" w:hAnsi="宋体"/>
          <w:color w:val="000000"/>
          <w:spacing w:val="6"/>
          <w:sz w:val="20"/>
        </w:rPr>
      </w:pPr>
    </w:p>
    <w:p w:rsidR="00800760" w:rsidRDefault="00800760" w:rsidP="00C22A7B">
      <w:pPr>
        <w:widowControl w:val="0"/>
        <w:spacing w:beforeLines="50" w:afterLines="50"/>
        <w:ind w:firstLineChars="0" w:firstLine="0"/>
        <w:jc w:val="center"/>
        <w:rPr>
          <w:rFonts w:ascii="仿宋_GB2312" w:eastAsia="仿宋_GB2312" w:hAnsi="宋体"/>
          <w:color w:val="000000"/>
          <w:spacing w:val="6"/>
          <w:sz w:val="20"/>
        </w:rPr>
      </w:pPr>
    </w:p>
    <w:p w:rsidR="00800760" w:rsidRDefault="00800760"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800760" w:rsidRDefault="00800760"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800760" w:rsidRDefault="00800760"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800760" w:rsidRDefault="00235733">
      <w:pPr>
        <w:spacing w:line="240" w:lineRule="auto"/>
        <w:ind w:firstLineChars="0" w:firstLine="0"/>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br w:type="page"/>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专利侵权纠纷案件调查笔录</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40"/>
        <w:gridCol w:w="1150"/>
        <w:gridCol w:w="3331"/>
        <w:gridCol w:w="935"/>
        <w:gridCol w:w="3011"/>
      </w:tblGrid>
      <w:tr w:rsidR="00800760">
        <w:trPr>
          <w:trHeight w:val="20"/>
        </w:trPr>
        <w:tc>
          <w:tcPr>
            <w:tcW w:w="729"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案由</w:t>
            </w:r>
          </w:p>
        </w:tc>
        <w:tc>
          <w:tcPr>
            <w:tcW w:w="4271" w:type="pct"/>
            <w:gridSpan w:val="4"/>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vMerge w:val="restar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被调查人</w:t>
            </w: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姓名</w:t>
            </w:r>
          </w:p>
        </w:tc>
        <w:tc>
          <w:tcPr>
            <w:tcW w:w="1688"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性别</w:t>
            </w:r>
          </w:p>
        </w:tc>
        <w:tc>
          <w:tcPr>
            <w:tcW w:w="1526"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vMerge/>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单位</w:t>
            </w:r>
          </w:p>
        </w:tc>
        <w:tc>
          <w:tcPr>
            <w:tcW w:w="1688"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职务</w:t>
            </w:r>
          </w:p>
        </w:tc>
        <w:tc>
          <w:tcPr>
            <w:tcW w:w="1526"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vMerge/>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住所</w:t>
            </w:r>
          </w:p>
        </w:tc>
        <w:tc>
          <w:tcPr>
            <w:tcW w:w="1688"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电话</w:t>
            </w:r>
          </w:p>
        </w:tc>
        <w:tc>
          <w:tcPr>
            <w:tcW w:w="1526"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vMerge w:val="restar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调查人</w:t>
            </w: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姓名</w:t>
            </w:r>
          </w:p>
        </w:tc>
        <w:tc>
          <w:tcPr>
            <w:tcW w:w="1688"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性别</w:t>
            </w:r>
          </w:p>
        </w:tc>
        <w:tc>
          <w:tcPr>
            <w:tcW w:w="1526"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vMerge/>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单位</w:t>
            </w:r>
          </w:p>
        </w:tc>
        <w:tc>
          <w:tcPr>
            <w:tcW w:w="1688"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职务</w:t>
            </w:r>
          </w:p>
        </w:tc>
        <w:tc>
          <w:tcPr>
            <w:tcW w:w="1526"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vMerge/>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住所</w:t>
            </w:r>
          </w:p>
        </w:tc>
        <w:tc>
          <w:tcPr>
            <w:tcW w:w="1688"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电话</w:t>
            </w:r>
          </w:p>
        </w:tc>
        <w:tc>
          <w:tcPr>
            <w:tcW w:w="1526"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vMerge w:val="restar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调查人</w:t>
            </w: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姓名</w:t>
            </w:r>
          </w:p>
        </w:tc>
        <w:tc>
          <w:tcPr>
            <w:tcW w:w="1688"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性别</w:t>
            </w:r>
          </w:p>
        </w:tc>
        <w:tc>
          <w:tcPr>
            <w:tcW w:w="1526"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vMerge/>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单位</w:t>
            </w:r>
          </w:p>
        </w:tc>
        <w:tc>
          <w:tcPr>
            <w:tcW w:w="1688"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职务</w:t>
            </w:r>
          </w:p>
        </w:tc>
        <w:tc>
          <w:tcPr>
            <w:tcW w:w="1526"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vMerge/>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住所</w:t>
            </w:r>
          </w:p>
        </w:tc>
        <w:tc>
          <w:tcPr>
            <w:tcW w:w="1688"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电话</w:t>
            </w:r>
          </w:p>
        </w:tc>
        <w:tc>
          <w:tcPr>
            <w:tcW w:w="1526"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调查地点</w:t>
            </w:r>
          </w:p>
        </w:tc>
        <w:tc>
          <w:tcPr>
            <w:tcW w:w="4271" w:type="pct"/>
            <w:gridSpan w:val="4"/>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729"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调查时间</w:t>
            </w:r>
          </w:p>
        </w:tc>
        <w:tc>
          <w:tcPr>
            <w:tcW w:w="58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开始</w:t>
            </w:r>
          </w:p>
        </w:tc>
        <w:tc>
          <w:tcPr>
            <w:tcW w:w="1688"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年   月  日  时   分</w:t>
            </w:r>
          </w:p>
        </w:tc>
        <w:tc>
          <w:tcPr>
            <w:tcW w:w="474"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结束</w:t>
            </w:r>
          </w:p>
        </w:tc>
        <w:tc>
          <w:tcPr>
            <w:tcW w:w="1526"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年   月  日  时   分</w:t>
            </w:r>
          </w:p>
        </w:tc>
      </w:tr>
      <w:tr w:rsidR="00800760">
        <w:trPr>
          <w:trHeight w:val="20"/>
        </w:trPr>
        <w:tc>
          <w:tcPr>
            <w:tcW w:w="5000" w:type="pct"/>
            <w:gridSpan w:val="5"/>
            <w:tcMar>
              <w:left w:w="57" w:type="dxa"/>
              <w:right w:w="57" w:type="dxa"/>
            </w:tcMar>
          </w:tcPr>
          <w:p w:rsidR="00800760" w:rsidRDefault="00235733" w:rsidP="00235733">
            <w:pPr>
              <w:widowControl w:val="0"/>
              <w:ind w:firstLine="400"/>
              <w:jc w:val="both"/>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调查笔录：</w:t>
            </w: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tc>
      </w:tr>
      <w:tr w:rsidR="00800760">
        <w:trPr>
          <w:trHeight w:val="20"/>
        </w:trPr>
        <w:tc>
          <w:tcPr>
            <w:tcW w:w="5000" w:type="pct"/>
            <w:gridSpan w:val="5"/>
            <w:tcMar>
              <w:left w:w="57" w:type="dxa"/>
              <w:right w:w="57" w:type="dxa"/>
            </w:tcMar>
            <w:vAlign w:val="center"/>
          </w:tcPr>
          <w:p w:rsidR="00800760" w:rsidRDefault="00235733" w:rsidP="00235733">
            <w:pPr>
              <w:widowControl w:val="0"/>
              <w:ind w:firstLine="400"/>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调查笔录：</w:t>
            </w: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235733" w:rsidP="00235733">
            <w:pPr>
              <w:widowControl w:val="0"/>
              <w:ind w:firstLine="400"/>
              <w:rPr>
                <w:rFonts w:ascii="仿宋_GB2312" w:eastAsia="仿宋_GB2312" w:hAnsi="宋体" w:cs="Microsoft JhengHei"/>
                <w:color w:val="000000"/>
                <w:kern w:val="2"/>
                <w:sz w:val="20"/>
                <w:u w:val="single"/>
                <w:lang w:val="en-US"/>
              </w:rPr>
            </w:pPr>
            <w:r>
              <w:rPr>
                <w:rFonts w:ascii="仿宋_GB2312" w:eastAsia="仿宋_GB2312" w:hAnsi="宋体" w:cs="Microsoft JhengHei" w:hint="eastAsia"/>
                <w:color w:val="000000"/>
                <w:kern w:val="2"/>
                <w:sz w:val="20"/>
                <w:lang w:val="en-US"/>
              </w:rPr>
              <w:t>被调查人（签章）：</w:t>
            </w:r>
            <w:r>
              <w:rPr>
                <w:rFonts w:ascii="仿宋_GB2312" w:eastAsia="仿宋_GB2312" w:hAnsi="宋体" w:cs="Microsoft JhengHei" w:hint="eastAsia"/>
                <w:color w:val="000000"/>
                <w:kern w:val="2"/>
                <w:sz w:val="20"/>
                <w:u w:val="single"/>
                <w:lang w:val="en-US"/>
              </w:rPr>
              <w:t xml:space="preserve">                    </w:t>
            </w:r>
            <w:r>
              <w:rPr>
                <w:rFonts w:ascii="仿宋_GB2312" w:eastAsia="仿宋_GB2312" w:hAnsi="宋体" w:cs="Microsoft JhengHei" w:hint="eastAsia"/>
                <w:color w:val="000000"/>
                <w:kern w:val="2"/>
                <w:sz w:val="20"/>
                <w:lang w:val="en-US"/>
              </w:rPr>
              <w:t xml:space="preserve">              调查人（签章）：</w:t>
            </w:r>
            <w:r>
              <w:rPr>
                <w:rFonts w:ascii="仿宋_GB2312" w:eastAsia="仿宋_GB2312" w:hAnsi="宋体" w:cs="Microsoft JhengHei" w:hint="eastAsia"/>
                <w:color w:val="000000"/>
                <w:kern w:val="2"/>
                <w:sz w:val="20"/>
                <w:u w:val="single"/>
                <w:lang w:val="en-US"/>
              </w:rPr>
              <w:t xml:space="preserve">                       </w:t>
            </w:r>
          </w:p>
          <w:p w:rsidR="00800760" w:rsidRDefault="00235733" w:rsidP="00235733">
            <w:pPr>
              <w:widowControl w:val="0"/>
              <w:ind w:firstLine="424"/>
              <w:rPr>
                <w:rFonts w:ascii="仿宋_GB2312" w:eastAsia="仿宋_GB2312" w:hAnsi="宋体" w:cs="PMingLiU"/>
                <w:color w:val="000000"/>
                <w:spacing w:val="6"/>
                <w:kern w:val="2"/>
                <w:sz w:val="20"/>
                <w:lang w:val="en-US"/>
              </w:rPr>
            </w:pP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r>
              <w:rPr>
                <w:rFonts w:ascii="仿宋_GB2312" w:eastAsia="仿宋_GB2312" w:hAnsi="宋体" w:cs="Microsoft JhengHei" w:hint="eastAsia"/>
                <w:color w:val="000000"/>
                <w:kern w:val="2"/>
                <w:sz w:val="20"/>
                <w:lang w:val="en-US"/>
              </w:rPr>
              <w:t xml:space="preserve">                              </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p>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3264"/>
        </w:trPr>
        <w:tc>
          <w:tcPr>
            <w:tcW w:w="5000" w:type="pct"/>
            <w:gridSpan w:val="5"/>
            <w:tcMar>
              <w:left w:w="57" w:type="dxa"/>
              <w:right w:w="57" w:type="dxa"/>
            </w:tcMar>
          </w:tcPr>
          <w:p w:rsidR="00800760" w:rsidRDefault="00235733" w:rsidP="00235733">
            <w:pPr>
              <w:widowControl w:val="0"/>
              <w:ind w:firstLine="400"/>
              <w:jc w:val="both"/>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备注：</w:t>
            </w: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p w:rsidR="00800760" w:rsidRDefault="00800760" w:rsidP="00235733">
            <w:pPr>
              <w:widowControl w:val="0"/>
              <w:ind w:firstLine="400"/>
              <w:jc w:val="both"/>
              <w:rPr>
                <w:rFonts w:ascii="仿宋_GB2312" w:eastAsia="仿宋_GB2312" w:hAnsi="宋体" w:cs="Microsoft JhengHei"/>
                <w:color w:val="000000"/>
                <w:kern w:val="2"/>
                <w:sz w:val="20"/>
                <w:lang w:val="en-US"/>
              </w:rPr>
            </w:pPr>
          </w:p>
        </w:tc>
      </w:tr>
    </w:tbl>
    <w:p w:rsidR="00800760" w:rsidRDefault="00800760" w:rsidP="00C22A7B">
      <w:pPr>
        <w:widowControl w:val="0"/>
        <w:spacing w:beforeLines="50" w:afterLines="50"/>
        <w:ind w:firstLineChars="0" w:firstLine="0"/>
        <w:jc w:val="both"/>
        <w:rPr>
          <w:rFonts w:ascii="仿宋_GB2312" w:eastAsia="仿宋_GB2312" w:hAnsi="宋体"/>
          <w:b/>
          <w:color w:val="000000"/>
          <w:sz w:val="20"/>
        </w:rPr>
      </w:pPr>
    </w:p>
    <w:p w:rsidR="00800760" w:rsidRDefault="00235733">
      <w:pPr>
        <w:spacing w:line="240" w:lineRule="auto"/>
        <w:ind w:firstLineChars="0" w:firstLine="0"/>
        <w:rPr>
          <w:rFonts w:ascii="仿宋_GB2312" w:eastAsia="仿宋_GB2312" w:hAnsi="宋体"/>
          <w:b/>
          <w:color w:val="000000"/>
          <w:sz w:val="20"/>
        </w:rPr>
      </w:pPr>
      <w:r>
        <w:rPr>
          <w:rFonts w:ascii="仿宋_GB2312" w:eastAsia="仿宋_GB2312" w:hAnsi="宋体" w:hint="eastAsia"/>
          <w:b/>
          <w:color w:val="000000"/>
          <w:sz w:val="20"/>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重大专利侵权纠纷行政裁决调查笔录</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40"/>
        <w:gridCol w:w="1150"/>
        <w:gridCol w:w="3331"/>
        <w:gridCol w:w="935"/>
        <w:gridCol w:w="3011"/>
      </w:tblGrid>
      <w:tr w:rsidR="00800760">
        <w:trPr>
          <w:trHeight w:val="20"/>
        </w:trPr>
        <w:tc>
          <w:tcPr>
            <w:tcW w:w="72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案由</w:t>
            </w:r>
          </w:p>
        </w:tc>
        <w:tc>
          <w:tcPr>
            <w:tcW w:w="4271" w:type="pct"/>
            <w:gridSpan w:val="4"/>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vMerge w:val="restar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被调查人</w:t>
            </w: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姓名</w:t>
            </w:r>
          </w:p>
        </w:tc>
        <w:tc>
          <w:tcPr>
            <w:tcW w:w="1688"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性别</w:t>
            </w:r>
          </w:p>
        </w:tc>
        <w:tc>
          <w:tcPr>
            <w:tcW w:w="152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单位</w:t>
            </w:r>
          </w:p>
        </w:tc>
        <w:tc>
          <w:tcPr>
            <w:tcW w:w="1688"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职务</w:t>
            </w:r>
          </w:p>
        </w:tc>
        <w:tc>
          <w:tcPr>
            <w:tcW w:w="152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住所</w:t>
            </w:r>
          </w:p>
        </w:tc>
        <w:tc>
          <w:tcPr>
            <w:tcW w:w="1688"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电话</w:t>
            </w:r>
          </w:p>
        </w:tc>
        <w:tc>
          <w:tcPr>
            <w:tcW w:w="152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vMerge w:val="restar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调查人</w:t>
            </w: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姓名</w:t>
            </w:r>
          </w:p>
        </w:tc>
        <w:tc>
          <w:tcPr>
            <w:tcW w:w="1688"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性别</w:t>
            </w:r>
          </w:p>
        </w:tc>
        <w:tc>
          <w:tcPr>
            <w:tcW w:w="152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单位</w:t>
            </w:r>
          </w:p>
        </w:tc>
        <w:tc>
          <w:tcPr>
            <w:tcW w:w="1688"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职务</w:t>
            </w:r>
          </w:p>
        </w:tc>
        <w:tc>
          <w:tcPr>
            <w:tcW w:w="152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住所</w:t>
            </w:r>
          </w:p>
        </w:tc>
        <w:tc>
          <w:tcPr>
            <w:tcW w:w="1688"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电话</w:t>
            </w:r>
          </w:p>
        </w:tc>
        <w:tc>
          <w:tcPr>
            <w:tcW w:w="152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vMerge w:val="restar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调查人</w:t>
            </w: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姓名</w:t>
            </w:r>
          </w:p>
        </w:tc>
        <w:tc>
          <w:tcPr>
            <w:tcW w:w="1688"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性别</w:t>
            </w:r>
          </w:p>
        </w:tc>
        <w:tc>
          <w:tcPr>
            <w:tcW w:w="152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单位</w:t>
            </w:r>
          </w:p>
        </w:tc>
        <w:tc>
          <w:tcPr>
            <w:tcW w:w="1688"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职务</w:t>
            </w:r>
          </w:p>
        </w:tc>
        <w:tc>
          <w:tcPr>
            <w:tcW w:w="152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住所</w:t>
            </w:r>
          </w:p>
        </w:tc>
        <w:tc>
          <w:tcPr>
            <w:tcW w:w="1688"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电话</w:t>
            </w:r>
          </w:p>
        </w:tc>
        <w:tc>
          <w:tcPr>
            <w:tcW w:w="152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调查地点</w:t>
            </w:r>
          </w:p>
        </w:tc>
        <w:tc>
          <w:tcPr>
            <w:tcW w:w="4271" w:type="pct"/>
            <w:gridSpan w:val="4"/>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72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调查时间</w:t>
            </w:r>
          </w:p>
        </w:tc>
        <w:tc>
          <w:tcPr>
            <w:tcW w:w="58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开始</w:t>
            </w:r>
          </w:p>
        </w:tc>
        <w:tc>
          <w:tcPr>
            <w:tcW w:w="1688"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年   月  日  时   分</w:t>
            </w:r>
          </w:p>
        </w:tc>
        <w:tc>
          <w:tcPr>
            <w:tcW w:w="474"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结束</w:t>
            </w:r>
          </w:p>
        </w:tc>
        <w:tc>
          <w:tcPr>
            <w:tcW w:w="1526"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年   月  日  时   分</w:t>
            </w:r>
          </w:p>
        </w:tc>
      </w:tr>
      <w:tr w:rsidR="00800760">
        <w:trPr>
          <w:trHeight w:val="20"/>
        </w:trPr>
        <w:tc>
          <w:tcPr>
            <w:tcW w:w="5000" w:type="pct"/>
            <w:gridSpan w:val="5"/>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调查笔录：</w:t>
            </w: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5000" w:type="pct"/>
            <w:gridSpan w:val="5"/>
            <w:shd w:val="clear" w:color="auto" w:fill="auto"/>
            <w:tcMar>
              <w:left w:w="57" w:type="dxa"/>
              <w:right w:w="57" w:type="dxa"/>
            </w:tcMar>
            <w:vAlign w:val="center"/>
          </w:tcPr>
          <w:p w:rsidR="00800760" w:rsidRDefault="00235733">
            <w:pPr>
              <w:spacing w:line="360" w:lineRule="auto"/>
              <w:ind w:firstLineChars="0" w:firstLine="0"/>
              <w:rPr>
                <w:rFonts w:ascii="仿宋_GB2312" w:eastAsia="仿宋_GB2312" w:hAnsi="宋体" w:cs="Microsoft JhengHei"/>
                <w:color w:val="000000"/>
                <w:sz w:val="20"/>
              </w:rPr>
            </w:pPr>
            <w:r>
              <w:rPr>
                <w:rFonts w:ascii="仿宋_GB2312" w:eastAsia="仿宋_GB2312" w:hAnsi="宋体" w:cs="Microsoft JhengHei" w:hint="eastAsia"/>
                <w:color w:val="000000"/>
                <w:sz w:val="20"/>
              </w:rPr>
              <w:t>调查笔录：</w:t>
            </w:r>
          </w:p>
          <w:p w:rsidR="00800760" w:rsidRDefault="00800760">
            <w:pPr>
              <w:spacing w:line="360" w:lineRule="auto"/>
              <w:ind w:firstLineChars="0" w:firstLine="0"/>
              <w:rPr>
                <w:rFonts w:ascii="仿宋_GB2312" w:eastAsia="仿宋_GB2312" w:hAnsi="宋体" w:cs="Microsoft JhengHei"/>
                <w:color w:val="000000"/>
                <w:sz w:val="20"/>
              </w:rPr>
            </w:pPr>
          </w:p>
          <w:p w:rsidR="00800760" w:rsidRDefault="00800760">
            <w:pPr>
              <w:spacing w:line="360" w:lineRule="auto"/>
              <w:ind w:firstLineChars="0" w:firstLine="0"/>
              <w:rPr>
                <w:rFonts w:ascii="仿宋_GB2312" w:eastAsia="仿宋_GB2312" w:hAnsi="宋体" w:cs="Microsoft JhengHei"/>
                <w:color w:val="000000"/>
                <w:sz w:val="20"/>
              </w:rPr>
            </w:pPr>
          </w:p>
          <w:p w:rsidR="00800760" w:rsidRDefault="00800760">
            <w:pPr>
              <w:spacing w:line="360" w:lineRule="auto"/>
              <w:ind w:firstLineChars="0" w:firstLine="0"/>
              <w:rPr>
                <w:rFonts w:ascii="仿宋_GB2312" w:eastAsia="仿宋_GB2312" w:hAnsi="宋体" w:cs="Microsoft JhengHei"/>
                <w:color w:val="000000"/>
                <w:sz w:val="20"/>
              </w:rPr>
            </w:pPr>
          </w:p>
          <w:p w:rsidR="00800760" w:rsidRDefault="00235733">
            <w:pPr>
              <w:spacing w:line="360" w:lineRule="auto"/>
              <w:ind w:firstLineChars="0" w:firstLine="0"/>
              <w:rPr>
                <w:rFonts w:ascii="仿宋_GB2312" w:eastAsia="仿宋_GB2312" w:hAnsi="宋体" w:cs="Microsoft JhengHei"/>
                <w:color w:val="000000"/>
                <w:sz w:val="20"/>
                <w:u w:val="single"/>
              </w:rPr>
            </w:pPr>
            <w:r>
              <w:rPr>
                <w:rFonts w:ascii="仿宋_GB2312" w:eastAsia="仿宋_GB2312" w:hAnsi="宋体" w:cs="Microsoft JhengHei" w:hint="eastAsia"/>
                <w:color w:val="000000"/>
                <w:sz w:val="20"/>
              </w:rPr>
              <w:t>被调查人（签章）：</w:t>
            </w:r>
            <w:r>
              <w:rPr>
                <w:rFonts w:ascii="仿宋_GB2312" w:eastAsia="仿宋_GB2312" w:hAnsi="宋体" w:cs="Microsoft JhengHei" w:hint="eastAsia"/>
                <w:color w:val="000000"/>
                <w:sz w:val="20"/>
                <w:u w:val="single"/>
              </w:rPr>
              <w:t xml:space="preserve">                    </w:t>
            </w:r>
            <w:r>
              <w:rPr>
                <w:rFonts w:ascii="仿宋_GB2312" w:eastAsia="仿宋_GB2312" w:hAnsi="宋体" w:cs="Microsoft JhengHei" w:hint="eastAsia"/>
                <w:color w:val="000000"/>
                <w:sz w:val="20"/>
              </w:rPr>
              <w:t xml:space="preserve">              调查人（签章）：</w:t>
            </w:r>
            <w:r>
              <w:rPr>
                <w:rFonts w:ascii="仿宋_GB2312" w:eastAsia="仿宋_GB2312" w:hAnsi="宋体" w:cs="Microsoft JhengHei" w:hint="eastAsia"/>
                <w:color w:val="000000"/>
                <w:sz w:val="20"/>
                <w:u w:val="single"/>
              </w:rPr>
              <w:t xml:space="preserve">                       </w:t>
            </w:r>
          </w:p>
          <w:p w:rsidR="00800760" w:rsidRDefault="00235733">
            <w:pPr>
              <w:spacing w:line="360" w:lineRule="auto"/>
              <w:ind w:firstLineChars="0" w:firstLine="444"/>
              <w:rPr>
                <w:rFonts w:ascii="仿宋_GB2312" w:eastAsia="仿宋_GB2312" w:hAnsi="宋体" w:cs="PMingLiU"/>
                <w:color w:val="000000"/>
                <w:spacing w:val="6"/>
                <w:sz w:val="20"/>
                <w:lang w:eastAsia="en-US"/>
              </w:rPr>
            </w:pP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lang w:eastAsia="en-US"/>
              </w:rPr>
              <w:t>年</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月</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日</w:t>
            </w:r>
            <w:r>
              <w:rPr>
                <w:rFonts w:ascii="仿宋_GB2312" w:eastAsia="仿宋_GB2312" w:hAnsi="宋体" w:cs="Microsoft JhengHei" w:hint="eastAsia"/>
                <w:color w:val="000000"/>
                <w:sz w:val="20"/>
                <w:lang w:eastAsia="en-US"/>
              </w:rPr>
              <w:t xml:space="preserve">                              </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年</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月</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日</w:t>
            </w:r>
          </w:p>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5000" w:type="pct"/>
            <w:gridSpan w:val="5"/>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备注：</w:t>
            </w:r>
          </w:p>
          <w:p w:rsidR="00800760" w:rsidRDefault="00800760">
            <w:pPr>
              <w:spacing w:line="360" w:lineRule="auto"/>
              <w:ind w:firstLineChars="0" w:firstLine="0"/>
              <w:rPr>
                <w:rFonts w:ascii="仿宋_GB2312" w:eastAsia="仿宋_GB2312" w:hAnsi="宋体" w:cs="Microsoft JhengHei"/>
                <w:color w:val="000000"/>
                <w:sz w:val="20"/>
                <w:lang w:eastAsia="en-US"/>
              </w:rPr>
            </w:pPr>
          </w:p>
        </w:tc>
      </w:tr>
    </w:tbl>
    <w:p w:rsidR="00800760" w:rsidRDefault="00800760" w:rsidP="00C22A7B">
      <w:pPr>
        <w:widowControl w:val="0"/>
        <w:spacing w:beforeLines="50" w:afterLines="50"/>
        <w:ind w:firstLineChars="0" w:firstLine="0"/>
        <w:jc w:val="center"/>
        <w:rPr>
          <w:rFonts w:ascii="仿宋_GB2312" w:eastAsia="仿宋_GB2312" w:hAnsi="宋体"/>
          <w:b/>
          <w:color w:val="000000"/>
          <w:sz w:val="20"/>
        </w:rPr>
      </w:pPr>
    </w:p>
    <w:p w:rsidR="00800760" w:rsidRDefault="00235733" w:rsidP="00E0701A">
      <w:pPr>
        <w:spacing w:line="240" w:lineRule="auto"/>
        <w:ind w:firstLineChars="0" w:firstLine="0"/>
        <w:jc w:val="center"/>
        <w:rPr>
          <w:rFonts w:ascii="方正小标宋_GBK" w:eastAsia="方正小标宋_GBK" w:hAnsi="宋体"/>
          <w:color w:val="000000"/>
          <w:spacing w:val="6"/>
          <w:sz w:val="36"/>
          <w:szCs w:val="36"/>
        </w:rPr>
      </w:pPr>
      <w:r>
        <w:rPr>
          <w:rFonts w:ascii="仿宋_GB2312" w:eastAsia="仿宋_GB2312" w:hAnsi="宋体"/>
          <w:b/>
          <w:color w:val="000000"/>
          <w:sz w:val="20"/>
        </w:rPr>
        <w:br w:type="page"/>
      </w:r>
      <w:r>
        <w:rPr>
          <w:rFonts w:ascii="方正小标宋_GBK" w:eastAsia="方正小标宋_GBK" w:hAnsi="宋体"/>
          <w:color w:val="000000"/>
          <w:spacing w:val="6"/>
          <w:sz w:val="36"/>
          <w:szCs w:val="36"/>
        </w:rPr>
        <w:t>专利侵权纠纷案件抽样取证决定</w:t>
      </w:r>
    </w:p>
    <w:p w:rsidR="00800760" w:rsidRDefault="00235733" w:rsidP="00C22A7B">
      <w:pPr>
        <w:widowControl w:val="0"/>
        <w:spacing w:beforeLines="50" w:afterLines="5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p w:rsidR="00800760" w:rsidRDefault="00235733" w:rsidP="00C22A7B">
      <w:pPr>
        <w:spacing w:beforeLines="50" w:afterLines="50"/>
        <w:ind w:firstLineChars="0" w:firstLine="0"/>
        <w:jc w:val="both"/>
        <w:rPr>
          <w:rFonts w:ascii="仿宋_GB2312" w:eastAsia="仿宋_GB2312" w:hAnsi="仿宋"/>
          <w:color w:val="000000"/>
          <w:sz w:val="20"/>
        </w:rPr>
      </w:pP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w:t>
      </w:r>
    </w:p>
    <w:p w:rsidR="00800760" w:rsidRDefault="00235733" w:rsidP="00C22A7B">
      <w:pPr>
        <w:spacing w:beforeLines="50" w:afterLines="50"/>
        <w:ind w:firstLine="400"/>
        <w:rPr>
          <w:rFonts w:ascii="仿宋_GB2312" w:eastAsia="仿宋_GB2312" w:hAnsi="仿宋"/>
          <w:color w:val="000000"/>
          <w:sz w:val="20"/>
          <w:u w:val="single"/>
        </w:rPr>
      </w:pPr>
      <w:r>
        <w:rPr>
          <w:rFonts w:ascii="仿宋_GB2312" w:eastAsia="仿宋_GB2312" w:hAnsi="仿宋" w:hint="eastAsia"/>
          <w:color w:val="000000"/>
          <w:sz w:val="20"/>
        </w:rPr>
        <w:t>为处理专利侵权纠纷案件的需要，根据《专利纠纷行政裁决和调解办法》第四十八条的规</w:t>
      </w:r>
      <w:r>
        <w:rPr>
          <w:rFonts w:ascii="仿宋_GB2312" w:eastAsia="仿宋_GB2312" w:hAnsi="仿宋" w:hint="eastAsia"/>
          <w:color w:val="000000"/>
          <w:spacing w:val="2"/>
          <w:sz w:val="20"/>
        </w:rPr>
        <w:t>定，本局决定对有关物品（详见《专利侵权纠纷案件抽样取证清单》）进行抽样取</w:t>
      </w:r>
      <w:r>
        <w:rPr>
          <w:rFonts w:ascii="仿宋_GB2312" w:eastAsia="仿宋_GB2312" w:hAnsi="仿宋" w:hint="eastAsia"/>
          <w:color w:val="000000"/>
          <w:sz w:val="20"/>
        </w:rPr>
        <w:t>证。</w:t>
      </w:r>
    </w:p>
    <w:p w:rsidR="00800760" w:rsidRDefault="00235733" w:rsidP="00C22A7B">
      <w:pPr>
        <w:spacing w:beforeLines="50" w:afterLines="50"/>
        <w:ind w:firstLineChars="0" w:firstLine="440"/>
        <w:jc w:val="both"/>
        <w:rPr>
          <w:rFonts w:ascii="仿宋_GB2312" w:eastAsia="仿宋_GB2312" w:hAnsi="仿宋"/>
          <w:color w:val="000000"/>
          <w:sz w:val="20"/>
        </w:rPr>
      </w:pPr>
      <w:r>
        <w:rPr>
          <w:rFonts w:ascii="仿宋_GB2312" w:eastAsia="仿宋_GB2312" w:hAnsi="仿宋" w:hint="eastAsia"/>
          <w:color w:val="000000"/>
          <w:sz w:val="20"/>
        </w:rPr>
        <w:t>附件：《专利侵权纠纷案件抽样取证清单》</w:t>
      </w:r>
    </w:p>
    <w:p w:rsidR="00800760" w:rsidRDefault="00800760" w:rsidP="00C22A7B">
      <w:pPr>
        <w:widowControl w:val="0"/>
        <w:spacing w:beforeLines="50" w:afterLines="50"/>
        <w:ind w:firstLineChars="0" w:firstLine="600"/>
        <w:rPr>
          <w:rFonts w:ascii="仿宋_GB2312" w:eastAsia="仿宋_GB2312" w:hAnsi="宋体"/>
          <w:color w:val="000000"/>
          <w:spacing w:val="6"/>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rsidP="00235733">
      <w:pPr>
        <w:widowControl w:val="0"/>
        <w:ind w:firstLine="424"/>
        <w:jc w:val="both"/>
        <w:rPr>
          <w:rFonts w:ascii="仿宋_GB2312" w:eastAsia="仿宋_GB2312" w:hAnsi="宋体" w:cs="PMingLiU"/>
          <w:color w:val="000000"/>
          <w:spacing w:val="6"/>
          <w:kern w:val="2"/>
          <w:sz w:val="20"/>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44"/>
        <w:jc w:val="both"/>
        <w:rPr>
          <w:rFonts w:ascii="仿宋_GB2312" w:eastAsia="仿宋_GB2312" w:hAnsi="宋体" w:cs="PMingLiU"/>
          <w:color w:val="000000"/>
          <w:spacing w:val="6"/>
          <w:kern w:val="2"/>
          <w:szCs w:val="21"/>
        </w:rPr>
      </w:pPr>
    </w:p>
    <w:p w:rsidR="00800760" w:rsidRDefault="00800760" w:rsidP="00235733">
      <w:pPr>
        <w:widowControl w:val="0"/>
        <w:ind w:firstLine="424"/>
        <w:jc w:val="both"/>
        <w:rPr>
          <w:rFonts w:ascii="仿宋_GB2312" w:eastAsia="仿宋_GB2312" w:hAnsi="宋体" w:cs="PMingLiU"/>
          <w:color w:val="000000"/>
          <w:spacing w:val="6"/>
          <w:kern w:val="2"/>
          <w:sz w:val="20"/>
        </w:rPr>
      </w:pPr>
    </w:p>
    <w:p w:rsidR="00800760" w:rsidRDefault="00235733" w:rsidP="00235733">
      <w:pPr>
        <w:widowControl w:val="0"/>
        <w:ind w:firstLine="400"/>
        <w:jc w:val="both"/>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说明：本决定书一式两份，一份送达被取证人，一份由知识产权局存档。</w:t>
      </w:r>
    </w:p>
    <w:p w:rsidR="00800760" w:rsidRDefault="00235733">
      <w:pPr>
        <w:spacing w:line="240" w:lineRule="auto"/>
        <w:ind w:firstLineChars="0" w:firstLine="0"/>
        <w:rPr>
          <w:rFonts w:ascii="仿宋_GB2312" w:eastAsia="仿宋_GB2312" w:hAnsi="仿宋" w:cs="PMingLiU"/>
          <w:color w:val="000000"/>
          <w:kern w:val="2"/>
          <w:sz w:val="20"/>
          <w:lang w:val="en-US"/>
        </w:rPr>
      </w:pPr>
      <w:r>
        <w:rPr>
          <w:rFonts w:ascii="仿宋_GB2312" w:eastAsia="仿宋_GB2312" w:hAnsi="仿宋"/>
          <w:color w:val="000000"/>
          <w:sz w:val="20"/>
        </w:rPr>
        <w:br w:type="page"/>
      </w:r>
    </w:p>
    <w:p w:rsidR="00800760" w:rsidRDefault="00800760" w:rsidP="00235733">
      <w:pPr>
        <w:widowControl w:val="0"/>
        <w:ind w:firstLine="400"/>
        <w:jc w:val="both"/>
        <w:rPr>
          <w:rFonts w:ascii="仿宋_GB2312" w:eastAsia="仿宋_GB2312" w:hAnsi="仿宋" w:cs="PMingLiU"/>
          <w:color w:val="000000"/>
          <w:kern w:val="2"/>
          <w:sz w:val="20"/>
          <w:lang w:val="en-US"/>
        </w:rPr>
      </w:pPr>
    </w:p>
    <w:p w:rsidR="00800760" w:rsidRDefault="00235733">
      <w:pPr>
        <w:spacing w:line="240" w:lineRule="auto"/>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重大专利侵权纠纷行政裁决抽样取证决定</w:t>
      </w:r>
    </w:p>
    <w:p w:rsidR="00800760" w:rsidRDefault="00800760">
      <w:pPr>
        <w:spacing w:line="360" w:lineRule="auto"/>
        <w:ind w:firstLineChars="0" w:firstLine="0"/>
        <w:jc w:val="right"/>
        <w:rPr>
          <w:rFonts w:ascii="仿宋_GB2312" w:eastAsia="仿宋_GB2312" w:hAnsi="仿宋"/>
          <w:color w:val="000000"/>
          <w:sz w:val="20"/>
        </w:rPr>
      </w:pPr>
    </w:p>
    <w:p w:rsidR="00800760" w:rsidRDefault="00235733">
      <w:pPr>
        <w:spacing w:line="360" w:lineRule="auto"/>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p w:rsidR="00800760" w:rsidRDefault="00235733">
      <w:pPr>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w:t>
      </w:r>
    </w:p>
    <w:p w:rsidR="00800760" w:rsidRDefault="00235733">
      <w:pPr>
        <w:spacing w:line="360" w:lineRule="auto"/>
        <w:ind w:firstLine="400"/>
        <w:rPr>
          <w:rFonts w:ascii="仿宋_GB2312" w:eastAsia="仿宋_GB2312" w:hAnsi="仿宋"/>
          <w:color w:val="000000"/>
          <w:sz w:val="20"/>
          <w:u w:val="single"/>
        </w:rPr>
      </w:pPr>
      <w:r>
        <w:rPr>
          <w:rFonts w:ascii="仿宋_GB2312" w:eastAsia="仿宋_GB2312" w:hAnsi="仿宋" w:hint="eastAsia"/>
          <w:color w:val="000000"/>
          <w:sz w:val="20"/>
        </w:rPr>
        <w:t>为处理重大专利侵权纠纷行政裁决的需要，根据《专利纠纷行政裁决和调解办法》第四十八条的规</w:t>
      </w:r>
      <w:r>
        <w:rPr>
          <w:rFonts w:ascii="仿宋_GB2312" w:eastAsia="仿宋_GB2312" w:hAnsi="仿宋" w:hint="eastAsia"/>
          <w:color w:val="000000"/>
          <w:spacing w:val="2"/>
          <w:sz w:val="20"/>
        </w:rPr>
        <w:t>定，本局决定对有关物品（详见《重大专利侵权纠纷行政裁决抽样取证清单》）进行抽样取</w:t>
      </w:r>
      <w:r>
        <w:rPr>
          <w:rFonts w:ascii="仿宋_GB2312" w:eastAsia="仿宋_GB2312" w:hAnsi="仿宋" w:hint="eastAsia"/>
          <w:color w:val="000000"/>
          <w:sz w:val="20"/>
        </w:rPr>
        <w:t>证。</w:t>
      </w:r>
    </w:p>
    <w:p w:rsidR="00800760" w:rsidRDefault="00235733">
      <w:pPr>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附件：《重大专利侵权纠纷行政裁决抽样取证清单》</w:t>
      </w:r>
    </w:p>
    <w:p w:rsidR="00800760" w:rsidRDefault="00800760">
      <w:pPr>
        <w:spacing w:line="360" w:lineRule="auto"/>
        <w:ind w:firstLineChars="0" w:firstLine="444"/>
        <w:rPr>
          <w:rFonts w:ascii="仿宋_GB2312" w:eastAsia="仿宋_GB2312" w:hAnsi="宋体"/>
          <w:color w:val="000000"/>
          <w:spacing w:val="6"/>
          <w:sz w:val="20"/>
        </w:rPr>
      </w:pPr>
    </w:p>
    <w:p w:rsidR="00800760" w:rsidRDefault="00800760">
      <w:pPr>
        <w:spacing w:line="360" w:lineRule="auto"/>
        <w:ind w:firstLineChars="0" w:firstLine="444"/>
        <w:jc w:val="right"/>
        <w:rPr>
          <w:rFonts w:ascii="仿宋_GB2312" w:eastAsia="仿宋_GB2312" w:hAnsi="宋体"/>
          <w:color w:val="000000"/>
          <w:spacing w:val="6"/>
          <w:sz w:val="20"/>
        </w:rPr>
      </w:pP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国家知识产权局（盖章）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rsidP="00235733">
      <w:pPr>
        <w:widowControl w:val="0"/>
        <w:ind w:firstLine="400"/>
        <w:jc w:val="both"/>
        <w:rPr>
          <w:rFonts w:ascii="仿宋_GB2312" w:eastAsia="仿宋_GB2312" w:hAnsi="仿宋" w:cs="PMingLiU"/>
          <w:color w:val="000000"/>
          <w:kern w:val="2"/>
          <w:sz w:val="20"/>
          <w:lang w:val="en-US"/>
        </w:rPr>
      </w:pPr>
    </w:p>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说明：本决定书一式两份，一份送达被取证人，一份由知识产权局存档。</w:t>
      </w:r>
      <w:r>
        <w:rPr>
          <w:rFonts w:ascii="仿宋_GB2312" w:eastAsia="仿宋_GB2312" w:hAnsi="仿宋" w:cs="PMingLiU"/>
          <w:color w:val="000000"/>
          <w:kern w:val="2"/>
          <w:sz w:val="17"/>
          <w:szCs w:val="17"/>
          <w:lang w:val="en-US"/>
        </w:rPr>
        <w:br w:type="page"/>
      </w:r>
      <w:r>
        <w:rPr>
          <w:rFonts w:ascii="方正小标宋_GBK" w:eastAsia="方正小标宋_GBK" w:hAnsi="宋体" w:cs="PMingLiU"/>
          <w:color w:val="000000"/>
          <w:spacing w:val="6"/>
          <w:kern w:val="2"/>
          <w:sz w:val="36"/>
          <w:szCs w:val="36"/>
          <w:lang w:val="en-US"/>
        </w:rPr>
        <w:t>专利侵权纠纷案件抽样取证清单</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7"/>
        <w:gridCol w:w="805"/>
        <w:gridCol w:w="432"/>
        <w:gridCol w:w="1845"/>
        <w:gridCol w:w="1610"/>
        <w:gridCol w:w="965"/>
        <w:gridCol w:w="835"/>
        <w:gridCol w:w="1239"/>
        <w:gridCol w:w="505"/>
        <w:gridCol w:w="1024"/>
      </w:tblGrid>
      <w:tr w:rsidR="00800760">
        <w:trPr>
          <w:trHeight w:val="20"/>
        </w:trPr>
        <w:tc>
          <w:tcPr>
            <w:tcW w:w="715" w:type="pct"/>
            <w:gridSpan w:val="2"/>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案由</w:t>
            </w:r>
          </w:p>
        </w:tc>
        <w:tc>
          <w:tcPr>
            <w:tcW w:w="4285" w:type="pct"/>
            <w:gridSpan w:val="8"/>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934" w:type="pct"/>
            <w:gridSpan w:val="3"/>
            <w:vMerge w:val="restar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被取证人</w:t>
            </w:r>
          </w:p>
        </w:tc>
        <w:tc>
          <w:tcPr>
            <w:tcW w:w="935"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姓名或名称</w:t>
            </w:r>
          </w:p>
        </w:tc>
        <w:tc>
          <w:tcPr>
            <w:tcW w:w="1728"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628"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法定代表人</w:t>
            </w:r>
          </w:p>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（负责人）</w:t>
            </w:r>
          </w:p>
        </w:tc>
        <w:tc>
          <w:tcPr>
            <w:tcW w:w="775"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934" w:type="pct"/>
            <w:gridSpan w:val="3"/>
            <w:vMerge/>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935"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住所</w:t>
            </w:r>
          </w:p>
        </w:tc>
        <w:tc>
          <w:tcPr>
            <w:tcW w:w="1728"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628"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电话</w:t>
            </w:r>
          </w:p>
        </w:tc>
        <w:tc>
          <w:tcPr>
            <w:tcW w:w="775"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序号</w:t>
            </w:r>
          </w:p>
        </w:tc>
        <w:tc>
          <w:tcPr>
            <w:tcW w:w="1562" w:type="pct"/>
            <w:gridSpan w:val="3"/>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被抽样取证物品名称</w:t>
            </w:r>
          </w:p>
        </w:tc>
        <w:tc>
          <w:tcPr>
            <w:tcW w:w="816"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规格型号</w:t>
            </w:r>
          </w:p>
        </w:tc>
        <w:tc>
          <w:tcPr>
            <w:tcW w:w="489"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数量</w:t>
            </w:r>
          </w:p>
        </w:tc>
        <w:tc>
          <w:tcPr>
            <w:tcW w:w="423"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单价</w:t>
            </w:r>
          </w:p>
        </w:tc>
        <w:tc>
          <w:tcPr>
            <w:tcW w:w="884" w:type="pct"/>
            <w:gridSpan w:val="2"/>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保存地点</w:t>
            </w:r>
          </w:p>
        </w:tc>
        <w:tc>
          <w:tcPr>
            <w:tcW w:w="519"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备注</w:t>
            </w: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5000" w:type="pct"/>
            <w:gridSpan w:val="10"/>
            <w:tcMar>
              <w:left w:w="57" w:type="dxa"/>
              <w:right w:w="57" w:type="dxa"/>
            </w:tcMar>
            <w:vAlign w:val="center"/>
          </w:tcPr>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235733" w:rsidP="00235733">
            <w:pPr>
              <w:widowControl w:val="0"/>
              <w:ind w:firstLine="400"/>
              <w:rPr>
                <w:rFonts w:ascii="仿宋_GB2312" w:eastAsia="仿宋_GB2312" w:hAnsi="宋体" w:cs="Microsoft JhengHei"/>
                <w:bCs/>
                <w:color w:val="000000"/>
                <w:kern w:val="2"/>
                <w:sz w:val="20"/>
                <w:u w:val="single"/>
                <w:lang w:val="en-US"/>
              </w:rPr>
            </w:pPr>
            <w:r>
              <w:rPr>
                <w:rFonts w:ascii="仿宋_GB2312" w:eastAsia="仿宋_GB2312" w:hAnsi="宋体" w:cs="Microsoft JhengHei" w:hint="eastAsia"/>
                <w:bCs/>
                <w:color w:val="000000"/>
                <w:kern w:val="2"/>
                <w:sz w:val="20"/>
                <w:lang w:val="en-US"/>
              </w:rPr>
              <w:t>被取证人（签章）：</w:t>
            </w:r>
            <w:r>
              <w:rPr>
                <w:rFonts w:ascii="仿宋_GB2312" w:eastAsia="仿宋_GB2312" w:hAnsi="宋体" w:cs="Microsoft JhengHei" w:hint="eastAsia"/>
                <w:bCs/>
                <w:color w:val="000000"/>
                <w:kern w:val="2"/>
                <w:sz w:val="20"/>
                <w:u w:val="single"/>
                <w:lang w:val="en-US"/>
              </w:rPr>
              <w:t xml:space="preserve">               </w:t>
            </w:r>
            <w:r>
              <w:rPr>
                <w:rFonts w:ascii="仿宋_GB2312" w:eastAsia="仿宋_GB2312" w:hAnsi="宋体" w:cs="Microsoft JhengHei" w:hint="eastAsia"/>
                <w:bCs/>
                <w:color w:val="000000"/>
                <w:kern w:val="2"/>
                <w:sz w:val="20"/>
                <w:lang w:val="en-US"/>
              </w:rPr>
              <w:t xml:space="preserve">                      案件承办人（签章）：</w:t>
            </w:r>
            <w:r>
              <w:rPr>
                <w:rFonts w:ascii="仿宋_GB2312" w:eastAsia="仿宋_GB2312" w:hAnsi="宋体" w:cs="Microsoft JhengHei" w:hint="eastAsia"/>
                <w:bCs/>
                <w:color w:val="000000"/>
                <w:kern w:val="2"/>
                <w:sz w:val="20"/>
                <w:u w:val="single"/>
                <w:lang w:val="en-US"/>
              </w:rPr>
              <w:t xml:space="preserve">                  </w:t>
            </w:r>
          </w:p>
          <w:p w:rsidR="00800760" w:rsidRDefault="00235733" w:rsidP="00235733">
            <w:pPr>
              <w:widowControl w:val="0"/>
              <w:ind w:firstLine="424"/>
              <w:rPr>
                <w:rFonts w:ascii="仿宋_GB2312" w:eastAsia="仿宋_GB2312" w:hAnsi="宋体" w:cs="Microsoft JhengHei"/>
                <w:bCs/>
                <w:color w:val="000000"/>
                <w:kern w:val="2"/>
                <w:sz w:val="20"/>
                <w:lang w:val="en-US"/>
              </w:rPr>
            </w:pP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年</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月</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日</w:t>
            </w:r>
            <w:r>
              <w:rPr>
                <w:rFonts w:ascii="仿宋_GB2312" w:eastAsia="仿宋_GB2312" w:hAnsi="宋体" w:cs="Microsoft JhengHei" w:hint="eastAsia"/>
                <w:bCs/>
                <w:color w:val="000000"/>
                <w:kern w:val="2"/>
                <w:sz w:val="20"/>
                <w:lang w:val="en-US"/>
              </w:rPr>
              <w:t xml:space="preserve">                                </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年</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月</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日</w:t>
            </w:r>
          </w:p>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5000" w:type="pct"/>
            <w:gridSpan w:val="10"/>
            <w:tcMar>
              <w:left w:w="57" w:type="dxa"/>
              <w:right w:w="57" w:type="dxa"/>
            </w:tcMar>
          </w:tcPr>
          <w:p w:rsidR="00800760" w:rsidRDefault="00235733" w:rsidP="00235733">
            <w:pPr>
              <w:widowControl w:val="0"/>
              <w:ind w:firstLine="400"/>
              <w:jc w:val="both"/>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备注：</w:t>
            </w:r>
          </w:p>
          <w:p w:rsidR="00800760" w:rsidRDefault="00800760" w:rsidP="00235733">
            <w:pPr>
              <w:widowControl w:val="0"/>
              <w:ind w:firstLine="400"/>
              <w:jc w:val="both"/>
              <w:rPr>
                <w:rFonts w:ascii="仿宋_GB2312" w:eastAsia="仿宋_GB2312" w:hAnsi="仿宋" w:cs="PMingLiU"/>
                <w:color w:val="000000"/>
                <w:kern w:val="2"/>
                <w:sz w:val="20"/>
                <w:lang w:val="en-US"/>
              </w:rPr>
            </w:pPr>
          </w:p>
          <w:p w:rsidR="00800760" w:rsidRDefault="00800760" w:rsidP="00235733">
            <w:pPr>
              <w:widowControl w:val="0"/>
              <w:ind w:firstLine="400"/>
              <w:jc w:val="both"/>
              <w:rPr>
                <w:rFonts w:ascii="仿宋_GB2312" w:eastAsia="仿宋_GB2312" w:hAnsi="仿宋" w:cs="PMingLiU"/>
                <w:color w:val="000000"/>
                <w:kern w:val="2"/>
                <w:sz w:val="20"/>
                <w:lang w:val="en-US"/>
              </w:rPr>
            </w:pPr>
          </w:p>
        </w:tc>
      </w:tr>
    </w:tbl>
    <w:p w:rsidR="00800760" w:rsidRDefault="00235733" w:rsidP="00235733">
      <w:pPr>
        <w:widowControl w:val="0"/>
        <w:ind w:firstLine="400"/>
        <w:jc w:val="both"/>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注：本抽样取证清单一式两份，一份交被取证人，一份由知识产权局保存。</w:t>
      </w:r>
    </w:p>
    <w:p w:rsidR="00800760" w:rsidRDefault="00235733">
      <w:pPr>
        <w:spacing w:line="240" w:lineRule="auto"/>
        <w:ind w:firstLineChars="0" w:firstLine="0"/>
        <w:jc w:val="center"/>
        <w:rPr>
          <w:rFonts w:ascii="方正小标宋简体" w:eastAsia="方正小标宋简体" w:hAnsi="宋体"/>
          <w:color w:val="000000"/>
          <w:spacing w:val="6"/>
          <w:sz w:val="36"/>
          <w:szCs w:val="36"/>
        </w:rPr>
      </w:pPr>
      <w:r>
        <w:rPr>
          <w:rFonts w:ascii="仿宋_GB2312" w:eastAsia="仿宋_GB2312" w:hAnsi="仿宋" w:hint="eastAsia"/>
          <w:color w:val="000000"/>
          <w:sz w:val="20"/>
        </w:rPr>
        <w:br w:type="page"/>
      </w:r>
      <w:r>
        <w:rPr>
          <w:rFonts w:ascii="方正小标宋简体" w:eastAsia="方正小标宋简体" w:hAnsi="宋体" w:hint="eastAsia"/>
          <w:color w:val="000000"/>
          <w:spacing w:val="6"/>
          <w:sz w:val="36"/>
          <w:szCs w:val="36"/>
        </w:rPr>
        <w:t>重大专利侵权纠纷行政裁决抽样取证清单</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7"/>
        <w:gridCol w:w="805"/>
        <w:gridCol w:w="432"/>
        <w:gridCol w:w="1845"/>
        <w:gridCol w:w="1610"/>
        <w:gridCol w:w="965"/>
        <w:gridCol w:w="835"/>
        <w:gridCol w:w="1239"/>
        <w:gridCol w:w="505"/>
        <w:gridCol w:w="1024"/>
      </w:tblGrid>
      <w:tr w:rsidR="00800760">
        <w:trPr>
          <w:trHeight w:val="20"/>
        </w:trPr>
        <w:tc>
          <w:tcPr>
            <w:tcW w:w="715" w:type="pct"/>
            <w:gridSpan w:val="2"/>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案由</w:t>
            </w:r>
          </w:p>
        </w:tc>
        <w:tc>
          <w:tcPr>
            <w:tcW w:w="4285" w:type="pct"/>
            <w:gridSpan w:val="8"/>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934" w:type="pct"/>
            <w:gridSpan w:val="3"/>
            <w:vMerge w:val="restar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被取证人</w:t>
            </w:r>
          </w:p>
        </w:tc>
        <w:tc>
          <w:tcPr>
            <w:tcW w:w="935"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姓名或名称</w:t>
            </w:r>
          </w:p>
        </w:tc>
        <w:tc>
          <w:tcPr>
            <w:tcW w:w="1728"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628"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rPr>
            </w:pPr>
            <w:r>
              <w:rPr>
                <w:rFonts w:ascii="仿宋_GB2312" w:eastAsia="仿宋_GB2312" w:hAnsi="仿宋" w:cs="PMingLiU" w:hint="eastAsia"/>
                <w:color w:val="000000"/>
                <w:sz w:val="20"/>
              </w:rPr>
              <w:t>法定代表人</w:t>
            </w:r>
          </w:p>
          <w:p w:rsidR="00800760" w:rsidRDefault="00235733">
            <w:pPr>
              <w:spacing w:line="360" w:lineRule="auto"/>
              <w:ind w:firstLineChars="0" w:firstLine="0"/>
              <w:jc w:val="center"/>
              <w:rPr>
                <w:rFonts w:ascii="仿宋_GB2312" w:eastAsia="仿宋_GB2312" w:hAnsi="仿宋" w:cs="PMingLiU"/>
                <w:color w:val="000000"/>
                <w:sz w:val="20"/>
              </w:rPr>
            </w:pPr>
            <w:r>
              <w:rPr>
                <w:rFonts w:ascii="仿宋_GB2312" w:eastAsia="仿宋_GB2312" w:hAnsi="仿宋" w:cs="PMingLiU" w:hint="eastAsia"/>
                <w:color w:val="000000"/>
                <w:sz w:val="20"/>
              </w:rPr>
              <w:t>（负责人）</w:t>
            </w:r>
          </w:p>
        </w:tc>
        <w:tc>
          <w:tcPr>
            <w:tcW w:w="775"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rPr>
            </w:pPr>
          </w:p>
        </w:tc>
      </w:tr>
      <w:tr w:rsidR="00800760">
        <w:trPr>
          <w:trHeight w:val="20"/>
        </w:trPr>
        <w:tc>
          <w:tcPr>
            <w:tcW w:w="934" w:type="pct"/>
            <w:gridSpan w:val="3"/>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rPr>
            </w:pPr>
          </w:p>
        </w:tc>
        <w:tc>
          <w:tcPr>
            <w:tcW w:w="935"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住所</w:t>
            </w:r>
          </w:p>
        </w:tc>
        <w:tc>
          <w:tcPr>
            <w:tcW w:w="1728"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628"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电话</w:t>
            </w:r>
          </w:p>
        </w:tc>
        <w:tc>
          <w:tcPr>
            <w:tcW w:w="775"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序号</w:t>
            </w:r>
          </w:p>
        </w:tc>
        <w:tc>
          <w:tcPr>
            <w:tcW w:w="1562" w:type="pct"/>
            <w:gridSpan w:val="3"/>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被抽样取证物品名称</w:t>
            </w:r>
          </w:p>
        </w:tc>
        <w:tc>
          <w:tcPr>
            <w:tcW w:w="816"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规格型号</w:t>
            </w:r>
          </w:p>
        </w:tc>
        <w:tc>
          <w:tcPr>
            <w:tcW w:w="48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数量</w:t>
            </w:r>
          </w:p>
        </w:tc>
        <w:tc>
          <w:tcPr>
            <w:tcW w:w="42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单价</w:t>
            </w:r>
          </w:p>
        </w:tc>
        <w:tc>
          <w:tcPr>
            <w:tcW w:w="884" w:type="pct"/>
            <w:gridSpan w:val="2"/>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保存地点</w:t>
            </w:r>
          </w:p>
        </w:tc>
        <w:tc>
          <w:tcPr>
            <w:tcW w:w="51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备注</w:t>
            </w: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5000" w:type="pct"/>
            <w:gridSpan w:val="10"/>
            <w:shd w:val="clear" w:color="auto" w:fill="auto"/>
            <w:tcMar>
              <w:left w:w="57" w:type="dxa"/>
              <w:right w:w="57" w:type="dxa"/>
            </w:tcMar>
            <w:vAlign w:val="center"/>
          </w:tcPr>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235733">
            <w:pPr>
              <w:spacing w:line="360" w:lineRule="auto"/>
              <w:ind w:firstLineChars="0" w:firstLine="422"/>
              <w:rPr>
                <w:rFonts w:ascii="仿宋_GB2312" w:eastAsia="仿宋_GB2312" w:hAnsi="宋体" w:cs="Microsoft JhengHei"/>
                <w:bCs/>
                <w:color w:val="000000"/>
                <w:sz w:val="20"/>
                <w:u w:val="single"/>
              </w:rPr>
            </w:pPr>
            <w:r>
              <w:rPr>
                <w:rFonts w:ascii="仿宋_GB2312" w:eastAsia="仿宋_GB2312" w:hAnsi="宋体" w:cs="Microsoft JhengHei" w:hint="eastAsia"/>
                <w:bCs/>
                <w:color w:val="000000"/>
                <w:sz w:val="20"/>
              </w:rPr>
              <w:t>被取证人（签章）：</w:t>
            </w:r>
            <w:r>
              <w:rPr>
                <w:rFonts w:ascii="仿宋_GB2312" w:eastAsia="仿宋_GB2312" w:hAnsi="宋体" w:cs="Microsoft JhengHei" w:hint="eastAsia"/>
                <w:bCs/>
                <w:color w:val="000000"/>
                <w:sz w:val="20"/>
                <w:u w:val="single"/>
              </w:rPr>
              <w:t xml:space="preserve">               </w:t>
            </w:r>
            <w:r>
              <w:rPr>
                <w:rFonts w:ascii="仿宋_GB2312" w:eastAsia="仿宋_GB2312" w:hAnsi="宋体" w:cs="Microsoft JhengHei" w:hint="eastAsia"/>
                <w:bCs/>
                <w:color w:val="000000"/>
                <w:sz w:val="20"/>
              </w:rPr>
              <w:t xml:space="preserve">                      案件承办人（签章）：</w:t>
            </w:r>
            <w:r>
              <w:rPr>
                <w:rFonts w:ascii="仿宋_GB2312" w:eastAsia="仿宋_GB2312" w:hAnsi="宋体" w:cs="Microsoft JhengHei" w:hint="eastAsia"/>
                <w:bCs/>
                <w:color w:val="000000"/>
                <w:sz w:val="20"/>
                <w:u w:val="single"/>
              </w:rPr>
              <w:t xml:space="preserve">                  </w:t>
            </w:r>
          </w:p>
          <w:p w:rsidR="00800760" w:rsidRDefault="00235733">
            <w:pPr>
              <w:spacing w:line="360" w:lineRule="auto"/>
              <w:ind w:firstLineChars="0" w:firstLine="446"/>
              <w:rPr>
                <w:rFonts w:ascii="仿宋_GB2312" w:eastAsia="仿宋_GB2312" w:hAnsi="宋体" w:cs="Microsoft JhengHei"/>
                <w:bCs/>
                <w:color w:val="000000"/>
                <w:sz w:val="20"/>
                <w:lang w:eastAsia="en-US"/>
              </w:rPr>
            </w:pPr>
            <w:r>
              <w:rPr>
                <w:rFonts w:ascii="仿宋_GB2312" w:eastAsia="仿宋_GB2312" w:hAnsi="宋体" w:cs="PMingLiU" w:hint="eastAsia"/>
                <w:bCs/>
                <w:color w:val="000000"/>
                <w:spacing w:val="6"/>
                <w:sz w:val="20"/>
                <w:u w:val="single"/>
              </w:rPr>
              <w:t xml:space="preserve">       </w:t>
            </w:r>
            <w:r>
              <w:rPr>
                <w:rFonts w:ascii="仿宋_GB2312" w:eastAsia="仿宋_GB2312" w:hAnsi="宋体" w:cs="PMingLiU" w:hint="eastAsia"/>
                <w:bCs/>
                <w:color w:val="000000"/>
                <w:spacing w:val="6"/>
                <w:sz w:val="20"/>
                <w:lang w:eastAsia="en-US"/>
              </w:rPr>
              <w:t>年</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月</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日</w:t>
            </w:r>
            <w:r>
              <w:rPr>
                <w:rFonts w:ascii="仿宋_GB2312" w:eastAsia="仿宋_GB2312" w:hAnsi="宋体" w:cs="Microsoft JhengHei" w:hint="eastAsia"/>
                <w:bCs/>
                <w:color w:val="000000"/>
                <w:sz w:val="20"/>
                <w:lang w:eastAsia="en-US"/>
              </w:rPr>
              <w:t xml:space="preserve">                                </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年</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月</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日</w:t>
            </w:r>
          </w:p>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5000" w:type="pct"/>
            <w:gridSpan w:val="10"/>
            <w:shd w:val="clear" w:color="auto" w:fill="auto"/>
            <w:tcMar>
              <w:left w:w="57" w:type="dxa"/>
              <w:right w:w="57" w:type="dxa"/>
            </w:tcMar>
          </w:tcPr>
          <w:p w:rsidR="00800760" w:rsidRDefault="00235733">
            <w:pPr>
              <w:spacing w:line="360" w:lineRule="auto"/>
              <w:ind w:firstLineChars="0" w:firstLine="0"/>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备注：</w:t>
            </w:r>
          </w:p>
          <w:p w:rsidR="00800760" w:rsidRDefault="00800760">
            <w:pPr>
              <w:spacing w:line="360" w:lineRule="auto"/>
              <w:ind w:firstLineChars="0" w:firstLine="0"/>
              <w:rPr>
                <w:rFonts w:ascii="仿宋_GB2312" w:eastAsia="仿宋_GB2312" w:hAnsi="仿宋" w:cs="PMingLiU"/>
                <w:color w:val="000000"/>
                <w:sz w:val="20"/>
                <w:lang w:eastAsia="en-US"/>
              </w:rPr>
            </w:pPr>
          </w:p>
        </w:tc>
      </w:tr>
    </w:tbl>
    <w:p w:rsidR="00800760" w:rsidRDefault="00235733">
      <w:pPr>
        <w:spacing w:line="360" w:lineRule="auto"/>
        <w:ind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t>注：本抽样取证清单一式两份，一份交被取证人，一份由国家知识产权局保存。</w:t>
      </w:r>
    </w:p>
    <w:p w:rsidR="00800760" w:rsidRDefault="00800760" w:rsidP="00C22A7B">
      <w:pPr>
        <w:widowControl w:val="0"/>
        <w:spacing w:beforeLines="50" w:afterLines="50"/>
        <w:ind w:firstLineChars="0" w:firstLine="0"/>
        <w:rPr>
          <w:rFonts w:ascii="方正小标宋_GBK" w:eastAsia="方正小标宋_GBK" w:hAnsi="宋体"/>
          <w:color w:val="000000"/>
          <w:spacing w:val="6"/>
          <w:sz w:val="36"/>
          <w:szCs w:val="36"/>
        </w:rPr>
      </w:pPr>
    </w:p>
    <w:p w:rsidR="000F470B" w:rsidRDefault="000F470B"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专利侵权纠纷案件证据登记保存决定</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p w:rsidR="00800760" w:rsidRDefault="00235733" w:rsidP="00C22A7B">
      <w:pPr>
        <w:spacing w:beforeLines="50" w:afterLines="50"/>
        <w:ind w:firstLineChars="0" w:firstLine="0"/>
        <w:rPr>
          <w:rFonts w:ascii="仿宋_GB2312" w:eastAsia="仿宋_GB2312" w:hAnsi="仿宋"/>
          <w:color w:val="000000"/>
          <w:sz w:val="20"/>
        </w:rPr>
      </w:pP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w:t>
      </w:r>
    </w:p>
    <w:p w:rsidR="00800760" w:rsidRDefault="00235733" w:rsidP="00C22A7B">
      <w:pPr>
        <w:spacing w:beforeLines="50" w:afterLines="50"/>
        <w:ind w:firstLine="400"/>
        <w:rPr>
          <w:rFonts w:ascii="仿宋_GB2312" w:eastAsia="仿宋_GB2312" w:hAnsi="仿宋"/>
          <w:color w:val="000000"/>
          <w:sz w:val="20"/>
        </w:rPr>
      </w:pPr>
      <w:r>
        <w:rPr>
          <w:rFonts w:ascii="仿宋_GB2312" w:eastAsia="仿宋_GB2312" w:hAnsi="仿宋" w:hint="eastAsia"/>
          <w:color w:val="000000"/>
          <w:sz w:val="20"/>
        </w:rPr>
        <w:t>为处理专利纠纷案件的需要，根据《专利纠纷行政裁决和调解办法》第四十九条的规定，本局决定对有关物品（详见《专利侵权纠纷案件证据登记保存清单》</w:t>
      </w:r>
      <w:r>
        <w:rPr>
          <w:rFonts w:ascii="仿宋_GB2312" w:eastAsia="仿宋_GB2312" w:hAnsi="仿宋" w:hint="eastAsia"/>
          <w:color w:val="000000"/>
          <w:sz w:val="20"/>
          <w:lang w:bidi="en-US"/>
        </w:rPr>
        <w:t>）</w:t>
      </w:r>
      <w:r>
        <w:rPr>
          <w:rFonts w:ascii="仿宋_GB2312" w:eastAsia="仿宋_GB2312" w:hAnsi="仿宋" w:hint="eastAsia"/>
          <w:color w:val="000000"/>
          <w:sz w:val="20"/>
        </w:rPr>
        <w:t>从</w:t>
      </w:r>
      <w:r>
        <w:rPr>
          <w:rFonts w:ascii="仿宋_GB2312" w:eastAsia="仿宋_GB2312" w:hAnsi="宋体" w:hint="eastAsia"/>
          <w:color w:val="000000"/>
          <w:sz w:val="20"/>
          <w:u w:val="single"/>
        </w:rPr>
        <w:t xml:space="preserve">       </w:t>
      </w:r>
      <w:r>
        <w:rPr>
          <w:rFonts w:ascii="仿宋_GB2312" w:eastAsia="仿宋_GB2312" w:hAnsi="宋体" w:hint="eastAsia"/>
          <w:color w:val="000000"/>
          <w:sz w:val="20"/>
        </w:rPr>
        <w:t>年</w:t>
      </w:r>
      <w:r>
        <w:rPr>
          <w:rFonts w:ascii="仿宋_GB2312" w:eastAsia="仿宋_GB2312" w:hAnsi="宋体" w:hint="eastAsia"/>
          <w:color w:val="000000"/>
          <w:sz w:val="20"/>
          <w:u w:val="single"/>
        </w:rPr>
        <w:t xml:space="preserve">    </w:t>
      </w:r>
      <w:r>
        <w:rPr>
          <w:rFonts w:ascii="仿宋_GB2312" w:eastAsia="仿宋_GB2312" w:hAnsi="宋体" w:hint="eastAsia"/>
          <w:color w:val="000000"/>
          <w:sz w:val="20"/>
        </w:rPr>
        <w:t>月</w:t>
      </w:r>
      <w:r>
        <w:rPr>
          <w:rFonts w:ascii="仿宋_GB2312" w:eastAsia="仿宋_GB2312" w:hAnsi="宋体" w:hint="eastAsia"/>
          <w:color w:val="000000"/>
          <w:sz w:val="20"/>
          <w:u w:val="single"/>
        </w:rPr>
        <w:t xml:space="preserve">    </w:t>
      </w:r>
      <w:r>
        <w:rPr>
          <w:rFonts w:ascii="仿宋_GB2312" w:eastAsia="仿宋_GB2312" w:hAnsi="宋体" w:hint="eastAsia"/>
          <w:color w:val="000000"/>
          <w:sz w:val="20"/>
        </w:rPr>
        <w:t>日</w:t>
      </w:r>
      <w:r>
        <w:rPr>
          <w:rFonts w:ascii="仿宋_GB2312" w:eastAsia="仿宋_GB2312" w:hAnsi="宋体" w:hint="eastAsia"/>
          <w:color w:val="000000"/>
          <w:sz w:val="20"/>
          <w:u w:val="single"/>
        </w:rPr>
        <w:t xml:space="preserve">    </w:t>
      </w:r>
      <w:r>
        <w:rPr>
          <w:rFonts w:ascii="仿宋_GB2312" w:eastAsia="仿宋_GB2312" w:hAnsi="仿宋" w:hint="eastAsia"/>
          <w:color w:val="000000"/>
          <w:sz w:val="20"/>
        </w:rPr>
        <w:t>时起予以登记保存。</w:t>
      </w:r>
    </w:p>
    <w:p w:rsidR="00800760" w:rsidRDefault="00235733" w:rsidP="00C22A7B">
      <w:pPr>
        <w:spacing w:beforeLines="50" w:afterLines="50"/>
        <w:ind w:firstLine="400"/>
        <w:rPr>
          <w:rFonts w:ascii="仿宋_GB2312" w:eastAsia="仿宋_GB2312" w:hAnsi="仿宋"/>
          <w:color w:val="000000"/>
          <w:sz w:val="20"/>
        </w:rPr>
      </w:pPr>
      <w:r>
        <w:rPr>
          <w:rFonts w:ascii="仿宋_GB2312" w:eastAsia="仿宋_GB2312" w:hAnsi="仿宋" w:hint="eastAsia"/>
          <w:color w:val="000000"/>
          <w:sz w:val="20"/>
        </w:rPr>
        <w:t xml:space="preserve">在登记保存期间，任何人不得销毁、转移被登记保存的物品。 </w:t>
      </w:r>
    </w:p>
    <w:p w:rsidR="00800760" w:rsidRDefault="00800760" w:rsidP="00C22A7B">
      <w:pPr>
        <w:spacing w:beforeLines="50" w:afterLines="50"/>
        <w:ind w:firstLine="400"/>
        <w:rPr>
          <w:rFonts w:ascii="仿宋_GB2312" w:eastAsia="仿宋_GB2312" w:hAnsi="仿宋"/>
          <w:color w:val="000000"/>
          <w:sz w:val="20"/>
        </w:rPr>
      </w:pPr>
    </w:p>
    <w:p w:rsidR="00800760" w:rsidRDefault="00235733" w:rsidP="00C22A7B">
      <w:pPr>
        <w:spacing w:beforeLines="50" w:afterLines="50"/>
        <w:ind w:firstLine="400"/>
        <w:rPr>
          <w:rFonts w:ascii="仿宋_GB2312" w:eastAsia="仿宋_GB2312" w:hAnsi="仿宋"/>
          <w:color w:val="000000"/>
          <w:sz w:val="20"/>
        </w:rPr>
      </w:pPr>
      <w:r>
        <w:rPr>
          <w:rFonts w:ascii="仿宋_GB2312" w:eastAsia="仿宋_GB2312" w:hAnsi="仿宋" w:hint="eastAsia"/>
          <w:color w:val="000000"/>
          <w:sz w:val="20"/>
        </w:rPr>
        <w:t>附件：《专利侵权纠纷案件证据登记保存清单》</w:t>
      </w:r>
    </w:p>
    <w:p w:rsidR="00800760" w:rsidRDefault="00800760" w:rsidP="00C22A7B">
      <w:pPr>
        <w:widowControl w:val="0"/>
        <w:spacing w:beforeLines="50" w:afterLines="50"/>
        <w:ind w:firstLine="400"/>
        <w:rPr>
          <w:rFonts w:ascii="仿宋_GB2312" w:eastAsia="仿宋_GB2312" w:hAnsi="仿宋" w:cs="PMingLiU"/>
          <w:color w:val="000000"/>
          <w:kern w:val="2"/>
          <w:sz w:val="20"/>
          <w:lang w:val="en-US"/>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rsidP="00C22A7B">
      <w:pPr>
        <w:widowControl w:val="0"/>
        <w:spacing w:beforeLines="50" w:afterLines="5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800760">
      <w:pPr>
        <w:widowControl w:val="0"/>
        <w:ind w:firstLine="400"/>
        <w:jc w:val="distribute"/>
        <w:rPr>
          <w:rFonts w:ascii="仿宋_GB2312" w:eastAsia="仿宋_GB2312" w:hAnsi="仿宋" w:cs="PMingLiU"/>
          <w:color w:val="000000"/>
          <w:kern w:val="2"/>
          <w:sz w:val="20"/>
          <w:lang w:val="en-US"/>
        </w:rPr>
      </w:pPr>
    </w:p>
    <w:p w:rsidR="00800760" w:rsidRDefault="00235733" w:rsidP="00235733">
      <w:pPr>
        <w:widowControl w:val="0"/>
        <w:ind w:firstLine="400"/>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说明：本决定书一式两份，一份送达被登记保存人，一份由知识产权局存档。</w:t>
      </w:r>
    </w:p>
    <w:p w:rsidR="00800760" w:rsidRDefault="00235733">
      <w:pPr>
        <w:spacing w:line="240" w:lineRule="auto"/>
        <w:ind w:firstLineChars="0" w:firstLine="0"/>
        <w:jc w:val="center"/>
        <w:rPr>
          <w:rFonts w:ascii="仿宋_GB2312" w:eastAsia="仿宋_GB2312" w:hAnsi="仿宋"/>
          <w:color w:val="000000"/>
          <w:szCs w:val="21"/>
        </w:rPr>
      </w:pPr>
      <w:r>
        <w:rPr>
          <w:rFonts w:ascii="仿宋_GB2312" w:eastAsia="仿宋_GB2312" w:hAnsi="仿宋"/>
          <w:color w:val="000000"/>
          <w:szCs w:val="21"/>
        </w:rPr>
        <w:br w:type="page"/>
      </w:r>
    </w:p>
    <w:p w:rsidR="00800760" w:rsidRDefault="00235733">
      <w:pPr>
        <w:spacing w:line="240" w:lineRule="auto"/>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重大专利侵权纠纷行政裁决证据登记保存决定</w:t>
      </w:r>
    </w:p>
    <w:p w:rsidR="00800760" w:rsidRDefault="00235733">
      <w:pPr>
        <w:spacing w:line="360" w:lineRule="auto"/>
        <w:ind w:firstLineChars="0" w:firstLine="0"/>
        <w:jc w:val="right"/>
        <w:rPr>
          <w:rFonts w:ascii="仿宋_GB2312" w:eastAsia="仿宋_GB2312" w:hAnsi="仿宋"/>
          <w:color w:val="000000"/>
          <w:sz w:val="20"/>
          <w:szCs w:val="21"/>
        </w:rPr>
      </w:pPr>
      <w:r>
        <w:rPr>
          <w:rFonts w:ascii="仿宋_GB2312" w:eastAsia="仿宋_GB2312" w:hAnsi="仿宋" w:hint="eastAsia"/>
          <w:color w:val="000000"/>
          <w:sz w:val="20"/>
          <w:szCs w:val="21"/>
        </w:rPr>
        <w:t>案号：____________________</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w:t>
      </w:r>
    </w:p>
    <w:p w:rsidR="00800760" w:rsidRDefault="00235733">
      <w:pPr>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为处理专利纠纷案件的需要，根据</w:t>
      </w:r>
      <w:r>
        <w:rPr>
          <w:rFonts w:ascii="仿宋_GB2312" w:eastAsia="仿宋_GB2312" w:hAnsi="仿宋" w:hint="eastAsia"/>
          <w:color w:val="000000"/>
          <w:sz w:val="20"/>
        </w:rPr>
        <w:t>《专利纠纷行政裁决和调解办法》第四十九条</w:t>
      </w:r>
      <w:r>
        <w:rPr>
          <w:rFonts w:ascii="仿宋_GB2312" w:eastAsia="仿宋_GB2312" w:hAnsi="仿宋" w:hint="eastAsia"/>
          <w:color w:val="000000"/>
          <w:sz w:val="20"/>
          <w:szCs w:val="21"/>
        </w:rPr>
        <w:t>的规定，本局决定对有关物品（详见《重大专利侵权纠纷行政裁决证据登记保存清单》</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从</w:t>
      </w:r>
      <w:r>
        <w:rPr>
          <w:rFonts w:ascii="仿宋_GB2312" w:eastAsia="仿宋_GB2312" w:hAnsi="宋体" w:hint="eastAsia"/>
          <w:color w:val="000000"/>
          <w:sz w:val="20"/>
          <w:szCs w:val="21"/>
          <w:u w:val="single"/>
        </w:rPr>
        <w:t xml:space="preserve">       </w:t>
      </w:r>
      <w:r>
        <w:rPr>
          <w:rFonts w:ascii="仿宋_GB2312" w:eastAsia="仿宋_GB2312" w:hAnsi="宋体" w:hint="eastAsia"/>
          <w:color w:val="000000"/>
          <w:sz w:val="20"/>
          <w:szCs w:val="21"/>
        </w:rPr>
        <w:t>年</w:t>
      </w:r>
      <w:r>
        <w:rPr>
          <w:rFonts w:ascii="仿宋_GB2312" w:eastAsia="仿宋_GB2312" w:hAnsi="宋体" w:hint="eastAsia"/>
          <w:color w:val="000000"/>
          <w:sz w:val="20"/>
          <w:szCs w:val="21"/>
          <w:u w:val="single"/>
        </w:rPr>
        <w:t xml:space="preserve">    </w:t>
      </w:r>
      <w:r>
        <w:rPr>
          <w:rFonts w:ascii="仿宋_GB2312" w:eastAsia="仿宋_GB2312" w:hAnsi="宋体" w:hint="eastAsia"/>
          <w:color w:val="000000"/>
          <w:sz w:val="20"/>
          <w:szCs w:val="21"/>
        </w:rPr>
        <w:t>月</w:t>
      </w:r>
      <w:r>
        <w:rPr>
          <w:rFonts w:ascii="仿宋_GB2312" w:eastAsia="仿宋_GB2312" w:hAnsi="宋体" w:hint="eastAsia"/>
          <w:color w:val="000000"/>
          <w:sz w:val="20"/>
          <w:szCs w:val="21"/>
          <w:u w:val="single"/>
        </w:rPr>
        <w:t xml:space="preserve">    </w:t>
      </w:r>
      <w:r>
        <w:rPr>
          <w:rFonts w:ascii="仿宋_GB2312" w:eastAsia="仿宋_GB2312" w:hAnsi="宋体" w:hint="eastAsia"/>
          <w:color w:val="000000"/>
          <w:sz w:val="20"/>
          <w:szCs w:val="21"/>
        </w:rPr>
        <w:t>日</w:t>
      </w:r>
      <w:r>
        <w:rPr>
          <w:rFonts w:ascii="仿宋_GB2312" w:eastAsia="仿宋_GB2312" w:hAnsi="宋体" w:hint="eastAsia"/>
          <w:color w:val="000000"/>
          <w:sz w:val="20"/>
          <w:szCs w:val="21"/>
          <w:u w:val="single"/>
        </w:rPr>
        <w:t xml:space="preserve">    </w:t>
      </w:r>
      <w:r>
        <w:rPr>
          <w:rFonts w:ascii="仿宋_GB2312" w:eastAsia="仿宋_GB2312" w:hAnsi="仿宋" w:hint="eastAsia"/>
          <w:color w:val="000000"/>
          <w:sz w:val="20"/>
          <w:szCs w:val="21"/>
        </w:rPr>
        <w:t>时起予以登记保存。</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 xml:space="preserve">在登记保存期间，任何人不得销毁、转移被登记保存的物品。 </w:t>
      </w:r>
    </w:p>
    <w:p w:rsidR="00800760" w:rsidRDefault="00800760">
      <w:pPr>
        <w:spacing w:line="360" w:lineRule="auto"/>
        <w:ind w:firstLineChars="0" w:firstLine="0"/>
        <w:rPr>
          <w:rFonts w:ascii="仿宋_GB2312" w:eastAsia="仿宋_GB2312" w:hAnsi="仿宋"/>
          <w:color w:val="000000"/>
          <w:sz w:val="20"/>
          <w:szCs w:val="21"/>
        </w:rPr>
      </w:pP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附件：《重大专利侵权纠纷行政裁决证据登记保存清单》</w:t>
      </w:r>
    </w:p>
    <w:p w:rsidR="00800760" w:rsidRDefault="00800760">
      <w:pPr>
        <w:spacing w:line="360" w:lineRule="auto"/>
        <w:ind w:firstLineChars="0" w:firstLine="0"/>
        <w:rPr>
          <w:rFonts w:ascii="仿宋_GB2312" w:eastAsia="仿宋_GB2312" w:hAnsi="仿宋" w:cs="PMingLiU"/>
          <w:color w:val="000000"/>
          <w:sz w:val="20"/>
          <w:szCs w:val="21"/>
        </w:rPr>
      </w:pP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国家知识产权局（盖章）　　</w:t>
      </w: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jc w:val="distribute"/>
        <w:rPr>
          <w:rFonts w:ascii="仿宋_GB2312" w:eastAsia="仿宋_GB2312" w:hAnsi="仿宋" w:cs="PMingLiU"/>
          <w:color w:val="000000"/>
          <w:sz w:val="20"/>
          <w:szCs w:val="21"/>
        </w:rPr>
      </w:pPr>
    </w:p>
    <w:p w:rsidR="00800760" w:rsidRDefault="00800760">
      <w:pPr>
        <w:spacing w:line="360" w:lineRule="auto"/>
        <w:ind w:firstLineChars="0" w:firstLine="0"/>
        <w:rPr>
          <w:rFonts w:ascii="仿宋_GB2312" w:eastAsia="仿宋_GB2312" w:hAnsi="仿宋" w:cs="PMingLiU"/>
          <w:color w:val="000000"/>
          <w:sz w:val="20"/>
          <w:szCs w:val="21"/>
        </w:rPr>
      </w:pPr>
    </w:p>
    <w:p w:rsidR="00800760" w:rsidRDefault="00235733">
      <w:pPr>
        <w:spacing w:line="360" w:lineRule="auto"/>
        <w:ind w:firstLineChars="0" w:firstLine="0"/>
        <w:rPr>
          <w:rFonts w:ascii="仿宋_GB2312" w:eastAsia="仿宋_GB2312" w:hAnsi="仿宋" w:cs="PMingLiU"/>
          <w:color w:val="000000"/>
          <w:sz w:val="20"/>
          <w:szCs w:val="21"/>
        </w:rPr>
      </w:pPr>
      <w:r>
        <w:rPr>
          <w:rFonts w:ascii="仿宋_GB2312" w:eastAsia="仿宋_GB2312" w:hAnsi="仿宋" w:cs="PMingLiU" w:hint="eastAsia"/>
          <w:color w:val="000000"/>
          <w:sz w:val="20"/>
          <w:szCs w:val="21"/>
        </w:rPr>
        <w:t>说明：本决定书一式两份，一份送达被登记保存人，一份由国家知识产权局存档。</w:t>
      </w:r>
    </w:p>
    <w:p w:rsidR="00800760" w:rsidRDefault="00235733">
      <w:pPr>
        <w:widowControl w:val="0"/>
        <w:jc w:val="center"/>
        <w:rPr>
          <w:rFonts w:ascii="宋体" w:eastAsiaTheme="minorEastAsia" w:hAnsi="宋体" w:cs="PMingLiU"/>
          <w:b/>
          <w:color w:val="000000"/>
          <w:kern w:val="2"/>
          <w:szCs w:val="21"/>
          <w:lang w:val="en-US"/>
        </w:rPr>
      </w:pPr>
      <w:r>
        <w:rPr>
          <w:rFonts w:ascii="宋体" w:eastAsia="PMingLiU" w:hAnsi="宋体" w:cs="PMingLiU"/>
          <w:b/>
          <w:color w:val="000000"/>
          <w:kern w:val="2"/>
          <w:szCs w:val="21"/>
          <w:lang w:val="en-US"/>
        </w:rPr>
        <w:br w:type="page"/>
      </w:r>
    </w:p>
    <w:p w:rsidR="00800760" w:rsidRDefault="00235733" w:rsidP="00235733">
      <w:pPr>
        <w:widowControl w:val="0"/>
        <w:ind w:firstLine="744"/>
        <w:jc w:val="center"/>
        <w:rPr>
          <w:rFonts w:ascii="仿宋_GB2312" w:eastAsia="仿宋_GB2312" w:hAnsi="仿宋" w:cs="PMingLiU"/>
          <w:color w:val="000000"/>
          <w:kern w:val="2"/>
          <w:szCs w:val="21"/>
          <w:lang w:val="en-US"/>
        </w:rPr>
      </w:pPr>
      <w:r>
        <w:rPr>
          <w:rFonts w:ascii="方正小标宋_GBK" w:eastAsia="方正小标宋_GBK" w:hAnsi="宋体" w:cs="PMingLiU"/>
          <w:color w:val="000000"/>
          <w:spacing w:val="6"/>
          <w:kern w:val="2"/>
          <w:sz w:val="36"/>
          <w:szCs w:val="36"/>
          <w:lang w:val="en-US"/>
        </w:rPr>
        <w:t>专利侵权纠纷案件证据登记保存清单</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7"/>
        <w:gridCol w:w="805"/>
        <w:gridCol w:w="432"/>
        <w:gridCol w:w="1845"/>
        <w:gridCol w:w="1610"/>
        <w:gridCol w:w="965"/>
        <w:gridCol w:w="835"/>
        <w:gridCol w:w="1239"/>
        <w:gridCol w:w="505"/>
        <w:gridCol w:w="1024"/>
      </w:tblGrid>
      <w:tr w:rsidR="00800760">
        <w:trPr>
          <w:trHeight w:val="20"/>
        </w:trPr>
        <w:tc>
          <w:tcPr>
            <w:tcW w:w="715" w:type="pct"/>
            <w:gridSpan w:val="2"/>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案由</w:t>
            </w:r>
          </w:p>
        </w:tc>
        <w:tc>
          <w:tcPr>
            <w:tcW w:w="4285" w:type="pct"/>
            <w:gridSpan w:val="8"/>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934" w:type="pct"/>
            <w:gridSpan w:val="3"/>
            <w:vMerge w:val="restar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被登记保存人</w:t>
            </w:r>
          </w:p>
        </w:tc>
        <w:tc>
          <w:tcPr>
            <w:tcW w:w="935"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姓名或名称</w:t>
            </w:r>
          </w:p>
        </w:tc>
        <w:tc>
          <w:tcPr>
            <w:tcW w:w="1728"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628"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法定代表人</w:t>
            </w:r>
          </w:p>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（负责人）</w:t>
            </w:r>
          </w:p>
        </w:tc>
        <w:tc>
          <w:tcPr>
            <w:tcW w:w="775"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934" w:type="pct"/>
            <w:gridSpan w:val="3"/>
            <w:vMerge/>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935"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住所</w:t>
            </w:r>
          </w:p>
        </w:tc>
        <w:tc>
          <w:tcPr>
            <w:tcW w:w="1728"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628"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电话</w:t>
            </w:r>
          </w:p>
        </w:tc>
        <w:tc>
          <w:tcPr>
            <w:tcW w:w="775"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序号</w:t>
            </w:r>
          </w:p>
        </w:tc>
        <w:tc>
          <w:tcPr>
            <w:tcW w:w="1562" w:type="pct"/>
            <w:gridSpan w:val="3"/>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被登记保存物品名称</w:t>
            </w:r>
          </w:p>
        </w:tc>
        <w:tc>
          <w:tcPr>
            <w:tcW w:w="816"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规格型号</w:t>
            </w:r>
          </w:p>
        </w:tc>
        <w:tc>
          <w:tcPr>
            <w:tcW w:w="489"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数量</w:t>
            </w:r>
          </w:p>
        </w:tc>
        <w:tc>
          <w:tcPr>
            <w:tcW w:w="423"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单价</w:t>
            </w:r>
          </w:p>
        </w:tc>
        <w:tc>
          <w:tcPr>
            <w:tcW w:w="884" w:type="pct"/>
            <w:gridSpan w:val="2"/>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保存地点</w:t>
            </w:r>
          </w:p>
        </w:tc>
        <w:tc>
          <w:tcPr>
            <w:tcW w:w="519"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备注</w:t>
            </w: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5000" w:type="pct"/>
            <w:gridSpan w:val="10"/>
            <w:tcMar>
              <w:left w:w="57" w:type="dxa"/>
              <w:right w:w="57" w:type="dxa"/>
            </w:tcMar>
            <w:vAlign w:val="center"/>
          </w:tcPr>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235733" w:rsidP="00235733">
            <w:pPr>
              <w:widowControl w:val="0"/>
              <w:ind w:firstLine="400"/>
              <w:rPr>
                <w:rFonts w:ascii="仿宋_GB2312" w:eastAsia="仿宋_GB2312" w:hAnsi="宋体" w:cs="Microsoft JhengHei"/>
                <w:bCs/>
                <w:color w:val="000000"/>
                <w:kern w:val="2"/>
                <w:sz w:val="20"/>
                <w:lang w:val="en-US"/>
              </w:rPr>
            </w:pPr>
            <w:r>
              <w:rPr>
                <w:rFonts w:ascii="仿宋_GB2312" w:eastAsia="仿宋_GB2312" w:hAnsi="宋体" w:cs="Microsoft JhengHei" w:hint="eastAsia"/>
                <w:bCs/>
                <w:color w:val="000000"/>
                <w:kern w:val="2"/>
                <w:sz w:val="20"/>
                <w:lang w:val="en-US"/>
              </w:rPr>
              <w:t>被登记保存人（签章）：</w:t>
            </w:r>
            <w:r>
              <w:rPr>
                <w:rFonts w:ascii="仿宋_GB2312" w:eastAsia="仿宋_GB2312" w:hAnsi="宋体" w:cs="Microsoft JhengHei" w:hint="eastAsia"/>
                <w:bCs/>
                <w:color w:val="000000"/>
                <w:kern w:val="2"/>
                <w:sz w:val="20"/>
                <w:u w:val="single"/>
                <w:lang w:val="en-US"/>
              </w:rPr>
              <w:t xml:space="preserve">            </w:t>
            </w:r>
            <w:r>
              <w:rPr>
                <w:rFonts w:ascii="仿宋_GB2312" w:eastAsia="仿宋_GB2312" w:hAnsi="宋体" w:cs="Microsoft JhengHei" w:hint="eastAsia"/>
                <w:bCs/>
                <w:color w:val="000000"/>
                <w:kern w:val="2"/>
                <w:sz w:val="20"/>
                <w:lang w:val="en-US"/>
              </w:rPr>
              <w:t xml:space="preserve">                       案件承办人（签章）：</w:t>
            </w:r>
            <w:r>
              <w:rPr>
                <w:rFonts w:ascii="仿宋_GB2312" w:eastAsia="仿宋_GB2312" w:hAnsi="宋体" w:cs="Microsoft JhengHei" w:hint="eastAsia"/>
                <w:bCs/>
                <w:color w:val="000000"/>
                <w:kern w:val="2"/>
                <w:sz w:val="20"/>
                <w:u w:val="single"/>
                <w:lang w:val="en-US"/>
              </w:rPr>
              <w:t xml:space="preserve">            </w:t>
            </w:r>
            <w:r>
              <w:rPr>
                <w:rFonts w:ascii="仿宋_GB2312" w:eastAsia="仿宋_GB2312" w:hAnsi="宋体" w:cs="Microsoft JhengHei" w:hint="eastAsia"/>
                <w:bCs/>
                <w:color w:val="000000"/>
                <w:kern w:val="2"/>
                <w:sz w:val="20"/>
                <w:lang w:val="en-US"/>
              </w:rPr>
              <w:t xml:space="preserve"> </w:t>
            </w:r>
          </w:p>
          <w:p w:rsidR="00800760" w:rsidRDefault="00235733" w:rsidP="00235733">
            <w:pPr>
              <w:widowControl w:val="0"/>
              <w:ind w:firstLine="424"/>
              <w:rPr>
                <w:rFonts w:ascii="仿宋_GB2312" w:eastAsia="仿宋_GB2312" w:hAnsi="宋体" w:cs="Microsoft JhengHei"/>
                <w:bCs/>
                <w:color w:val="000000"/>
                <w:kern w:val="2"/>
                <w:sz w:val="20"/>
                <w:lang w:val="en-US"/>
              </w:rPr>
            </w:pP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年</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月</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日</w:t>
            </w:r>
            <w:r>
              <w:rPr>
                <w:rFonts w:ascii="仿宋_GB2312" w:eastAsia="仿宋_GB2312" w:hAnsi="宋体" w:cs="Microsoft JhengHei" w:hint="eastAsia"/>
                <w:bCs/>
                <w:color w:val="000000"/>
                <w:kern w:val="2"/>
                <w:sz w:val="20"/>
                <w:lang w:val="en-US"/>
              </w:rPr>
              <w:t xml:space="preserve">                                  </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年</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月</w:t>
            </w:r>
            <w:r>
              <w:rPr>
                <w:rFonts w:ascii="仿宋_GB2312" w:eastAsia="仿宋_GB2312" w:hAnsi="宋体" w:cs="PMingLiU" w:hint="eastAsia"/>
                <w:bCs/>
                <w:color w:val="000000"/>
                <w:spacing w:val="6"/>
                <w:kern w:val="2"/>
                <w:sz w:val="20"/>
                <w:u w:val="single"/>
                <w:lang w:val="en-US"/>
              </w:rPr>
              <w:t xml:space="preserve">    </w:t>
            </w:r>
            <w:r>
              <w:rPr>
                <w:rFonts w:ascii="仿宋_GB2312" w:eastAsia="仿宋_GB2312" w:hAnsi="宋体" w:cs="PMingLiU" w:hint="eastAsia"/>
                <w:bCs/>
                <w:color w:val="000000"/>
                <w:spacing w:val="6"/>
                <w:kern w:val="2"/>
                <w:sz w:val="20"/>
                <w:lang w:val="en-US"/>
              </w:rPr>
              <w:t>日</w:t>
            </w:r>
          </w:p>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5000" w:type="pct"/>
            <w:gridSpan w:val="10"/>
            <w:tcMar>
              <w:left w:w="57" w:type="dxa"/>
              <w:right w:w="57" w:type="dxa"/>
            </w:tcMar>
          </w:tcPr>
          <w:p w:rsidR="00800760" w:rsidRDefault="00235733" w:rsidP="00235733">
            <w:pPr>
              <w:widowControl w:val="0"/>
              <w:ind w:firstLine="400"/>
              <w:jc w:val="both"/>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备注：</w:t>
            </w:r>
          </w:p>
          <w:p w:rsidR="00800760" w:rsidRDefault="00800760" w:rsidP="00235733">
            <w:pPr>
              <w:widowControl w:val="0"/>
              <w:ind w:firstLine="400"/>
              <w:jc w:val="both"/>
              <w:rPr>
                <w:rFonts w:ascii="仿宋_GB2312" w:eastAsia="仿宋_GB2312" w:hAnsi="仿宋" w:cs="PMingLiU"/>
                <w:color w:val="000000"/>
                <w:kern w:val="2"/>
                <w:sz w:val="20"/>
                <w:lang w:val="en-US"/>
              </w:rPr>
            </w:pPr>
          </w:p>
          <w:p w:rsidR="00800760" w:rsidRDefault="00800760" w:rsidP="00235733">
            <w:pPr>
              <w:widowControl w:val="0"/>
              <w:ind w:firstLine="400"/>
              <w:jc w:val="both"/>
              <w:rPr>
                <w:rFonts w:ascii="仿宋_GB2312" w:eastAsia="仿宋_GB2312" w:hAnsi="仿宋" w:cs="PMingLiU"/>
                <w:color w:val="000000"/>
                <w:kern w:val="2"/>
                <w:sz w:val="20"/>
                <w:lang w:val="en-US"/>
              </w:rPr>
            </w:pPr>
          </w:p>
          <w:p w:rsidR="00800760" w:rsidRDefault="00800760" w:rsidP="00235733">
            <w:pPr>
              <w:widowControl w:val="0"/>
              <w:ind w:firstLine="400"/>
              <w:jc w:val="both"/>
              <w:rPr>
                <w:rFonts w:ascii="仿宋_GB2312" w:eastAsia="仿宋_GB2312" w:hAnsi="仿宋" w:cs="PMingLiU"/>
                <w:color w:val="000000"/>
                <w:kern w:val="2"/>
                <w:sz w:val="20"/>
                <w:lang w:val="en-US"/>
              </w:rPr>
            </w:pPr>
          </w:p>
        </w:tc>
      </w:tr>
    </w:tbl>
    <w:p w:rsidR="00800760" w:rsidRDefault="00235733" w:rsidP="00235733">
      <w:pPr>
        <w:widowControl w:val="0"/>
        <w:ind w:firstLine="400"/>
        <w:rPr>
          <w:rFonts w:ascii="仿宋" w:eastAsia="仿宋_GB2312" w:hAnsi="仿宋" w:cs="PMingLiU"/>
          <w:color w:val="000000"/>
          <w:kern w:val="2"/>
          <w:sz w:val="20"/>
          <w:lang w:val="en-US"/>
        </w:rPr>
      </w:pPr>
      <w:r>
        <w:rPr>
          <w:rFonts w:ascii="仿宋_GB2312" w:eastAsia="仿宋_GB2312" w:hAnsi="仿宋" w:cs="PMingLiU" w:hint="eastAsia"/>
          <w:color w:val="000000"/>
          <w:kern w:val="2"/>
          <w:sz w:val="20"/>
          <w:lang w:val="en-US"/>
        </w:rPr>
        <w:t>注：本证据登记保存清单一式两份，一份交被登记保存人，一份由知识产权局保存</w:t>
      </w:r>
      <w:r>
        <w:rPr>
          <w:rFonts w:ascii="仿宋" w:eastAsia="仿宋_GB2312" w:hAnsi="仿宋" w:cs="PMingLiU"/>
          <w:color w:val="000000"/>
          <w:kern w:val="2"/>
          <w:szCs w:val="21"/>
          <w:lang w:val="en-US"/>
        </w:rPr>
        <w:t>。</w:t>
      </w:r>
    </w:p>
    <w:p w:rsidR="00800760" w:rsidRDefault="00235733" w:rsidP="00E0701A">
      <w:pPr>
        <w:spacing w:line="240" w:lineRule="auto"/>
        <w:ind w:firstLineChars="0" w:firstLine="0"/>
        <w:jc w:val="center"/>
        <w:rPr>
          <w:rFonts w:ascii="方正小标宋简体" w:eastAsia="方正小标宋简体" w:hAnsi="宋体"/>
          <w:color w:val="000000"/>
          <w:spacing w:val="6"/>
          <w:sz w:val="36"/>
          <w:szCs w:val="36"/>
        </w:rPr>
      </w:pPr>
      <w:r>
        <w:rPr>
          <w:rFonts w:ascii="仿宋" w:eastAsia="仿宋_GB2312" w:hAnsi="仿宋"/>
          <w:color w:val="000000"/>
          <w:szCs w:val="21"/>
        </w:rPr>
        <w:br w:type="page"/>
      </w:r>
      <w:r>
        <w:rPr>
          <w:rFonts w:ascii="方正小标宋简体" w:eastAsia="方正小标宋简体" w:hAnsi="宋体" w:hint="eastAsia"/>
          <w:color w:val="000000"/>
          <w:spacing w:val="6"/>
          <w:sz w:val="36"/>
          <w:szCs w:val="36"/>
        </w:rPr>
        <w:t>重大专利侵权纠纷行政裁决证据登记保存清单</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7"/>
        <w:gridCol w:w="805"/>
        <w:gridCol w:w="432"/>
        <w:gridCol w:w="1845"/>
        <w:gridCol w:w="1610"/>
        <w:gridCol w:w="965"/>
        <w:gridCol w:w="835"/>
        <w:gridCol w:w="1239"/>
        <w:gridCol w:w="505"/>
        <w:gridCol w:w="1024"/>
      </w:tblGrid>
      <w:tr w:rsidR="00800760">
        <w:trPr>
          <w:trHeight w:val="20"/>
        </w:trPr>
        <w:tc>
          <w:tcPr>
            <w:tcW w:w="715" w:type="pct"/>
            <w:gridSpan w:val="2"/>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案由</w:t>
            </w:r>
          </w:p>
        </w:tc>
        <w:tc>
          <w:tcPr>
            <w:tcW w:w="4285" w:type="pct"/>
            <w:gridSpan w:val="8"/>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934" w:type="pct"/>
            <w:gridSpan w:val="3"/>
            <w:vMerge w:val="restar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被登记保存人</w:t>
            </w:r>
          </w:p>
        </w:tc>
        <w:tc>
          <w:tcPr>
            <w:tcW w:w="935"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姓名或名称</w:t>
            </w:r>
          </w:p>
        </w:tc>
        <w:tc>
          <w:tcPr>
            <w:tcW w:w="1728"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628"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rPr>
            </w:pPr>
            <w:r>
              <w:rPr>
                <w:rFonts w:ascii="仿宋_GB2312" w:eastAsia="仿宋_GB2312" w:hAnsi="仿宋" w:cs="PMingLiU" w:hint="eastAsia"/>
                <w:color w:val="000000"/>
                <w:sz w:val="20"/>
              </w:rPr>
              <w:t>法定代表人</w:t>
            </w:r>
          </w:p>
          <w:p w:rsidR="00800760" w:rsidRDefault="00235733">
            <w:pPr>
              <w:spacing w:line="360" w:lineRule="auto"/>
              <w:ind w:firstLineChars="0" w:firstLine="0"/>
              <w:jc w:val="center"/>
              <w:rPr>
                <w:rFonts w:ascii="仿宋_GB2312" w:eastAsia="仿宋_GB2312" w:hAnsi="仿宋" w:cs="PMingLiU"/>
                <w:color w:val="000000"/>
                <w:sz w:val="20"/>
              </w:rPr>
            </w:pPr>
            <w:r>
              <w:rPr>
                <w:rFonts w:ascii="仿宋_GB2312" w:eastAsia="仿宋_GB2312" w:hAnsi="仿宋" w:cs="PMingLiU" w:hint="eastAsia"/>
                <w:color w:val="000000"/>
                <w:sz w:val="20"/>
              </w:rPr>
              <w:t>（负责人）</w:t>
            </w:r>
          </w:p>
        </w:tc>
        <w:tc>
          <w:tcPr>
            <w:tcW w:w="775"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rPr>
            </w:pPr>
          </w:p>
        </w:tc>
      </w:tr>
      <w:tr w:rsidR="00800760">
        <w:trPr>
          <w:trHeight w:val="20"/>
        </w:trPr>
        <w:tc>
          <w:tcPr>
            <w:tcW w:w="934" w:type="pct"/>
            <w:gridSpan w:val="3"/>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rPr>
            </w:pPr>
          </w:p>
        </w:tc>
        <w:tc>
          <w:tcPr>
            <w:tcW w:w="935"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住所</w:t>
            </w:r>
          </w:p>
        </w:tc>
        <w:tc>
          <w:tcPr>
            <w:tcW w:w="1728"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628"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电话</w:t>
            </w:r>
          </w:p>
        </w:tc>
        <w:tc>
          <w:tcPr>
            <w:tcW w:w="775"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序号</w:t>
            </w:r>
          </w:p>
        </w:tc>
        <w:tc>
          <w:tcPr>
            <w:tcW w:w="1562" w:type="pct"/>
            <w:gridSpan w:val="3"/>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被登记保存物品名称</w:t>
            </w:r>
          </w:p>
        </w:tc>
        <w:tc>
          <w:tcPr>
            <w:tcW w:w="816"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规格型号</w:t>
            </w:r>
          </w:p>
        </w:tc>
        <w:tc>
          <w:tcPr>
            <w:tcW w:w="48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数量</w:t>
            </w:r>
          </w:p>
        </w:tc>
        <w:tc>
          <w:tcPr>
            <w:tcW w:w="42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单价</w:t>
            </w:r>
          </w:p>
        </w:tc>
        <w:tc>
          <w:tcPr>
            <w:tcW w:w="884" w:type="pct"/>
            <w:gridSpan w:val="2"/>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保存地点</w:t>
            </w:r>
          </w:p>
        </w:tc>
        <w:tc>
          <w:tcPr>
            <w:tcW w:w="51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备注</w:t>
            </w: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5000" w:type="pct"/>
            <w:gridSpan w:val="10"/>
            <w:shd w:val="clear" w:color="auto" w:fill="auto"/>
            <w:tcMar>
              <w:left w:w="57" w:type="dxa"/>
              <w:right w:w="57" w:type="dxa"/>
            </w:tcMar>
            <w:vAlign w:val="center"/>
          </w:tcPr>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800760">
            <w:pPr>
              <w:spacing w:line="360" w:lineRule="auto"/>
              <w:ind w:firstLineChars="0" w:firstLine="422"/>
              <w:rPr>
                <w:rFonts w:ascii="仿宋_GB2312" w:eastAsia="仿宋_GB2312" w:hAnsi="宋体" w:cs="Microsoft JhengHei"/>
                <w:b/>
                <w:color w:val="000000"/>
                <w:sz w:val="20"/>
              </w:rPr>
            </w:pPr>
          </w:p>
          <w:p w:rsidR="00800760" w:rsidRDefault="00235733">
            <w:pPr>
              <w:spacing w:line="360" w:lineRule="auto"/>
              <w:ind w:firstLineChars="0" w:firstLine="422"/>
              <w:rPr>
                <w:rFonts w:ascii="仿宋_GB2312" w:eastAsia="仿宋_GB2312" w:hAnsi="宋体" w:cs="Microsoft JhengHei"/>
                <w:bCs/>
                <w:color w:val="000000"/>
                <w:sz w:val="20"/>
              </w:rPr>
            </w:pPr>
            <w:r>
              <w:rPr>
                <w:rFonts w:ascii="仿宋_GB2312" w:eastAsia="仿宋_GB2312" w:hAnsi="宋体" w:cs="Microsoft JhengHei" w:hint="eastAsia"/>
                <w:bCs/>
                <w:color w:val="000000"/>
                <w:sz w:val="20"/>
              </w:rPr>
              <w:t>被登记保存人（签章）：</w:t>
            </w:r>
            <w:r>
              <w:rPr>
                <w:rFonts w:ascii="仿宋_GB2312" w:eastAsia="仿宋_GB2312" w:hAnsi="宋体" w:cs="Microsoft JhengHei" w:hint="eastAsia"/>
                <w:bCs/>
                <w:color w:val="000000"/>
                <w:sz w:val="20"/>
                <w:u w:val="single"/>
              </w:rPr>
              <w:t xml:space="preserve">            </w:t>
            </w:r>
            <w:r>
              <w:rPr>
                <w:rFonts w:ascii="仿宋_GB2312" w:eastAsia="仿宋_GB2312" w:hAnsi="宋体" w:cs="Microsoft JhengHei" w:hint="eastAsia"/>
                <w:bCs/>
                <w:color w:val="000000"/>
                <w:sz w:val="20"/>
              </w:rPr>
              <w:t xml:space="preserve">                       案件承办人（签章）：</w:t>
            </w:r>
            <w:r>
              <w:rPr>
                <w:rFonts w:ascii="仿宋_GB2312" w:eastAsia="仿宋_GB2312" w:hAnsi="宋体" w:cs="Microsoft JhengHei" w:hint="eastAsia"/>
                <w:bCs/>
                <w:color w:val="000000"/>
                <w:sz w:val="20"/>
                <w:u w:val="single"/>
              </w:rPr>
              <w:t xml:space="preserve">            </w:t>
            </w:r>
            <w:r>
              <w:rPr>
                <w:rFonts w:ascii="仿宋_GB2312" w:eastAsia="仿宋_GB2312" w:hAnsi="宋体" w:cs="Microsoft JhengHei" w:hint="eastAsia"/>
                <w:bCs/>
                <w:color w:val="000000"/>
                <w:sz w:val="20"/>
              </w:rPr>
              <w:t xml:space="preserve"> </w:t>
            </w:r>
          </w:p>
          <w:p w:rsidR="00800760" w:rsidRDefault="00235733">
            <w:pPr>
              <w:spacing w:line="360" w:lineRule="auto"/>
              <w:ind w:firstLineChars="0" w:firstLine="446"/>
              <w:rPr>
                <w:rFonts w:ascii="仿宋_GB2312" w:eastAsia="仿宋_GB2312" w:hAnsi="宋体" w:cs="Microsoft JhengHei"/>
                <w:bCs/>
                <w:color w:val="000000"/>
                <w:sz w:val="20"/>
                <w:lang w:eastAsia="en-US"/>
              </w:rPr>
            </w:pPr>
            <w:r>
              <w:rPr>
                <w:rFonts w:ascii="仿宋_GB2312" w:eastAsia="仿宋_GB2312" w:hAnsi="宋体" w:cs="PMingLiU" w:hint="eastAsia"/>
                <w:bCs/>
                <w:color w:val="000000"/>
                <w:spacing w:val="6"/>
                <w:sz w:val="20"/>
                <w:u w:val="single"/>
              </w:rPr>
              <w:t xml:space="preserve">       </w:t>
            </w:r>
            <w:r>
              <w:rPr>
                <w:rFonts w:ascii="仿宋_GB2312" w:eastAsia="仿宋_GB2312" w:hAnsi="宋体" w:cs="PMingLiU" w:hint="eastAsia"/>
                <w:bCs/>
                <w:color w:val="000000"/>
                <w:spacing w:val="6"/>
                <w:sz w:val="20"/>
                <w:lang w:eastAsia="en-US"/>
              </w:rPr>
              <w:t>年</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月</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日</w:t>
            </w:r>
            <w:r>
              <w:rPr>
                <w:rFonts w:ascii="仿宋_GB2312" w:eastAsia="仿宋_GB2312" w:hAnsi="宋体" w:cs="Microsoft JhengHei" w:hint="eastAsia"/>
                <w:bCs/>
                <w:color w:val="000000"/>
                <w:sz w:val="20"/>
                <w:lang w:eastAsia="en-US"/>
              </w:rPr>
              <w:t xml:space="preserve">                                  </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年</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月</w:t>
            </w:r>
            <w:r>
              <w:rPr>
                <w:rFonts w:ascii="仿宋_GB2312" w:eastAsia="仿宋_GB2312" w:hAnsi="宋体" w:cs="PMingLiU" w:hint="eastAsia"/>
                <w:bCs/>
                <w:color w:val="000000"/>
                <w:spacing w:val="6"/>
                <w:sz w:val="20"/>
                <w:u w:val="single"/>
                <w:lang w:eastAsia="en-US"/>
              </w:rPr>
              <w:t xml:space="preserve">    </w:t>
            </w:r>
            <w:r>
              <w:rPr>
                <w:rFonts w:ascii="仿宋_GB2312" w:eastAsia="仿宋_GB2312" w:hAnsi="宋体" w:cs="PMingLiU" w:hint="eastAsia"/>
                <w:bCs/>
                <w:color w:val="000000"/>
                <w:spacing w:val="6"/>
                <w:sz w:val="20"/>
                <w:lang w:eastAsia="en-US"/>
              </w:rPr>
              <w:t>日</w:t>
            </w:r>
          </w:p>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5000" w:type="pct"/>
            <w:gridSpan w:val="10"/>
            <w:shd w:val="clear" w:color="auto" w:fill="auto"/>
            <w:tcMar>
              <w:left w:w="57" w:type="dxa"/>
              <w:right w:w="57" w:type="dxa"/>
            </w:tcMar>
          </w:tcPr>
          <w:p w:rsidR="00800760" w:rsidRDefault="00235733">
            <w:pPr>
              <w:spacing w:line="360" w:lineRule="auto"/>
              <w:ind w:firstLineChars="0" w:firstLine="0"/>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备注：</w:t>
            </w:r>
          </w:p>
          <w:p w:rsidR="00800760" w:rsidRDefault="00800760">
            <w:pPr>
              <w:spacing w:line="360" w:lineRule="auto"/>
              <w:ind w:firstLineChars="0" w:firstLine="0"/>
              <w:rPr>
                <w:rFonts w:ascii="仿宋_GB2312" w:eastAsia="仿宋_GB2312" w:hAnsi="仿宋" w:cs="PMingLiU"/>
                <w:color w:val="000000"/>
                <w:sz w:val="20"/>
                <w:lang w:eastAsia="en-US"/>
              </w:rPr>
            </w:pPr>
          </w:p>
          <w:p w:rsidR="00800760" w:rsidRDefault="00800760">
            <w:pPr>
              <w:spacing w:line="360" w:lineRule="auto"/>
              <w:ind w:firstLineChars="0" w:firstLine="0"/>
              <w:rPr>
                <w:rFonts w:ascii="仿宋_GB2312" w:eastAsia="仿宋_GB2312" w:hAnsi="仿宋" w:cs="PMingLiU"/>
                <w:color w:val="000000"/>
                <w:sz w:val="20"/>
                <w:lang w:eastAsia="en-US"/>
              </w:rPr>
            </w:pPr>
          </w:p>
        </w:tc>
      </w:tr>
    </w:tbl>
    <w:p w:rsidR="00800760" w:rsidRDefault="00235733">
      <w:pPr>
        <w:spacing w:line="360" w:lineRule="auto"/>
        <w:ind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t>注：本证据登记保存清单一式两份，一份交被登记保存人，一份由国家知识产权局保存。</w:t>
      </w:r>
    </w:p>
    <w:p w:rsidR="00800760" w:rsidRDefault="00235733">
      <w:pPr>
        <w:spacing w:line="240" w:lineRule="auto"/>
        <w:ind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br w:type="page"/>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解除专利侵权纠纷案件证据登记保存决定</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p w:rsidR="00800760" w:rsidRDefault="00235733" w:rsidP="00C22A7B">
      <w:pPr>
        <w:tabs>
          <w:tab w:val="left" w:leader="underscore" w:pos="1879"/>
        </w:tabs>
        <w:spacing w:beforeLines="50" w:afterLines="50"/>
        <w:ind w:firstLineChars="0" w:firstLine="0"/>
        <w:jc w:val="both"/>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w:t>
      </w:r>
    </w:p>
    <w:p w:rsidR="00800760" w:rsidRDefault="00235733" w:rsidP="00C22A7B">
      <w:pPr>
        <w:tabs>
          <w:tab w:val="left" w:leader="underscore" w:pos="4361"/>
          <w:tab w:val="left" w:leader="underscore" w:pos="5081"/>
          <w:tab w:val="left" w:leader="underscore" w:pos="5808"/>
        </w:tabs>
        <w:spacing w:beforeLines="50" w:afterLines="50"/>
        <w:ind w:firstLine="400"/>
        <w:jc w:val="both"/>
        <w:rPr>
          <w:rFonts w:ascii="仿宋_GB2312" w:eastAsia="仿宋_GB2312" w:hAnsi="仿宋"/>
          <w:color w:val="000000"/>
          <w:sz w:val="20"/>
        </w:rPr>
      </w:pPr>
      <w:r>
        <w:rPr>
          <w:rFonts w:ascii="仿宋_GB2312" w:eastAsia="仿宋_GB2312" w:hAnsi="仿宋" w:hint="eastAsia"/>
          <w:color w:val="000000"/>
          <w:sz w:val="20"/>
        </w:rPr>
        <w:t>本局于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仿宋" w:hint="eastAsia"/>
          <w:color w:val="000000"/>
          <w:sz w:val="20"/>
        </w:rPr>
        <w:t>以《专利侵权纠纷案件证据登记保存决定》（案号：</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lang w:bidi="en-US"/>
        </w:rPr>
        <w:t>）</w:t>
      </w:r>
      <w:r>
        <w:rPr>
          <w:rFonts w:ascii="仿宋_GB2312" w:eastAsia="仿宋_GB2312" w:hAnsi="仿宋" w:hint="eastAsia"/>
          <w:color w:val="000000"/>
          <w:sz w:val="20"/>
        </w:rPr>
        <w:t>对你（单位</w:t>
      </w:r>
      <w:r>
        <w:rPr>
          <w:rFonts w:ascii="仿宋_GB2312" w:eastAsia="仿宋_GB2312" w:hAnsi="仿宋" w:hint="eastAsia"/>
          <w:color w:val="000000"/>
          <w:sz w:val="20"/>
          <w:lang w:bidi="en-US"/>
        </w:rPr>
        <w:t>）</w:t>
      </w:r>
      <w:r>
        <w:rPr>
          <w:rFonts w:ascii="仿宋_GB2312" w:eastAsia="仿宋_GB2312" w:hAnsi="仿宋" w:hint="eastAsia"/>
          <w:color w:val="000000"/>
          <w:sz w:val="20"/>
        </w:rPr>
        <w:t>有关物品依法</w:t>
      </w:r>
      <w:r>
        <w:rPr>
          <w:rFonts w:ascii="仿宋_GB2312" w:hAnsi="宋体" w:cs="宋体" w:hint="eastAsia"/>
          <w:color w:val="000000"/>
          <w:sz w:val="20"/>
        </w:rPr>
        <w:t>釆</w:t>
      </w:r>
      <w:r>
        <w:rPr>
          <w:rFonts w:ascii="仿宋_GB2312" w:eastAsia="仿宋_GB2312" w:hAnsi="仿宋_GB2312" w:cs="仿宋_GB2312" w:hint="eastAsia"/>
          <w:color w:val="000000"/>
          <w:sz w:val="20"/>
        </w:rPr>
        <w:t>取了登记保存措施。</w:t>
      </w:r>
    </w:p>
    <w:p w:rsidR="00800760" w:rsidRDefault="00235733" w:rsidP="00C22A7B">
      <w:pPr>
        <w:tabs>
          <w:tab w:val="left" w:leader="underscore" w:pos="4361"/>
          <w:tab w:val="left" w:leader="underscore" w:pos="5081"/>
          <w:tab w:val="left" w:leader="underscore" w:pos="5808"/>
        </w:tabs>
        <w:spacing w:beforeLines="50" w:afterLines="50"/>
        <w:ind w:firstLine="400"/>
        <w:jc w:val="both"/>
        <w:rPr>
          <w:rFonts w:ascii="仿宋_GB2312" w:eastAsia="仿宋_GB2312" w:hAnsi="仿宋"/>
          <w:color w:val="000000"/>
          <w:sz w:val="20"/>
        </w:rPr>
      </w:pPr>
      <w:r>
        <w:rPr>
          <w:rFonts w:ascii="仿宋_GB2312" w:eastAsia="仿宋_GB2312" w:hAnsi="仿宋" w:hint="eastAsia"/>
          <w:color w:val="000000"/>
          <w:sz w:val="20"/>
        </w:rPr>
        <w:t>现本案已处理终结，本局决定自</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时起解除对有关证据的登记保存措施，你（单位</w:t>
      </w:r>
      <w:r>
        <w:rPr>
          <w:rFonts w:ascii="仿宋_GB2312" w:eastAsia="仿宋_GB2312" w:hAnsi="仿宋" w:hint="eastAsia"/>
          <w:color w:val="000000"/>
          <w:sz w:val="20"/>
          <w:lang w:bidi="en-US"/>
        </w:rPr>
        <w:t>）</w:t>
      </w:r>
      <w:r>
        <w:rPr>
          <w:rFonts w:ascii="仿宋_GB2312" w:eastAsia="仿宋_GB2312" w:hAnsi="仿宋" w:hint="eastAsia"/>
          <w:color w:val="000000"/>
          <w:sz w:val="20"/>
        </w:rPr>
        <w:t>应于</w:t>
      </w:r>
      <w:r>
        <w:rPr>
          <w:rFonts w:ascii="仿宋_GB2312" w:eastAsia="仿宋_GB2312" w:hint="eastAsia"/>
          <w:color w:val="000000"/>
          <w:sz w:val="20"/>
        </w:rPr>
        <w:t>3</w:t>
      </w:r>
      <w:r>
        <w:rPr>
          <w:rFonts w:ascii="仿宋_GB2312" w:eastAsia="仿宋_GB2312" w:hAnsi="仿宋" w:hint="eastAsia"/>
          <w:color w:val="000000"/>
          <w:sz w:val="20"/>
        </w:rPr>
        <w:t>个月内领回被登记保存的物品。</w:t>
      </w:r>
    </w:p>
    <w:p w:rsidR="00800760" w:rsidRDefault="00800760" w:rsidP="00C22A7B">
      <w:pPr>
        <w:spacing w:beforeLines="50" w:afterLines="50"/>
        <w:ind w:left="420" w:firstLineChars="0" w:firstLine="0"/>
        <w:jc w:val="both"/>
        <w:rPr>
          <w:rFonts w:ascii="仿宋_GB2312" w:eastAsia="仿宋_GB2312" w:hAnsi="仿宋"/>
          <w:color w:val="000000"/>
          <w:sz w:val="20"/>
        </w:rPr>
      </w:pPr>
    </w:p>
    <w:p w:rsidR="00800760" w:rsidRDefault="00235733" w:rsidP="00C22A7B">
      <w:pPr>
        <w:spacing w:beforeLines="50" w:afterLines="50"/>
        <w:ind w:left="420" w:firstLineChars="0" w:firstLine="0"/>
        <w:jc w:val="both"/>
        <w:rPr>
          <w:rFonts w:ascii="仿宋_GB2312" w:eastAsia="仿宋_GB2312" w:hAnsi="仿宋"/>
          <w:color w:val="000000"/>
          <w:sz w:val="20"/>
        </w:rPr>
      </w:pPr>
      <w:r>
        <w:rPr>
          <w:rFonts w:ascii="仿宋_GB2312" w:eastAsia="仿宋_GB2312" w:hAnsi="仿宋" w:hint="eastAsia"/>
          <w:color w:val="000000"/>
          <w:sz w:val="20"/>
        </w:rPr>
        <w:t>附件：《解除专利侵权纠纷案件证据登记保存清单》</w:t>
      </w:r>
    </w:p>
    <w:p w:rsidR="00800760" w:rsidRDefault="00800760" w:rsidP="00C22A7B">
      <w:pPr>
        <w:widowControl w:val="0"/>
        <w:spacing w:beforeLines="50" w:afterLines="50"/>
        <w:ind w:firstLineChars="0" w:firstLine="600"/>
        <w:rPr>
          <w:rFonts w:ascii="仿宋_GB2312" w:eastAsia="仿宋_GB2312" w:hAnsi="宋体"/>
          <w:color w:val="000000"/>
          <w:spacing w:val="6"/>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rsidP="00C22A7B">
      <w:pPr>
        <w:widowControl w:val="0"/>
        <w:spacing w:beforeLines="50" w:afterLines="50"/>
        <w:ind w:left="420"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800760" w:rsidP="00235733">
      <w:pPr>
        <w:widowControl w:val="0"/>
        <w:ind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800760" w:rsidP="00235733">
      <w:pPr>
        <w:widowControl w:val="0"/>
        <w:ind w:left="420" w:firstLine="400"/>
        <w:jc w:val="both"/>
        <w:rPr>
          <w:rFonts w:ascii="仿宋_GB2312" w:eastAsia="仿宋_GB2312" w:hAnsi="仿宋" w:cs="PMingLiU"/>
          <w:color w:val="000000"/>
          <w:kern w:val="2"/>
          <w:sz w:val="20"/>
          <w:lang w:val="en-US"/>
        </w:rPr>
      </w:pPr>
    </w:p>
    <w:p w:rsidR="00800760" w:rsidRDefault="00235733" w:rsidP="00235733">
      <w:pPr>
        <w:widowControl w:val="0"/>
        <w:ind w:firstLine="400"/>
        <w:jc w:val="both"/>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说明：本决定书一式两份，一份送达被登记保存人，一份由知识产权局存档。</w:t>
      </w:r>
    </w:p>
    <w:p w:rsidR="00800760" w:rsidRDefault="00235733">
      <w:pPr>
        <w:spacing w:line="240" w:lineRule="auto"/>
        <w:ind w:firstLineChars="0" w:firstLine="0"/>
        <w:rPr>
          <w:rFonts w:ascii="仿宋" w:eastAsia="仿宋_GB2312" w:hAnsi="仿宋" w:cs="PMingLiU"/>
          <w:color w:val="000000"/>
          <w:kern w:val="2"/>
          <w:szCs w:val="21"/>
          <w:lang w:val="en-US"/>
        </w:rPr>
      </w:pPr>
      <w:r>
        <w:rPr>
          <w:rFonts w:ascii="仿宋" w:eastAsia="仿宋_GB2312" w:hAnsi="仿宋"/>
          <w:color w:val="000000"/>
          <w:szCs w:val="21"/>
        </w:rPr>
        <w:br w:type="page"/>
      </w:r>
    </w:p>
    <w:p w:rsidR="00800760" w:rsidRDefault="00235733" w:rsidP="00C22A7B">
      <w:pPr>
        <w:spacing w:beforeLines="50" w:afterLines="50" w:line="360" w:lineRule="auto"/>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解除重大专利侵权纠纷行政裁决证据登记保存决定</w:t>
      </w:r>
    </w:p>
    <w:p w:rsidR="00800760" w:rsidRDefault="00235733">
      <w:pPr>
        <w:spacing w:line="360" w:lineRule="auto"/>
        <w:ind w:firstLineChars="0" w:firstLine="0"/>
        <w:jc w:val="right"/>
        <w:rPr>
          <w:rFonts w:ascii="仿宋_GB2312" w:eastAsia="仿宋_GB2312" w:hAnsi="仿宋"/>
          <w:color w:val="000000"/>
          <w:sz w:val="20"/>
          <w:szCs w:val="21"/>
        </w:rPr>
      </w:pPr>
      <w:r>
        <w:rPr>
          <w:rFonts w:ascii="仿宋_GB2312" w:eastAsia="仿宋_GB2312" w:hAnsi="仿宋" w:hint="eastAsia"/>
          <w:color w:val="000000"/>
          <w:sz w:val="20"/>
          <w:szCs w:val="21"/>
        </w:rPr>
        <w:t>案号：____________________</w:t>
      </w:r>
    </w:p>
    <w:p w:rsidR="00800760" w:rsidRDefault="00235733">
      <w:pPr>
        <w:tabs>
          <w:tab w:val="left" w:leader="underscore" w:pos="1879"/>
        </w:tabs>
        <w:spacing w:line="360" w:lineRule="auto"/>
        <w:ind w:firstLineChars="0" w:firstLine="444"/>
        <w:rPr>
          <w:rFonts w:ascii="仿宋_GB2312" w:eastAsia="仿宋_GB2312" w:hAnsi="仿宋"/>
          <w:color w:val="000000"/>
          <w:sz w:val="20"/>
          <w:szCs w:val="21"/>
        </w:rPr>
      </w:pP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w:t>
      </w:r>
    </w:p>
    <w:p w:rsidR="00800760" w:rsidRDefault="00235733">
      <w:pPr>
        <w:tabs>
          <w:tab w:val="left" w:leader="underscore" w:pos="4361"/>
          <w:tab w:val="left" w:leader="underscore" w:pos="5081"/>
          <w:tab w:val="left" w:leader="underscore" w:pos="5808"/>
        </w:tabs>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本局于</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_GB2312" w:eastAsia="仿宋_GB2312" w:hAnsi="仿宋" w:hint="eastAsia"/>
          <w:color w:val="000000"/>
          <w:sz w:val="20"/>
          <w:szCs w:val="21"/>
        </w:rPr>
        <w:t>以《重大专利侵权纠纷行政裁决证据登记保存决定》（案号：</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对你（单位</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有关物品依法</w:t>
      </w:r>
      <w:r>
        <w:rPr>
          <w:rFonts w:ascii="仿宋_GB2312" w:hAnsi="宋体" w:hint="eastAsia"/>
          <w:color w:val="000000"/>
          <w:sz w:val="20"/>
          <w:szCs w:val="21"/>
        </w:rPr>
        <w:t>釆</w:t>
      </w:r>
      <w:r>
        <w:rPr>
          <w:rFonts w:ascii="仿宋_GB2312" w:eastAsia="仿宋_GB2312" w:hAnsi="仿宋_GB2312" w:cs="仿宋_GB2312" w:hint="eastAsia"/>
          <w:color w:val="000000"/>
          <w:sz w:val="20"/>
          <w:szCs w:val="21"/>
        </w:rPr>
        <w:t>取了登记保存措施。</w:t>
      </w:r>
    </w:p>
    <w:p w:rsidR="00800760" w:rsidRDefault="00235733">
      <w:pPr>
        <w:tabs>
          <w:tab w:val="left" w:leader="underscore" w:pos="4361"/>
          <w:tab w:val="left" w:leader="underscore" w:pos="5081"/>
          <w:tab w:val="left" w:leader="underscore" w:pos="5808"/>
        </w:tabs>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现本案已处理终结，本局决定自</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_GB2312" w:eastAsia="仿宋_GB2312" w:hAnsi="宋体" w:hint="eastAsia"/>
          <w:color w:val="000000"/>
          <w:spacing w:val="6"/>
          <w:sz w:val="20"/>
          <w:szCs w:val="21"/>
          <w:u w:val="single"/>
        </w:rPr>
        <w:t xml:space="preserve">    </w:t>
      </w:r>
      <w:r>
        <w:rPr>
          <w:rFonts w:ascii="仿宋_GB2312" w:eastAsia="仿宋_GB2312" w:hAnsi="仿宋" w:hint="eastAsia"/>
          <w:color w:val="000000"/>
          <w:sz w:val="20"/>
          <w:szCs w:val="21"/>
        </w:rPr>
        <w:t>时起解除对有关证据的登记保存措施，你（单位</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应于</w:t>
      </w:r>
      <w:r>
        <w:rPr>
          <w:rFonts w:ascii="仿宋_GB2312" w:eastAsia="仿宋_GB2312" w:hint="eastAsia"/>
          <w:color w:val="000000"/>
          <w:sz w:val="20"/>
          <w:szCs w:val="21"/>
        </w:rPr>
        <w:t>3</w:t>
      </w:r>
      <w:r>
        <w:rPr>
          <w:rFonts w:ascii="仿宋_GB2312" w:eastAsia="仿宋_GB2312" w:hAnsi="仿宋" w:hint="eastAsia"/>
          <w:color w:val="000000"/>
          <w:sz w:val="20"/>
          <w:szCs w:val="21"/>
        </w:rPr>
        <w:t>个月内领回被登记保存的物品。</w:t>
      </w:r>
    </w:p>
    <w:p w:rsidR="00800760" w:rsidRDefault="00800760">
      <w:pPr>
        <w:spacing w:line="360" w:lineRule="auto"/>
        <w:ind w:left="420" w:firstLineChars="0" w:firstLine="0"/>
        <w:rPr>
          <w:rFonts w:ascii="仿宋_GB2312" w:eastAsia="仿宋_GB2312" w:hAnsi="仿宋"/>
          <w:color w:val="000000"/>
          <w:sz w:val="20"/>
          <w:szCs w:val="21"/>
        </w:rPr>
      </w:pPr>
    </w:p>
    <w:p w:rsidR="00800760" w:rsidRDefault="00235733">
      <w:pPr>
        <w:spacing w:line="360" w:lineRule="auto"/>
        <w:ind w:left="42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附件：《解除重大专利侵权纠纷行政裁决证据登记保存清单》</w:t>
      </w:r>
    </w:p>
    <w:p w:rsidR="00800760" w:rsidRDefault="00800760">
      <w:pPr>
        <w:spacing w:line="360" w:lineRule="auto"/>
        <w:ind w:firstLineChars="0" w:firstLine="444"/>
        <w:rPr>
          <w:rFonts w:ascii="仿宋_GB2312" w:eastAsia="仿宋_GB2312" w:hAnsi="宋体"/>
          <w:color w:val="000000"/>
          <w:spacing w:val="6"/>
          <w:sz w:val="20"/>
          <w:szCs w:val="21"/>
        </w:rPr>
      </w:pP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国家知识产权局（盖章）　　</w:t>
      </w: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235733">
      <w:pPr>
        <w:spacing w:line="360" w:lineRule="auto"/>
        <w:ind w:firstLineChars="0" w:firstLine="0"/>
        <w:rPr>
          <w:rFonts w:ascii="仿宋_GB2312" w:eastAsia="仿宋_GB2312" w:hAnsi="仿宋" w:cs="PMingLiU"/>
          <w:color w:val="000000"/>
          <w:sz w:val="20"/>
          <w:szCs w:val="21"/>
        </w:rPr>
      </w:pPr>
      <w:r>
        <w:rPr>
          <w:rFonts w:ascii="仿宋_GB2312" w:eastAsia="仿宋_GB2312" w:hAnsi="仿宋" w:cs="PMingLiU" w:hint="eastAsia"/>
          <w:color w:val="000000"/>
          <w:sz w:val="20"/>
          <w:szCs w:val="21"/>
        </w:rPr>
        <w:t>说明：本决定书一式两份，一份送达被登记保存人，一份由国家知识产权局存档。</w:t>
      </w:r>
    </w:p>
    <w:p w:rsidR="00800760" w:rsidRDefault="00800760">
      <w:pPr>
        <w:widowControl w:val="0"/>
        <w:jc w:val="both"/>
        <w:rPr>
          <w:rFonts w:ascii="仿宋" w:eastAsia="仿宋_GB2312" w:hAnsi="仿宋" w:cs="PMingLiU"/>
          <w:color w:val="000000"/>
          <w:kern w:val="2"/>
          <w:szCs w:val="21"/>
        </w:rPr>
      </w:pP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宋体" w:hAnsi="宋体"/>
          <w:b/>
          <w:color w:val="000000"/>
          <w:szCs w:val="21"/>
        </w:rPr>
        <w:br w:type="page"/>
      </w:r>
      <w:r>
        <w:rPr>
          <w:rFonts w:ascii="方正小标宋_GBK" w:eastAsia="方正小标宋_GBK" w:hAnsi="宋体"/>
          <w:color w:val="000000"/>
          <w:spacing w:val="6"/>
          <w:sz w:val="36"/>
          <w:szCs w:val="36"/>
        </w:rPr>
        <w:t>解除专利侵权纠纷案件证据登记保存清单</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7"/>
        <w:gridCol w:w="805"/>
        <w:gridCol w:w="432"/>
        <w:gridCol w:w="1845"/>
        <w:gridCol w:w="1610"/>
        <w:gridCol w:w="965"/>
        <w:gridCol w:w="835"/>
        <w:gridCol w:w="1239"/>
        <w:gridCol w:w="505"/>
        <w:gridCol w:w="1024"/>
      </w:tblGrid>
      <w:tr w:rsidR="00800760">
        <w:trPr>
          <w:trHeight w:val="20"/>
        </w:trPr>
        <w:tc>
          <w:tcPr>
            <w:tcW w:w="715" w:type="pct"/>
            <w:gridSpan w:val="2"/>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案由</w:t>
            </w:r>
          </w:p>
        </w:tc>
        <w:tc>
          <w:tcPr>
            <w:tcW w:w="4285" w:type="pct"/>
            <w:gridSpan w:val="8"/>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934" w:type="pct"/>
            <w:gridSpan w:val="3"/>
            <w:vMerge w:val="restar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被登记保存人</w:t>
            </w:r>
          </w:p>
        </w:tc>
        <w:tc>
          <w:tcPr>
            <w:tcW w:w="935"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姓名或名称</w:t>
            </w:r>
          </w:p>
        </w:tc>
        <w:tc>
          <w:tcPr>
            <w:tcW w:w="1728"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628"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法定代表人</w:t>
            </w:r>
          </w:p>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（负责人）</w:t>
            </w:r>
          </w:p>
        </w:tc>
        <w:tc>
          <w:tcPr>
            <w:tcW w:w="775"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934" w:type="pct"/>
            <w:gridSpan w:val="3"/>
            <w:vMerge/>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935"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住所</w:t>
            </w:r>
          </w:p>
        </w:tc>
        <w:tc>
          <w:tcPr>
            <w:tcW w:w="1728"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628"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电话</w:t>
            </w:r>
          </w:p>
        </w:tc>
        <w:tc>
          <w:tcPr>
            <w:tcW w:w="775"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序号</w:t>
            </w:r>
          </w:p>
        </w:tc>
        <w:tc>
          <w:tcPr>
            <w:tcW w:w="1562" w:type="pct"/>
            <w:gridSpan w:val="3"/>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被登记保存物品名称</w:t>
            </w:r>
          </w:p>
        </w:tc>
        <w:tc>
          <w:tcPr>
            <w:tcW w:w="816"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规格型号</w:t>
            </w:r>
          </w:p>
        </w:tc>
        <w:tc>
          <w:tcPr>
            <w:tcW w:w="489"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数量</w:t>
            </w:r>
          </w:p>
        </w:tc>
        <w:tc>
          <w:tcPr>
            <w:tcW w:w="423"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单价</w:t>
            </w:r>
          </w:p>
        </w:tc>
        <w:tc>
          <w:tcPr>
            <w:tcW w:w="884" w:type="pct"/>
            <w:gridSpan w:val="2"/>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保存地点</w:t>
            </w:r>
          </w:p>
        </w:tc>
        <w:tc>
          <w:tcPr>
            <w:tcW w:w="519" w:type="pct"/>
            <w:tcMar>
              <w:left w:w="57" w:type="dxa"/>
              <w:right w:w="57" w:type="dxa"/>
            </w:tcMar>
            <w:vAlign w:val="center"/>
          </w:tcPr>
          <w:p w:rsidR="00800760" w:rsidRDefault="00235733" w:rsidP="00235733">
            <w:pPr>
              <w:widowControl w:val="0"/>
              <w:ind w:firstLine="400"/>
              <w:jc w:val="center"/>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是否解除</w:t>
            </w: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307"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1562"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16"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8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423"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884" w:type="pct"/>
            <w:gridSpan w:val="2"/>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c>
          <w:tcPr>
            <w:tcW w:w="519" w:type="pct"/>
            <w:tcMar>
              <w:left w:w="57" w:type="dxa"/>
              <w:right w:w="57" w:type="dxa"/>
            </w:tcMar>
            <w:vAlign w:val="center"/>
          </w:tcPr>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5000" w:type="pct"/>
            <w:gridSpan w:val="10"/>
            <w:tcMar>
              <w:left w:w="57" w:type="dxa"/>
              <w:right w:w="57" w:type="dxa"/>
            </w:tcMar>
            <w:vAlign w:val="center"/>
          </w:tcPr>
          <w:p w:rsidR="00800760" w:rsidRDefault="00800760" w:rsidP="00235733">
            <w:pPr>
              <w:widowControl w:val="0"/>
              <w:ind w:firstLine="402"/>
              <w:rPr>
                <w:rFonts w:ascii="仿宋_GB2312" w:eastAsia="仿宋_GB2312" w:hAnsi="宋体" w:cs="Microsoft JhengHei"/>
                <w:b/>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235733" w:rsidP="00235733">
            <w:pPr>
              <w:widowControl w:val="0"/>
              <w:ind w:firstLine="400"/>
              <w:rPr>
                <w:rFonts w:ascii="仿宋_GB2312" w:eastAsia="仿宋_GB2312" w:hAnsi="宋体" w:cs="Microsoft JhengHei"/>
                <w:color w:val="000000"/>
                <w:kern w:val="2"/>
                <w:sz w:val="20"/>
                <w:u w:val="single"/>
                <w:lang w:val="en-US"/>
              </w:rPr>
            </w:pPr>
            <w:r>
              <w:rPr>
                <w:rFonts w:ascii="仿宋_GB2312" w:eastAsia="仿宋_GB2312" w:hAnsi="宋体" w:cs="Microsoft JhengHei" w:hint="eastAsia"/>
                <w:color w:val="000000"/>
                <w:kern w:val="2"/>
                <w:sz w:val="20"/>
                <w:lang w:val="en-US"/>
              </w:rPr>
              <w:t>被登记保存人（签章）：</w:t>
            </w:r>
            <w:r>
              <w:rPr>
                <w:rFonts w:ascii="仿宋_GB2312" w:eastAsia="仿宋_GB2312" w:hAnsi="宋体" w:cs="Microsoft JhengHei" w:hint="eastAsia"/>
                <w:color w:val="000000"/>
                <w:kern w:val="2"/>
                <w:sz w:val="20"/>
                <w:u w:val="single"/>
                <w:lang w:val="en-US"/>
              </w:rPr>
              <w:t xml:space="preserve">             　　</w:t>
            </w:r>
            <w:r>
              <w:rPr>
                <w:rFonts w:ascii="仿宋_GB2312" w:eastAsia="仿宋_GB2312" w:hAnsi="宋体" w:cs="Microsoft JhengHei" w:hint="eastAsia"/>
                <w:color w:val="000000"/>
                <w:kern w:val="2"/>
                <w:sz w:val="20"/>
                <w:lang w:val="en-US"/>
              </w:rPr>
              <w:t xml:space="preserve">             案件承办人（签章）：</w:t>
            </w:r>
            <w:r>
              <w:rPr>
                <w:rFonts w:ascii="仿宋_GB2312" w:eastAsia="仿宋_GB2312" w:hAnsi="宋体" w:cs="Microsoft JhengHei" w:hint="eastAsia"/>
                <w:color w:val="000000"/>
                <w:kern w:val="2"/>
                <w:sz w:val="20"/>
                <w:u w:val="single"/>
                <w:lang w:val="en-US"/>
              </w:rPr>
              <w:t xml:space="preserve">                     </w:t>
            </w:r>
          </w:p>
          <w:p w:rsidR="00800760" w:rsidRDefault="00235733">
            <w:pPr>
              <w:widowControl w:val="0"/>
              <w:ind w:firstLineChars="800" w:firstLine="1696"/>
              <w:rPr>
                <w:rFonts w:ascii="仿宋_GB2312" w:eastAsia="仿宋_GB2312" w:hAnsi="宋体" w:cs="Microsoft JhengHei"/>
                <w:color w:val="000000"/>
                <w:kern w:val="2"/>
                <w:sz w:val="20"/>
                <w:lang w:val="en-US"/>
              </w:rPr>
            </w:pP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r>
              <w:rPr>
                <w:rFonts w:ascii="仿宋_GB2312" w:eastAsia="仿宋_GB2312" w:hAnsi="宋体" w:cs="Microsoft JhengHei" w:hint="eastAsia"/>
                <w:color w:val="000000"/>
                <w:kern w:val="2"/>
                <w:sz w:val="20"/>
                <w:lang w:val="en-US"/>
              </w:rPr>
              <w:t xml:space="preserve">                             </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p>
          <w:p w:rsidR="00800760" w:rsidRDefault="00800760" w:rsidP="00235733">
            <w:pPr>
              <w:widowControl w:val="0"/>
              <w:ind w:firstLine="400"/>
              <w:jc w:val="center"/>
              <w:rPr>
                <w:rFonts w:ascii="仿宋_GB2312" w:eastAsia="仿宋_GB2312" w:hAnsi="仿宋" w:cs="PMingLiU"/>
                <w:color w:val="000000"/>
                <w:kern w:val="2"/>
                <w:sz w:val="20"/>
                <w:lang w:val="en-US"/>
              </w:rPr>
            </w:pPr>
          </w:p>
        </w:tc>
      </w:tr>
      <w:tr w:rsidR="00800760">
        <w:trPr>
          <w:trHeight w:val="20"/>
        </w:trPr>
        <w:tc>
          <w:tcPr>
            <w:tcW w:w="5000" w:type="pct"/>
            <w:gridSpan w:val="10"/>
            <w:tcMar>
              <w:left w:w="57" w:type="dxa"/>
              <w:right w:w="57" w:type="dxa"/>
            </w:tcMar>
          </w:tcPr>
          <w:p w:rsidR="00800760" w:rsidRDefault="00235733" w:rsidP="00235733">
            <w:pPr>
              <w:widowControl w:val="0"/>
              <w:ind w:firstLine="400"/>
              <w:jc w:val="both"/>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备注：</w:t>
            </w:r>
          </w:p>
          <w:p w:rsidR="00800760" w:rsidRDefault="00800760" w:rsidP="00235733">
            <w:pPr>
              <w:widowControl w:val="0"/>
              <w:ind w:firstLine="400"/>
              <w:jc w:val="both"/>
              <w:rPr>
                <w:rFonts w:ascii="仿宋_GB2312" w:eastAsia="仿宋_GB2312" w:hAnsi="仿宋" w:cs="PMingLiU"/>
                <w:color w:val="000000"/>
                <w:kern w:val="2"/>
                <w:sz w:val="20"/>
                <w:lang w:val="en-US"/>
              </w:rPr>
            </w:pPr>
          </w:p>
        </w:tc>
      </w:tr>
    </w:tbl>
    <w:p w:rsidR="00800760" w:rsidRDefault="00235733" w:rsidP="00235733">
      <w:pPr>
        <w:widowControl w:val="0"/>
        <w:ind w:firstLine="400"/>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注：本解除登记保存清单一式两份，一份交被登记保存人，一份由知识产权局保存。</w:t>
      </w:r>
    </w:p>
    <w:p w:rsidR="00800760" w:rsidRDefault="00235733">
      <w:pPr>
        <w:spacing w:line="240" w:lineRule="auto"/>
        <w:ind w:firstLineChars="0" w:firstLine="0"/>
        <w:rPr>
          <w:rFonts w:ascii="仿宋_GB2312" w:eastAsia="仿宋_GB2312" w:hAnsi="仿宋" w:cs="PMingLiU"/>
          <w:color w:val="000000"/>
          <w:kern w:val="2"/>
          <w:sz w:val="20"/>
          <w:lang w:val="en-US"/>
        </w:rPr>
      </w:pPr>
      <w:r>
        <w:rPr>
          <w:rFonts w:ascii="仿宋_GB2312" w:eastAsia="仿宋_GB2312" w:hAnsi="仿宋" w:hint="eastAsia"/>
          <w:color w:val="000000"/>
          <w:sz w:val="20"/>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解除重大专利侵权纠纷行政裁决证据登记保存清单</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7"/>
        <w:gridCol w:w="805"/>
        <w:gridCol w:w="432"/>
        <w:gridCol w:w="1845"/>
        <w:gridCol w:w="1610"/>
        <w:gridCol w:w="965"/>
        <w:gridCol w:w="835"/>
        <w:gridCol w:w="1239"/>
        <w:gridCol w:w="505"/>
        <w:gridCol w:w="1024"/>
      </w:tblGrid>
      <w:tr w:rsidR="00800760">
        <w:trPr>
          <w:trHeight w:val="20"/>
        </w:trPr>
        <w:tc>
          <w:tcPr>
            <w:tcW w:w="715" w:type="pct"/>
            <w:gridSpan w:val="2"/>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案由</w:t>
            </w:r>
          </w:p>
        </w:tc>
        <w:tc>
          <w:tcPr>
            <w:tcW w:w="4285" w:type="pct"/>
            <w:gridSpan w:val="8"/>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934" w:type="pct"/>
            <w:gridSpan w:val="3"/>
            <w:vMerge w:val="restar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被登记保存人</w:t>
            </w:r>
          </w:p>
        </w:tc>
        <w:tc>
          <w:tcPr>
            <w:tcW w:w="935"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姓名或名称</w:t>
            </w:r>
          </w:p>
        </w:tc>
        <w:tc>
          <w:tcPr>
            <w:tcW w:w="1728"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628"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rPr>
            </w:pPr>
            <w:r>
              <w:rPr>
                <w:rFonts w:ascii="仿宋_GB2312" w:eastAsia="仿宋_GB2312" w:hAnsi="仿宋" w:cs="PMingLiU" w:hint="eastAsia"/>
                <w:color w:val="000000"/>
                <w:sz w:val="20"/>
              </w:rPr>
              <w:t>法定代表人</w:t>
            </w:r>
          </w:p>
          <w:p w:rsidR="00800760" w:rsidRDefault="00235733">
            <w:pPr>
              <w:spacing w:line="360" w:lineRule="auto"/>
              <w:ind w:firstLineChars="0" w:firstLine="0"/>
              <w:jc w:val="center"/>
              <w:rPr>
                <w:rFonts w:ascii="仿宋_GB2312" w:eastAsia="仿宋_GB2312" w:hAnsi="仿宋" w:cs="PMingLiU"/>
                <w:color w:val="000000"/>
                <w:sz w:val="20"/>
              </w:rPr>
            </w:pPr>
            <w:r>
              <w:rPr>
                <w:rFonts w:ascii="仿宋_GB2312" w:eastAsia="仿宋_GB2312" w:hAnsi="仿宋" w:cs="PMingLiU" w:hint="eastAsia"/>
                <w:color w:val="000000"/>
                <w:sz w:val="20"/>
              </w:rPr>
              <w:t>（负责人）</w:t>
            </w:r>
          </w:p>
        </w:tc>
        <w:tc>
          <w:tcPr>
            <w:tcW w:w="775"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rPr>
            </w:pPr>
          </w:p>
        </w:tc>
      </w:tr>
      <w:tr w:rsidR="00800760">
        <w:trPr>
          <w:trHeight w:val="20"/>
        </w:trPr>
        <w:tc>
          <w:tcPr>
            <w:tcW w:w="934" w:type="pct"/>
            <w:gridSpan w:val="3"/>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rPr>
            </w:pPr>
          </w:p>
        </w:tc>
        <w:tc>
          <w:tcPr>
            <w:tcW w:w="935"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住所</w:t>
            </w:r>
          </w:p>
        </w:tc>
        <w:tc>
          <w:tcPr>
            <w:tcW w:w="1728"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628"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电话</w:t>
            </w:r>
          </w:p>
        </w:tc>
        <w:tc>
          <w:tcPr>
            <w:tcW w:w="775"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序号</w:t>
            </w:r>
          </w:p>
        </w:tc>
        <w:tc>
          <w:tcPr>
            <w:tcW w:w="1562" w:type="pct"/>
            <w:gridSpan w:val="3"/>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被登记保存物品名称</w:t>
            </w:r>
          </w:p>
        </w:tc>
        <w:tc>
          <w:tcPr>
            <w:tcW w:w="816"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规格型号</w:t>
            </w:r>
          </w:p>
        </w:tc>
        <w:tc>
          <w:tcPr>
            <w:tcW w:w="48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数量</w:t>
            </w:r>
          </w:p>
        </w:tc>
        <w:tc>
          <w:tcPr>
            <w:tcW w:w="42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单价</w:t>
            </w:r>
          </w:p>
        </w:tc>
        <w:tc>
          <w:tcPr>
            <w:tcW w:w="884" w:type="pct"/>
            <w:gridSpan w:val="2"/>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保存地点</w:t>
            </w:r>
          </w:p>
        </w:tc>
        <w:tc>
          <w:tcPr>
            <w:tcW w:w="51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是否解除</w:t>
            </w: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307"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1562"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16"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8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423"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884" w:type="pct"/>
            <w:gridSpan w:val="2"/>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c>
          <w:tcPr>
            <w:tcW w:w="519"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5000" w:type="pct"/>
            <w:gridSpan w:val="10"/>
            <w:shd w:val="clear" w:color="auto" w:fill="auto"/>
            <w:tcMar>
              <w:left w:w="57" w:type="dxa"/>
              <w:right w:w="57" w:type="dxa"/>
            </w:tcMar>
            <w:vAlign w:val="center"/>
          </w:tcPr>
          <w:p w:rsidR="00800760" w:rsidRDefault="00800760">
            <w:pPr>
              <w:spacing w:line="360" w:lineRule="auto"/>
              <w:ind w:firstLineChars="0" w:firstLine="422"/>
              <w:rPr>
                <w:rFonts w:ascii="仿宋_GB2312" w:eastAsia="仿宋_GB2312" w:hAnsi="宋体" w:cs="Microsoft JhengHei"/>
                <w:color w:val="000000"/>
                <w:sz w:val="20"/>
              </w:rPr>
            </w:pPr>
          </w:p>
          <w:p w:rsidR="00800760" w:rsidRDefault="00800760">
            <w:pPr>
              <w:spacing w:line="360" w:lineRule="auto"/>
              <w:ind w:firstLineChars="0" w:firstLine="422"/>
              <w:rPr>
                <w:rFonts w:ascii="仿宋_GB2312" w:eastAsia="仿宋_GB2312" w:hAnsi="宋体" w:cs="Microsoft JhengHei"/>
                <w:color w:val="000000"/>
                <w:sz w:val="20"/>
              </w:rPr>
            </w:pPr>
          </w:p>
          <w:p w:rsidR="00800760" w:rsidRDefault="00800760">
            <w:pPr>
              <w:spacing w:line="360" w:lineRule="auto"/>
              <w:ind w:firstLineChars="0" w:firstLine="422"/>
              <w:rPr>
                <w:rFonts w:ascii="仿宋_GB2312" w:eastAsia="仿宋_GB2312" w:hAnsi="宋体" w:cs="Microsoft JhengHei"/>
                <w:color w:val="000000"/>
                <w:sz w:val="20"/>
              </w:rPr>
            </w:pPr>
          </w:p>
          <w:p w:rsidR="00800760" w:rsidRDefault="00800760">
            <w:pPr>
              <w:spacing w:line="360" w:lineRule="auto"/>
              <w:ind w:firstLineChars="0" w:firstLine="422"/>
              <w:rPr>
                <w:rFonts w:ascii="仿宋_GB2312" w:eastAsia="仿宋_GB2312" w:hAnsi="宋体" w:cs="Microsoft JhengHei"/>
                <w:color w:val="000000"/>
                <w:sz w:val="20"/>
              </w:rPr>
            </w:pPr>
          </w:p>
          <w:p w:rsidR="00800760" w:rsidRDefault="00800760">
            <w:pPr>
              <w:spacing w:line="360" w:lineRule="auto"/>
              <w:ind w:firstLineChars="0" w:firstLine="422"/>
              <w:rPr>
                <w:rFonts w:ascii="仿宋_GB2312" w:eastAsia="仿宋_GB2312" w:hAnsi="宋体" w:cs="Microsoft JhengHei"/>
                <w:color w:val="000000"/>
                <w:sz w:val="20"/>
              </w:rPr>
            </w:pPr>
          </w:p>
          <w:p w:rsidR="00800760" w:rsidRDefault="00235733">
            <w:pPr>
              <w:spacing w:line="360" w:lineRule="auto"/>
              <w:ind w:firstLineChars="0" w:firstLine="422"/>
              <w:rPr>
                <w:rFonts w:ascii="仿宋_GB2312" w:eastAsia="仿宋_GB2312" w:hAnsi="宋体" w:cs="Microsoft JhengHei"/>
                <w:color w:val="000000"/>
                <w:sz w:val="20"/>
                <w:u w:val="single"/>
              </w:rPr>
            </w:pPr>
            <w:r>
              <w:rPr>
                <w:rFonts w:ascii="仿宋_GB2312" w:eastAsia="仿宋_GB2312" w:hAnsi="宋体" w:cs="Microsoft JhengHei" w:hint="eastAsia"/>
                <w:color w:val="000000"/>
                <w:sz w:val="20"/>
              </w:rPr>
              <w:t>被登记保存人（签章）：</w:t>
            </w:r>
            <w:r>
              <w:rPr>
                <w:rFonts w:ascii="仿宋_GB2312" w:eastAsia="仿宋_GB2312" w:hAnsi="宋体" w:cs="Microsoft JhengHei" w:hint="eastAsia"/>
                <w:color w:val="000000"/>
                <w:sz w:val="20"/>
                <w:u w:val="single"/>
              </w:rPr>
              <w:t xml:space="preserve">             　　</w:t>
            </w:r>
            <w:r>
              <w:rPr>
                <w:rFonts w:ascii="仿宋_GB2312" w:eastAsia="仿宋_GB2312" w:hAnsi="宋体" w:cs="Microsoft JhengHei" w:hint="eastAsia"/>
                <w:color w:val="000000"/>
                <w:sz w:val="20"/>
              </w:rPr>
              <w:t xml:space="preserve">             案件承办人（签章）：</w:t>
            </w:r>
            <w:r>
              <w:rPr>
                <w:rFonts w:ascii="仿宋_GB2312" w:eastAsia="仿宋_GB2312" w:hAnsi="宋体" w:cs="Microsoft JhengHei" w:hint="eastAsia"/>
                <w:color w:val="000000"/>
                <w:sz w:val="20"/>
                <w:u w:val="single"/>
              </w:rPr>
              <w:t xml:space="preserve">                     </w:t>
            </w:r>
          </w:p>
          <w:p w:rsidR="00800760" w:rsidRDefault="00235733">
            <w:pPr>
              <w:spacing w:line="360" w:lineRule="auto"/>
              <w:ind w:firstLineChars="1010" w:firstLine="2141"/>
              <w:rPr>
                <w:rFonts w:ascii="仿宋_GB2312" w:eastAsia="仿宋_GB2312" w:hAnsi="宋体" w:cs="Microsoft JhengHei"/>
                <w:color w:val="000000"/>
                <w:sz w:val="20"/>
                <w:lang w:eastAsia="en-US"/>
              </w:rPr>
            </w:pP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lang w:eastAsia="en-US"/>
              </w:rPr>
              <w:t>年</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月</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日</w:t>
            </w:r>
            <w:r>
              <w:rPr>
                <w:rFonts w:ascii="仿宋_GB2312" w:eastAsia="仿宋_GB2312" w:hAnsi="宋体" w:cs="Microsoft JhengHei" w:hint="eastAsia"/>
                <w:color w:val="000000"/>
                <w:sz w:val="20"/>
                <w:lang w:eastAsia="en-US"/>
              </w:rPr>
              <w:t xml:space="preserve">                             </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年</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月</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日</w:t>
            </w:r>
          </w:p>
          <w:p w:rsidR="00800760" w:rsidRDefault="00800760">
            <w:pPr>
              <w:spacing w:line="360" w:lineRule="auto"/>
              <w:ind w:firstLineChars="0" w:firstLine="0"/>
              <w:jc w:val="center"/>
              <w:rPr>
                <w:rFonts w:ascii="仿宋_GB2312" w:eastAsia="仿宋_GB2312" w:hAnsi="仿宋" w:cs="PMingLiU"/>
                <w:color w:val="000000"/>
                <w:sz w:val="20"/>
                <w:lang w:eastAsia="en-US"/>
              </w:rPr>
            </w:pPr>
          </w:p>
        </w:tc>
      </w:tr>
      <w:tr w:rsidR="00800760">
        <w:trPr>
          <w:trHeight w:val="20"/>
        </w:trPr>
        <w:tc>
          <w:tcPr>
            <w:tcW w:w="5000" w:type="pct"/>
            <w:gridSpan w:val="10"/>
            <w:shd w:val="clear" w:color="auto" w:fill="auto"/>
            <w:tcMar>
              <w:left w:w="57" w:type="dxa"/>
              <w:right w:w="57" w:type="dxa"/>
            </w:tcMar>
          </w:tcPr>
          <w:p w:rsidR="00800760" w:rsidRDefault="00235733">
            <w:pPr>
              <w:spacing w:line="360" w:lineRule="auto"/>
              <w:ind w:firstLineChars="0" w:firstLine="0"/>
              <w:rPr>
                <w:rFonts w:ascii="仿宋_GB2312" w:eastAsia="仿宋_GB2312" w:hAnsi="仿宋" w:cs="PMingLiU"/>
                <w:color w:val="000000"/>
                <w:sz w:val="20"/>
                <w:lang w:eastAsia="en-US"/>
              </w:rPr>
            </w:pPr>
            <w:r>
              <w:rPr>
                <w:rFonts w:ascii="仿宋_GB2312" w:eastAsia="仿宋_GB2312" w:hAnsi="仿宋" w:cs="PMingLiU" w:hint="eastAsia"/>
                <w:color w:val="000000"/>
                <w:sz w:val="20"/>
                <w:lang w:eastAsia="en-US"/>
              </w:rPr>
              <w:t>备注：</w:t>
            </w:r>
          </w:p>
          <w:p w:rsidR="00800760" w:rsidRDefault="00800760">
            <w:pPr>
              <w:spacing w:line="360" w:lineRule="auto"/>
              <w:ind w:firstLineChars="0" w:firstLine="0"/>
              <w:rPr>
                <w:rFonts w:ascii="仿宋_GB2312" w:eastAsia="仿宋_GB2312" w:hAnsi="仿宋" w:cs="PMingLiU"/>
                <w:color w:val="000000"/>
                <w:sz w:val="20"/>
                <w:lang w:eastAsia="en-US"/>
              </w:rPr>
            </w:pPr>
          </w:p>
        </w:tc>
      </w:tr>
    </w:tbl>
    <w:p w:rsidR="00800760" w:rsidRDefault="00235733">
      <w:pPr>
        <w:spacing w:line="360" w:lineRule="auto"/>
        <w:ind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t>注：本解除登记保存清单一式两份，一份交被登记保存人，一份由国家知识产权局保存。</w:t>
      </w:r>
    </w:p>
    <w:p w:rsidR="00800760" w:rsidRDefault="00800760">
      <w:pPr>
        <w:widowControl w:val="0"/>
        <w:rPr>
          <w:rFonts w:ascii="仿宋" w:eastAsia="仿宋_GB2312" w:hAnsi="仿宋" w:cs="PMingLiU"/>
          <w:color w:val="000000"/>
          <w:kern w:val="2"/>
          <w:szCs w:val="21"/>
        </w:rPr>
      </w:pP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宋体" w:hAnsi="宋体"/>
          <w:b/>
          <w:color w:val="000000"/>
          <w:szCs w:val="21"/>
        </w:rPr>
        <w:br w:type="page"/>
      </w:r>
      <w:r>
        <w:rPr>
          <w:rFonts w:ascii="方正小标宋_GBK" w:eastAsia="方正小标宋_GBK" w:hAnsi="宋体"/>
          <w:color w:val="000000"/>
          <w:spacing w:val="6"/>
          <w:sz w:val="36"/>
          <w:szCs w:val="36"/>
        </w:rPr>
        <w:t>专利侵权纠纷案件现场检查笔录</w:t>
      </w:r>
    </w:p>
    <w:p w:rsidR="00800760" w:rsidRDefault="00235733">
      <w:pPr>
        <w:widowControl w:val="0"/>
        <w:ind w:firstLineChars="0" w:firstLine="0"/>
        <w:jc w:val="right"/>
        <w:rPr>
          <w:rFonts w:ascii="仿宋" w:eastAsia="仿宋_GB2312" w:hAnsi="仿宋"/>
          <w:color w:val="000000"/>
          <w:sz w:val="20"/>
        </w:rPr>
      </w:pPr>
      <w:r>
        <w:rPr>
          <w:rFonts w:ascii="仿宋" w:eastAsia="仿宋_GB2312" w:hAnsi="仿宋"/>
          <w:color w:val="000000"/>
          <w:sz w:val="20"/>
          <w:lang w:eastAsia="en-US"/>
        </w:rPr>
        <w:t>案号：</w:t>
      </w:r>
      <w:r>
        <w:rPr>
          <w:rFonts w:ascii="仿宋"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9"/>
        <w:gridCol w:w="7308"/>
      </w:tblGrid>
      <w:tr w:rsidR="00800760">
        <w:trPr>
          <w:trHeight w:val="20"/>
        </w:trPr>
        <w:tc>
          <w:tcPr>
            <w:tcW w:w="1297" w:type="pct"/>
            <w:tcMar>
              <w:left w:w="57" w:type="dxa"/>
              <w:right w:w="57" w:type="dxa"/>
            </w:tcMar>
            <w:vAlign w:val="center"/>
          </w:tcPr>
          <w:p w:rsidR="00800760" w:rsidRDefault="00235733">
            <w:pPr>
              <w:ind w:right="-20" w:firstLineChars="0" w:firstLine="0"/>
              <w:jc w:val="center"/>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检查时间</w:t>
            </w:r>
          </w:p>
        </w:tc>
        <w:tc>
          <w:tcPr>
            <w:tcW w:w="3703" w:type="pct"/>
            <w:tcMar>
              <w:left w:w="57" w:type="dxa"/>
              <w:right w:w="57" w:type="dxa"/>
            </w:tcMar>
          </w:tcPr>
          <w:p w:rsidR="00800760" w:rsidRDefault="00235733">
            <w:pPr>
              <w:ind w:leftChars="800" w:left="1680" w:rightChars="-10" w:right="-21" w:firstLineChars="0" w:firstLine="0"/>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年</w:t>
            </w: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月</w:t>
            </w: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日</w:t>
            </w: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时</w:t>
            </w: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分至</w:t>
            </w:r>
          </w:p>
          <w:p w:rsidR="00800760" w:rsidRDefault="00235733">
            <w:pPr>
              <w:ind w:leftChars="800" w:left="1680" w:rightChars="-10" w:right="-21" w:firstLineChars="0" w:firstLine="0"/>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年</w:t>
            </w: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月</w:t>
            </w: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日</w:t>
            </w: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时</w:t>
            </w:r>
            <w:r>
              <w:rPr>
                <w:rFonts w:ascii="仿宋_GB2312" w:eastAsia="仿宋_GB2312" w:hAnsi="宋体" w:cs="Microsoft JhengHei" w:hint="eastAsia"/>
                <w:color w:val="000000"/>
                <w:sz w:val="20"/>
                <w:u w:val="single"/>
                <w:lang w:val="en-US"/>
              </w:rPr>
              <w:t xml:space="preserve">     </w:t>
            </w:r>
            <w:r>
              <w:rPr>
                <w:rFonts w:ascii="仿宋_GB2312" w:eastAsia="仿宋_GB2312" w:hAnsi="宋体" w:cs="Microsoft JhengHei" w:hint="eastAsia"/>
                <w:color w:val="000000"/>
                <w:sz w:val="20"/>
                <w:lang w:val="en-US"/>
              </w:rPr>
              <w:t>分</w:t>
            </w:r>
          </w:p>
        </w:tc>
      </w:tr>
      <w:tr w:rsidR="00800760">
        <w:trPr>
          <w:trHeight w:val="20"/>
        </w:trPr>
        <w:tc>
          <w:tcPr>
            <w:tcW w:w="1297" w:type="pct"/>
            <w:tcMar>
              <w:left w:w="57" w:type="dxa"/>
              <w:right w:w="57" w:type="dxa"/>
            </w:tcMar>
          </w:tcPr>
          <w:p w:rsidR="00800760" w:rsidRDefault="00235733">
            <w:pPr>
              <w:ind w:right="-20" w:firstLineChars="0" w:firstLine="0"/>
              <w:jc w:val="center"/>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检查地点</w:t>
            </w:r>
          </w:p>
        </w:tc>
        <w:tc>
          <w:tcPr>
            <w:tcW w:w="3703" w:type="pct"/>
            <w:tcMar>
              <w:left w:w="57" w:type="dxa"/>
              <w:right w:w="57" w:type="dxa"/>
            </w:tcMar>
          </w:tcPr>
          <w:p w:rsidR="00800760" w:rsidRDefault="00800760">
            <w:pPr>
              <w:ind w:right="-20" w:firstLineChars="0" w:firstLine="0"/>
              <w:jc w:val="center"/>
              <w:rPr>
                <w:rFonts w:ascii="仿宋_GB2312" w:eastAsia="仿宋_GB2312" w:hAnsi="宋体" w:cs="Microsoft JhengHei"/>
                <w:color w:val="000000"/>
                <w:sz w:val="20"/>
                <w:lang w:val="en-US" w:eastAsia="en-US"/>
              </w:rPr>
            </w:pPr>
          </w:p>
        </w:tc>
      </w:tr>
      <w:tr w:rsidR="00800760">
        <w:trPr>
          <w:trHeight w:val="20"/>
        </w:trPr>
        <w:tc>
          <w:tcPr>
            <w:tcW w:w="1297" w:type="pct"/>
            <w:vMerge w:val="restart"/>
            <w:tcMar>
              <w:left w:w="57" w:type="dxa"/>
              <w:right w:w="57" w:type="dxa"/>
            </w:tcMar>
            <w:vAlign w:val="center"/>
          </w:tcPr>
          <w:p w:rsidR="00800760" w:rsidRDefault="00235733">
            <w:pPr>
              <w:ind w:right="-20" w:firstLineChars="0" w:firstLine="0"/>
              <w:jc w:val="center"/>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检查人员</w:t>
            </w:r>
          </w:p>
        </w:tc>
        <w:tc>
          <w:tcPr>
            <w:tcW w:w="3703" w:type="pct"/>
            <w:tcMar>
              <w:left w:w="57" w:type="dxa"/>
              <w:right w:w="57" w:type="dxa"/>
            </w:tcMar>
          </w:tcPr>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姓名：</w:t>
            </w:r>
          </w:p>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单位;</w:t>
            </w:r>
          </w:p>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职务:</w:t>
            </w:r>
          </w:p>
        </w:tc>
      </w:tr>
      <w:tr w:rsidR="00800760">
        <w:trPr>
          <w:trHeight w:val="20"/>
        </w:trPr>
        <w:tc>
          <w:tcPr>
            <w:tcW w:w="1297" w:type="pct"/>
            <w:vMerge/>
            <w:tcMar>
              <w:left w:w="57" w:type="dxa"/>
              <w:right w:w="57" w:type="dxa"/>
            </w:tcMar>
            <w:vAlign w:val="center"/>
          </w:tcPr>
          <w:p w:rsidR="00800760" w:rsidRDefault="00800760">
            <w:pPr>
              <w:ind w:right="-20" w:firstLineChars="0" w:firstLine="0"/>
              <w:jc w:val="center"/>
              <w:rPr>
                <w:rFonts w:ascii="仿宋_GB2312" w:eastAsia="仿宋_GB2312" w:hAnsi="宋体" w:cs="Microsoft JhengHei"/>
                <w:color w:val="000000"/>
                <w:sz w:val="20"/>
                <w:lang w:val="en-US" w:eastAsia="en-US"/>
              </w:rPr>
            </w:pPr>
          </w:p>
        </w:tc>
        <w:tc>
          <w:tcPr>
            <w:tcW w:w="3703" w:type="pct"/>
            <w:tcMar>
              <w:left w:w="57" w:type="dxa"/>
              <w:right w:w="57" w:type="dxa"/>
            </w:tcMar>
          </w:tcPr>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姓名：</w:t>
            </w:r>
          </w:p>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单位;</w:t>
            </w:r>
          </w:p>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职务:</w:t>
            </w:r>
          </w:p>
        </w:tc>
      </w:tr>
      <w:tr w:rsidR="00800760">
        <w:trPr>
          <w:trHeight w:val="20"/>
        </w:trPr>
        <w:tc>
          <w:tcPr>
            <w:tcW w:w="1297" w:type="pct"/>
            <w:tcMar>
              <w:left w:w="57" w:type="dxa"/>
              <w:right w:w="57" w:type="dxa"/>
            </w:tcMar>
            <w:vAlign w:val="center"/>
          </w:tcPr>
          <w:p w:rsidR="00800760" w:rsidRDefault="00235733">
            <w:pPr>
              <w:ind w:right="-20" w:firstLineChars="0" w:firstLine="0"/>
              <w:jc w:val="center"/>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当事人</w:t>
            </w:r>
          </w:p>
        </w:tc>
        <w:tc>
          <w:tcPr>
            <w:tcW w:w="3703" w:type="pct"/>
            <w:tcMar>
              <w:left w:w="57" w:type="dxa"/>
              <w:right w:w="57" w:type="dxa"/>
            </w:tcMar>
          </w:tcPr>
          <w:p w:rsidR="00800760" w:rsidRDefault="00235733">
            <w:pPr>
              <w:ind w:right="-20" w:firstLineChars="0" w:firstLine="0"/>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姓名：</w:t>
            </w:r>
          </w:p>
          <w:p w:rsidR="00800760" w:rsidRDefault="00235733">
            <w:pPr>
              <w:ind w:right="-20" w:firstLineChars="0" w:firstLine="0"/>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身份证明证件号码：</w:t>
            </w:r>
          </w:p>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单位：</w:t>
            </w:r>
          </w:p>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住所：</w:t>
            </w:r>
          </w:p>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电话：</w:t>
            </w:r>
          </w:p>
        </w:tc>
      </w:tr>
      <w:tr w:rsidR="00800760">
        <w:trPr>
          <w:trHeight w:val="20"/>
        </w:trPr>
        <w:tc>
          <w:tcPr>
            <w:tcW w:w="1297" w:type="pct"/>
            <w:tcMar>
              <w:left w:w="57" w:type="dxa"/>
              <w:right w:w="57" w:type="dxa"/>
            </w:tcMar>
            <w:vAlign w:val="center"/>
          </w:tcPr>
          <w:p w:rsidR="00800760" w:rsidRDefault="00235733">
            <w:pPr>
              <w:ind w:right="-20" w:firstLineChars="0" w:firstLine="0"/>
              <w:jc w:val="center"/>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见证人</w:t>
            </w:r>
          </w:p>
        </w:tc>
        <w:tc>
          <w:tcPr>
            <w:tcW w:w="3703" w:type="pct"/>
            <w:tcMar>
              <w:left w:w="57" w:type="dxa"/>
              <w:right w:w="57" w:type="dxa"/>
            </w:tcMar>
          </w:tcPr>
          <w:p w:rsidR="00800760" w:rsidRDefault="00235733">
            <w:pPr>
              <w:ind w:right="-20" w:firstLineChars="0" w:firstLine="0"/>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姓名：</w:t>
            </w:r>
          </w:p>
          <w:p w:rsidR="00800760" w:rsidRDefault="00235733">
            <w:pPr>
              <w:ind w:right="-20" w:firstLineChars="0" w:firstLine="0"/>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身份证明证件号码：</w:t>
            </w:r>
          </w:p>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单位：</w:t>
            </w:r>
          </w:p>
          <w:p w:rsidR="00800760" w:rsidRDefault="00235733">
            <w:pPr>
              <w:ind w:right="-20" w:firstLineChars="0" w:firstLine="0"/>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住所：</w:t>
            </w:r>
          </w:p>
          <w:p w:rsidR="00800760" w:rsidRDefault="00235733">
            <w:pPr>
              <w:ind w:right="-20" w:firstLineChars="0" w:firstLine="0"/>
              <w:rPr>
                <w:rFonts w:ascii="仿宋_GB2312" w:eastAsia="仿宋_GB2312" w:hAnsi="宋体" w:cs="Microsoft JhengHei"/>
                <w:b/>
                <w:color w:val="000000"/>
                <w:sz w:val="20"/>
                <w:lang w:val="en-US" w:eastAsia="en-US"/>
              </w:rPr>
            </w:pPr>
            <w:r>
              <w:rPr>
                <w:rFonts w:ascii="仿宋_GB2312" w:eastAsia="仿宋_GB2312" w:hAnsi="宋体" w:cs="Microsoft JhengHei" w:hint="eastAsia"/>
                <w:color w:val="000000"/>
                <w:sz w:val="20"/>
                <w:lang w:val="en-US" w:eastAsia="en-US"/>
              </w:rPr>
              <w:t>电话：</w:t>
            </w:r>
          </w:p>
        </w:tc>
      </w:tr>
      <w:tr w:rsidR="00800760">
        <w:trPr>
          <w:trHeight w:val="20"/>
        </w:trPr>
        <w:tc>
          <w:tcPr>
            <w:tcW w:w="1297" w:type="pct"/>
            <w:tcMar>
              <w:left w:w="57" w:type="dxa"/>
              <w:right w:w="57" w:type="dxa"/>
            </w:tcMar>
            <w:vAlign w:val="center"/>
          </w:tcPr>
          <w:p w:rsidR="00800760" w:rsidRDefault="00235733">
            <w:pPr>
              <w:ind w:right="-20" w:firstLineChars="0" w:firstLine="0"/>
              <w:jc w:val="center"/>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告知情况</w:t>
            </w:r>
          </w:p>
        </w:tc>
        <w:tc>
          <w:tcPr>
            <w:tcW w:w="3703" w:type="pct"/>
            <w:tcMar>
              <w:left w:w="57" w:type="dxa"/>
              <w:right w:w="57" w:type="dxa"/>
            </w:tcMar>
          </w:tcPr>
          <w:p w:rsidR="00800760" w:rsidRDefault="00800760">
            <w:pPr>
              <w:ind w:right="-20" w:firstLineChars="0" w:firstLine="0"/>
              <w:jc w:val="center"/>
              <w:rPr>
                <w:rFonts w:ascii="仿宋_GB2312" w:eastAsia="仿宋_GB2312" w:hAnsi="宋体" w:cs="Microsoft JhengHei"/>
                <w:b/>
                <w:color w:val="000000"/>
                <w:sz w:val="20"/>
                <w:lang w:val="en-US" w:eastAsia="en-US"/>
              </w:rPr>
            </w:pPr>
          </w:p>
        </w:tc>
      </w:tr>
      <w:tr w:rsidR="00800760">
        <w:trPr>
          <w:trHeight w:val="20"/>
        </w:trPr>
        <w:tc>
          <w:tcPr>
            <w:tcW w:w="1297" w:type="pct"/>
            <w:tcMar>
              <w:left w:w="57" w:type="dxa"/>
              <w:right w:w="57" w:type="dxa"/>
            </w:tcMar>
            <w:vAlign w:val="center"/>
          </w:tcPr>
          <w:p w:rsidR="00800760" w:rsidRDefault="00235733">
            <w:pPr>
              <w:ind w:right="-20" w:firstLineChars="0" w:firstLine="0"/>
              <w:jc w:val="center"/>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检查情况</w:t>
            </w:r>
          </w:p>
        </w:tc>
        <w:tc>
          <w:tcPr>
            <w:tcW w:w="3703" w:type="pct"/>
            <w:tcMar>
              <w:left w:w="57" w:type="dxa"/>
              <w:right w:w="57" w:type="dxa"/>
            </w:tcMar>
          </w:tcPr>
          <w:p w:rsidR="00800760" w:rsidRDefault="00800760">
            <w:pPr>
              <w:ind w:right="-20" w:firstLineChars="0" w:firstLine="0"/>
              <w:jc w:val="center"/>
              <w:rPr>
                <w:rFonts w:ascii="仿宋_GB2312" w:eastAsia="仿宋_GB2312" w:hAnsi="宋体" w:cs="Microsoft JhengHei"/>
                <w:b/>
                <w:color w:val="000000"/>
                <w:sz w:val="20"/>
                <w:lang w:val="en-US" w:eastAsia="en-US"/>
              </w:rPr>
            </w:pPr>
          </w:p>
        </w:tc>
      </w:tr>
      <w:tr w:rsidR="00800760">
        <w:trPr>
          <w:trHeight w:val="20"/>
        </w:trPr>
        <w:tc>
          <w:tcPr>
            <w:tcW w:w="1297" w:type="pct"/>
            <w:tcMar>
              <w:left w:w="57" w:type="dxa"/>
              <w:right w:w="57" w:type="dxa"/>
            </w:tcMar>
            <w:vAlign w:val="center"/>
          </w:tcPr>
          <w:p w:rsidR="00800760" w:rsidRDefault="00235733">
            <w:pPr>
              <w:ind w:right="-20" w:firstLineChars="0" w:firstLine="0"/>
              <w:jc w:val="center"/>
              <w:rPr>
                <w:rFonts w:ascii="仿宋_GB2312" w:eastAsia="仿宋_GB2312" w:hAnsi="宋体" w:cs="Microsoft JhengHei"/>
                <w:color w:val="000000"/>
                <w:sz w:val="20"/>
                <w:lang w:val="en-US" w:eastAsia="en-US"/>
              </w:rPr>
            </w:pPr>
            <w:r>
              <w:rPr>
                <w:rFonts w:ascii="仿宋_GB2312" w:eastAsia="仿宋_GB2312" w:hAnsi="宋体" w:cs="Microsoft JhengHei" w:hint="eastAsia"/>
                <w:color w:val="000000"/>
                <w:sz w:val="20"/>
                <w:lang w:val="en-US" w:eastAsia="en-US"/>
              </w:rPr>
              <w:t>检查人员（签章）</w:t>
            </w:r>
          </w:p>
        </w:tc>
        <w:tc>
          <w:tcPr>
            <w:tcW w:w="3703" w:type="pct"/>
            <w:tcMar>
              <w:left w:w="57" w:type="dxa"/>
              <w:right w:w="57" w:type="dxa"/>
            </w:tcMar>
          </w:tcPr>
          <w:p w:rsidR="00800760" w:rsidRDefault="00800760">
            <w:pPr>
              <w:ind w:right="-20" w:firstLineChars="0" w:firstLine="0"/>
              <w:jc w:val="right"/>
              <w:rPr>
                <w:rFonts w:ascii="仿宋_GB2312" w:eastAsia="仿宋_GB2312" w:hAnsi="宋体" w:cs="Microsoft JhengHei"/>
                <w:color w:val="000000"/>
                <w:sz w:val="20"/>
                <w:lang w:val="en-US" w:eastAsia="en-US"/>
              </w:rPr>
            </w:pPr>
          </w:p>
          <w:p w:rsidR="00800760" w:rsidRDefault="00235733">
            <w:pPr>
              <w:ind w:right="-20" w:firstLineChars="0" w:firstLine="0"/>
              <w:jc w:val="right"/>
              <w:rPr>
                <w:rFonts w:ascii="仿宋_GB2312" w:eastAsia="仿宋_GB2312" w:hAnsi="宋体" w:cs="Microsoft JhengHei"/>
                <w:color w:val="000000"/>
                <w:sz w:val="20"/>
                <w:lang w:val="en-US" w:eastAsia="en-US"/>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297" w:type="pct"/>
            <w:tcMar>
              <w:left w:w="57" w:type="dxa"/>
              <w:right w:w="57" w:type="dxa"/>
            </w:tcMar>
            <w:vAlign w:val="center"/>
          </w:tcPr>
          <w:p w:rsidR="00800760" w:rsidRDefault="00235733">
            <w:pPr>
              <w:ind w:right="-20" w:firstLineChars="0" w:firstLine="0"/>
              <w:jc w:val="center"/>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当事人或见证人（签章）</w:t>
            </w:r>
          </w:p>
        </w:tc>
        <w:tc>
          <w:tcPr>
            <w:tcW w:w="3703" w:type="pct"/>
            <w:tcMar>
              <w:left w:w="57" w:type="dxa"/>
              <w:right w:w="57" w:type="dxa"/>
            </w:tcMar>
          </w:tcPr>
          <w:p w:rsidR="00800760" w:rsidRDefault="00800760">
            <w:pPr>
              <w:ind w:right="-20" w:firstLineChars="0" w:firstLine="0"/>
              <w:jc w:val="right"/>
              <w:rPr>
                <w:rFonts w:ascii="仿宋_GB2312" w:eastAsia="仿宋_GB2312" w:hAnsi="宋体" w:cs="Microsoft JhengHei"/>
                <w:color w:val="000000"/>
                <w:sz w:val="20"/>
                <w:lang w:val="en-US"/>
              </w:rPr>
            </w:pPr>
          </w:p>
          <w:p w:rsidR="00800760" w:rsidRDefault="00235733">
            <w:pPr>
              <w:ind w:right="-20" w:firstLineChars="0" w:firstLine="0"/>
              <w:jc w:val="right"/>
              <w:rPr>
                <w:rFonts w:ascii="仿宋_GB2312" w:eastAsia="仿宋_GB2312" w:hAnsi="宋体" w:cs="Microsoft JhengHei"/>
                <w:color w:val="000000"/>
                <w:sz w:val="20"/>
                <w:lang w:val="en-US" w:eastAsia="en-US"/>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bl>
    <w:p w:rsidR="00800760" w:rsidRDefault="00800760" w:rsidP="00235733">
      <w:pPr>
        <w:keepNext/>
        <w:keepLines/>
        <w:widowControl w:val="0"/>
        <w:ind w:firstLine="422"/>
        <w:outlineLvl w:val="0"/>
        <w:rPr>
          <w:rFonts w:ascii="宋体" w:hAnsi="宋体" w:cs="PMingLiU"/>
          <w:b/>
          <w:color w:val="000000"/>
          <w:kern w:val="2"/>
          <w:szCs w:val="21"/>
          <w:lang w:val="en-US"/>
        </w:rPr>
      </w:pPr>
    </w:p>
    <w:p w:rsidR="00800760" w:rsidRDefault="00235733">
      <w:pPr>
        <w:spacing w:line="240" w:lineRule="auto"/>
        <w:ind w:firstLineChars="0" w:firstLine="0"/>
        <w:rPr>
          <w:rFonts w:ascii="宋体" w:hAnsi="宋体" w:cs="PMingLiU"/>
          <w:b/>
          <w:color w:val="000000"/>
          <w:kern w:val="2"/>
          <w:szCs w:val="21"/>
          <w:lang w:val="en-US"/>
        </w:rPr>
      </w:pPr>
      <w:r>
        <w:rPr>
          <w:rFonts w:ascii="宋体" w:hAnsi="宋体"/>
          <w:b/>
          <w:color w:val="000000"/>
          <w:szCs w:val="21"/>
          <w:lang w:eastAsia="en-US"/>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重大专利侵权纠纷行政裁决现场检查笔录</w:t>
      </w:r>
    </w:p>
    <w:p w:rsidR="00800760" w:rsidRDefault="00235733">
      <w:pPr>
        <w:spacing w:line="360" w:lineRule="auto"/>
        <w:ind w:firstLineChars="0" w:firstLine="0"/>
        <w:jc w:val="right"/>
        <w:rPr>
          <w:rFonts w:ascii="仿宋" w:eastAsia="仿宋_GB2312" w:hAnsi="仿宋"/>
          <w:color w:val="000000"/>
          <w:sz w:val="20"/>
          <w:szCs w:val="21"/>
          <w:lang w:eastAsia="en-US"/>
        </w:rPr>
      </w:pPr>
      <w:r>
        <w:rPr>
          <w:rFonts w:ascii="仿宋" w:eastAsia="仿宋_GB2312" w:hAnsi="仿宋"/>
          <w:color w:val="000000"/>
          <w:sz w:val="20"/>
          <w:szCs w:val="21"/>
          <w:lang w:eastAsia="en-US"/>
        </w:rPr>
        <w:t>案号：</w:t>
      </w:r>
      <w:r>
        <w:rPr>
          <w:rFonts w:ascii="仿宋" w:eastAsia="仿宋_GB2312" w:hAnsi="仿宋" w:hint="eastAsia"/>
          <w:color w:val="000000"/>
          <w:sz w:val="20"/>
          <w:szCs w:val="21"/>
          <w:lang w:eastAsia="en-US"/>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9"/>
        <w:gridCol w:w="7308"/>
      </w:tblGrid>
      <w:tr w:rsidR="00800760">
        <w:trPr>
          <w:trHeight w:val="20"/>
        </w:trPr>
        <w:tc>
          <w:tcPr>
            <w:tcW w:w="1297" w:type="pct"/>
            <w:shd w:val="clear" w:color="auto" w:fill="auto"/>
            <w:tcMar>
              <w:left w:w="57" w:type="dxa"/>
              <w:right w:w="57" w:type="dxa"/>
            </w:tcMar>
            <w:vAlign w:val="center"/>
          </w:tcPr>
          <w:p w:rsidR="00800760" w:rsidRDefault="00235733">
            <w:pPr>
              <w:spacing w:line="360" w:lineRule="auto"/>
              <w:ind w:right="-20" w:firstLineChars="0" w:firstLine="0"/>
              <w:jc w:val="center"/>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检查时间</w:t>
            </w:r>
          </w:p>
        </w:tc>
        <w:tc>
          <w:tcPr>
            <w:tcW w:w="3703" w:type="pct"/>
            <w:shd w:val="clear" w:color="auto" w:fill="auto"/>
            <w:tcMar>
              <w:left w:w="57" w:type="dxa"/>
              <w:right w:w="57" w:type="dxa"/>
            </w:tcMar>
          </w:tcPr>
          <w:p w:rsidR="00800760" w:rsidRDefault="00235733">
            <w:pPr>
              <w:spacing w:line="360" w:lineRule="auto"/>
              <w:ind w:leftChars="800" w:left="1680" w:rightChars="-10" w:right="-21" w:firstLineChars="0" w:firstLine="0"/>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年</w:t>
            </w: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月</w:t>
            </w: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日</w:t>
            </w: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时</w:t>
            </w: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分至</w:t>
            </w:r>
          </w:p>
          <w:p w:rsidR="00800760" w:rsidRDefault="00235733">
            <w:pPr>
              <w:spacing w:line="360" w:lineRule="auto"/>
              <w:ind w:leftChars="800" w:left="1680" w:rightChars="-10" w:right="-21" w:firstLineChars="0" w:firstLine="0"/>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年</w:t>
            </w: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月</w:t>
            </w: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日</w:t>
            </w: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时</w:t>
            </w:r>
            <w:r>
              <w:rPr>
                <w:rFonts w:ascii="仿宋_GB2312" w:eastAsia="仿宋_GB2312" w:hAnsi="宋体" w:cs="Microsoft JhengHei" w:hint="eastAsia"/>
                <w:color w:val="000000"/>
                <w:sz w:val="20"/>
                <w:szCs w:val="21"/>
                <w:u w:val="single"/>
              </w:rPr>
              <w:t xml:space="preserve">     </w:t>
            </w:r>
            <w:r>
              <w:rPr>
                <w:rFonts w:ascii="仿宋_GB2312" w:eastAsia="仿宋_GB2312" w:hAnsi="宋体" w:cs="Microsoft JhengHei" w:hint="eastAsia"/>
                <w:color w:val="000000"/>
                <w:sz w:val="20"/>
                <w:szCs w:val="21"/>
              </w:rPr>
              <w:t>分</w:t>
            </w:r>
          </w:p>
        </w:tc>
      </w:tr>
      <w:tr w:rsidR="00800760">
        <w:trPr>
          <w:trHeight w:val="20"/>
        </w:trPr>
        <w:tc>
          <w:tcPr>
            <w:tcW w:w="1297" w:type="pct"/>
            <w:shd w:val="clear" w:color="auto" w:fill="auto"/>
            <w:tcMar>
              <w:left w:w="57" w:type="dxa"/>
              <w:right w:w="57" w:type="dxa"/>
            </w:tcMar>
          </w:tcPr>
          <w:p w:rsidR="00800760" w:rsidRDefault="00235733">
            <w:pPr>
              <w:spacing w:line="360" w:lineRule="auto"/>
              <w:ind w:right="-20" w:firstLineChars="0" w:firstLine="0"/>
              <w:jc w:val="center"/>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检查地点</w:t>
            </w:r>
          </w:p>
        </w:tc>
        <w:tc>
          <w:tcPr>
            <w:tcW w:w="3703" w:type="pct"/>
            <w:shd w:val="clear" w:color="auto" w:fill="auto"/>
            <w:tcMar>
              <w:left w:w="57" w:type="dxa"/>
              <w:right w:w="57" w:type="dxa"/>
            </w:tcMar>
          </w:tcPr>
          <w:p w:rsidR="00800760" w:rsidRDefault="00800760">
            <w:pPr>
              <w:spacing w:line="360" w:lineRule="auto"/>
              <w:ind w:right="-20" w:firstLineChars="0" w:firstLine="0"/>
              <w:jc w:val="center"/>
              <w:rPr>
                <w:rFonts w:ascii="仿宋_GB2312" w:eastAsia="仿宋_GB2312" w:hAnsi="宋体" w:cs="Microsoft JhengHei"/>
                <w:color w:val="000000"/>
                <w:sz w:val="20"/>
                <w:szCs w:val="21"/>
                <w:lang w:eastAsia="en-US"/>
              </w:rPr>
            </w:pPr>
          </w:p>
        </w:tc>
      </w:tr>
      <w:tr w:rsidR="00800760">
        <w:trPr>
          <w:trHeight w:val="20"/>
        </w:trPr>
        <w:tc>
          <w:tcPr>
            <w:tcW w:w="1297" w:type="pct"/>
            <w:vMerge w:val="restart"/>
            <w:shd w:val="clear" w:color="auto" w:fill="auto"/>
            <w:tcMar>
              <w:left w:w="57" w:type="dxa"/>
              <w:right w:w="57" w:type="dxa"/>
            </w:tcMar>
            <w:vAlign w:val="center"/>
          </w:tcPr>
          <w:p w:rsidR="00800760" w:rsidRDefault="00235733">
            <w:pPr>
              <w:spacing w:line="360" w:lineRule="auto"/>
              <w:ind w:right="-20" w:firstLineChars="0" w:firstLine="0"/>
              <w:jc w:val="center"/>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检查人员</w:t>
            </w:r>
          </w:p>
        </w:tc>
        <w:tc>
          <w:tcPr>
            <w:tcW w:w="3703" w:type="pct"/>
            <w:shd w:val="clear" w:color="auto" w:fill="auto"/>
            <w:tcMar>
              <w:left w:w="57" w:type="dxa"/>
              <w:right w:w="57" w:type="dxa"/>
            </w:tcMar>
          </w:tcPr>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姓名：</w:t>
            </w:r>
          </w:p>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单位;</w:t>
            </w:r>
          </w:p>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职务:</w:t>
            </w:r>
          </w:p>
        </w:tc>
      </w:tr>
      <w:tr w:rsidR="00800760">
        <w:trPr>
          <w:trHeight w:val="20"/>
        </w:trPr>
        <w:tc>
          <w:tcPr>
            <w:tcW w:w="1297" w:type="pct"/>
            <w:vMerge/>
            <w:shd w:val="clear" w:color="auto" w:fill="auto"/>
            <w:tcMar>
              <w:left w:w="57" w:type="dxa"/>
              <w:right w:w="57" w:type="dxa"/>
            </w:tcMar>
            <w:vAlign w:val="center"/>
          </w:tcPr>
          <w:p w:rsidR="00800760" w:rsidRDefault="00800760">
            <w:pPr>
              <w:spacing w:line="360" w:lineRule="auto"/>
              <w:ind w:right="-20" w:firstLineChars="0" w:firstLine="0"/>
              <w:jc w:val="center"/>
              <w:rPr>
                <w:rFonts w:ascii="仿宋_GB2312" w:eastAsia="仿宋_GB2312" w:hAnsi="宋体" w:cs="Microsoft JhengHei"/>
                <w:color w:val="000000"/>
                <w:sz w:val="20"/>
                <w:szCs w:val="21"/>
                <w:lang w:eastAsia="en-US"/>
              </w:rPr>
            </w:pPr>
          </w:p>
        </w:tc>
        <w:tc>
          <w:tcPr>
            <w:tcW w:w="3703" w:type="pct"/>
            <w:shd w:val="clear" w:color="auto" w:fill="auto"/>
            <w:tcMar>
              <w:left w:w="57" w:type="dxa"/>
              <w:right w:w="57" w:type="dxa"/>
            </w:tcMar>
          </w:tcPr>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姓名：</w:t>
            </w:r>
          </w:p>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单位;</w:t>
            </w:r>
          </w:p>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职务:</w:t>
            </w:r>
          </w:p>
        </w:tc>
      </w:tr>
      <w:tr w:rsidR="00800760">
        <w:trPr>
          <w:trHeight w:val="20"/>
        </w:trPr>
        <w:tc>
          <w:tcPr>
            <w:tcW w:w="1297" w:type="pct"/>
            <w:shd w:val="clear" w:color="auto" w:fill="auto"/>
            <w:tcMar>
              <w:left w:w="57" w:type="dxa"/>
              <w:right w:w="57" w:type="dxa"/>
            </w:tcMar>
            <w:vAlign w:val="center"/>
          </w:tcPr>
          <w:p w:rsidR="00800760" w:rsidRDefault="00235733">
            <w:pPr>
              <w:spacing w:line="360" w:lineRule="auto"/>
              <w:ind w:right="-20" w:firstLineChars="0" w:firstLine="0"/>
              <w:jc w:val="center"/>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当事人</w:t>
            </w:r>
          </w:p>
        </w:tc>
        <w:tc>
          <w:tcPr>
            <w:tcW w:w="3703" w:type="pct"/>
            <w:shd w:val="clear" w:color="auto" w:fill="auto"/>
            <w:tcMar>
              <w:left w:w="57" w:type="dxa"/>
              <w:right w:w="57" w:type="dxa"/>
            </w:tcMar>
          </w:tcPr>
          <w:p w:rsidR="00800760" w:rsidRDefault="00235733">
            <w:pPr>
              <w:spacing w:line="360" w:lineRule="auto"/>
              <w:ind w:right="-20" w:firstLineChars="0" w:firstLine="0"/>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姓名：</w:t>
            </w:r>
          </w:p>
          <w:p w:rsidR="00800760" w:rsidRDefault="00235733">
            <w:pPr>
              <w:spacing w:line="360" w:lineRule="auto"/>
              <w:ind w:right="-20" w:firstLineChars="0" w:firstLine="0"/>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身份证明证件号码：</w:t>
            </w:r>
          </w:p>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单位：</w:t>
            </w:r>
          </w:p>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住所：</w:t>
            </w:r>
          </w:p>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电话：</w:t>
            </w:r>
          </w:p>
        </w:tc>
      </w:tr>
      <w:tr w:rsidR="00800760">
        <w:trPr>
          <w:trHeight w:val="20"/>
        </w:trPr>
        <w:tc>
          <w:tcPr>
            <w:tcW w:w="1297" w:type="pct"/>
            <w:shd w:val="clear" w:color="auto" w:fill="auto"/>
            <w:tcMar>
              <w:left w:w="57" w:type="dxa"/>
              <w:right w:w="57" w:type="dxa"/>
            </w:tcMar>
            <w:vAlign w:val="center"/>
          </w:tcPr>
          <w:p w:rsidR="00800760" w:rsidRDefault="00235733">
            <w:pPr>
              <w:spacing w:line="360" w:lineRule="auto"/>
              <w:ind w:right="-20" w:firstLineChars="0" w:firstLine="0"/>
              <w:jc w:val="center"/>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见证人</w:t>
            </w:r>
          </w:p>
        </w:tc>
        <w:tc>
          <w:tcPr>
            <w:tcW w:w="3703" w:type="pct"/>
            <w:shd w:val="clear" w:color="auto" w:fill="auto"/>
            <w:tcMar>
              <w:left w:w="57" w:type="dxa"/>
              <w:right w:w="57" w:type="dxa"/>
            </w:tcMar>
          </w:tcPr>
          <w:p w:rsidR="00800760" w:rsidRDefault="00235733">
            <w:pPr>
              <w:spacing w:line="360" w:lineRule="auto"/>
              <w:ind w:right="-20" w:firstLineChars="0" w:firstLine="0"/>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姓名：</w:t>
            </w:r>
          </w:p>
          <w:p w:rsidR="00800760" w:rsidRDefault="00235733">
            <w:pPr>
              <w:spacing w:line="360" w:lineRule="auto"/>
              <w:ind w:right="-20" w:firstLineChars="0" w:firstLine="0"/>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身份证明证件号码：</w:t>
            </w:r>
          </w:p>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单位：</w:t>
            </w:r>
          </w:p>
          <w:p w:rsidR="00800760" w:rsidRDefault="00235733">
            <w:pPr>
              <w:spacing w:line="360" w:lineRule="auto"/>
              <w:ind w:right="-20" w:firstLineChars="0" w:firstLine="0"/>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住所：</w:t>
            </w:r>
          </w:p>
          <w:p w:rsidR="00800760" w:rsidRDefault="00235733">
            <w:pPr>
              <w:spacing w:line="360" w:lineRule="auto"/>
              <w:ind w:right="-20" w:firstLineChars="0" w:firstLine="0"/>
              <w:rPr>
                <w:rFonts w:ascii="仿宋_GB2312" w:eastAsia="仿宋_GB2312" w:hAnsi="宋体" w:cs="Microsoft JhengHei"/>
                <w:b/>
                <w:color w:val="000000"/>
                <w:sz w:val="20"/>
                <w:szCs w:val="21"/>
                <w:lang w:eastAsia="en-US"/>
              </w:rPr>
            </w:pPr>
            <w:r>
              <w:rPr>
                <w:rFonts w:ascii="仿宋_GB2312" w:eastAsia="仿宋_GB2312" w:hAnsi="宋体" w:cs="Microsoft JhengHei" w:hint="eastAsia"/>
                <w:color w:val="000000"/>
                <w:sz w:val="20"/>
                <w:szCs w:val="21"/>
                <w:lang w:eastAsia="en-US"/>
              </w:rPr>
              <w:t>电话：</w:t>
            </w:r>
          </w:p>
        </w:tc>
      </w:tr>
      <w:tr w:rsidR="00800760">
        <w:trPr>
          <w:trHeight w:val="20"/>
        </w:trPr>
        <w:tc>
          <w:tcPr>
            <w:tcW w:w="1297" w:type="pct"/>
            <w:shd w:val="clear" w:color="auto" w:fill="auto"/>
            <w:tcMar>
              <w:left w:w="57" w:type="dxa"/>
              <w:right w:w="57" w:type="dxa"/>
            </w:tcMar>
            <w:vAlign w:val="center"/>
          </w:tcPr>
          <w:p w:rsidR="00800760" w:rsidRDefault="00235733">
            <w:pPr>
              <w:spacing w:line="360" w:lineRule="auto"/>
              <w:ind w:right="-20" w:firstLineChars="0" w:firstLine="0"/>
              <w:jc w:val="center"/>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告知情况</w:t>
            </w:r>
          </w:p>
        </w:tc>
        <w:tc>
          <w:tcPr>
            <w:tcW w:w="3703" w:type="pct"/>
            <w:shd w:val="clear" w:color="auto" w:fill="auto"/>
            <w:tcMar>
              <w:left w:w="57" w:type="dxa"/>
              <w:right w:w="57" w:type="dxa"/>
            </w:tcMar>
          </w:tcPr>
          <w:p w:rsidR="00800760" w:rsidRDefault="00800760">
            <w:pPr>
              <w:spacing w:line="360" w:lineRule="auto"/>
              <w:ind w:right="-20" w:firstLineChars="0" w:firstLine="422"/>
              <w:jc w:val="center"/>
              <w:rPr>
                <w:rFonts w:ascii="仿宋_GB2312" w:eastAsia="仿宋_GB2312" w:hAnsi="宋体" w:cs="Microsoft JhengHei"/>
                <w:b/>
                <w:color w:val="000000"/>
                <w:sz w:val="20"/>
                <w:szCs w:val="21"/>
                <w:lang w:eastAsia="en-US"/>
              </w:rPr>
            </w:pPr>
          </w:p>
        </w:tc>
      </w:tr>
      <w:tr w:rsidR="00800760">
        <w:trPr>
          <w:trHeight w:val="20"/>
        </w:trPr>
        <w:tc>
          <w:tcPr>
            <w:tcW w:w="1297" w:type="pct"/>
            <w:shd w:val="clear" w:color="auto" w:fill="auto"/>
            <w:tcMar>
              <w:left w:w="57" w:type="dxa"/>
              <w:right w:w="57" w:type="dxa"/>
            </w:tcMar>
            <w:vAlign w:val="center"/>
          </w:tcPr>
          <w:p w:rsidR="00800760" w:rsidRDefault="00235733">
            <w:pPr>
              <w:spacing w:line="360" w:lineRule="auto"/>
              <w:ind w:right="-20" w:firstLineChars="0" w:firstLine="0"/>
              <w:jc w:val="center"/>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检查情况</w:t>
            </w:r>
          </w:p>
        </w:tc>
        <w:tc>
          <w:tcPr>
            <w:tcW w:w="3703" w:type="pct"/>
            <w:shd w:val="clear" w:color="auto" w:fill="auto"/>
            <w:tcMar>
              <w:left w:w="57" w:type="dxa"/>
              <w:right w:w="57" w:type="dxa"/>
            </w:tcMar>
          </w:tcPr>
          <w:p w:rsidR="00800760" w:rsidRDefault="00800760">
            <w:pPr>
              <w:spacing w:line="360" w:lineRule="auto"/>
              <w:ind w:right="-20" w:firstLineChars="0" w:firstLine="422"/>
              <w:jc w:val="center"/>
              <w:rPr>
                <w:rFonts w:ascii="仿宋_GB2312" w:eastAsia="仿宋_GB2312" w:hAnsi="宋体" w:cs="Microsoft JhengHei"/>
                <w:b/>
                <w:color w:val="000000"/>
                <w:sz w:val="20"/>
                <w:szCs w:val="21"/>
                <w:lang w:eastAsia="en-US"/>
              </w:rPr>
            </w:pPr>
          </w:p>
        </w:tc>
      </w:tr>
      <w:tr w:rsidR="00800760">
        <w:trPr>
          <w:trHeight w:val="20"/>
        </w:trPr>
        <w:tc>
          <w:tcPr>
            <w:tcW w:w="1297" w:type="pct"/>
            <w:shd w:val="clear" w:color="auto" w:fill="auto"/>
            <w:tcMar>
              <w:left w:w="57" w:type="dxa"/>
              <w:right w:w="57" w:type="dxa"/>
            </w:tcMar>
            <w:vAlign w:val="center"/>
          </w:tcPr>
          <w:p w:rsidR="00800760" w:rsidRDefault="00235733">
            <w:pPr>
              <w:spacing w:line="360" w:lineRule="auto"/>
              <w:ind w:right="-20" w:firstLineChars="0" w:firstLine="0"/>
              <w:jc w:val="center"/>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检查人员（签章）</w:t>
            </w:r>
          </w:p>
        </w:tc>
        <w:tc>
          <w:tcPr>
            <w:tcW w:w="3703" w:type="pct"/>
            <w:shd w:val="clear" w:color="auto" w:fill="auto"/>
            <w:tcMar>
              <w:left w:w="57" w:type="dxa"/>
              <w:right w:w="57" w:type="dxa"/>
            </w:tcMar>
          </w:tcPr>
          <w:p w:rsidR="00800760" w:rsidRDefault="00800760">
            <w:pPr>
              <w:spacing w:line="360" w:lineRule="auto"/>
              <w:ind w:right="-20" w:firstLineChars="0" w:firstLine="0"/>
              <w:jc w:val="right"/>
              <w:rPr>
                <w:rFonts w:ascii="仿宋_GB2312" w:eastAsia="仿宋_GB2312" w:hAnsi="宋体" w:cs="Microsoft JhengHei"/>
                <w:color w:val="000000"/>
                <w:sz w:val="20"/>
                <w:szCs w:val="21"/>
                <w:lang w:eastAsia="en-US"/>
              </w:rPr>
            </w:pPr>
          </w:p>
          <w:p w:rsidR="00800760" w:rsidRDefault="00235733">
            <w:pPr>
              <w:spacing w:line="360" w:lineRule="auto"/>
              <w:ind w:right="-20" w:firstLineChars="0" w:firstLine="444"/>
              <w:jc w:val="right"/>
              <w:rPr>
                <w:rFonts w:ascii="仿宋_GB2312" w:eastAsia="仿宋_GB2312" w:hAnsi="宋体" w:cs="Microsoft JhengHei"/>
                <w:color w:val="000000"/>
                <w:sz w:val="20"/>
                <w:szCs w:val="21"/>
                <w:lang w:eastAsia="en-US"/>
              </w:rPr>
            </w:pPr>
            <w:r>
              <w:rPr>
                <w:rFonts w:ascii="仿宋_GB2312" w:eastAsia="仿宋_GB2312" w:hAnsi="宋体" w:hint="eastAsia"/>
                <w:color w:val="000000"/>
                <w:spacing w:val="6"/>
                <w:sz w:val="20"/>
                <w:szCs w:val="21"/>
                <w:u w:val="single"/>
                <w:lang w:eastAsia="en-US"/>
              </w:rPr>
              <w:t xml:space="preserve">       </w:t>
            </w:r>
            <w:r>
              <w:rPr>
                <w:rFonts w:ascii="仿宋_GB2312" w:eastAsia="仿宋_GB2312" w:hAnsi="宋体" w:hint="eastAsia"/>
                <w:color w:val="000000"/>
                <w:spacing w:val="6"/>
                <w:sz w:val="20"/>
                <w:szCs w:val="21"/>
                <w:lang w:eastAsia="en-US"/>
              </w:rPr>
              <w:t>年</w:t>
            </w:r>
            <w:r>
              <w:rPr>
                <w:rFonts w:ascii="仿宋_GB2312" w:eastAsia="仿宋_GB2312" w:hAnsi="宋体" w:hint="eastAsia"/>
                <w:color w:val="000000"/>
                <w:spacing w:val="6"/>
                <w:sz w:val="20"/>
                <w:szCs w:val="21"/>
                <w:u w:val="single"/>
                <w:lang w:eastAsia="en-US"/>
              </w:rPr>
              <w:t xml:space="preserve">    </w:t>
            </w:r>
            <w:r>
              <w:rPr>
                <w:rFonts w:ascii="仿宋_GB2312" w:eastAsia="仿宋_GB2312" w:hAnsi="宋体" w:hint="eastAsia"/>
                <w:color w:val="000000"/>
                <w:spacing w:val="6"/>
                <w:sz w:val="20"/>
                <w:szCs w:val="21"/>
                <w:lang w:eastAsia="en-US"/>
              </w:rPr>
              <w:t>月</w:t>
            </w:r>
            <w:r>
              <w:rPr>
                <w:rFonts w:ascii="仿宋_GB2312" w:eastAsia="仿宋_GB2312" w:hAnsi="宋体" w:hint="eastAsia"/>
                <w:color w:val="000000"/>
                <w:spacing w:val="6"/>
                <w:sz w:val="20"/>
                <w:szCs w:val="21"/>
                <w:u w:val="single"/>
                <w:lang w:eastAsia="en-US"/>
              </w:rPr>
              <w:t xml:space="preserve">    </w:t>
            </w:r>
            <w:r>
              <w:rPr>
                <w:rFonts w:ascii="仿宋_GB2312" w:eastAsia="仿宋_GB2312" w:hAnsi="宋体" w:hint="eastAsia"/>
                <w:color w:val="000000"/>
                <w:spacing w:val="6"/>
                <w:sz w:val="20"/>
                <w:szCs w:val="21"/>
                <w:lang w:eastAsia="en-US"/>
              </w:rPr>
              <w:t>日</w:t>
            </w:r>
          </w:p>
        </w:tc>
      </w:tr>
      <w:tr w:rsidR="00800760">
        <w:trPr>
          <w:trHeight w:val="20"/>
        </w:trPr>
        <w:tc>
          <w:tcPr>
            <w:tcW w:w="1297" w:type="pct"/>
            <w:shd w:val="clear" w:color="auto" w:fill="auto"/>
            <w:tcMar>
              <w:left w:w="57" w:type="dxa"/>
              <w:right w:w="57" w:type="dxa"/>
            </w:tcMar>
            <w:vAlign w:val="center"/>
          </w:tcPr>
          <w:p w:rsidR="00800760" w:rsidRDefault="00235733">
            <w:pPr>
              <w:spacing w:line="360" w:lineRule="auto"/>
              <w:ind w:right="-20" w:firstLineChars="0" w:firstLine="0"/>
              <w:jc w:val="center"/>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当事人或见证人（签章）</w:t>
            </w:r>
          </w:p>
        </w:tc>
        <w:tc>
          <w:tcPr>
            <w:tcW w:w="3703" w:type="pct"/>
            <w:shd w:val="clear" w:color="auto" w:fill="auto"/>
            <w:tcMar>
              <w:left w:w="57" w:type="dxa"/>
              <w:right w:w="57" w:type="dxa"/>
            </w:tcMar>
          </w:tcPr>
          <w:p w:rsidR="00800760" w:rsidRDefault="00800760">
            <w:pPr>
              <w:spacing w:line="360" w:lineRule="auto"/>
              <w:ind w:right="-20" w:firstLineChars="0" w:firstLine="0"/>
              <w:jc w:val="right"/>
              <w:rPr>
                <w:rFonts w:ascii="仿宋_GB2312" w:eastAsia="仿宋_GB2312" w:hAnsi="宋体" w:cs="Microsoft JhengHei"/>
                <w:color w:val="000000"/>
                <w:sz w:val="20"/>
                <w:szCs w:val="21"/>
              </w:rPr>
            </w:pPr>
          </w:p>
          <w:p w:rsidR="00800760" w:rsidRDefault="00235733">
            <w:pPr>
              <w:spacing w:line="360" w:lineRule="auto"/>
              <w:ind w:right="-20" w:firstLineChars="0" w:firstLine="444"/>
              <w:jc w:val="right"/>
              <w:rPr>
                <w:rFonts w:ascii="仿宋_GB2312" w:eastAsia="仿宋_GB2312" w:hAnsi="宋体" w:cs="Microsoft JhengHei"/>
                <w:color w:val="000000"/>
                <w:sz w:val="20"/>
                <w:szCs w:val="21"/>
                <w:lang w:eastAsia="en-US"/>
              </w:rPr>
            </w:pP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lang w:eastAsia="en-US"/>
              </w:rPr>
              <w:t>年</w:t>
            </w:r>
            <w:r>
              <w:rPr>
                <w:rFonts w:ascii="仿宋_GB2312" w:eastAsia="仿宋_GB2312" w:hAnsi="宋体" w:hint="eastAsia"/>
                <w:color w:val="000000"/>
                <w:spacing w:val="6"/>
                <w:sz w:val="20"/>
                <w:szCs w:val="21"/>
                <w:u w:val="single"/>
                <w:lang w:eastAsia="en-US"/>
              </w:rPr>
              <w:t xml:space="preserve">    </w:t>
            </w:r>
            <w:r>
              <w:rPr>
                <w:rFonts w:ascii="仿宋_GB2312" w:eastAsia="仿宋_GB2312" w:hAnsi="宋体" w:hint="eastAsia"/>
                <w:color w:val="000000"/>
                <w:spacing w:val="6"/>
                <w:sz w:val="20"/>
                <w:szCs w:val="21"/>
                <w:lang w:eastAsia="en-US"/>
              </w:rPr>
              <w:t>月</w:t>
            </w:r>
            <w:r>
              <w:rPr>
                <w:rFonts w:ascii="仿宋_GB2312" w:eastAsia="仿宋_GB2312" w:hAnsi="宋体" w:hint="eastAsia"/>
                <w:color w:val="000000"/>
                <w:spacing w:val="6"/>
                <w:sz w:val="20"/>
                <w:szCs w:val="21"/>
                <w:u w:val="single"/>
                <w:lang w:eastAsia="en-US"/>
              </w:rPr>
              <w:t xml:space="preserve">    </w:t>
            </w:r>
            <w:r>
              <w:rPr>
                <w:rFonts w:ascii="仿宋_GB2312" w:eastAsia="仿宋_GB2312" w:hAnsi="宋体" w:hint="eastAsia"/>
                <w:color w:val="000000"/>
                <w:spacing w:val="6"/>
                <w:sz w:val="20"/>
                <w:szCs w:val="21"/>
                <w:lang w:eastAsia="en-US"/>
              </w:rPr>
              <w:t>日</w:t>
            </w:r>
          </w:p>
        </w:tc>
      </w:tr>
    </w:tbl>
    <w:p w:rsidR="00800760" w:rsidRDefault="00235733" w:rsidP="00235733">
      <w:pPr>
        <w:keepNext/>
        <w:keepLines/>
        <w:widowControl w:val="0"/>
        <w:ind w:firstLine="561"/>
        <w:jc w:val="center"/>
        <w:outlineLvl w:val="0"/>
        <w:rPr>
          <w:rFonts w:ascii="方正小标宋_GBK" w:eastAsia="方正小标宋_GBK" w:hAnsi="宋体" w:cs="PMingLiU"/>
          <w:color w:val="000000"/>
          <w:spacing w:val="6"/>
          <w:kern w:val="2"/>
          <w:sz w:val="36"/>
          <w:szCs w:val="36"/>
          <w:lang w:val="en-US"/>
        </w:rPr>
      </w:pPr>
      <w:r>
        <w:rPr>
          <w:rFonts w:ascii="宋体" w:eastAsia="PMingLiU" w:hAnsi="宋体" w:cs="PMingLiU"/>
          <w:b/>
          <w:color w:val="000000"/>
          <w:kern w:val="2"/>
          <w:sz w:val="28"/>
          <w:szCs w:val="21"/>
          <w:lang w:val="en-US"/>
        </w:rPr>
        <w:br w:type="page"/>
      </w:r>
      <w:bookmarkStart w:id="9318" w:name="_Toc229225667"/>
      <w:r>
        <w:rPr>
          <w:rFonts w:ascii="方正小标宋_GBK" w:eastAsia="方正小标宋_GBK" w:hAnsi="宋体" w:cs="PMingLiU"/>
          <w:color w:val="000000"/>
          <w:spacing w:val="6"/>
          <w:kern w:val="2"/>
          <w:sz w:val="36"/>
          <w:szCs w:val="36"/>
          <w:lang w:val="en-US"/>
        </w:rPr>
        <w:t>专利侵权纠纷案件中止处理通知书</w:t>
      </w:r>
      <w:bookmarkEnd w:id="9318"/>
    </w:p>
    <w:p w:rsidR="00800760" w:rsidRDefault="00235733">
      <w:pPr>
        <w:widowControl w:val="0"/>
        <w:ind w:firstLineChars="0" w:firstLine="0"/>
        <w:jc w:val="right"/>
        <w:rPr>
          <w:rFonts w:ascii="仿宋" w:eastAsia="仿宋_GB2312" w:hAnsi="仿宋"/>
          <w:color w:val="000000"/>
          <w:sz w:val="20"/>
        </w:rPr>
      </w:pPr>
      <w:r>
        <w:rPr>
          <w:rFonts w:ascii="仿宋" w:eastAsia="仿宋_GB2312" w:hAnsi="仿宋"/>
          <w:color w:val="000000"/>
          <w:sz w:val="20"/>
          <w:lang w:eastAsia="en-US"/>
        </w:rPr>
        <w:t>案号：</w:t>
      </w:r>
      <w:r>
        <w:rPr>
          <w:rFonts w:ascii="仿宋" w:eastAsia="仿宋_GB2312" w:hAnsi="仿宋" w:hint="eastAsia"/>
          <w:color w:val="000000"/>
          <w:sz w:val="20"/>
        </w:rPr>
        <w:t>____________________</w:t>
      </w:r>
    </w:p>
    <w:tbl>
      <w:tblPr>
        <w:tblW w:w="5000" w:type="pct"/>
        <w:jc w:val="center"/>
        <w:tblCellMar>
          <w:left w:w="10" w:type="dxa"/>
          <w:right w:w="10" w:type="dxa"/>
        </w:tblCellMar>
        <w:tblLook w:val="04A0"/>
      </w:tblPr>
      <w:tblGrid>
        <w:gridCol w:w="1942"/>
        <w:gridCol w:w="7925"/>
      </w:tblGrid>
      <w:tr w:rsidR="00800760">
        <w:trPr>
          <w:trHeight w:val="20"/>
          <w:jc w:val="center"/>
        </w:trPr>
        <w:tc>
          <w:tcPr>
            <w:tcW w:w="984"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4016"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984"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4016"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984"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4016"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984"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016"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984"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4016"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r>
    </w:tbl>
    <w:p w:rsidR="00800760" w:rsidRDefault="00235733" w:rsidP="00C22A7B">
      <w:pPr>
        <w:spacing w:beforeLines="50" w:afterLines="50"/>
        <w:ind w:right="720" w:firstLineChars="0" w:firstLine="0"/>
        <w:rPr>
          <w:rFonts w:ascii="仿宋" w:eastAsia="仿宋_GB2312" w:hAnsi="仿宋"/>
          <w:color w:val="000000"/>
          <w:sz w:val="20"/>
          <w:lang w:eastAsia="en-US"/>
        </w:rPr>
      </w:pPr>
      <w:r>
        <w:rPr>
          <w:rFonts w:ascii="仿宋_GB2312" w:eastAsia="仿宋_GB2312" w:hAnsi="宋体" w:hint="eastAsia"/>
          <w:color w:val="000000"/>
          <w:spacing w:val="6"/>
          <w:sz w:val="20"/>
          <w:u w:val="single"/>
        </w:rPr>
        <w:t xml:space="preserve">                      </w:t>
      </w:r>
      <w:r>
        <w:rPr>
          <w:rFonts w:ascii="仿宋" w:eastAsia="仿宋_GB2312" w:hAnsi="仿宋" w:hint="eastAsia"/>
          <w:color w:val="000000"/>
          <w:sz w:val="20"/>
          <w:lang w:eastAsia="en-US"/>
        </w:rPr>
        <w:t>：</w:t>
      </w:r>
      <w:r>
        <w:rPr>
          <w:rFonts w:ascii="仿宋" w:eastAsia="仿宋_GB2312" w:hAnsi="仿宋"/>
          <w:color w:val="000000"/>
          <w:sz w:val="20"/>
          <w:lang w:eastAsia="en-US"/>
        </w:rPr>
        <w:t xml:space="preserve"> </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hint="eastAsia"/>
          <w:color w:val="000000"/>
          <w:sz w:val="20"/>
        </w:rPr>
        <w:t>由于以下原因：</w:t>
      </w:r>
    </w:p>
    <w:p w:rsidR="00800760" w:rsidRDefault="00235733" w:rsidP="00C22A7B">
      <w:pPr>
        <w:spacing w:beforeLines="50" w:afterLines="50"/>
        <w:ind w:firstLine="400"/>
        <w:rPr>
          <w:rFonts w:ascii="仿宋_GB2312" w:eastAsia="仿宋_GB2312" w:hAnsi="仿宋"/>
          <w:color w:val="000000"/>
          <w:sz w:val="20"/>
        </w:rPr>
      </w:pPr>
      <w:r>
        <w:rPr>
          <w:rFonts w:ascii="仿宋_GB2312" w:eastAsia="仿宋_GB2312" w:hAnsi="仿宋" w:hint="eastAsia"/>
          <w:color w:val="000000"/>
          <w:sz w:val="20"/>
        </w:rPr>
        <w:t>□涉案实用新型、外观设计专利权被申请宣告无效并被国务院专利行政部门受理；</w:t>
      </w:r>
    </w:p>
    <w:p w:rsidR="00800760" w:rsidRDefault="00235733" w:rsidP="00C22A7B">
      <w:pPr>
        <w:spacing w:beforeLines="50" w:afterLines="50"/>
        <w:ind w:firstLine="400"/>
        <w:rPr>
          <w:rFonts w:ascii="仿宋_GB2312" w:eastAsia="仿宋_GB2312" w:hAnsi="仿宋"/>
          <w:color w:val="000000"/>
          <w:sz w:val="20"/>
        </w:rPr>
      </w:pPr>
      <w:r>
        <w:rPr>
          <w:rFonts w:ascii="仿宋_GB2312" w:eastAsia="仿宋_GB2312" w:hAnsi="仿宋" w:hint="eastAsia"/>
          <w:color w:val="000000"/>
          <w:sz w:val="20"/>
        </w:rPr>
        <w:t>□一方当事人死亡，需要等待继承人表明是否参加审理；</w:t>
      </w:r>
    </w:p>
    <w:p w:rsidR="00800760" w:rsidRDefault="00235733" w:rsidP="00C22A7B">
      <w:pPr>
        <w:spacing w:beforeLines="50" w:afterLines="50"/>
        <w:ind w:firstLine="400"/>
        <w:rPr>
          <w:rFonts w:ascii="仿宋_GB2312" w:eastAsia="仿宋_GB2312" w:hAnsi="仿宋"/>
          <w:color w:val="000000"/>
          <w:sz w:val="20"/>
        </w:rPr>
      </w:pPr>
      <w:r>
        <w:rPr>
          <w:rFonts w:ascii="仿宋_GB2312" w:eastAsia="仿宋_GB2312" w:hAnsi="仿宋" w:hint="eastAsia"/>
          <w:color w:val="000000"/>
          <w:sz w:val="20"/>
        </w:rPr>
        <w:t>□一方当事人丧失民事行为能力，尚未确定法定代理人；</w:t>
      </w:r>
    </w:p>
    <w:p w:rsidR="00800760" w:rsidRDefault="00235733" w:rsidP="00C22A7B">
      <w:pPr>
        <w:spacing w:beforeLines="50" w:afterLines="50"/>
        <w:ind w:firstLine="400"/>
        <w:rPr>
          <w:rFonts w:ascii="仿宋_GB2312" w:eastAsia="仿宋_GB2312" w:hAnsi="仿宋"/>
          <w:color w:val="000000"/>
          <w:sz w:val="20"/>
        </w:rPr>
      </w:pPr>
      <w:r>
        <w:rPr>
          <w:rFonts w:ascii="仿宋_GB2312" w:eastAsia="仿宋_GB2312" w:hAnsi="仿宋" w:hint="eastAsia"/>
          <w:color w:val="000000"/>
          <w:sz w:val="20"/>
        </w:rPr>
        <w:t>□作为一方当事人的法人或者非法人组织终止，尚未确定权利义务承受人；</w:t>
      </w:r>
    </w:p>
    <w:p w:rsidR="00800760" w:rsidRDefault="00235733" w:rsidP="00C22A7B">
      <w:pPr>
        <w:spacing w:beforeLines="50" w:afterLines="50"/>
        <w:ind w:firstLine="400"/>
        <w:rPr>
          <w:rFonts w:ascii="仿宋" w:eastAsia="仿宋_GB2312" w:hAnsi="仿宋"/>
          <w:color w:val="000000"/>
          <w:sz w:val="20"/>
        </w:rPr>
      </w:pPr>
      <w:r>
        <w:rPr>
          <w:rFonts w:ascii="仿宋_GB2312" w:eastAsia="仿宋_GB2312" w:hAnsi="仿宋" w:hint="eastAsia"/>
          <w:color w:val="000000"/>
          <w:sz w:val="20"/>
        </w:rPr>
        <w:t>□一方当事人因不可抗拒的事由，不能参加审理；</w:t>
      </w:r>
    </w:p>
    <w:p w:rsidR="00800760" w:rsidRDefault="00235733" w:rsidP="00C22A7B">
      <w:pPr>
        <w:spacing w:beforeLines="50" w:afterLines="50"/>
        <w:ind w:firstLine="400"/>
        <w:rPr>
          <w:rFonts w:ascii="仿宋_GB2312" w:eastAsia="仿宋_GB2312" w:hAnsi="仿宋"/>
          <w:color w:val="000000"/>
          <w:sz w:val="20"/>
        </w:rPr>
      </w:pPr>
      <w:r>
        <w:rPr>
          <w:rFonts w:ascii="仿宋_GB2312" w:eastAsia="仿宋_GB2312" w:hAnsi="仿宋" w:hint="eastAsia"/>
          <w:color w:val="000000"/>
          <w:sz w:val="20"/>
        </w:rPr>
        <w:t>□该案必须以另一案的审理结果为依据，而另一案尚未审结；</w:t>
      </w:r>
    </w:p>
    <w:p w:rsidR="00800760" w:rsidRDefault="00235733" w:rsidP="00C22A7B">
      <w:pPr>
        <w:spacing w:beforeLines="50" w:afterLines="50"/>
        <w:ind w:firstLine="400"/>
        <w:rPr>
          <w:rFonts w:ascii="仿宋_GB2312" w:eastAsia="仿宋_GB2312" w:hAnsi="仿宋"/>
          <w:color w:val="000000"/>
          <w:sz w:val="20"/>
        </w:rPr>
      </w:pPr>
      <w:r>
        <w:rPr>
          <w:rFonts w:ascii="仿宋_GB2312" w:eastAsia="仿宋_GB2312" w:hAnsi="仿宋" w:hint="eastAsia"/>
          <w:color w:val="000000"/>
          <w:sz w:val="20"/>
        </w:rPr>
        <w:t>□向上级部门请示，属于法律适用问题等确需等待批复后继续审理。</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根据《</w:t>
      </w:r>
      <w:r>
        <w:rPr>
          <w:rFonts w:ascii="仿宋" w:eastAsia="仿宋_GB2312" w:hAnsi="仿宋" w:hint="eastAsia"/>
          <w:color w:val="000000"/>
          <w:sz w:val="20"/>
        </w:rPr>
        <w:t>专利纠纷行政裁决和调解办法</w:t>
      </w:r>
      <w:r>
        <w:rPr>
          <w:rFonts w:ascii="仿宋" w:eastAsia="仿宋_GB2312" w:hAnsi="仿宋"/>
          <w:color w:val="000000"/>
          <w:sz w:val="20"/>
        </w:rPr>
        <w:t>》第</w:t>
      </w:r>
      <w:r>
        <w:rPr>
          <w:rFonts w:ascii="仿宋" w:eastAsia="仿宋_GB2312" w:hAnsi="仿宋" w:hint="eastAsia"/>
          <w:color w:val="000000"/>
          <w:sz w:val="20"/>
        </w:rPr>
        <w:t>二十八</w:t>
      </w:r>
      <w:r>
        <w:rPr>
          <w:rFonts w:ascii="仿宋" w:eastAsia="仿宋_GB2312" w:hAnsi="仿宋"/>
          <w:color w:val="000000"/>
          <w:sz w:val="20"/>
        </w:rPr>
        <w:t>条的规定，本局决定自</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 w:eastAsia="仿宋_GB2312" w:hAnsi="仿宋"/>
          <w:color w:val="000000"/>
          <w:sz w:val="20"/>
        </w:rPr>
        <w:t>起中止对本案的处理。恢复处理的时间将另行通知。</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特此通知。</w:t>
      </w:r>
    </w:p>
    <w:p w:rsidR="00800760" w:rsidRDefault="00800760" w:rsidP="00C22A7B">
      <w:pPr>
        <w:spacing w:beforeLines="50" w:afterLines="50"/>
        <w:ind w:left="440" w:firstLineChars="0" w:firstLine="0"/>
        <w:rPr>
          <w:rFonts w:ascii="仿宋_GB2312" w:eastAsia="仿宋_GB2312" w:hAnsi="仿宋"/>
          <w:color w:val="000000"/>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rsidP="00235733">
      <w:pPr>
        <w:widowControl w:val="0"/>
        <w:ind w:left="440" w:firstLine="400"/>
        <w:jc w:val="distribute"/>
        <w:rPr>
          <w:rFonts w:ascii="仿宋_GB2312" w:eastAsia="仿宋_GB2312" w:hAnsi="仿宋" w:cs="PMingLiU"/>
          <w:color w:val="000000"/>
          <w:kern w:val="2"/>
          <w:sz w:val="20"/>
          <w:lang w:val="en-US"/>
        </w:rPr>
      </w:pPr>
    </w:p>
    <w:p w:rsidR="00800760" w:rsidRDefault="00235733">
      <w:pPr>
        <w:spacing w:line="24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说明：本通知书一式三份，当事人各一份，一份由知识产权局存档。</w:t>
      </w:r>
    </w:p>
    <w:p w:rsidR="00800760" w:rsidRDefault="00235733">
      <w:pPr>
        <w:spacing w:line="240" w:lineRule="auto"/>
        <w:ind w:firstLineChars="0" w:firstLine="0"/>
        <w:rPr>
          <w:rFonts w:ascii="仿宋_GB2312" w:eastAsia="仿宋_GB2312" w:hAnsi="仿宋"/>
          <w:color w:val="000000"/>
          <w:szCs w:val="21"/>
        </w:rPr>
      </w:pPr>
      <w:r>
        <w:rPr>
          <w:rFonts w:ascii="仿宋_GB2312" w:eastAsia="仿宋_GB2312" w:hAnsi="仿宋"/>
          <w:color w:val="000000"/>
          <w:szCs w:val="21"/>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重大专利侵权纠纷行政裁决中止处理通知书</w:t>
      </w:r>
    </w:p>
    <w:p w:rsidR="00800760" w:rsidRDefault="00235733">
      <w:pPr>
        <w:spacing w:line="360" w:lineRule="auto"/>
        <w:ind w:firstLineChars="0" w:firstLine="0"/>
        <w:jc w:val="right"/>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案号：____________________</w:t>
      </w:r>
    </w:p>
    <w:tbl>
      <w:tblPr>
        <w:tblW w:w="5000" w:type="pct"/>
        <w:jc w:val="center"/>
        <w:tblCellMar>
          <w:left w:w="10" w:type="dxa"/>
          <w:right w:w="10" w:type="dxa"/>
        </w:tblCellMar>
        <w:tblLook w:val="04A0"/>
      </w:tblPr>
      <w:tblGrid>
        <w:gridCol w:w="1942"/>
        <w:gridCol w:w="7925"/>
      </w:tblGrid>
      <w:tr w:rsidR="00800760">
        <w:trPr>
          <w:trHeight w:val="20"/>
          <w:jc w:val="center"/>
        </w:trPr>
        <w:tc>
          <w:tcPr>
            <w:tcW w:w="984"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专利号</w:t>
            </w:r>
          </w:p>
        </w:tc>
        <w:tc>
          <w:tcPr>
            <w:tcW w:w="4016"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jc w:val="center"/>
        </w:trPr>
        <w:tc>
          <w:tcPr>
            <w:tcW w:w="984"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专利名称</w:t>
            </w:r>
          </w:p>
        </w:tc>
        <w:tc>
          <w:tcPr>
            <w:tcW w:w="4016"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jc w:val="center"/>
        </w:trPr>
        <w:tc>
          <w:tcPr>
            <w:tcW w:w="984"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专利权人</w:t>
            </w:r>
          </w:p>
        </w:tc>
        <w:tc>
          <w:tcPr>
            <w:tcW w:w="4016"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jc w:val="center"/>
        </w:trPr>
        <w:tc>
          <w:tcPr>
            <w:tcW w:w="984"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请求人</w:t>
            </w:r>
          </w:p>
        </w:tc>
        <w:tc>
          <w:tcPr>
            <w:tcW w:w="4016"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r w:rsidR="00800760">
        <w:trPr>
          <w:trHeight w:val="20"/>
          <w:jc w:val="center"/>
        </w:trPr>
        <w:tc>
          <w:tcPr>
            <w:tcW w:w="984"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被请求人</w:t>
            </w:r>
          </w:p>
        </w:tc>
        <w:tc>
          <w:tcPr>
            <w:tcW w:w="4016"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szCs w:val="21"/>
                <w:lang w:eastAsia="en-US"/>
              </w:rPr>
            </w:pPr>
          </w:p>
        </w:tc>
      </w:tr>
    </w:tbl>
    <w:p w:rsidR="00800760" w:rsidRDefault="00800760">
      <w:pPr>
        <w:spacing w:line="360" w:lineRule="auto"/>
        <w:ind w:right="720" w:firstLineChars="0" w:firstLine="0"/>
        <w:rPr>
          <w:rFonts w:ascii="仿宋_GB2312" w:eastAsia="仿宋_GB2312" w:hAnsi="宋体"/>
          <w:color w:val="000000"/>
          <w:spacing w:val="6"/>
          <w:sz w:val="20"/>
          <w:szCs w:val="21"/>
          <w:u w:val="single"/>
        </w:rPr>
      </w:pPr>
    </w:p>
    <w:p w:rsidR="00800760" w:rsidRDefault="00235733">
      <w:pPr>
        <w:spacing w:line="360" w:lineRule="auto"/>
        <w:ind w:right="720" w:firstLineChars="0" w:firstLine="0"/>
        <w:rPr>
          <w:rFonts w:ascii="仿宋_GB2312" w:eastAsia="仿宋_GB2312" w:hAnsi="仿宋"/>
          <w:color w:val="000000"/>
          <w:sz w:val="20"/>
          <w:szCs w:val="21"/>
          <w:lang w:eastAsia="en-US"/>
        </w:rPr>
      </w:pPr>
      <w:r>
        <w:rPr>
          <w:rFonts w:ascii="仿宋_GB2312" w:eastAsia="仿宋_GB2312" w:hAnsi="宋体" w:hint="eastAsia"/>
          <w:color w:val="000000"/>
          <w:spacing w:val="6"/>
          <w:sz w:val="20"/>
          <w:szCs w:val="21"/>
          <w:u w:val="single"/>
          <w:lang w:eastAsia="en-US"/>
        </w:rPr>
        <w:t xml:space="preserve">                      </w:t>
      </w:r>
      <w:r>
        <w:rPr>
          <w:rFonts w:ascii="仿宋_GB2312" w:eastAsia="仿宋_GB2312" w:hAnsi="仿宋" w:hint="eastAsia"/>
          <w:color w:val="000000"/>
          <w:sz w:val="20"/>
          <w:szCs w:val="21"/>
          <w:lang w:eastAsia="en-US"/>
        </w:rPr>
        <w:t>：</w:t>
      </w:r>
    </w:p>
    <w:p w:rsidR="00800760" w:rsidRDefault="00235733" w:rsidP="00C22A7B">
      <w:pPr>
        <w:spacing w:beforeLines="50" w:afterLines="50"/>
        <w:ind w:firstLine="400"/>
        <w:rPr>
          <w:rFonts w:ascii="仿宋" w:eastAsia="仿宋_GB2312" w:hAnsi="仿宋"/>
          <w:color w:val="000000"/>
          <w:sz w:val="20"/>
          <w:szCs w:val="21"/>
        </w:rPr>
      </w:pPr>
      <w:r>
        <w:rPr>
          <w:rFonts w:ascii="仿宋" w:eastAsia="仿宋_GB2312" w:hAnsi="仿宋" w:hint="eastAsia"/>
          <w:color w:val="000000"/>
          <w:sz w:val="20"/>
          <w:szCs w:val="21"/>
        </w:rPr>
        <w:t>由于以下原因：</w:t>
      </w:r>
    </w:p>
    <w:p w:rsidR="00800760" w:rsidRDefault="00235733" w:rsidP="00C22A7B">
      <w:pPr>
        <w:spacing w:beforeLines="50" w:afterLines="50"/>
        <w:ind w:firstLine="400"/>
        <w:rPr>
          <w:rFonts w:ascii="仿宋_GB2312" w:eastAsia="仿宋_GB2312" w:hAnsi="仿宋"/>
          <w:color w:val="000000"/>
          <w:sz w:val="20"/>
          <w:szCs w:val="21"/>
        </w:rPr>
      </w:pPr>
      <w:r>
        <w:rPr>
          <w:rFonts w:ascii="仿宋_GB2312" w:eastAsia="仿宋_GB2312" w:hAnsi="仿宋" w:hint="eastAsia"/>
          <w:color w:val="000000"/>
          <w:sz w:val="20"/>
          <w:szCs w:val="21"/>
        </w:rPr>
        <w:t>□涉案实用新型、外观设计专利权被申请宣告无效并被国务院专利行政部门受理；</w:t>
      </w:r>
    </w:p>
    <w:p w:rsidR="00800760" w:rsidRDefault="00235733" w:rsidP="00C22A7B">
      <w:pPr>
        <w:spacing w:beforeLines="50" w:afterLines="50"/>
        <w:ind w:firstLine="400"/>
        <w:rPr>
          <w:rFonts w:ascii="仿宋_GB2312" w:eastAsia="仿宋_GB2312" w:hAnsi="仿宋"/>
          <w:color w:val="000000"/>
          <w:sz w:val="20"/>
          <w:szCs w:val="21"/>
        </w:rPr>
      </w:pPr>
      <w:r>
        <w:rPr>
          <w:rFonts w:ascii="仿宋_GB2312" w:eastAsia="仿宋_GB2312" w:hAnsi="仿宋" w:hint="eastAsia"/>
          <w:color w:val="000000"/>
          <w:sz w:val="20"/>
          <w:szCs w:val="21"/>
        </w:rPr>
        <w:t>□一方当事人死亡，需要等待继承人表明是否参加审理；</w:t>
      </w:r>
    </w:p>
    <w:p w:rsidR="00800760" w:rsidRDefault="00235733" w:rsidP="00C22A7B">
      <w:pPr>
        <w:spacing w:beforeLines="50" w:afterLines="50"/>
        <w:ind w:firstLine="400"/>
        <w:rPr>
          <w:rFonts w:ascii="仿宋_GB2312" w:eastAsia="仿宋_GB2312" w:hAnsi="仿宋"/>
          <w:color w:val="000000"/>
          <w:sz w:val="20"/>
          <w:szCs w:val="21"/>
        </w:rPr>
      </w:pPr>
      <w:r>
        <w:rPr>
          <w:rFonts w:ascii="仿宋_GB2312" w:eastAsia="仿宋_GB2312" w:hAnsi="仿宋" w:hint="eastAsia"/>
          <w:color w:val="000000"/>
          <w:sz w:val="20"/>
          <w:szCs w:val="21"/>
        </w:rPr>
        <w:t>□一方当事人丧失民事行为能力，尚未确定法定代理人；</w:t>
      </w:r>
    </w:p>
    <w:p w:rsidR="00800760" w:rsidRDefault="00235733" w:rsidP="00C22A7B">
      <w:pPr>
        <w:spacing w:beforeLines="50" w:afterLines="50"/>
        <w:ind w:firstLine="400"/>
        <w:rPr>
          <w:rFonts w:ascii="仿宋_GB2312" w:eastAsia="仿宋_GB2312" w:hAnsi="仿宋"/>
          <w:color w:val="000000"/>
          <w:sz w:val="20"/>
          <w:szCs w:val="21"/>
        </w:rPr>
      </w:pPr>
      <w:r>
        <w:rPr>
          <w:rFonts w:ascii="仿宋_GB2312" w:eastAsia="仿宋_GB2312" w:hAnsi="仿宋" w:hint="eastAsia"/>
          <w:color w:val="000000"/>
          <w:sz w:val="20"/>
          <w:szCs w:val="21"/>
        </w:rPr>
        <w:t>□作为一方当事人的法人或者非法人组织终止，尚未确定权利义务承受人；</w:t>
      </w:r>
    </w:p>
    <w:p w:rsidR="00800760" w:rsidRDefault="00235733" w:rsidP="00C22A7B">
      <w:pPr>
        <w:spacing w:beforeLines="50" w:afterLines="50"/>
        <w:ind w:firstLine="400"/>
        <w:rPr>
          <w:rFonts w:ascii="仿宋" w:eastAsia="仿宋_GB2312" w:hAnsi="仿宋"/>
          <w:color w:val="000000"/>
          <w:szCs w:val="21"/>
        </w:rPr>
      </w:pPr>
      <w:r>
        <w:rPr>
          <w:rFonts w:ascii="仿宋_GB2312" w:eastAsia="仿宋_GB2312" w:hAnsi="仿宋" w:hint="eastAsia"/>
          <w:color w:val="000000"/>
          <w:sz w:val="20"/>
          <w:szCs w:val="21"/>
        </w:rPr>
        <w:t>□一方当事人因不可抗拒的事由，不能参加审理；</w:t>
      </w:r>
    </w:p>
    <w:p w:rsidR="00800760" w:rsidRDefault="00235733" w:rsidP="00C22A7B">
      <w:pPr>
        <w:spacing w:beforeLines="50" w:afterLines="50"/>
        <w:ind w:firstLine="400"/>
        <w:rPr>
          <w:rFonts w:ascii="仿宋_GB2312" w:eastAsia="仿宋_GB2312" w:hAnsi="仿宋"/>
          <w:color w:val="000000"/>
          <w:sz w:val="20"/>
          <w:szCs w:val="21"/>
        </w:rPr>
      </w:pPr>
      <w:r>
        <w:rPr>
          <w:rFonts w:ascii="仿宋_GB2312" w:eastAsia="仿宋_GB2312" w:hAnsi="仿宋" w:hint="eastAsia"/>
          <w:color w:val="000000"/>
          <w:sz w:val="20"/>
          <w:szCs w:val="21"/>
        </w:rPr>
        <w:t>□该案必须以另一案的审理结果为依据，而另一案尚未审结；</w:t>
      </w:r>
    </w:p>
    <w:p w:rsidR="00800760" w:rsidRDefault="00235733" w:rsidP="00C22A7B">
      <w:pPr>
        <w:spacing w:beforeLines="50" w:afterLines="50"/>
        <w:ind w:firstLine="400"/>
        <w:rPr>
          <w:rFonts w:ascii="仿宋_GB2312" w:eastAsia="仿宋_GB2312" w:hAnsi="仿宋"/>
          <w:color w:val="000000"/>
          <w:sz w:val="20"/>
          <w:szCs w:val="21"/>
        </w:rPr>
      </w:pPr>
      <w:r>
        <w:rPr>
          <w:rFonts w:ascii="仿宋_GB2312" w:eastAsia="仿宋_GB2312" w:hAnsi="仿宋" w:hint="eastAsia"/>
          <w:color w:val="000000"/>
          <w:sz w:val="20"/>
          <w:szCs w:val="21"/>
        </w:rPr>
        <w:t>□向上级部门请示，属于法律适用问题等确需等待批复后继续审理。</w:t>
      </w:r>
    </w:p>
    <w:p w:rsidR="00800760" w:rsidRDefault="00235733">
      <w:pPr>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根据《中华人民共和国专利法实施细则》第九十八条和</w:t>
      </w:r>
      <w:r>
        <w:rPr>
          <w:rFonts w:ascii="仿宋_GB2312" w:eastAsia="仿宋_GB2312" w:hAnsi="仿宋" w:hint="eastAsia"/>
          <w:color w:val="000000"/>
          <w:sz w:val="20"/>
        </w:rPr>
        <w:t>《专利纠纷行政裁决和调解办法》第二十八条</w:t>
      </w:r>
      <w:r>
        <w:rPr>
          <w:rFonts w:ascii="仿宋_GB2312" w:eastAsia="仿宋_GB2312" w:hAnsi="仿宋" w:hint="eastAsia"/>
          <w:color w:val="000000"/>
          <w:sz w:val="20"/>
          <w:szCs w:val="21"/>
        </w:rPr>
        <w:t>的规定，本局决定自</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_GB2312" w:eastAsia="仿宋_GB2312" w:hAnsi="仿宋" w:hint="eastAsia"/>
          <w:color w:val="000000"/>
          <w:sz w:val="20"/>
          <w:szCs w:val="21"/>
        </w:rPr>
        <w:t>起中止对本案的处理。恢复处理的时间将另行通知。</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特此通知。</w:t>
      </w:r>
    </w:p>
    <w:p w:rsidR="00800760" w:rsidRDefault="00800760">
      <w:pPr>
        <w:spacing w:line="360" w:lineRule="auto"/>
        <w:ind w:left="440" w:firstLineChars="0" w:firstLine="0"/>
        <w:rPr>
          <w:rFonts w:ascii="仿宋_GB2312" w:eastAsia="仿宋_GB2312" w:hAnsi="仿宋"/>
          <w:color w:val="000000"/>
          <w:sz w:val="20"/>
          <w:szCs w:val="21"/>
        </w:rPr>
      </w:pP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国家知识产权局（盖章）　　</w:t>
      </w:r>
    </w:p>
    <w:p w:rsidR="00800760" w:rsidRDefault="00235733">
      <w:pPr>
        <w:spacing w:line="360" w:lineRule="auto"/>
        <w:ind w:firstLineChars="0" w:firstLine="444"/>
        <w:jc w:val="right"/>
        <w:rPr>
          <w:rFonts w:ascii="仿宋_GB2312" w:eastAsia="仿宋_GB2312" w:hAnsi="仿宋" w:cs="PMingLiU"/>
          <w:color w:val="000000"/>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800760">
      <w:pPr>
        <w:spacing w:line="360" w:lineRule="auto"/>
        <w:ind w:left="440" w:firstLineChars="0" w:firstLine="0"/>
        <w:jc w:val="distribute"/>
        <w:rPr>
          <w:rFonts w:ascii="仿宋_GB2312" w:eastAsia="仿宋_GB2312" w:hAnsi="仿宋" w:cs="PMingLiU"/>
          <w:color w:val="000000"/>
          <w:sz w:val="20"/>
          <w:szCs w:val="21"/>
        </w:rPr>
      </w:pPr>
    </w:p>
    <w:p w:rsidR="00800760" w:rsidRDefault="00800760">
      <w:pPr>
        <w:spacing w:line="360" w:lineRule="auto"/>
        <w:ind w:left="440" w:firstLineChars="0" w:firstLine="0"/>
        <w:jc w:val="distribute"/>
        <w:rPr>
          <w:rFonts w:ascii="仿宋_GB2312" w:eastAsia="仿宋_GB2312" w:hAnsi="仿宋" w:cs="PMingLiU"/>
          <w:color w:val="000000"/>
          <w:sz w:val="20"/>
          <w:szCs w:val="21"/>
        </w:rPr>
      </w:pPr>
    </w:p>
    <w:p w:rsidR="00800760" w:rsidRDefault="00235733">
      <w:pPr>
        <w:spacing w:line="360" w:lineRule="auto"/>
        <w:ind w:firstLineChars="0" w:firstLine="0"/>
        <w:rPr>
          <w:rFonts w:ascii="仿宋_GB2312" w:eastAsia="仿宋_GB2312" w:hAnsi="仿宋" w:cs="PMingLiU"/>
          <w:color w:val="000000"/>
          <w:kern w:val="2"/>
          <w:szCs w:val="21"/>
        </w:rPr>
      </w:pPr>
      <w:r>
        <w:rPr>
          <w:rFonts w:ascii="仿宋_GB2312" w:eastAsia="仿宋_GB2312" w:hAnsi="仿宋" w:cs="PMingLiU" w:hint="eastAsia"/>
          <w:color w:val="000000"/>
          <w:sz w:val="20"/>
          <w:szCs w:val="21"/>
        </w:rPr>
        <w:t>说明：本通知书一式三份，当事人各一份，一份由国家知识产权局存档。</w:t>
      </w:r>
      <w:r>
        <w:rPr>
          <w:rFonts w:ascii="仿宋_GB2312" w:eastAsia="仿宋_GB2312" w:hAnsi="仿宋"/>
          <w:color w:val="000000"/>
          <w:szCs w:val="21"/>
        </w:rPr>
        <w:br w:type="page"/>
      </w:r>
    </w:p>
    <w:p w:rsidR="00800760" w:rsidRDefault="00235733">
      <w:pPr>
        <w:keepNext/>
        <w:widowControl w:val="0"/>
        <w:ind w:left="186" w:hangingChars="50" w:hanging="186"/>
        <w:jc w:val="center"/>
        <w:rPr>
          <w:rFonts w:ascii="仿宋_GB2312" w:eastAsia="仿宋_GB2312" w:hAnsi="仿宋" w:cs="PMingLiU"/>
          <w:color w:val="000000"/>
          <w:kern w:val="2"/>
          <w:szCs w:val="21"/>
          <w:lang w:val="en-US"/>
        </w:rPr>
      </w:pPr>
      <w:r>
        <w:rPr>
          <w:rFonts w:ascii="方正小标宋_GBK" w:eastAsia="方正小标宋_GBK" w:hAnsi="宋体" w:cs="PMingLiU"/>
          <w:color w:val="000000"/>
          <w:spacing w:val="6"/>
          <w:kern w:val="2"/>
          <w:sz w:val="36"/>
          <w:szCs w:val="36"/>
          <w:lang w:val="en-US"/>
        </w:rPr>
        <w:t>专利侵权纠纷案件不予中止处理通知书</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tbl>
      <w:tblPr>
        <w:tblW w:w="5000" w:type="pct"/>
        <w:jc w:val="center"/>
        <w:tblCellMar>
          <w:left w:w="10" w:type="dxa"/>
          <w:right w:w="10" w:type="dxa"/>
        </w:tblCellMar>
        <w:tblLook w:val="04A0"/>
      </w:tblPr>
      <w:tblGrid>
        <w:gridCol w:w="1873"/>
        <w:gridCol w:w="7994"/>
      </w:tblGrid>
      <w:tr w:rsidR="00800760">
        <w:trPr>
          <w:trHeight w:val="20"/>
          <w:jc w:val="center"/>
        </w:trPr>
        <w:tc>
          <w:tcPr>
            <w:tcW w:w="949"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4051"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49"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4051"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49"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4051"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49"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051"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49"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4051"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bl>
    <w:p w:rsidR="00800760" w:rsidRDefault="00235733" w:rsidP="00C22A7B">
      <w:pPr>
        <w:spacing w:beforeLines="50" w:afterLines="50"/>
        <w:ind w:firstLineChars="0" w:firstLine="0"/>
        <w:jc w:val="both"/>
        <w:rPr>
          <w:rFonts w:ascii="仿宋_GB2312" w:eastAsia="仿宋_GB2312" w:hAnsi="仿宋"/>
          <w:color w:val="000000"/>
          <w:sz w:val="20"/>
          <w:lang w:eastAsia="en-US"/>
        </w:rPr>
      </w:pP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u w:val="single"/>
          <w:lang w:eastAsia="en-US"/>
        </w:rPr>
        <w:t xml:space="preserve"> </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lang w:eastAsia="en-US"/>
        </w:rPr>
        <w:t>：</w:t>
      </w:r>
    </w:p>
    <w:p w:rsidR="00800760" w:rsidRDefault="00235733" w:rsidP="00C22A7B">
      <w:pPr>
        <w:tabs>
          <w:tab w:val="left" w:pos="6663"/>
        </w:tabs>
        <w:spacing w:beforeLines="50" w:afterLines="50"/>
        <w:ind w:leftChars="200" w:left="420" w:right="21" w:firstLineChars="0" w:firstLine="0"/>
        <w:rPr>
          <w:rFonts w:ascii="仿宋_GB2312" w:eastAsia="仿宋_GB2312" w:hAnsi="仿宋"/>
          <w:color w:val="000000"/>
          <w:sz w:val="20"/>
        </w:rPr>
      </w:pPr>
      <w:r>
        <w:rPr>
          <w:rFonts w:ascii="仿宋_GB2312" w:eastAsia="仿宋_GB2312" w:hAnsi="仿宋" w:hint="eastAsia"/>
          <w:color w:val="000000"/>
          <w:sz w:val="20"/>
        </w:rPr>
        <w:t xml:space="preserve">鉴于被请求人提出的中止理由明显不能成立，本局决定不中止处理。 </w:t>
      </w:r>
    </w:p>
    <w:p w:rsidR="00800760" w:rsidRDefault="00235733" w:rsidP="00C22A7B">
      <w:pPr>
        <w:spacing w:beforeLines="50" w:afterLines="50"/>
        <w:ind w:leftChars="200" w:left="420" w:right="1140" w:firstLineChars="0" w:firstLine="0"/>
        <w:rPr>
          <w:rFonts w:ascii="仿宋_GB2312" w:eastAsia="仿宋_GB2312" w:hAnsi="仿宋"/>
          <w:color w:val="000000"/>
          <w:sz w:val="20"/>
        </w:rPr>
      </w:pPr>
      <w:r>
        <w:rPr>
          <w:rFonts w:ascii="仿宋_GB2312" w:eastAsia="仿宋_GB2312" w:hAnsi="仿宋" w:hint="eastAsia"/>
          <w:color w:val="000000"/>
          <w:sz w:val="20"/>
        </w:rPr>
        <w:t>特此通知。</w:t>
      </w:r>
    </w:p>
    <w:p w:rsidR="00800760" w:rsidRDefault="00800760" w:rsidP="00C22A7B">
      <w:pPr>
        <w:widowControl w:val="0"/>
        <w:spacing w:beforeLines="50" w:afterLines="50"/>
        <w:ind w:firstLineChars="0" w:firstLine="600"/>
        <w:rPr>
          <w:rFonts w:ascii="仿宋_GB2312" w:eastAsia="仿宋_GB2312" w:hAnsi="宋体"/>
          <w:color w:val="000000"/>
          <w:spacing w:val="6"/>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rsidP="00C22A7B">
      <w:pPr>
        <w:widowControl w:val="0"/>
        <w:spacing w:beforeLines="50" w:afterLines="50"/>
        <w:ind w:left="420" w:firstLine="400"/>
        <w:rPr>
          <w:rFonts w:ascii="仿宋_GB2312" w:eastAsia="仿宋_GB2312" w:hAnsi="仿宋" w:cs="PMingLiU"/>
          <w:color w:val="000000"/>
          <w:kern w:val="2"/>
          <w:sz w:val="20"/>
          <w:lang w:val="en-US"/>
        </w:rPr>
      </w:pPr>
    </w:p>
    <w:p w:rsidR="00800760" w:rsidRDefault="00800760" w:rsidP="00235733">
      <w:pPr>
        <w:widowControl w:val="0"/>
        <w:ind w:left="420" w:firstLine="400"/>
        <w:rPr>
          <w:rFonts w:ascii="仿宋_GB2312" w:eastAsia="仿宋_GB2312" w:hAnsi="仿宋" w:cs="PMingLiU"/>
          <w:color w:val="000000"/>
          <w:kern w:val="2"/>
          <w:sz w:val="20"/>
          <w:lang w:val="en-US"/>
        </w:rPr>
      </w:pPr>
    </w:p>
    <w:p w:rsidR="00800760" w:rsidRDefault="00800760" w:rsidP="00235733">
      <w:pPr>
        <w:widowControl w:val="0"/>
        <w:ind w:left="420" w:firstLine="400"/>
        <w:rPr>
          <w:rFonts w:ascii="仿宋_GB2312" w:eastAsia="仿宋_GB2312" w:hAnsi="仿宋" w:cs="PMingLiU"/>
          <w:color w:val="000000"/>
          <w:kern w:val="2"/>
          <w:sz w:val="20"/>
          <w:lang w:val="en-US"/>
        </w:rPr>
      </w:pPr>
    </w:p>
    <w:p w:rsidR="00800760" w:rsidRDefault="00800760" w:rsidP="00235733">
      <w:pPr>
        <w:widowControl w:val="0"/>
        <w:ind w:left="420" w:firstLine="400"/>
        <w:jc w:val="distribute"/>
        <w:rPr>
          <w:rFonts w:ascii="仿宋_GB2312" w:eastAsia="仿宋_GB2312" w:hAnsi="仿宋" w:cs="PMingLiU"/>
          <w:color w:val="000000"/>
          <w:kern w:val="2"/>
          <w:sz w:val="20"/>
          <w:lang w:val="en-US"/>
        </w:rPr>
      </w:pPr>
    </w:p>
    <w:p w:rsidR="00800760" w:rsidRDefault="00800760" w:rsidP="00235733">
      <w:pPr>
        <w:widowControl w:val="0"/>
        <w:ind w:left="420" w:firstLine="400"/>
        <w:jc w:val="distribute"/>
        <w:rPr>
          <w:rFonts w:ascii="仿宋_GB2312" w:eastAsia="仿宋_GB2312" w:hAnsi="仿宋" w:cs="PMingLiU"/>
          <w:color w:val="000000"/>
          <w:kern w:val="2"/>
          <w:sz w:val="20"/>
          <w:lang w:val="en-US"/>
        </w:rPr>
      </w:pPr>
    </w:p>
    <w:p w:rsidR="00800760" w:rsidRDefault="00800760" w:rsidP="00235733">
      <w:pPr>
        <w:widowControl w:val="0"/>
        <w:ind w:left="420" w:firstLine="400"/>
        <w:jc w:val="distribute"/>
        <w:rPr>
          <w:rFonts w:ascii="仿宋_GB2312" w:eastAsia="仿宋_GB2312" w:hAnsi="仿宋" w:cs="PMingLiU"/>
          <w:color w:val="000000"/>
          <w:kern w:val="2"/>
          <w:sz w:val="20"/>
          <w:lang w:val="en-US"/>
        </w:rPr>
      </w:pPr>
    </w:p>
    <w:p w:rsidR="00800760" w:rsidRDefault="00800760" w:rsidP="00235733">
      <w:pPr>
        <w:widowControl w:val="0"/>
        <w:ind w:left="420" w:firstLine="400"/>
        <w:jc w:val="distribute"/>
        <w:rPr>
          <w:rFonts w:ascii="仿宋_GB2312" w:eastAsia="仿宋_GB2312" w:hAnsi="仿宋" w:cs="PMingLiU"/>
          <w:color w:val="000000"/>
          <w:kern w:val="2"/>
          <w:sz w:val="20"/>
          <w:lang w:val="en-US"/>
        </w:rPr>
      </w:pPr>
    </w:p>
    <w:p w:rsidR="00800760" w:rsidRDefault="00800760" w:rsidP="00235733">
      <w:pPr>
        <w:widowControl w:val="0"/>
        <w:ind w:left="420" w:firstLine="400"/>
        <w:jc w:val="distribute"/>
        <w:rPr>
          <w:rFonts w:ascii="仿宋_GB2312" w:eastAsia="仿宋_GB2312" w:hAnsi="仿宋" w:cs="PMingLiU"/>
          <w:color w:val="000000"/>
          <w:kern w:val="2"/>
          <w:sz w:val="20"/>
          <w:lang w:val="en-US"/>
        </w:rPr>
      </w:pPr>
    </w:p>
    <w:p w:rsidR="00800760" w:rsidRDefault="00800760" w:rsidP="00235733">
      <w:pPr>
        <w:widowControl w:val="0"/>
        <w:ind w:firstLine="400"/>
        <w:rPr>
          <w:rFonts w:ascii="仿宋_GB2312" w:eastAsia="仿宋_GB2312" w:hAnsi="仿宋" w:cs="PMingLiU"/>
          <w:color w:val="000000"/>
          <w:kern w:val="2"/>
          <w:sz w:val="20"/>
          <w:lang w:val="en-US"/>
        </w:rPr>
      </w:pPr>
    </w:p>
    <w:p w:rsidR="00800760" w:rsidRDefault="00800760" w:rsidP="00235733">
      <w:pPr>
        <w:widowControl w:val="0"/>
        <w:ind w:left="420" w:firstLine="400"/>
        <w:jc w:val="distribute"/>
        <w:rPr>
          <w:rFonts w:ascii="仿宋_GB2312" w:eastAsia="仿宋_GB2312" w:hAnsi="仿宋" w:cs="PMingLiU"/>
          <w:color w:val="000000"/>
          <w:kern w:val="2"/>
          <w:sz w:val="20"/>
          <w:lang w:val="en-US"/>
        </w:rPr>
      </w:pPr>
    </w:p>
    <w:p w:rsidR="00800760" w:rsidRDefault="00800760" w:rsidP="00235733">
      <w:pPr>
        <w:widowControl w:val="0"/>
        <w:ind w:left="420" w:firstLine="400"/>
        <w:jc w:val="distribute"/>
        <w:rPr>
          <w:rFonts w:ascii="仿宋_GB2312" w:eastAsia="仿宋_GB2312" w:hAnsi="仿宋" w:cs="PMingLiU"/>
          <w:color w:val="000000"/>
          <w:kern w:val="2"/>
          <w:sz w:val="20"/>
          <w:lang w:val="en-US"/>
        </w:rPr>
      </w:pPr>
    </w:p>
    <w:p w:rsidR="00800760" w:rsidRDefault="00235733" w:rsidP="00235733">
      <w:pPr>
        <w:widowControl w:val="0"/>
        <w:ind w:firstLine="400"/>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说明：本通知书一式两份，一份送达被请求人，一份由知识产权局存档。</w:t>
      </w:r>
    </w:p>
    <w:p w:rsidR="00800760" w:rsidRDefault="00235733">
      <w:pPr>
        <w:spacing w:line="240" w:lineRule="auto"/>
        <w:ind w:firstLineChars="0" w:firstLine="0"/>
        <w:rPr>
          <w:rFonts w:ascii="仿宋_GB2312" w:eastAsia="仿宋_GB2312" w:hAnsi="仿宋" w:cs="PMingLiU"/>
          <w:color w:val="000000"/>
          <w:kern w:val="2"/>
          <w:szCs w:val="21"/>
          <w:lang w:val="en-US"/>
        </w:rPr>
      </w:pPr>
      <w:r>
        <w:rPr>
          <w:rFonts w:ascii="仿宋_GB2312" w:eastAsia="仿宋_GB2312" w:hAnsi="仿宋"/>
          <w:color w:val="000000"/>
          <w:szCs w:val="21"/>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重大专利侵权纠纷行政裁决不予中止处理通知书</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jc w:val="center"/>
        <w:tblCellMar>
          <w:left w:w="10" w:type="dxa"/>
          <w:right w:w="10" w:type="dxa"/>
        </w:tblCellMar>
        <w:tblLook w:val="04A0"/>
      </w:tblPr>
      <w:tblGrid>
        <w:gridCol w:w="1873"/>
        <w:gridCol w:w="7994"/>
      </w:tblGrid>
      <w:tr w:rsidR="00800760">
        <w:trPr>
          <w:trHeight w:val="20"/>
          <w:jc w:val="center"/>
        </w:trPr>
        <w:tc>
          <w:tcPr>
            <w:tcW w:w="949"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4051"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949"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4051"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949"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4051"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949"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051"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949"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4051"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bl>
    <w:p w:rsidR="00800760" w:rsidRDefault="00235733">
      <w:pPr>
        <w:spacing w:line="360" w:lineRule="auto"/>
        <w:ind w:firstLineChars="0" w:firstLine="444"/>
        <w:rPr>
          <w:rFonts w:ascii="仿宋_GB2312" w:eastAsia="仿宋_GB2312" w:hAnsi="仿宋"/>
          <w:color w:val="000000"/>
          <w:sz w:val="20"/>
          <w:lang w:eastAsia="en-US"/>
        </w:rPr>
      </w:pPr>
      <w:r>
        <w:rPr>
          <w:rFonts w:ascii="仿宋_GB2312" w:eastAsia="仿宋_GB2312" w:hAnsi="宋体" w:hint="eastAsia"/>
          <w:color w:val="000000"/>
          <w:spacing w:val="6"/>
          <w:sz w:val="20"/>
          <w:u w:val="single"/>
          <w:lang w:eastAsia="en-US"/>
        </w:rPr>
        <w:t xml:space="preserve">                     </w:t>
      </w:r>
      <w:r>
        <w:rPr>
          <w:rFonts w:ascii="仿宋_GB2312" w:eastAsia="仿宋_GB2312" w:hAnsi="仿宋" w:hint="eastAsia"/>
          <w:color w:val="000000"/>
          <w:sz w:val="20"/>
          <w:u w:val="single"/>
          <w:lang w:eastAsia="en-US"/>
        </w:rPr>
        <w:t xml:space="preserve">  </w:t>
      </w:r>
      <w:r>
        <w:rPr>
          <w:rFonts w:ascii="仿宋_GB2312" w:eastAsia="仿宋_GB2312" w:hAnsi="仿宋" w:hint="eastAsia"/>
          <w:color w:val="000000"/>
          <w:sz w:val="20"/>
          <w:lang w:eastAsia="en-US"/>
        </w:rPr>
        <w:t>：</w:t>
      </w:r>
    </w:p>
    <w:p w:rsidR="00800760" w:rsidRDefault="00235733">
      <w:pPr>
        <w:tabs>
          <w:tab w:val="left" w:pos="6663"/>
        </w:tabs>
        <w:spacing w:line="360" w:lineRule="auto"/>
        <w:ind w:leftChars="200" w:left="420" w:right="21" w:firstLineChars="0" w:firstLine="0"/>
        <w:rPr>
          <w:rFonts w:ascii="仿宋_GB2312" w:eastAsia="仿宋_GB2312" w:hAnsi="仿宋"/>
          <w:color w:val="000000"/>
          <w:sz w:val="20"/>
        </w:rPr>
      </w:pPr>
      <w:r>
        <w:rPr>
          <w:rFonts w:ascii="仿宋_GB2312" w:eastAsia="仿宋_GB2312" w:hAnsi="仿宋" w:hint="eastAsia"/>
          <w:color w:val="000000"/>
          <w:sz w:val="20"/>
        </w:rPr>
        <w:t xml:space="preserve">鉴于被请求人提出的中止理由明显不能成立，本局决定不中止处理。 </w:t>
      </w:r>
    </w:p>
    <w:p w:rsidR="00800760" w:rsidRDefault="00235733">
      <w:pPr>
        <w:spacing w:line="360" w:lineRule="auto"/>
        <w:ind w:leftChars="200" w:left="420" w:right="1140" w:firstLineChars="0" w:firstLine="0"/>
        <w:rPr>
          <w:rFonts w:ascii="仿宋_GB2312" w:eastAsia="仿宋_GB2312" w:hAnsi="仿宋"/>
          <w:color w:val="000000"/>
          <w:sz w:val="20"/>
        </w:rPr>
      </w:pPr>
      <w:r>
        <w:rPr>
          <w:rFonts w:ascii="仿宋_GB2312" w:eastAsia="仿宋_GB2312" w:hAnsi="仿宋" w:hint="eastAsia"/>
          <w:color w:val="000000"/>
          <w:sz w:val="20"/>
        </w:rPr>
        <w:t>特此通知。</w:t>
      </w:r>
    </w:p>
    <w:p w:rsidR="00800760" w:rsidRDefault="00800760">
      <w:pPr>
        <w:spacing w:line="360" w:lineRule="auto"/>
        <w:ind w:firstLineChars="0" w:firstLine="444"/>
        <w:rPr>
          <w:rFonts w:ascii="仿宋_GB2312" w:eastAsia="仿宋_GB2312" w:hAnsi="宋体"/>
          <w:color w:val="000000"/>
          <w:spacing w:val="6"/>
          <w:sz w:val="20"/>
        </w:rPr>
      </w:pP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国家知识产权局（盖章）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spacing w:line="360" w:lineRule="auto"/>
        <w:ind w:left="420" w:firstLineChars="0" w:firstLine="0"/>
        <w:rPr>
          <w:rFonts w:ascii="仿宋_GB2312" w:eastAsia="仿宋_GB2312" w:hAnsi="仿宋" w:cs="PMingLiU"/>
          <w:color w:val="000000"/>
          <w:sz w:val="20"/>
        </w:rPr>
      </w:pPr>
    </w:p>
    <w:p w:rsidR="00800760" w:rsidRDefault="00800760">
      <w:pPr>
        <w:spacing w:line="360" w:lineRule="auto"/>
        <w:ind w:left="420" w:firstLineChars="0" w:firstLine="0"/>
        <w:rPr>
          <w:rFonts w:ascii="仿宋_GB2312" w:eastAsia="仿宋_GB2312" w:hAnsi="仿宋" w:cs="PMingLiU"/>
          <w:color w:val="000000"/>
          <w:sz w:val="20"/>
        </w:rPr>
      </w:pPr>
    </w:p>
    <w:p w:rsidR="00800760" w:rsidRDefault="00800760">
      <w:pPr>
        <w:spacing w:line="360" w:lineRule="auto"/>
        <w:ind w:left="420" w:firstLineChars="0" w:firstLine="0"/>
        <w:rPr>
          <w:rFonts w:ascii="仿宋_GB2312" w:eastAsia="仿宋_GB2312" w:hAnsi="仿宋" w:cs="PMingLiU"/>
          <w:color w:val="000000"/>
          <w:sz w:val="20"/>
        </w:rPr>
      </w:pPr>
    </w:p>
    <w:p w:rsidR="00800760" w:rsidRDefault="00800760">
      <w:pPr>
        <w:spacing w:line="360" w:lineRule="auto"/>
        <w:ind w:left="420" w:firstLineChars="0" w:firstLine="0"/>
        <w:jc w:val="distribute"/>
        <w:rPr>
          <w:rFonts w:ascii="仿宋_GB2312" w:eastAsia="仿宋_GB2312" w:hAnsi="仿宋" w:cs="PMingLiU"/>
          <w:color w:val="000000"/>
          <w:sz w:val="20"/>
        </w:rPr>
      </w:pPr>
    </w:p>
    <w:p w:rsidR="00800760" w:rsidRDefault="00800760">
      <w:pPr>
        <w:spacing w:line="360" w:lineRule="auto"/>
        <w:ind w:left="420" w:firstLineChars="0" w:firstLine="0"/>
        <w:jc w:val="distribute"/>
        <w:rPr>
          <w:rFonts w:ascii="仿宋_GB2312" w:eastAsia="仿宋_GB2312" w:hAnsi="仿宋" w:cs="PMingLiU"/>
          <w:color w:val="000000"/>
          <w:sz w:val="20"/>
        </w:rPr>
      </w:pPr>
    </w:p>
    <w:p w:rsidR="00800760" w:rsidRDefault="00800760">
      <w:pPr>
        <w:spacing w:line="360" w:lineRule="auto"/>
        <w:ind w:left="420" w:firstLineChars="0" w:firstLine="0"/>
        <w:jc w:val="distribute"/>
        <w:rPr>
          <w:rFonts w:ascii="仿宋_GB2312" w:eastAsia="仿宋_GB2312" w:hAnsi="仿宋" w:cs="PMingLiU"/>
          <w:color w:val="000000"/>
          <w:sz w:val="20"/>
        </w:rPr>
      </w:pPr>
    </w:p>
    <w:p w:rsidR="00800760" w:rsidRDefault="00800760">
      <w:pPr>
        <w:spacing w:line="360" w:lineRule="auto"/>
        <w:ind w:left="420" w:firstLineChars="0" w:firstLine="0"/>
        <w:jc w:val="distribute"/>
        <w:rPr>
          <w:rFonts w:ascii="仿宋_GB2312" w:eastAsia="仿宋_GB2312" w:hAnsi="仿宋" w:cs="PMingLiU"/>
          <w:color w:val="000000"/>
          <w:sz w:val="20"/>
        </w:rPr>
      </w:pPr>
    </w:p>
    <w:p w:rsidR="00800760" w:rsidRDefault="00800760">
      <w:pPr>
        <w:spacing w:line="360" w:lineRule="auto"/>
        <w:ind w:left="420" w:firstLineChars="0" w:firstLine="0"/>
        <w:jc w:val="distribute"/>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left="420" w:firstLineChars="0" w:firstLine="0"/>
        <w:jc w:val="distribute"/>
        <w:rPr>
          <w:rFonts w:ascii="仿宋_GB2312" w:eastAsia="仿宋_GB2312" w:hAnsi="仿宋" w:cs="PMingLiU"/>
          <w:color w:val="000000"/>
          <w:sz w:val="20"/>
        </w:rPr>
      </w:pPr>
    </w:p>
    <w:p w:rsidR="00800760" w:rsidRDefault="00235733">
      <w:pPr>
        <w:spacing w:line="360" w:lineRule="auto"/>
        <w:ind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t>说明：本通知书一式两份，一份送达被请求人，一份由国家知识产权局存档。</w:t>
      </w:r>
    </w:p>
    <w:p w:rsidR="00800760" w:rsidRDefault="00800760">
      <w:pPr>
        <w:widowControl w:val="0"/>
        <w:rPr>
          <w:rFonts w:ascii="仿宋_GB2312" w:eastAsia="仿宋_GB2312" w:hAnsi="仿宋" w:cs="PMingLiU"/>
          <w:color w:val="000000"/>
          <w:kern w:val="2"/>
          <w:szCs w:val="21"/>
        </w:rPr>
      </w:pP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宋体" w:hAnsi="宋体"/>
          <w:b/>
          <w:color w:val="000000"/>
          <w:szCs w:val="21"/>
        </w:rPr>
        <w:br w:type="page"/>
      </w:r>
      <w:r>
        <w:rPr>
          <w:rFonts w:ascii="方正小标宋_GBK" w:eastAsia="方正小标宋_GBK" w:hAnsi="宋体"/>
          <w:color w:val="000000"/>
          <w:spacing w:val="6"/>
          <w:sz w:val="36"/>
          <w:szCs w:val="36"/>
        </w:rPr>
        <w:t>专利侵权纠纷案件恢复处理通知书</w:t>
      </w:r>
    </w:p>
    <w:p w:rsidR="00800760" w:rsidRDefault="00235733">
      <w:pPr>
        <w:widowControl w:val="0"/>
        <w:ind w:firstLineChars="0" w:firstLine="0"/>
        <w:jc w:val="right"/>
        <w:rPr>
          <w:rFonts w:ascii="仿宋" w:eastAsia="仿宋_GB2312" w:hAnsi="仿宋"/>
          <w:color w:val="000000"/>
          <w:sz w:val="20"/>
        </w:rPr>
      </w:pPr>
      <w:r>
        <w:rPr>
          <w:rFonts w:ascii="仿宋" w:eastAsia="仿宋_GB2312" w:hAnsi="仿宋"/>
          <w:color w:val="000000"/>
          <w:sz w:val="20"/>
          <w:lang w:eastAsia="en-US"/>
        </w:rPr>
        <w:t>案号：</w:t>
      </w:r>
      <w:r>
        <w:rPr>
          <w:rFonts w:ascii="仿宋" w:eastAsia="仿宋_GB2312" w:hAnsi="仿宋" w:hint="eastAsia"/>
          <w:color w:val="000000"/>
          <w:sz w:val="20"/>
        </w:rPr>
        <w:t>____________________</w:t>
      </w:r>
    </w:p>
    <w:tbl>
      <w:tblPr>
        <w:tblW w:w="5000" w:type="pct"/>
        <w:jc w:val="center"/>
        <w:tblCellMar>
          <w:left w:w="10" w:type="dxa"/>
          <w:right w:w="10" w:type="dxa"/>
        </w:tblCellMar>
        <w:tblLook w:val="04A0"/>
      </w:tblPr>
      <w:tblGrid>
        <w:gridCol w:w="1835"/>
        <w:gridCol w:w="8032"/>
      </w:tblGrid>
      <w:tr w:rsidR="00800760">
        <w:trPr>
          <w:trHeight w:val="20"/>
          <w:jc w:val="center"/>
        </w:trPr>
        <w:tc>
          <w:tcPr>
            <w:tcW w:w="93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407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3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407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3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407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30"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07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30"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4070"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bl>
    <w:p w:rsidR="00800760" w:rsidRDefault="00235733">
      <w:pPr>
        <w:ind w:firstLineChars="0" w:firstLine="0"/>
        <w:jc w:val="both"/>
        <w:rPr>
          <w:rFonts w:ascii="仿宋" w:eastAsia="仿宋_GB2312" w:hAnsi="仿宋"/>
          <w:color w:val="000000"/>
          <w:sz w:val="20"/>
          <w:lang w:eastAsia="en-US"/>
        </w:rPr>
      </w:pPr>
      <w:r>
        <w:rPr>
          <w:rFonts w:ascii="仿宋_GB2312" w:eastAsia="仿宋_GB2312" w:hAnsi="宋体" w:hint="eastAsia"/>
          <w:color w:val="000000"/>
          <w:spacing w:val="6"/>
          <w:sz w:val="20"/>
          <w:u w:val="single"/>
        </w:rPr>
        <w:t xml:space="preserve">                     </w:t>
      </w:r>
      <w:r>
        <w:rPr>
          <w:rFonts w:ascii="仿宋" w:hAnsi="仿宋" w:hint="eastAsia"/>
          <w:color w:val="000000"/>
          <w:sz w:val="20"/>
          <w:u w:val="single"/>
          <w:lang w:eastAsia="en-US"/>
        </w:rPr>
        <w:t xml:space="preserve"> </w:t>
      </w:r>
      <w:r>
        <w:rPr>
          <w:rFonts w:ascii="仿宋" w:hAnsi="仿宋" w:hint="eastAsia"/>
          <w:color w:val="000000"/>
          <w:sz w:val="20"/>
          <w:u w:val="single"/>
        </w:rPr>
        <w:t xml:space="preserve"> </w:t>
      </w:r>
      <w:r>
        <w:rPr>
          <w:rFonts w:ascii="仿宋" w:hAnsi="仿宋" w:hint="eastAsia"/>
          <w:color w:val="000000"/>
          <w:sz w:val="20"/>
          <w:lang w:eastAsia="en-US"/>
        </w:rPr>
        <w:t>：</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□鉴于国家知识产权局已经作出无效宣告请求审查决定，本局决定自</w:t>
      </w:r>
      <w:r>
        <w:rPr>
          <w:rFonts w:ascii="仿宋_GB2312" w:eastAsia="仿宋_GB2312" w:hAnsi="宋体" w:hint="eastAsia"/>
          <w:color w:val="000000"/>
          <w:spacing w:val="4"/>
          <w:sz w:val="20"/>
          <w:u w:val="single"/>
        </w:rPr>
        <w:t xml:space="preserve">       </w:t>
      </w:r>
      <w:r>
        <w:rPr>
          <w:rFonts w:ascii="仿宋_GB2312" w:eastAsia="仿宋_GB2312" w:hAnsi="宋体" w:hint="eastAsia"/>
          <w:color w:val="000000"/>
          <w:spacing w:val="4"/>
          <w:sz w:val="20"/>
        </w:rPr>
        <w:t>年</w:t>
      </w:r>
      <w:r>
        <w:rPr>
          <w:rFonts w:ascii="仿宋_GB2312" w:eastAsia="仿宋_GB2312" w:hAnsi="宋体" w:hint="eastAsia"/>
          <w:color w:val="000000"/>
          <w:spacing w:val="4"/>
          <w:sz w:val="20"/>
          <w:u w:val="single"/>
        </w:rPr>
        <w:t xml:space="preserve">    </w:t>
      </w:r>
      <w:r>
        <w:rPr>
          <w:rFonts w:ascii="仿宋_GB2312" w:eastAsia="仿宋_GB2312" w:hAnsi="宋体" w:hint="eastAsia"/>
          <w:color w:val="000000"/>
          <w:spacing w:val="4"/>
          <w:sz w:val="20"/>
        </w:rPr>
        <w:t>月</w:t>
      </w:r>
      <w:r>
        <w:rPr>
          <w:rFonts w:ascii="仿宋_GB2312" w:eastAsia="仿宋_GB2312" w:hAnsi="宋体"/>
          <w:color w:val="000000"/>
          <w:spacing w:val="4"/>
          <w:sz w:val="20"/>
        </w:rPr>
        <w:br/>
      </w:r>
      <w:r>
        <w:rPr>
          <w:rFonts w:ascii="仿宋_GB2312" w:eastAsia="仿宋_GB2312" w:hAnsi="宋体" w:hint="eastAsia"/>
          <w:color w:val="000000"/>
          <w:spacing w:val="4"/>
          <w:sz w:val="20"/>
          <w:u w:val="single"/>
        </w:rPr>
        <w:t xml:space="preserve">    </w:t>
      </w:r>
      <w:r>
        <w:rPr>
          <w:rFonts w:ascii="仿宋_GB2312" w:eastAsia="仿宋_GB2312" w:hAnsi="宋体" w:hint="eastAsia"/>
          <w:color w:val="000000"/>
          <w:spacing w:val="6"/>
          <w:sz w:val="20"/>
        </w:rPr>
        <w:t>日</w:t>
      </w:r>
      <w:r>
        <w:rPr>
          <w:rFonts w:ascii="仿宋_GB2312" w:eastAsia="仿宋_GB2312" w:hAnsi="仿宋" w:hint="eastAsia"/>
          <w:color w:val="000000"/>
          <w:sz w:val="20"/>
        </w:rPr>
        <w:t>起恢复对本案的处理。</w:t>
      </w:r>
    </w:p>
    <w:p w:rsidR="00800760" w:rsidRDefault="00235733">
      <w:pPr>
        <w:tabs>
          <w:tab w:val="left" w:leader="underscore" w:pos="6833"/>
        </w:tabs>
        <w:ind w:firstLine="400"/>
        <w:jc w:val="both"/>
        <w:rPr>
          <w:rFonts w:ascii="仿宋" w:eastAsia="仿宋_GB2312" w:hAnsi="仿宋"/>
          <w:color w:val="000000"/>
          <w:sz w:val="20"/>
        </w:rPr>
      </w:pPr>
      <w:r>
        <w:rPr>
          <w:rFonts w:ascii="仿宋_GB2312" w:eastAsia="仿宋_GB2312" w:hAnsi="仿宋" w:hint="eastAsia"/>
          <w:color w:val="000000"/>
          <w:sz w:val="20"/>
        </w:rPr>
        <w:t>□</w:t>
      </w:r>
      <w:r>
        <w:rPr>
          <w:rFonts w:ascii="仿宋" w:eastAsia="仿宋_GB2312" w:hAnsi="仿宋"/>
          <w:color w:val="000000"/>
          <w:sz w:val="20"/>
        </w:rPr>
        <w:t>鉴于当事人撤回宣告专利权无效的申请，本局决定自</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 w:eastAsia="仿宋_GB2312" w:hAnsi="仿宋"/>
          <w:color w:val="000000"/>
          <w:sz w:val="20"/>
        </w:rPr>
        <w:t>起恢复对本案的处理。</w:t>
      </w:r>
    </w:p>
    <w:p w:rsidR="00800760" w:rsidRDefault="00235733">
      <w:pPr>
        <w:tabs>
          <w:tab w:val="left" w:leader="underscore" w:pos="6833"/>
        </w:tabs>
        <w:ind w:left="420" w:firstLineChars="0" w:firstLine="0"/>
        <w:jc w:val="both"/>
        <w:rPr>
          <w:rFonts w:ascii="仿宋" w:eastAsia="仿宋_GB2312" w:hAnsi="仿宋"/>
          <w:color w:val="000000"/>
          <w:sz w:val="20"/>
        </w:rPr>
      </w:pPr>
      <w:r>
        <w:rPr>
          <w:rFonts w:ascii="仿宋" w:eastAsia="仿宋_GB2312" w:hAnsi="仿宋" w:hint="eastAsia"/>
          <w:color w:val="000000"/>
          <w:sz w:val="20"/>
        </w:rPr>
        <w:t>特此通</w:t>
      </w:r>
      <w:r>
        <w:rPr>
          <w:rFonts w:ascii="仿宋" w:eastAsia="仿宋_GB2312" w:hAnsi="仿宋"/>
          <w:color w:val="000000"/>
          <w:sz w:val="20"/>
        </w:rPr>
        <w:t>知。</w:t>
      </w:r>
    </w:p>
    <w:p w:rsidR="00800760" w:rsidRDefault="00800760">
      <w:pPr>
        <w:widowControl w:val="0"/>
        <w:ind w:firstLineChars="0" w:firstLine="600"/>
        <w:rPr>
          <w:rFonts w:ascii="仿宋_GB2312" w:eastAsia="仿宋_GB2312" w:hAnsi="宋体"/>
          <w:color w:val="000000"/>
          <w:spacing w:val="6"/>
          <w:sz w:val="20"/>
        </w:rPr>
      </w:pP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rsidP="00235733">
      <w:pPr>
        <w:widowControl w:val="0"/>
        <w:ind w:left="420" w:firstLine="400"/>
        <w:jc w:val="both"/>
        <w:rPr>
          <w:rFonts w:ascii="仿宋" w:eastAsia="仿宋_GB2312" w:hAnsi="仿宋" w:cs="PMingLiU"/>
          <w:color w:val="000000"/>
          <w:kern w:val="2"/>
          <w:sz w:val="20"/>
          <w:lang w:val="en-US"/>
        </w:rPr>
      </w:pPr>
    </w:p>
    <w:p w:rsidR="00800760" w:rsidRDefault="00800760" w:rsidP="00235733">
      <w:pPr>
        <w:widowControl w:val="0"/>
        <w:ind w:left="420" w:firstLine="400"/>
        <w:jc w:val="both"/>
        <w:rPr>
          <w:rFonts w:ascii="仿宋" w:eastAsia="仿宋_GB2312" w:hAnsi="仿宋" w:cs="PMingLiU"/>
          <w:color w:val="000000"/>
          <w:kern w:val="2"/>
          <w:sz w:val="20"/>
          <w:lang w:val="en-US"/>
        </w:rPr>
      </w:pPr>
    </w:p>
    <w:p w:rsidR="00800760" w:rsidRDefault="00800760" w:rsidP="00235733">
      <w:pPr>
        <w:widowControl w:val="0"/>
        <w:ind w:left="420" w:firstLine="400"/>
        <w:jc w:val="both"/>
        <w:rPr>
          <w:rFonts w:ascii="仿宋" w:eastAsia="仿宋_GB2312" w:hAnsi="仿宋" w:cs="PMingLiU"/>
          <w:color w:val="000000"/>
          <w:kern w:val="2"/>
          <w:sz w:val="20"/>
          <w:lang w:val="en-US"/>
        </w:rPr>
      </w:pPr>
    </w:p>
    <w:p w:rsidR="00800760" w:rsidRDefault="00800760" w:rsidP="00235733">
      <w:pPr>
        <w:widowControl w:val="0"/>
        <w:ind w:left="420" w:firstLine="400"/>
        <w:jc w:val="both"/>
        <w:rPr>
          <w:rFonts w:ascii="仿宋" w:eastAsia="仿宋_GB2312" w:hAnsi="仿宋" w:cs="PMingLiU"/>
          <w:color w:val="000000"/>
          <w:kern w:val="2"/>
          <w:sz w:val="20"/>
          <w:lang w:val="en-US"/>
        </w:rPr>
      </w:pPr>
    </w:p>
    <w:p w:rsidR="00800760" w:rsidRDefault="00800760" w:rsidP="00235733">
      <w:pPr>
        <w:widowControl w:val="0"/>
        <w:ind w:left="420" w:firstLine="400"/>
        <w:jc w:val="both"/>
        <w:rPr>
          <w:rFonts w:ascii="仿宋" w:eastAsia="仿宋_GB2312" w:hAnsi="仿宋" w:cs="PMingLiU"/>
          <w:color w:val="000000"/>
          <w:kern w:val="2"/>
          <w:sz w:val="20"/>
          <w:lang w:val="en-US"/>
        </w:rPr>
      </w:pPr>
    </w:p>
    <w:p w:rsidR="00800760" w:rsidRDefault="00800760" w:rsidP="00235733">
      <w:pPr>
        <w:widowControl w:val="0"/>
        <w:ind w:left="420" w:firstLine="400"/>
        <w:jc w:val="both"/>
        <w:rPr>
          <w:rFonts w:ascii="仿宋" w:eastAsia="仿宋_GB2312" w:hAnsi="仿宋" w:cs="PMingLiU"/>
          <w:color w:val="000000"/>
          <w:kern w:val="2"/>
          <w:sz w:val="20"/>
          <w:lang w:val="en-US"/>
        </w:rPr>
      </w:pPr>
    </w:p>
    <w:p w:rsidR="00800760" w:rsidRDefault="00800760" w:rsidP="00235733">
      <w:pPr>
        <w:widowControl w:val="0"/>
        <w:ind w:left="420" w:firstLine="400"/>
        <w:jc w:val="both"/>
        <w:rPr>
          <w:rFonts w:ascii="仿宋" w:eastAsia="仿宋_GB2312" w:hAnsi="仿宋" w:cs="PMingLiU"/>
          <w:color w:val="000000"/>
          <w:kern w:val="2"/>
          <w:sz w:val="20"/>
          <w:lang w:val="en-US"/>
        </w:rPr>
      </w:pPr>
    </w:p>
    <w:p w:rsidR="00800760" w:rsidRDefault="00800760" w:rsidP="00235733">
      <w:pPr>
        <w:widowControl w:val="0"/>
        <w:ind w:left="420" w:firstLine="400"/>
        <w:jc w:val="both"/>
        <w:rPr>
          <w:rFonts w:ascii="仿宋" w:eastAsia="仿宋_GB2312" w:hAnsi="仿宋" w:cs="PMingLiU"/>
          <w:color w:val="000000"/>
          <w:kern w:val="2"/>
          <w:sz w:val="20"/>
          <w:lang w:val="en-US"/>
        </w:rPr>
      </w:pPr>
    </w:p>
    <w:p w:rsidR="00800760" w:rsidRDefault="00800760" w:rsidP="00235733">
      <w:pPr>
        <w:widowControl w:val="0"/>
        <w:ind w:left="420" w:firstLine="400"/>
        <w:jc w:val="both"/>
        <w:rPr>
          <w:rFonts w:ascii="仿宋" w:eastAsia="仿宋_GB2312" w:hAnsi="仿宋" w:cs="PMingLiU"/>
          <w:color w:val="000000"/>
          <w:kern w:val="2"/>
          <w:sz w:val="20"/>
          <w:lang w:val="en-US"/>
        </w:rPr>
      </w:pPr>
    </w:p>
    <w:p w:rsidR="00800760" w:rsidRDefault="00800760" w:rsidP="00235733">
      <w:pPr>
        <w:widowControl w:val="0"/>
        <w:ind w:firstLine="400"/>
        <w:jc w:val="both"/>
        <w:rPr>
          <w:rFonts w:ascii="仿宋" w:eastAsia="仿宋_GB2312" w:hAnsi="仿宋" w:cs="PMingLiU"/>
          <w:color w:val="000000"/>
          <w:kern w:val="2"/>
          <w:sz w:val="20"/>
          <w:lang w:val="en-US"/>
        </w:rPr>
      </w:pPr>
    </w:p>
    <w:p w:rsidR="00800760" w:rsidRDefault="00235733" w:rsidP="00235733">
      <w:pPr>
        <w:shd w:val="clear" w:color="auto" w:fill="FFFFFF"/>
        <w:spacing w:line="600" w:lineRule="atLeast"/>
        <w:ind w:firstLine="424"/>
        <w:outlineLvl w:val="0"/>
        <w:rPr>
          <w:rFonts w:ascii="仿宋" w:eastAsia="仿宋_GB2312" w:hAnsi="仿宋" w:cs="Arial"/>
          <w:color w:val="000000"/>
          <w:spacing w:val="6"/>
          <w:sz w:val="20"/>
          <w:lang w:val="en-US"/>
        </w:rPr>
      </w:pPr>
      <w:bookmarkStart w:id="9319" w:name="_Toc229225668"/>
      <w:r>
        <w:rPr>
          <w:rFonts w:ascii="仿宋" w:eastAsia="仿宋_GB2312" w:hAnsi="仿宋" w:cs="Arial"/>
          <w:color w:val="000000"/>
          <w:spacing w:val="6"/>
          <w:sz w:val="20"/>
          <w:lang w:val="en-US"/>
        </w:rPr>
        <w:t>说明：本通知书一式三份，当事人各一份，一份由知识产权局存档</w:t>
      </w:r>
      <w:r>
        <w:rPr>
          <w:rFonts w:ascii="仿宋" w:eastAsia="仿宋_GB2312" w:hAnsi="仿宋" w:cs="Arial" w:hint="eastAsia"/>
          <w:color w:val="000000"/>
          <w:spacing w:val="6"/>
          <w:sz w:val="20"/>
          <w:lang w:val="en-US"/>
        </w:rPr>
        <w:t>。</w:t>
      </w:r>
      <w:bookmarkEnd w:id="9319"/>
    </w:p>
    <w:p w:rsidR="00800760" w:rsidRDefault="00235733">
      <w:pPr>
        <w:spacing w:line="240" w:lineRule="auto"/>
        <w:ind w:firstLineChars="0" w:firstLine="0"/>
        <w:rPr>
          <w:rFonts w:cs="Arial"/>
          <w:spacing w:val="6"/>
          <w:sz w:val="20"/>
          <w:lang w:val="en-US"/>
        </w:rPr>
      </w:pPr>
      <w:r>
        <w:rPr>
          <w:sz w:val="20"/>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重大专利侵权纠纷行政裁决恢复处理通知书</w:t>
      </w:r>
    </w:p>
    <w:p w:rsidR="00800760" w:rsidRDefault="00235733">
      <w:pPr>
        <w:spacing w:line="360" w:lineRule="auto"/>
        <w:ind w:firstLineChars="0" w:firstLine="0"/>
        <w:jc w:val="right"/>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案号：____________________</w:t>
      </w:r>
    </w:p>
    <w:tbl>
      <w:tblPr>
        <w:tblW w:w="5000" w:type="pct"/>
        <w:jc w:val="center"/>
        <w:tblCellMar>
          <w:left w:w="10" w:type="dxa"/>
          <w:right w:w="10" w:type="dxa"/>
        </w:tblCellMar>
        <w:tblLook w:val="04A0"/>
      </w:tblPr>
      <w:tblGrid>
        <w:gridCol w:w="1835"/>
        <w:gridCol w:w="8032"/>
      </w:tblGrid>
      <w:tr w:rsidR="00800760">
        <w:trPr>
          <w:trHeight w:val="20"/>
          <w:jc w:val="center"/>
        </w:trPr>
        <w:tc>
          <w:tcPr>
            <w:tcW w:w="930"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专利号</w:t>
            </w:r>
          </w:p>
        </w:tc>
        <w:tc>
          <w:tcPr>
            <w:tcW w:w="407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szCs w:val="21"/>
                <w:lang w:eastAsia="en-US"/>
              </w:rPr>
            </w:pPr>
          </w:p>
        </w:tc>
      </w:tr>
      <w:tr w:rsidR="00800760">
        <w:trPr>
          <w:trHeight w:val="20"/>
          <w:jc w:val="center"/>
        </w:trPr>
        <w:tc>
          <w:tcPr>
            <w:tcW w:w="930"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专利名称</w:t>
            </w:r>
          </w:p>
        </w:tc>
        <w:tc>
          <w:tcPr>
            <w:tcW w:w="407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szCs w:val="21"/>
                <w:lang w:eastAsia="en-US"/>
              </w:rPr>
            </w:pPr>
          </w:p>
        </w:tc>
      </w:tr>
      <w:tr w:rsidR="00800760">
        <w:trPr>
          <w:trHeight w:val="20"/>
          <w:jc w:val="center"/>
        </w:trPr>
        <w:tc>
          <w:tcPr>
            <w:tcW w:w="930"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专利权人</w:t>
            </w:r>
          </w:p>
        </w:tc>
        <w:tc>
          <w:tcPr>
            <w:tcW w:w="407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szCs w:val="21"/>
                <w:lang w:eastAsia="en-US"/>
              </w:rPr>
            </w:pPr>
          </w:p>
        </w:tc>
      </w:tr>
      <w:tr w:rsidR="00800760">
        <w:trPr>
          <w:trHeight w:val="20"/>
          <w:jc w:val="center"/>
        </w:trPr>
        <w:tc>
          <w:tcPr>
            <w:tcW w:w="930"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请求人</w:t>
            </w:r>
          </w:p>
        </w:tc>
        <w:tc>
          <w:tcPr>
            <w:tcW w:w="4070"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szCs w:val="21"/>
                <w:lang w:eastAsia="en-US"/>
              </w:rPr>
            </w:pPr>
          </w:p>
        </w:tc>
      </w:tr>
      <w:tr w:rsidR="00800760">
        <w:trPr>
          <w:trHeight w:val="20"/>
          <w:jc w:val="center"/>
        </w:trPr>
        <w:tc>
          <w:tcPr>
            <w:tcW w:w="930"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被请求人</w:t>
            </w:r>
          </w:p>
        </w:tc>
        <w:tc>
          <w:tcPr>
            <w:tcW w:w="4070"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szCs w:val="21"/>
                <w:lang w:eastAsia="en-US"/>
              </w:rPr>
            </w:pPr>
          </w:p>
        </w:tc>
      </w:tr>
    </w:tbl>
    <w:p w:rsidR="00800760" w:rsidRDefault="00235733">
      <w:pPr>
        <w:spacing w:line="360" w:lineRule="auto"/>
        <w:ind w:firstLineChars="0" w:firstLine="444"/>
        <w:rPr>
          <w:rFonts w:ascii="仿宋_GB2312" w:eastAsia="仿宋_GB2312" w:hAnsi="仿宋"/>
          <w:color w:val="000000"/>
          <w:sz w:val="20"/>
          <w:szCs w:val="21"/>
          <w:lang w:eastAsia="en-US"/>
        </w:rPr>
      </w:pPr>
      <w:r>
        <w:rPr>
          <w:rFonts w:ascii="仿宋_GB2312" w:eastAsia="仿宋_GB2312" w:hAnsi="宋体" w:hint="eastAsia"/>
          <w:color w:val="000000"/>
          <w:spacing w:val="6"/>
          <w:sz w:val="20"/>
          <w:szCs w:val="21"/>
          <w:u w:val="single"/>
          <w:lang w:eastAsia="en-US"/>
        </w:rPr>
        <w:t xml:space="preserve">                     </w:t>
      </w:r>
      <w:r>
        <w:rPr>
          <w:rFonts w:ascii="仿宋_GB2312" w:eastAsia="仿宋_GB2312" w:hAnsi="仿宋" w:hint="eastAsia"/>
          <w:color w:val="000000"/>
          <w:sz w:val="20"/>
          <w:szCs w:val="21"/>
          <w:u w:val="single"/>
          <w:lang w:eastAsia="en-US"/>
        </w:rPr>
        <w:t xml:space="preserve">  </w:t>
      </w:r>
      <w:r>
        <w:rPr>
          <w:rFonts w:ascii="仿宋_GB2312" w:eastAsia="仿宋_GB2312" w:hAnsi="仿宋" w:hint="eastAsia"/>
          <w:color w:val="000000"/>
          <w:sz w:val="20"/>
          <w:szCs w:val="21"/>
          <w:lang w:eastAsia="en-US"/>
        </w:rPr>
        <w:t>：</w:t>
      </w:r>
    </w:p>
    <w:p w:rsidR="00800760" w:rsidRDefault="00235733">
      <w:pPr>
        <w:spacing w:line="360" w:lineRule="auto"/>
        <w:ind w:firstLineChars="233" w:firstLine="466"/>
        <w:rPr>
          <w:rFonts w:ascii="仿宋_GB2312" w:eastAsia="仿宋_GB2312" w:hAnsi="仿宋"/>
          <w:color w:val="000000"/>
          <w:sz w:val="20"/>
          <w:szCs w:val="21"/>
        </w:rPr>
      </w:pPr>
      <w:r>
        <w:rPr>
          <w:rFonts w:ascii="仿宋_GB2312" w:eastAsia="仿宋_GB2312" w:hAnsi="仿宋" w:hint="eastAsia"/>
          <w:color w:val="000000"/>
          <w:sz w:val="20"/>
          <w:szCs w:val="21"/>
        </w:rPr>
        <w:t>□鉴于国家知识产权局已经作出无效宣告请求审查决定，本局决定自</w:t>
      </w:r>
      <w:r>
        <w:rPr>
          <w:rFonts w:ascii="仿宋_GB2312" w:eastAsia="仿宋_GB2312" w:hAnsi="宋体" w:hint="eastAsia"/>
          <w:color w:val="000000"/>
          <w:spacing w:val="4"/>
          <w:sz w:val="20"/>
          <w:szCs w:val="21"/>
          <w:u w:val="single"/>
        </w:rPr>
        <w:t xml:space="preserve">       </w:t>
      </w:r>
      <w:r>
        <w:rPr>
          <w:rFonts w:ascii="仿宋_GB2312" w:eastAsia="仿宋_GB2312" w:hAnsi="宋体" w:hint="eastAsia"/>
          <w:color w:val="000000"/>
          <w:spacing w:val="4"/>
          <w:sz w:val="20"/>
          <w:szCs w:val="21"/>
        </w:rPr>
        <w:t>年</w:t>
      </w:r>
      <w:r>
        <w:rPr>
          <w:rFonts w:ascii="仿宋_GB2312" w:eastAsia="仿宋_GB2312" w:hAnsi="宋体" w:hint="eastAsia"/>
          <w:color w:val="000000"/>
          <w:spacing w:val="4"/>
          <w:sz w:val="20"/>
          <w:szCs w:val="21"/>
          <w:u w:val="single"/>
        </w:rPr>
        <w:t xml:space="preserve">    </w:t>
      </w:r>
      <w:r>
        <w:rPr>
          <w:rFonts w:ascii="仿宋_GB2312" w:eastAsia="仿宋_GB2312" w:hAnsi="宋体" w:hint="eastAsia"/>
          <w:color w:val="000000"/>
          <w:spacing w:val="4"/>
          <w:sz w:val="20"/>
          <w:szCs w:val="21"/>
        </w:rPr>
        <w:t>月</w:t>
      </w:r>
      <w:r>
        <w:rPr>
          <w:rFonts w:ascii="仿宋_GB2312" w:eastAsia="仿宋_GB2312" w:hAnsi="宋体" w:hint="eastAsia"/>
          <w:color w:val="000000"/>
          <w:spacing w:val="4"/>
          <w:sz w:val="20"/>
          <w:szCs w:val="21"/>
        </w:rPr>
        <w:br/>
      </w:r>
      <w:r>
        <w:rPr>
          <w:rFonts w:ascii="仿宋_GB2312" w:eastAsia="仿宋_GB2312" w:hAnsi="宋体" w:hint="eastAsia"/>
          <w:color w:val="000000"/>
          <w:spacing w:val="4"/>
          <w:sz w:val="20"/>
          <w:szCs w:val="21"/>
          <w:u w:val="single"/>
        </w:rPr>
        <w:t xml:space="preserve">    </w:t>
      </w:r>
      <w:r>
        <w:rPr>
          <w:rFonts w:ascii="仿宋_GB2312" w:eastAsia="仿宋_GB2312" w:hAnsi="宋体" w:hint="eastAsia"/>
          <w:color w:val="000000"/>
          <w:spacing w:val="6"/>
          <w:sz w:val="20"/>
          <w:szCs w:val="21"/>
        </w:rPr>
        <w:t>日</w:t>
      </w:r>
      <w:r>
        <w:rPr>
          <w:rFonts w:ascii="仿宋_GB2312" w:eastAsia="仿宋_GB2312" w:hAnsi="仿宋" w:hint="eastAsia"/>
          <w:color w:val="000000"/>
          <w:sz w:val="20"/>
          <w:szCs w:val="21"/>
        </w:rPr>
        <w:t>起恢复对本案的处理。</w:t>
      </w:r>
    </w:p>
    <w:p w:rsidR="00800760" w:rsidRDefault="00235733">
      <w:pPr>
        <w:tabs>
          <w:tab w:val="left" w:leader="underscore" w:pos="6833"/>
        </w:tabs>
        <w:spacing w:line="360" w:lineRule="auto"/>
        <w:ind w:left="42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□鉴于当事人撤回宣告专利权无效的申请，本局决定自</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_GB2312" w:eastAsia="仿宋_GB2312" w:hAnsi="仿宋" w:hint="eastAsia"/>
          <w:color w:val="000000"/>
          <w:sz w:val="20"/>
          <w:szCs w:val="21"/>
        </w:rPr>
        <w:t>起恢复对本案的处理。</w:t>
      </w:r>
    </w:p>
    <w:p w:rsidR="00800760" w:rsidRDefault="00235733">
      <w:pPr>
        <w:tabs>
          <w:tab w:val="left" w:leader="underscore" w:pos="6833"/>
        </w:tabs>
        <w:spacing w:line="360" w:lineRule="auto"/>
        <w:ind w:left="42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特此通知。</w:t>
      </w:r>
    </w:p>
    <w:p w:rsidR="00800760" w:rsidRDefault="00800760">
      <w:pPr>
        <w:spacing w:line="360" w:lineRule="auto"/>
        <w:ind w:firstLineChars="0" w:firstLine="444"/>
        <w:rPr>
          <w:rFonts w:ascii="仿宋_GB2312" w:eastAsia="仿宋_GB2312" w:hAnsi="宋体"/>
          <w:color w:val="000000"/>
          <w:spacing w:val="6"/>
          <w:sz w:val="20"/>
          <w:szCs w:val="21"/>
        </w:rPr>
      </w:pP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国家知识产权局（盖章）　　</w:t>
      </w: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800760">
      <w:pPr>
        <w:spacing w:line="360" w:lineRule="auto"/>
        <w:ind w:firstLineChars="0" w:firstLine="0"/>
        <w:rPr>
          <w:rFonts w:ascii="仿宋_GB2312" w:eastAsia="仿宋_GB2312" w:hAnsi="仿宋" w:cs="PMingLiU"/>
          <w:color w:val="000000"/>
          <w:sz w:val="20"/>
          <w:szCs w:val="21"/>
        </w:rPr>
      </w:pPr>
    </w:p>
    <w:p w:rsidR="00800760" w:rsidRDefault="00800760">
      <w:pPr>
        <w:spacing w:line="360" w:lineRule="auto"/>
        <w:ind w:left="420" w:firstLineChars="0" w:firstLine="0"/>
        <w:rPr>
          <w:rFonts w:ascii="仿宋_GB2312" w:eastAsia="仿宋_GB2312" w:hAnsi="仿宋" w:cs="PMingLiU"/>
          <w:color w:val="000000"/>
          <w:sz w:val="20"/>
          <w:szCs w:val="21"/>
        </w:rPr>
      </w:pPr>
    </w:p>
    <w:p w:rsidR="00800760" w:rsidRDefault="00235733">
      <w:pPr>
        <w:spacing w:line="360" w:lineRule="auto"/>
        <w:ind w:firstLineChars="0" w:firstLine="0"/>
        <w:rPr>
          <w:rFonts w:ascii="仿宋_GB2312" w:eastAsia="仿宋_GB2312" w:hAnsi="仿宋" w:cs="PMingLiU"/>
          <w:color w:val="000000"/>
          <w:sz w:val="20"/>
          <w:szCs w:val="21"/>
        </w:rPr>
      </w:pPr>
      <w:r>
        <w:rPr>
          <w:rFonts w:ascii="仿宋_GB2312" w:eastAsia="仿宋_GB2312" w:hAnsi="仿宋" w:cs="PMingLiU" w:hint="eastAsia"/>
          <w:color w:val="000000"/>
          <w:sz w:val="20"/>
          <w:szCs w:val="21"/>
        </w:rPr>
        <w:t>说明：本通知书一式三份，当事人各一份，一份由知识产权局存档。</w:t>
      </w:r>
    </w:p>
    <w:p w:rsidR="00800760" w:rsidRDefault="00800760" w:rsidP="00235733">
      <w:pPr>
        <w:shd w:val="clear" w:color="auto" w:fill="FFFFFF"/>
        <w:spacing w:line="600" w:lineRule="atLeast"/>
        <w:ind w:firstLine="444"/>
        <w:outlineLvl w:val="0"/>
        <w:rPr>
          <w:rFonts w:ascii="仿宋" w:eastAsia="仿宋_GB2312" w:hAnsi="仿宋" w:cs="Arial"/>
          <w:color w:val="000000"/>
          <w:spacing w:val="6"/>
          <w:szCs w:val="21"/>
        </w:rPr>
      </w:pPr>
    </w:p>
    <w:p w:rsidR="00800760" w:rsidRDefault="00235733">
      <w:pPr>
        <w:spacing w:line="240" w:lineRule="auto"/>
        <w:ind w:firstLineChars="0" w:firstLine="0"/>
        <w:jc w:val="center"/>
        <w:rPr>
          <w:rFonts w:ascii="方正小标宋简体" w:eastAsia="方正小标宋简体" w:hAnsi="方正小标宋简体" w:cs="方正小标宋简体"/>
          <w:color w:val="333333"/>
          <w:sz w:val="36"/>
          <w:szCs w:val="36"/>
        </w:rPr>
      </w:pPr>
      <w:r>
        <w:rPr>
          <w:sz w:val="20"/>
        </w:rPr>
        <w:br w:type="page"/>
      </w:r>
      <w:r>
        <w:rPr>
          <w:rFonts w:ascii="方正小标宋简体" w:eastAsia="方正小标宋简体" w:hAnsi="方正小标宋简体" w:cs="方正小标宋简体" w:hint="eastAsia"/>
          <w:color w:val="333333"/>
          <w:sz w:val="36"/>
          <w:szCs w:val="36"/>
          <w:shd w:val="clear" w:color="auto" w:fill="FFFFFF"/>
        </w:rPr>
        <w:t>专利侵权纠纷行政裁决案件口头审理公告</w:t>
      </w:r>
    </w:p>
    <w:p w:rsidR="00800760" w:rsidRDefault="00800760">
      <w:pPr>
        <w:wordWrap w:val="0"/>
        <w:spacing w:line="30" w:lineRule="atLeast"/>
        <w:ind w:firstLineChars="0" w:firstLine="640"/>
        <w:rPr>
          <w:rFonts w:ascii="仿宋" w:eastAsia="仿宋" w:hAnsi="仿宋" w:cs="仿宋"/>
          <w:color w:val="000000"/>
          <w:sz w:val="20"/>
          <w:shd w:val="clear" w:color="auto" w:fill="FFFFFF"/>
          <w:lang w:val="en-US"/>
        </w:rPr>
      </w:pP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案号：</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时间：  年  月  日  :00开始口头审理</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 xml:space="preserve">专利号： </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专利名称：</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请求人：</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 xml:space="preserve">被请求人: </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地点：</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合议组组长：</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主审员：</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 xml:space="preserve">参审员： </w:t>
      </w:r>
    </w:p>
    <w:p w:rsidR="00800760" w:rsidRDefault="00235733">
      <w:pPr>
        <w:ind w:firstLineChars="233" w:firstLine="466"/>
        <w:jc w:val="both"/>
        <w:rPr>
          <w:rFonts w:ascii="仿宋_GB2312" w:eastAsia="仿宋_GB2312" w:hAnsi="仿宋"/>
          <w:color w:val="000000"/>
          <w:sz w:val="20"/>
        </w:rPr>
      </w:pPr>
      <w:r>
        <w:rPr>
          <w:rFonts w:ascii="仿宋_GB2312" w:eastAsia="仿宋_GB2312" w:hAnsi="仿宋" w:hint="eastAsia"/>
          <w:color w:val="000000"/>
          <w:sz w:val="20"/>
        </w:rPr>
        <w:t xml:space="preserve">书记员： </w:t>
      </w:r>
    </w:p>
    <w:p w:rsidR="00800760" w:rsidRDefault="00800760">
      <w:pPr>
        <w:ind w:firstLineChars="1283" w:firstLine="2566"/>
        <w:jc w:val="both"/>
        <w:rPr>
          <w:rFonts w:ascii="仿宋_GB2312" w:eastAsia="仿宋_GB2312" w:hAnsi="仿宋"/>
          <w:color w:val="000000"/>
          <w:sz w:val="20"/>
        </w:rPr>
      </w:pPr>
    </w:p>
    <w:p w:rsidR="00800760" w:rsidRDefault="00235733" w:rsidP="00235733">
      <w:pPr>
        <w:ind w:firstLineChars="2033" w:firstLine="4066"/>
        <w:jc w:val="both"/>
        <w:rPr>
          <w:rFonts w:ascii="仿宋_GB2312" w:eastAsia="仿宋_GB2312" w:hAnsi="仿宋"/>
          <w:color w:val="000000"/>
          <w:sz w:val="20"/>
        </w:rPr>
      </w:pPr>
      <w:r>
        <w:rPr>
          <w:rFonts w:ascii="仿宋_GB2312" w:eastAsia="仿宋_GB2312" w:hAnsi="仿宋" w:hint="eastAsia"/>
          <w:color w:val="000000"/>
          <w:sz w:val="20"/>
        </w:rPr>
        <w:t xml:space="preserve">                        </w:t>
      </w:r>
    </w:p>
    <w:p w:rsidR="00800760" w:rsidRDefault="00800760" w:rsidP="00235733">
      <w:pPr>
        <w:ind w:firstLineChars="2033" w:firstLine="4066"/>
        <w:jc w:val="both"/>
        <w:rPr>
          <w:rFonts w:ascii="仿宋_GB2312" w:eastAsia="仿宋_GB2312" w:hAnsi="仿宋"/>
          <w:color w:val="000000"/>
          <w:sz w:val="20"/>
        </w:rPr>
      </w:pPr>
    </w:p>
    <w:p w:rsidR="00800760" w:rsidRDefault="00800760" w:rsidP="00235733">
      <w:pPr>
        <w:ind w:firstLineChars="2033" w:firstLine="4066"/>
        <w:jc w:val="both"/>
        <w:rPr>
          <w:rFonts w:ascii="仿宋_GB2312" w:eastAsia="仿宋_GB2312" w:hAnsi="仿宋"/>
          <w:color w:val="000000"/>
          <w:sz w:val="20"/>
        </w:rPr>
      </w:pP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235733">
      <w:pPr>
        <w:ind w:firstLineChars="3229" w:firstLine="6846"/>
        <w:jc w:val="both"/>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lang w:val="en-US"/>
        </w:rPr>
      </w:pPr>
      <w:r>
        <w:rPr>
          <w:rFonts w:ascii="宋体" w:hAnsi="宋体"/>
          <w:b/>
          <w:color w:val="000000"/>
          <w:sz w:val="20"/>
        </w:rPr>
        <w:br w:type="page"/>
      </w:r>
      <w:r>
        <w:rPr>
          <w:rFonts w:ascii="方正小标宋_GBK" w:eastAsia="方正小标宋_GBK" w:hAnsi="宋体"/>
          <w:color w:val="000000"/>
          <w:spacing w:val="6"/>
          <w:sz w:val="36"/>
          <w:szCs w:val="36"/>
        </w:rPr>
        <w:t>口头审理通知书</w:t>
      </w:r>
    </w:p>
    <w:p w:rsidR="00800760" w:rsidRDefault="00235733">
      <w:pPr>
        <w:widowControl w:val="0"/>
        <w:ind w:firstLineChars="0" w:firstLine="0"/>
        <w:jc w:val="right"/>
        <w:rPr>
          <w:rFonts w:ascii="仿宋" w:eastAsia="仿宋_GB2312" w:hAnsi="仿宋"/>
          <w:color w:val="000000"/>
          <w:sz w:val="20"/>
        </w:rPr>
      </w:pPr>
      <w:r>
        <w:rPr>
          <w:rFonts w:ascii="仿宋" w:eastAsia="仿宋_GB2312" w:hAnsi="仿宋"/>
          <w:color w:val="000000"/>
          <w:sz w:val="20"/>
        </w:rPr>
        <w:t>案号：</w:t>
      </w:r>
      <w:r>
        <w:rPr>
          <w:rFonts w:ascii="仿宋" w:eastAsia="仿宋_GB2312" w:hAnsi="仿宋" w:hint="eastAsia"/>
          <w:color w:val="000000"/>
          <w:sz w:val="20"/>
        </w:rPr>
        <w:t>____________________</w:t>
      </w:r>
    </w:p>
    <w:tbl>
      <w:tblPr>
        <w:tblW w:w="5000" w:type="pct"/>
        <w:jc w:val="center"/>
        <w:tblCellMar>
          <w:left w:w="10" w:type="dxa"/>
          <w:right w:w="10" w:type="dxa"/>
        </w:tblCellMar>
        <w:tblLook w:val="04A0"/>
      </w:tblPr>
      <w:tblGrid>
        <w:gridCol w:w="1962"/>
        <w:gridCol w:w="7905"/>
      </w:tblGrid>
      <w:tr w:rsidR="00800760">
        <w:trPr>
          <w:trHeight w:val="20"/>
          <w:jc w:val="center"/>
        </w:trPr>
        <w:tc>
          <w:tcPr>
            <w:tcW w:w="994"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4006"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94"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4006"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94"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4006"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94"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006"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r w:rsidR="00800760">
        <w:trPr>
          <w:trHeight w:val="20"/>
          <w:jc w:val="center"/>
        </w:trPr>
        <w:tc>
          <w:tcPr>
            <w:tcW w:w="994"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4006"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ind w:firstLineChars="0" w:firstLine="0"/>
              <w:rPr>
                <w:rFonts w:ascii="仿宋_GB2312" w:eastAsia="仿宋_GB2312" w:hAnsi="仿宋"/>
                <w:color w:val="000000"/>
                <w:sz w:val="20"/>
                <w:lang w:eastAsia="en-US"/>
              </w:rPr>
            </w:pPr>
          </w:p>
        </w:tc>
      </w:tr>
    </w:tbl>
    <w:p w:rsidR="00800760" w:rsidRDefault="00800760">
      <w:pPr>
        <w:ind w:firstLineChars="0" w:firstLine="0"/>
        <w:jc w:val="both"/>
        <w:rPr>
          <w:rFonts w:ascii="仿宋_GB2312" w:eastAsia="仿宋_GB2312" w:hAnsi="宋体"/>
          <w:color w:val="000000"/>
          <w:spacing w:val="6"/>
          <w:sz w:val="20"/>
          <w:u w:val="single"/>
        </w:rPr>
      </w:pPr>
    </w:p>
    <w:p w:rsidR="00800760" w:rsidRDefault="00235733">
      <w:pPr>
        <w:ind w:firstLineChars="0" w:firstLine="0"/>
        <w:jc w:val="both"/>
        <w:rPr>
          <w:rFonts w:ascii="仿宋" w:eastAsia="仿宋_GB2312" w:hAnsi="仿宋"/>
          <w:color w:val="000000"/>
          <w:sz w:val="20"/>
        </w:rPr>
      </w:pPr>
      <w:r>
        <w:rPr>
          <w:rFonts w:ascii="仿宋_GB2312" w:eastAsia="仿宋_GB2312" w:hAnsi="宋体" w:hint="eastAsia"/>
          <w:color w:val="000000"/>
          <w:spacing w:val="6"/>
          <w:sz w:val="20"/>
          <w:u w:val="single"/>
        </w:rPr>
        <w:t xml:space="preserve">         </w:t>
      </w:r>
      <w:r>
        <w:rPr>
          <w:rFonts w:ascii="仿宋" w:hAnsi="仿宋" w:hint="eastAsia"/>
          <w:color w:val="000000"/>
          <w:sz w:val="20"/>
        </w:rPr>
        <w:t>：</w:t>
      </w:r>
    </w:p>
    <w:p w:rsidR="00800760" w:rsidRDefault="00235733">
      <w:pPr>
        <w:tabs>
          <w:tab w:val="left" w:leader="underscore" w:pos="6663"/>
        </w:tabs>
        <w:ind w:firstLine="424"/>
        <w:jc w:val="both"/>
        <w:rPr>
          <w:rFonts w:ascii="仿宋_GB2312" w:eastAsia="仿宋_GB2312" w:hAnsi="仿宋"/>
          <w:color w:val="000000"/>
          <w:sz w:val="20"/>
        </w:rPr>
      </w:pPr>
      <w:r>
        <w:rPr>
          <w:rFonts w:ascii="仿宋_GB2312" w:eastAsia="仿宋_GB2312" w:hAnsi="仿宋" w:hint="eastAsia"/>
          <w:color w:val="000000"/>
          <w:spacing w:val="6"/>
          <w:sz w:val="20"/>
        </w:rPr>
        <w:t>依据</w:t>
      </w:r>
      <w:r>
        <w:rPr>
          <w:rFonts w:ascii="仿宋_GB2312" w:eastAsia="仿宋_GB2312" w:hAnsi="仿宋" w:hint="eastAsia"/>
          <w:spacing w:val="20"/>
          <w:sz w:val="20"/>
        </w:rPr>
        <w:t>《</w:t>
      </w:r>
      <w:r>
        <w:rPr>
          <w:rFonts w:ascii="仿宋_GB2312" w:eastAsia="仿宋_GB2312" w:hAnsi="仿宋" w:hint="eastAsia"/>
          <w:spacing w:val="20"/>
          <w:sz w:val="20"/>
          <w:lang w:val="en-US"/>
        </w:rPr>
        <w:t>专利纠纷行政裁决和调解办法</w:t>
      </w:r>
      <w:r>
        <w:rPr>
          <w:rFonts w:ascii="仿宋_GB2312" w:eastAsia="仿宋_GB2312" w:hAnsi="仿宋" w:hint="eastAsia"/>
          <w:spacing w:val="20"/>
          <w:sz w:val="20"/>
        </w:rPr>
        <w:t>》第</w:t>
      </w:r>
      <w:r>
        <w:rPr>
          <w:rFonts w:ascii="仿宋_GB2312" w:eastAsia="仿宋_GB2312" w:hAnsi="仿宋" w:hint="eastAsia"/>
          <w:spacing w:val="20"/>
          <w:sz w:val="20"/>
          <w:lang w:val="en-US"/>
        </w:rPr>
        <w:t>二</w:t>
      </w:r>
      <w:r>
        <w:rPr>
          <w:rFonts w:ascii="仿宋_GB2312" w:eastAsia="仿宋_GB2312" w:hAnsi="仿宋" w:hint="eastAsia"/>
          <w:spacing w:val="20"/>
          <w:sz w:val="20"/>
        </w:rPr>
        <w:t>十六条</w:t>
      </w:r>
      <w:r>
        <w:rPr>
          <w:rFonts w:ascii="仿宋_GB2312" w:eastAsia="仿宋_GB2312" w:hAnsi="仿宋" w:hint="eastAsia"/>
          <w:color w:val="000000"/>
          <w:spacing w:val="6"/>
          <w:sz w:val="20"/>
        </w:rPr>
        <w:t>的规定，本局决定于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pacing w:val="6"/>
          <w:sz w:val="20"/>
        </w:rPr>
        <w:t>时</w:t>
      </w:r>
      <w:r>
        <w:rPr>
          <w:rFonts w:ascii="仿宋_GB2312" w:eastAsia="仿宋_GB2312" w:hAnsi="仿宋"/>
          <w:color w:val="000000"/>
          <w:spacing w:val="6"/>
          <w:sz w:val="20"/>
          <w:lang w:val="en-US"/>
        </w:rPr>
        <w:t>在</w:t>
      </w:r>
      <w:r>
        <w:rPr>
          <w:rFonts w:ascii="仿宋_GB2312" w:eastAsia="仿宋_GB2312" w:hAnsi="仿宋"/>
          <w:color w:val="000000"/>
          <w:sz w:val="20"/>
          <w:u w:val="single"/>
          <w:lang w:val="en-US"/>
        </w:rPr>
        <w:t xml:space="preserve">  </w:t>
      </w:r>
      <w:r>
        <w:rPr>
          <w:rFonts w:ascii="仿宋_GB2312" w:eastAsia="仿宋_GB2312" w:hAnsi="仿宋" w:hint="eastAsia"/>
          <w:color w:val="000000"/>
          <w:sz w:val="20"/>
          <w:u w:val="single"/>
          <w:lang w:val="en-US"/>
        </w:rPr>
        <w:t>XX口头审理室（地址：XXX）</w:t>
      </w:r>
      <w:r>
        <w:rPr>
          <w:rFonts w:ascii="仿宋_GB2312" w:eastAsia="仿宋_GB2312" w:hAnsi="仿宋"/>
          <w:color w:val="000000"/>
          <w:sz w:val="20"/>
          <w:u w:val="single"/>
          <w:lang w:val="en-US"/>
        </w:rPr>
        <w:t xml:space="preserve">      </w:t>
      </w:r>
      <w:r>
        <w:rPr>
          <w:rFonts w:ascii="仿宋_GB2312" w:eastAsia="仿宋_GB2312" w:hAnsi="仿宋"/>
          <w:color w:val="000000"/>
          <w:sz w:val="20"/>
          <w:lang w:val="en-US"/>
        </w:rPr>
        <w:t>对请求人</w:t>
      </w:r>
      <w:r>
        <w:rPr>
          <w:rFonts w:ascii="仿宋_GB2312" w:eastAsia="仿宋_GB2312" w:hAnsi="仿宋" w:hint="eastAsia"/>
          <w:color w:val="000000"/>
          <w:sz w:val="20"/>
        </w:rPr>
        <w:t>提出的侵犯专利权纠纷处理请求进行口头审理。</w:t>
      </w:r>
    </w:p>
    <w:p w:rsidR="00800760" w:rsidRDefault="00235733">
      <w:pPr>
        <w:ind w:firstLineChars="0" w:firstLine="440"/>
        <w:jc w:val="both"/>
        <w:rPr>
          <w:rFonts w:ascii="仿宋_GB2312" w:eastAsia="仿宋_GB2312" w:hAnsi="仿宋"/>
          <w:color w:val="000000"/>
          <w:sz w:val="20"/>
        </w:rPr>
      </w:pPr>
      <w:r>
        <w:rPr>
          <w:rFonts w:ascii="仿宋_GB2312" w:eastAsia="仿宋_GB2312" w:hAnsi="仿宋" w:hint="eastAsia"/>
          <w:color w:val="000000"/>
          <w:sz w:val="20"/>
        </w:rPr>
        <w:t>双方当事人应当在收到本通知书之日起</w:t>
      </w:r>
      <w:r>
        <w:rPr>
          <w:rFonts w:eastAsia="仿宋_GB2312" w:hint="eastAsia"/>
          <w:color w:val="000000"/>
          <w:sz w:val="20"/>
        </w:rPr>
        <w:t>3</w:t>
      </w:r>
      <w:r>
        <w:rPr>
          <w:rFonts w:ascii="仿宋_GB2312" w:eastAsia="仿宋_GB2312" w:hAnsi="仿宋" w:hint="eastAsia"/>
          <w:color w:val="000000"/>
          <w:sz w:val="20"/>
        </w:rPr>
        <w:t>日内将参加口头审理的回执送交本局。无正当理由拒不参加或者中途退出的，对请求人按撤回请求处理，对被请求人按缺席处理。</w:t>
      </w:r>
    </w:p>
    <w:p w:rsidR="00800760" w:rsidRDefault="00235733">
      <w:pPr>
        <w:ind w:firstLineChars="0" w:firstLine="440"/>
        <w:jc w:val="both"/>
        <w:rPr>
          <w:rFonts w:ascii="仿宋_GB2312" w:eastAsia="仿宋_GB2312" w:hAnsi="仿宋"/>
          <w:color w:val="000000"/>
          <w:sz w:val="20"/>
        </w:rPr>
      </w:pPr>
      <w:r>
        <w:rPr>
          <w:rFonts w:ascii="仿宋_GB2312" w:eastAsia="仿宋_GB2312" w:hAnsi="仿宋" w:hint="eastAsia"/>
          <w:color w:val="000000"/>
          <w:sz w:val="20"/>
        </w:rPr>
        <w:t>当事人因正当理由不能参加的，应提前</w:t>
      </w:r>
      <w:r>
        <w:rPr>
          <w:rFonts w:eastAsia="仿宋_GB2312" w:hint="eastAsia"/>
          <w:color w:val="000000"/>
          <w:sz w:val="20"/>
        </w:rPr>
        <w:t>3</w:t>
      </w:r>
      <w:r>
        <w:rPr>
          <w:rFonts w:ascii="仿宋_GB2312" w:eastAsia="仿宋_GB2312" w:hAnsi="仿宋" w:hint="eastAsia"/>
          <w:color w:val="000000"/>
          <w:sz w:val="20"/>
        </w:rPr>
        <w:t>日向本局提出，申请改期。</w:t>
      </w:r>
    </w:p>
    <w:p w:rsidR="00800760" w:rsidRDefault="00235733">
      <w:pPr>
        <w:ind w:firstLineChars="0" w:firstLine="440"/>
        <w:jc w:val="both"/>
        <w:rPr>
          <w:rFonts w:ascii="仿宋_GB2312" w:eastAsia="仿宋_GB2312" w:hAnsi="仿宋"/>
          <w:color w:val="000000"/>
          <w:sz w:val="20"/>
        </w:rPr>
      </w:pPr>
      <w:r>
        <w:rPr>
          <w:rFonts w:ascii="仿宋_GB2312" w:eastAsia="仿宋_GB2312" w:hAnsi="仿宋" w:hint="eastAsia"/>
          <w:color w:val="000000"/>
          <w:sz w:val="20"/>
        </w:rPr>
        <w:t>参加口头审理的人员，应当携带以下材料：</w:t>
      </w:r>
    </w:p>
    <w:p w:rsidR="00800760" w:rsidRDefault="00235733">
      <w:pPr>
        <w:ind w:firstLineChars="0" w:firstLine="440"/>
        <w:jc w:val="both"/>
        <w:rPr>
          <w:rFonts w:ascii="仿宋_GB2312" w:eastAsia="仿宋_GB2312" w:hAnsi="仿宋"/>
          <w:color w:val="000000"/>
          <w:sz w:val="20"/>
        </w:rPr>
      </w:pPr>
      <w:r>
        <w:rPr>
          <w:rFonts w:eastAsia="仿宋_GB2312" w:hint="eastAsia"/>
          <w:color w:val="000000"/>
          <w:sz w:val="20"/>
        </w:rPr>
        <w:t>1</w:t>
      </w:r>
      <w:r>
        <w:rPr>
          <w:rFonts w:ascii="仿宋_GB2312" w:eastAsia="仿宋_GB2312" w:hAnsi="仿宋" w:hint="eastAsia"/>
          <w:color w:val="000000"/>
          <w:sz w:val="20"/>
        </w:rPr>
        <w:t>.当事人的主体资格证明（如：企业法人提供营业执照副本复印件或者其他主体资格证明文件并加盖单位公章；自然人提供身份证正反面复印件；境外和港澳台地区形成的证据按相关规定</w:t>
      </w:r>
      <w:r>
        <w:rPr>
          <w:rFonts w:ascii="仿宋_GB2312" w:eastAsia="仿宋_GB2312" w:hAnsi="仿宋" w:hint="eastAsia"/>
          <w:color w:val="000000"/>
          <w:sz w:val="20"/>
          <w:lang w:bidi="en-US"/>
        </w:rPr>
        <w:t>）</w:t>
      </w:r>
      <w:r>
        <w:rPr>
          <w:rFonts w:ascii="仿宋_GB2312" w:eastAsia="仿宋_GB2312" w:hAnsi="仿宋" w:hint="eastAsia"/>
          <w:color w:val="000000"/>
          <w:sz w:val="20"/>
        </w:rPr>
        <w:t>。</w:t>
      </w:r>
    </w:p>
    <w:p w:rsidR="00800760" w:rsidRDefault="00235733">
      <w:pPr>
        <w:ind w:firstLineChars="0" w:firstLine="440"/>
        <w:jc w:val="both"/>
        <w:rPr>
          <w:rFonts w:ascii="仿宋_GB2312" w:eastAsia="仿宋_GB2312" w:hAnsi="仿宋"/>
          <w:color w:val="000000"/>
          <w:sz w:val="20"/>
        </w:rPr>
      </w:pPr>
      <w:r>
        <w:rPr>
          <w:rFonts w:eastAsia="仿宋_GB2312" w:hint="eastAsia"/>
          <w:color w:val="000000"/>
          <w:sz w:val="20"/>
        </w:rPr>
        <w:t>2</w:t>
      </w:r>
      <w:r>
        <w:rPr>
          <w:rFonts w:ascii="仿宋_GB2312" w:eastAsia="仿宋_GB2312" w:hAnsi="仿宋" w:hint="eastAsia"/>
          <w:color w:val="000000"/>
          <w:sz w:val="20"/>
        </w:rPr>
        <w:t>.委托代理人（</w:t>
      </w:r>
      <w:r>
        <w:rPr>
          <w:rFonts w:eastAsia="仿宋_GB2312" w:hint="eastAsia"/>
          <w:color w:val="000000"/>
          <w:sz w:val="20"/>
        </w:rPr>
        <w:t>1</w:t>
      </w:r>
      <w:r>
        <w:rPr>
          <w:rFonts w:ascii="仿宋_GB2312" w:eastAsia="仿宋_GB2312" w:hAnsi="仿宋" w:hint="eastAsia"/>
          <w:color w:val="000000"/>
          <w:sz w:val="20"/>
        </w:rPr>
        <w:t>～</w:t>
      </w:r>
      <w:r>
        <w:rPr>
          <w:rFonts w:eastAsia="仿宋_GB2312" w:hint="eastAsia"/>
          <w:color w:val="000000"/>
          <w:sz w:val="20"/>
        </w:rPr>
        <w:t>2</w:t>
      </w:r>
      <w:r>
        <w:rPr>
          <w:rFonts w:ascii="仿宋_GB2312" w:eastAsia="仿宋_GB2312" w:hAnsi="仿宋" w:hint="eastAsia"/>
          <w:color w:val="000000"/>
          <w:sz w:val="20"/>
        </w:rPr>
        <w:t>人）出席的，应当提交授权委托书及委托代理人的身份证明</w:t>
      </w:r>
      <w:r>
        <w:rPr>
          <w:rFonts w:ascii="仿宋_GB2312" w:eastAsia="仿宋_GB2312" w:hAnsi="仿宋" w:hint="eastAsia"/>
          <w:color w:val="000000"/>
          <w:sz w:val="20"/>
          <w:lang w:bidi="en-US"/>
        </w:rPr>
        <w:t>（</w:t>
      </w:r>
      <w:r>
        <w:rPr>
          <w:rFonts w:ascii="仿宋_GB2312" w:eastAsia="仿宋_GB2312" w:hAnsi="仿宋" w:hint="eastAsia"/>
          <w:color w:val="000000"/>
          <w:sz w:val="20"/>
        </w:rPr>
        <w:t>身份证正反面复印件）。</w:t>
      </w:r>
    </w:p>
    <w:p w:rsidR="00800760" w:rsidRDefault="00235733">
      <w:pPr>
        <w:tabs>
          <w:tab w:val="left" w:pos="709"/>
        </w:tabs>
        <w:ind w:left="440" w:firstLineChars="0" w:firstLine="0"/>
        <w:jc w:val="both"/>
        <w:rPr>
          <w:rFonts w:ascii="仿宋_GB2312" w:eastAsia="仿宋_GB2312" w:hAnsi="仿宋"/>
          <w:color w:val="000000"/>
          <w:sz w:val="20"/>
        </w:rPr>
      </w:pPr>
      <w:r>
        <w:rPr>
          <w:rFonts w:eastAsia="仿宋_GB2312" w:hint="eastAsia"/>
          <w:color w:val="000000"/>
          <w:sz w:val="20"/>
        </w:rPr>
        <w:t>3</w:t>
      </w:r>
      <w:r>
        <w:rPr>
          <w:rFonts w:ascii="仿宋_GB2312" w:eastAsia="仿宋_GB2312" w:hAnsi="仿宋" w:hint="eastAsia"/>
          <w:color w:val="000000"/>
          <w:sz w:val="20"/>
        </w:rPr>
        <w:t>.有关证据材料原件。</w:t>
      </w:r>
    </w:p>
    <w:p w:rsidR="00800760" w:rsidRDefault="00235733">
      <w:pPr>
        <w:ind w:firstLineChars="0" w:firstLine="440"/>
        <w:jc w:val="both"/>
        <w:rPr>
          <w:rFonts w:ascii="仿宋_GB2312" w:eastAsia="仿宋_GB2312" w:hAnsi="仿宋"/>
          <w:color w:val="000000"/>
          <w:sz w:val="20"/>
        </w:rPr>
      </w:pPr>
      <w:r>
        <w:rPr>
          <w:rFonts w:ascii="仿宋_GB2312" w:eastAsia="仿宋_GB2312" w:hAnsi="仿宋" w:hint="eastAsia"/>
          <w:color w:val="000000"/>
          <w:sz w:val="20"/>
        </w:rPr>
        <w:t>附：口头审理回执</w:t>
      </w: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235733">
      <w:pPr>
        <w:ind w:firstLineChars="3229" w:firstLine="6846"/>
        <w:jc w:val="both"/>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p>
    <w:p w:rsidR="00800760" w:rsidRDefault="00235733">
      <w:pPr>
        <w:tabs>
          <w:tab w:val="center" w:pos="6363"/>
        </w:tabs>
        <w:ind w:firstLineChars="0" w:firstLine="0"/>
        <w:jc w:val="both"/>
        <w:rPr>
          <w:rFonts w:ascii="仿宋" w:eastAsia="仿宋_GB2312" w:hAnsi="仿宋"/>
          <w:color w:val="000000"/>
          <w:sz w:val="20"/>
        </w:rPr>
      </w:pPr>
      <w:r>
        <w:rPr>
          <w:rFonts w:ascii="仿宋" w:eastAsia="仿宋_GB2312" w:hAnsi="仿宋"/>
          <w:color w:val="000000"/>
          <w:sz w:val="20"/>
        </w:rPr>
        <w:t>联</w:t>
      </w:r>
      <w:r>
        <w:rPr>
          <w:rFonts w:ascii="仿宋" w:eastAsia="仿宋_GB2312" w:hAnsi="仿宋" w:hint="eastAsia"/>
          <w:color w:val="000000"/>
          <w:sz w:val="20"/>
        </w:rPr>
        <w:t xml:space="preserve"> </w:t>
      </w:r>
      <w:r>
        <w:rPr>
          <w:rFonts w:ascii="仿宋" w:eastAsia="仿宋_GB2312" w:hAnsi="仿宋"/>
          <w:color w:val="000000"/>
          <w:sz w:val="20"/>
        </w:rPr>
        <w:t>系</w:t>
      </w:r>
      <w:r>
        <w:rPr>
          <w:rFonts w:ascii="仿宋" w:eastAsia="仿宋_GB2312" w:hAnsi="仿宋" w:hint="eastAsia"/>
          <w:color w:val="000000"/>
          <w:sz w:val="20"/>
        </w:rPr>
        <w:t xml:space="preserve"> </w:t>
      </w:r>
      <w:r>
        <w:rPr>
          <w:rFonts w:ascii="仿宋" w:eastAsia="仿宋_GB2312" w:hAnsi="仿宋"/>
          <w:color w:val="000000"/>
          <w:sz w:val="20"/>
        </w:rPr>
        <w:t>人：</w:t>
      </w:r>
      <w:r>
        <w:rPr>
          <w:rFonts w:ascii="仿宋" w:eastAsia="仿宋_GB2312" w:hAnsi="仿宋" w:hint="eastAsia"/>
          <w:color w:val="000000"/>
          <w:sz w:val="20"/>
          <w:lang w:val="en-US"/>
        </w:rPr>
        <w:t xml:space="preserve">                                        </w:t>
      </w:r>
      <w:r>
        <w:rPr>
          <w:rFonts w:ascii="仿宋" w:eastAsia="仿宋_GB2312" w:hAnsi="仿宋"/>
          <w:color w:val="000000"/>
          <w:sz w:val="20"/>
        </w:rPr>
        <w:t>联系电话：</w:t>
      </w:r>
    </w:p>
    <w:p w:rsidR="00800760" w:rsidRDefault="00235733">
      <w:pPr>
        <w:tabs>
          <w:tab w:val="center" w:pos="6363"/>
        </w:tabs>
        <w:ind w:firstLineChars="0" w:firstLine="0"/>
        <w:jc w:val="both"/>
        <w:rPr>
          <w:rFonts w:ascii="仿宋" w:eastAsia="仿宋_GB2312" w:hAnsi="仿宋"/>
          <w:color w:val="000000"/>
          <w:sz w:val="20"/>
        </w:rPr>
      </w:pPr>
      <w:r>
        <w:rPr>
          <w:rFonts w:ascii="仿宋" w:eastAsia="仿宋_GB2312" w:hAnsi="仿宋"/>
          <w:color w:val="000000"/>
          <w:sz w:val="20"/>
        </w:rPr>
        <w:t>本局地址：</w:t>
      </w:r>
      <w:r>
        <w:rPr>
          <w:rFonts w:ascii="仿宋" w:eastAsia="仿宋_GB2312" w:hAnsi="仿宋" w:hint="eastAsia"/>
          <w:color w:val="000000"/>
          <w:sz w:val="20"/>
          <w:lang w:val="en-US"/>
        </w:rPr>
        <w:t xml:space="preserve">                                        </w:t>
      </w:r>
      <w:r>
        <w:rPr>
          <w:rFonts w:ascii="仿宋" w:eastAsia="仿宋_GB2312" w:hAnsi="仿宋"/>
          <w:color w:val="000000"/>
          <w:sz w:val="20"/>
        </w:rPr>
        <w:t>邮政编码：</w:t>
      </w:r>
    </w:p>
    <w:p w:rsidR="00800760" w:rsidRDefault="00800760" w:rsidP="00235733">
      <w:pPr>
        <w:widowControl w:val="0"/>
        <w:ind w:firstLine="400"/>
        <w:jc w:val="both"/>
        <w:rPr>
          <w:rFonts w:ascii="仿宋" w:eastAsia="仿宋_GB2312" w:hAnsi="仿宋" w:cs="PMingLiU"/>
          <w:color w:val="000000"/>
          <w:kern w:val="2"/>
          <w:sz w:val="20"/>
          <w:lang w:val="en-US"/>
        </w:rPr>
      </w:pPr>
    </w:p>
    <w:p w:rsidR="00800760" w:rsidRDefault="00235733" w:rsidP="00235733">
      <w:pPr>
        <w:widowControl w:val="0"/>
        <w:ind w:firstLine="400"/>
        <w:jc w:val="both"/>
        <w:rPr>
          <w:rFonts w:ascii="仿宋" w:eastAsia="仿宋_GB2312" w:hAnsi="仿宋" w:cs="PMingLiU"/>
          <w:color w:val="000000"/>
          <w:kern w:val="2"/>
          <w:sz w:val="20"/>
          <w:lang w:val="en-US"/>
        </w:rPr>
      </w:pPr>
      <w:r>
        <w:rPr>
          <w:rFonts w:ascii="仿宋" w:eastAsia="仿宋_GB2312" w:hAnsi="仿宋" w:cs="PMingLiU"/>
          <w:color w:val="000000"/>
          <w:kern w:val="2"/>
          <w:sz w:val="20"/>
          <w:lang w:val="en-US"/>
        </w:rPr>
        <w:t>说明：本通知书一式三份，两份送达当事人，一份由知识产权局存档</w:t>
      </w:r>
      <w:r>
        <w:rPr>
          <w:rFonts w:ascii="仿宋" w:eastAsia="仿宋_GB2312" w:hAnsi="仿宋" w:cs="PMingLiU" w:hint="eastAsia"/>
          <w:color w:val="000000"/>
          <w:kern w:val="2"/>
          <w:sz w:val="20"/>
          <w:lang w:val="en-US"/>
        </w:rPr>
        <w:t>。</w:t>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宋体" w:hAnsi="宋体"/>
          <w:b/>
          <w:color w:val="000000"/>
          <w:sz w:val="20"/>
        </w:rPr>
        <w:br w:type="page"/>
      </w:r>
      <w:r>
        <w:rPr>
          <w:rFonts w:ascii="方正小标宋_GBK" w:eastAsia="方正小标宋_GBK" w:hAnsi="宋体"/>
          <w:color w:val="000000"/>
          <w:spacing w:val="6"/>
          <w:sz w:val="36"/>
          <w:szCs w:val="36"/>
        </w:rPr>
        <w:t>口头审理回执</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w:t>
      </w:r>
      <w:r>
        <w:rPr>
          <w:rFonts w:ascii="仿宋" w:eastAsia="仿宋_GB2312" w:hAnsi="仿宋" w:hint="eastAsia"/>
          <w:color w:val="000000"/>
          <w:sz w:val="20"/>
        </w:rPr>
        <w:t>____________________</w:t>
      </w:r>
    </w:p>
    <w:p w:rsidR="00800760" w:rsidRDefault="00235733">
      <w:pPr>
        <w:tabs>
          <w:tab w:val="left" w:leader="underscore" w:pos="1707"/>
        </w:tabs>
        <w:ind w:firstLineChars="0" w:firstLine="0"/>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w:t>
      </w:r>
      <w:r>
        <w:rPr>
          <w:rFonts w:ascii="仿宋_GB2312" w:eastAsia="仿宋_GB2312" w:hAnsi="仿宋" w:hint="eastAsia"/>
          <w:color w:val="000000"/>
          <w:sz w:val="20"/>
        </w:rPr>
        <w:t>：</w:t>
      </w:r>
    </w:p>
    <w:p w:rsidR="00800760" w:rsidRDefault="00235733">
      <w:pPr>
        <w:tabs>
          <w:tab w:val="left" w:leader="underscore" w:pos="2394"/>
          <w:tab w:val="left" w:leader="underscore" w:pos="3037"/>
          <w:tab w:val="left" w:leader="underscore" w:pos="3783"/>
          <w:tab w:val="left" w:leader="underscore" w:pos="4328"/>
        </w:tabs>
        <w:ind w:left="440" w:firstLineChars="0" w:firstLine="0"/>
        <w:rPr>
          <w:rFonts w:ascii="仿宋_GB2312" w:eastAsia="仿宋_GB2312" w:hAnsi="仿宋"/>
          <w:color w:val="000000"/>
          <w:sz w:val="20"/>
        </w:rPr>
      </w:pPr>
      <w:r>
        <w:rPr>
          <w:rFonts w:ascii="仿宋_GB2312" w:eastAsia="仿宋_GB2312" w:hAnsi="仿宋" w:hint="eastAsia"/>
          <w:color w:val="000000"/>
          <w:sz w:val="20"/>
        </w:rPr>
        <w:t>□我方参加</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时举行的口头审理。</w:t>
      </w:r>
    </w:p>
    <w:p w:rsidR="00800760" w:rsidRDefault="00235733">
      <w:pPr>
        <w:tabs>
          <w:tab w:val="left" w:leader="underscore" w:pos="2394"/>
          <w:tab w:val="left" w:leader="underscore" w:pos="3037"/>
          <w:tab w:val="left" w:leader="underscore" w:pos="3783"/>
          <w:tab w:val="left" w:leader="underscore" w:pos="4328"/>
        </w:tabs>
        <w:ind w:left="440" w:firstLineChars="0" w:firstLine="0"/>
        <w:rPr>
          <w:rFonts w:ascii="仿宋_GB2312" w:eastAsia="仿宋_GB2312" w:hAnsi="仿宋"/>
          <w:color w:val="000000"/>
          <w:sz w:val="20"/>
          <w:u w:val="single"/>
        </w:rPr>
      </w:pPr>
      <w:r>
        <w:rPr>
          <w:rFonts w:ascii="仿宋_GB2312" w:eastAsia="仿宋_GB2312" w:hAnsi="仿宋" w:hint="eastAsia"/>
          <w:color w:val="000000"/>
          <w:sz w:val="20"/>
        </w:rPr>
        <w:t>□我方不参加</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时举行的口头审理，其原因是:</w:t>
      </w:r>
      <w:r>
        <w:rPr>
          <w:rFonts w:ascii="仿宋_GB2312" w:eastAsia="仿宋_GB2312" w:hAnsi="仿宋" w:hint="eastAsia"/>
          <w:color w:val="000000"/>
          <w:sz w:val="20"/>
          <w:u w:val="single"/>
        </w:rPr>
        <w:t xml:space="preserve">                     </w:t>
      </w:r>
    </w:p>
    <w:p w:rsidR="00800760" w:rsidRDefault="00235733">
      <w:pPr>
        <w:tabs>
          <w:tab w:val="left" w:leader="underscore" w:pos="2394"/>
          <w:tab w:val="left" w:leader="underscore" w:pos="3037"/>
          <w:tab w:val="left" w:leader="underscore" w:pos="3783"/>
          <w:tab w:val="left" w:leader="underscore" w:pos="4328"/>
        </w:tabs>
        <w:ind w:left="440" w:firstLineChars="0" w:firstLine="0"/>
        <w:rPr>
          <w:rFonts w:ascii="仿宋_GB2312" w:eastAsia="仿宋_GB2312" w:hAnsi="仿宋"/>
          <w:color w:val="000000"/>
          <w:sz w:val="20"/>
        </w:rPr>
      </w:pP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w:t>
      </w:r>
    </w:p>
    <w:p w:rsidR="00800760" w:rsidRDefault="00235733">
      <w:pPr>
        <w:tabs>
          <w:tab w:val="left" w:leader="underscore" w:pos="2394"/>
          <w:tab w:val="left" w:leader="underscore" w:pos="3037"/>
          <w:tab w:val="left" w:leader="underscore" w:pos="3783"/>
          <w:tab w:val="left" w:leader="underscore" w:pos="4328"/>
        </w:tabs>
        <w:ind w:left="440" w:firstLineChars="0" w:firstLine="0"/>
        <w:rPr>
          <w:rFonts w:ascii="仿宋_GB2312" w:eastAsia="仿宋_GB2312" w:hAnsi="仿宋"/>
          <w:color w:val="000000"/>
          <w:sz w:val="20"/>
        </w:rPr>
      </w:pPr>
      <w:r>
        <w:rPr>
          <w:rFonts w:ascii="仿宋_GB2312" w:eastAsia="仿宋_GB2312" w:hAnsi="仿宋" w:hint="eastAsia"/>
          <w:color w:val="000000"/>
          <w:sz w:val="20"/>
        </w:rPr>
        <w:t>□我方是本案的请求人，参加口头审理的人员如下：</w:t>
      </w:r>
    </w:p>
    <w:p w:rsidR="00800760" w:rsidRDefault="00235733">
      <w:pPr>
        <w:tabs>
          <w:tab w:val="left" w:leader="underscore" w:pos="2394"/>
          <w:tab w:val="left" w:leader="underscore" w:pos="3037"/>
          <w:tab w:val="left" w:leader="underscore" w:pos="3783"/>
          <w:tab w:val="left" w:leader="underscore" w:pos="4328"/>
        </w:tabs>
        <w:ind w:left="440" w:firstLineChars="0" w:firstLine="0"/>
        <w:rPr>
          <w:rFonts w:ascii="仿宋_GB2312" w:eastAsia="仿宋_GB2312" w:hAnsi="仿宋"/>
          <w:color w:val="000000"/>
          <w:sz w:val="20"/>
        </w:rPr>
      </w:pPr>
      <w:r>
        <w:rPr>
          <w:rFonts w:ascii="仿宋_GB2312" w:eastAsia="仿宋_GB2312" w:hAnsi="仿宋" w:hint="eastAsia"/>
          <w:color w:val="000000"/>
          <w:sz w:val="20"/>
        </w:rPr>
        <w:t>□我方是本案的被请求人，参加口头审理的人员如下：</w:t>
      </w:r>
    </w:p>
    <w:tbl>
      <w:tblPr>
        <w:tblW w:w="5000" w:type="pct"/>
        <w:jc w:val="center"/>
        <w:tblCellMar>
          <w:left w:w="10" w:type="dxa"/>
          <w:right w:w="10" w:type="dxa"/>
        </w:tblCellMar>
        <w:tblLook w:val="04A0"/>
      </w:tblPr>
      <w:tblGrid>
        <w:gridCol w:w="1511"/>
        <w:gridCol w:w="2161"/>
        <w:gridCol w:w="1891"/>
        <w:gridCol w:w="1950"/>
        <w:gridCol w:w="2354"/>
      </w:tblGrid>
      <w:tr w:rsidR="00800760">
        <w:trPr>
          <w:trHeight w:val="20"/>
          <w:jc w:val="center"/>
        </w:trPr>
        <w:tc>
          <w:tcPr>
            <w:tcW w:w="766"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姓名</w:t>
            </w:r>
          </w:p>
        </w:tc>
        <w:tc>
          <w:tcPr>
            <w:tcW w:w="1095"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单位</w:t>
            </w:r>
          </w:p>
        </w:tc>
        <w:tc>
          <w:tcPr>
            <w:tcW w:w="958"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职务</w:t>
            </w:r>
          </w:p>
        </w:tc>
        <w:tc>
          <w:tcPr>
            <w:tcW w:w="988"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移动电话</w:t>
            </w:r>
          </w:p>
        </w:tc>
        <w:tc>
          <w:tcPr>
            <w:tcW w:w="1193"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固定电话</w:t>
            </w:r>
          </w:p>
        </w:tc>
      </w:tr>
      <w:tr w:rsidR="00800760">
        <w:trPr>
          <w:trHeight w:val="20"/>
          <w:jc w:val="center"/>
        </w:trPr>
        <w:tc>
          <w:tcPr>
            <w:tcW w:w="766" w:type="pct"/>
            <w:tcBorders>
              <w:top w:val="single" w:sz="4" w:space="0" w:color="auto"/>
              <w:lef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c>
          <w:tcPr>
            <w:tcW w:w="1095" w:type="pct"/>
            <w:tcBorders>
              <w:top w:val="single" w:sz="4" w:space="0" w:color="auto"/>
              <w:lef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c>
          <w:tcPr>
            <w:tcW w:w="958" w:type="pct"/>
            <w:tcBorders>
              <w:top w:val="single" w:sz="4" w:space="0" w:color="auto"/>
              <w:lef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c>
          <w:tcPr>
            <w:tcW w:w="988" w:type="pct"/>
            <w:tcBorders>
              <w:top w:val="single" w:sz="4" w:space="0" w:color="auto"/>
              <w:lef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c>
          <w:tcPr>
            <w:tcW w:w="1193"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766"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c>
          <w:tcPr>
            <w:tcW w:w="1095"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c>
          <w:tcPr>
            <w:tcW w:w="958"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c>
          <w:tcPr>
            <w:tcW w:w="988"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c>
          <w:tcPr>
            <w:tcW w:w="1193"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ind w:firstLineChars="0" w:firstLine="0"/>
              <w:jc w:val="center"/>
              <w:rPr>
                <w:rFonts w:ascii="仿宋_GB2312" w:eastAsia="仿宋_GB2312" w:hAnsi="仿宋"/>
                <w:color w:val="000000"/>
                <w:sz w:val="20"/>
                <w:lang w:eastAsia="en-US"/>
              </w:rPr>
            </w:pPr>
          </w:p>
        </w:tc>
      </w:tr>
    </w:tbl>
    <w:p w:rsidR="00800760" w:rsidRDefault="00800760">
      <w:pPr>
        <w:widowControl w:val="0"/>
        <w:ind w:firstLineChars="0" w:firstLine="600"/>
        <w:rPr>
          <w:rFonts w:ascii="仿宋_GB2312" w:eastAsia="仿宋_GB2312" w:hAnsi="宋体"/>
          <w:color w:val="000000"/>
          <w:spacing w:val="6"/>
          <w:sz w:val="20"/>
        </w:rPr>
      </w:pP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（盖章）　　</w:t>
      </w: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ind w:firstLineChars="0" w:firstLine="0"/>
        <w:rPr>
          <w:rFonts w:ascii="仿宋" w:eastAsia="仿宋_GB2312" w:hAnsi="仿宋"/>
          <w:color w:val="000000"/>
          <w:sz w:val="20"/>
        </w:rPr>
      </w:pPr>
    </w:p>
    <w:p w:rsidR="00800760" w:rsidRDefault="00800760">
      <w:pPr>
        <w:ind w:firstLineChars="0" w:firstLine="0"/>
        <w:rPr>
          <w:rFonts w:ascii="仿宋" w:eastAsia="仿宋_GB2312" w:hAnsi="仿宋"/>
          <w:color w:val="000000"/>
          <w:sz w:val="20"/>
        </w:rPr>
      </w:pPr>
    </w:p>
    <w:p w:rsidR="00800760" w:rsidRDefault="00800760">
      <w:pPr>
        <w:ind w:firstLineChars="0" w:firstLine="0"/>
        <w:rPr>
          <w:rFonts w:ascii="仿宋" w:eastAsia="仿宋_GB2312" w:hAnsi="仿宋"/>
          <w:color w:val="000000"/>
          <w:sz w:val="20"/>
        </w:rPr>
      </w:pPr>
    </w:p>
    <w:p w:rsidR="00800760" w:rsidRDefault="00800760">
      <w:pPr>
        <w:ind w:firstLineChars="0" w:firstLine="0"/>
        <w:rPr>
          <w:rFonts w:ascii="仿宋" w:eastAsia="仿宋_GB2312" w:hAnsi="仿宋"/>
          <w:color w:val="000000"/>
          <w:sz w:val="20"/>
        </w:rPr>
      </w:pPr>
    </w:p>
    <w:p w:rsidR="00800760" w:rsidRDefault="00800760">
      <w:pPr>
        <w:ind w:firstLineChars="0" w:firstLine="0"/>
        <w:rPr>
          <w:rFonts w:ascii="仿宋" w:eastAsia="仿宋_GB2312" w:hAnsi="仿宋"/>
          <w:color w:val="000000"/>
          <w:sz w:val="20"/>
        </w:rPr>
      </w:pPr>
    </w:p>
    <w:p w:rsidR="00800760" w:rsidRDefault="00800760">
      <w:pPr>
        <w:ind w:firstLineChars="0" w:firstLine="0"/>
        <w:rPr>
          <w:rFonts w:ascii="仿宋" w:eastAsia="仿宋_GB2312" w:hAnsi="仿宋"/>
          <w:color w:val="000000"/>
          <w:sz w:val="20"/>
        </w:rPr>
      </w:pPr>
    </w:p>
    <w:p w:rsidR="00800760" w:rsidRDefault="00800760">
      <w:pPr>
        <w:ind w:firstLineChars="0" w:firstLine="0"/>
        <w:rPr>
          <w:rFonts w:ascii="仿宋" w:eastAsia="仿宋_GB2312" w:hAnsi="仿宋"/>
          <w:color w:val="000000"/>
          <w:sz w:val="20"/>
        </w:rPr>
      </w:pPr>
    </w:p>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附件：□参加人员的身份证件复印件</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份</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页，共</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w:t>
      </w:r>
    </w:p>
    <w:p w:rsidR="00800760" w:rsidRDefault="00235733">
      <w:pPr>
        <w:ind w:firstLineChars="300" w:firstLine="600"/>
        <w:rPr>
          <w:rFonts w:ascii="仿宋_GB2312" w:eastAsia="仿宋_GB2312" w:hAnsi="仿宋"/>
          <w:color w:val="000000"/>
          <w:sz w:val="20"/>
        </w:rPr>
      </w:pPr>
      <w:r>
        <w:rPr>
          <w:rFonts w:ascii="仿宋_GB2312" w:eastAsia="仿宋_GB2312" w:hAnsi="仿宋" w:hint="eastAsia"/>
          <w:color w:val="000000"/>
          <w:sz w:val="20"/>
        </w:rPr>
        <w:t>□授权委托书</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份</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页，共</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w:t>
      </w:r>
    </w:p>
    <w:p w:rsidR="00800760" w:rsidRDefault="00235733">
      <w:pPr>
        <w:ind w:firstLineChars="300" w:firstLine="600"/>
        <w:rPr>
          <w:rFonts w:ascii="仿宋_GB2312" w:eastAsia="仿宋_GB2312" w:hAnsi="仿宋"/>
          <w:color w:val="000000"/>
          <w:sz w:val="20"/>
        </w:rPr>
      </w:pPr>
      <w:r>
        <w:rPr>
          <w:rFonts w:ascii="仿宋_GB2312" w:eastAsia="仿宋_GB2312" w:hAnsi="仿宋" w:hint="eastAsia"/>
          <w:color w:val="000000"/>
          <w:sz w:val="20"/>
        </w:rPr>
        <w:t>□法定代表人（负责人）证明</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份</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页，共</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w:t>
      </w:r>
    </w:p>
    <w:p w:rsidR="00800760" w:rsidRDefault="00800760" w:rsidP="00C22A7B">
      <w:pPr>
        <w:widowControl w:val="0"/>
        <w:spacing w:beforeLines="50" w:afterLines="50"/>
        <w:ind w:firstLineChars="0" w:firstLine="0"/>
        <w:jc w:val="center"/>
        <w:rPr>
          <w:rFonts w:ascii="宋体" w:hAnsi="宋体"/>
          <w:b/>
          <w:color w:val="000000"/>
          <w:sz w:val="20"/>
        </w:rPr>
      </w:pPr>
    </w:p>
    <w:p w:rsidR="00800760" w:rsidRDefault="00800760" w:rsidP="00C22A7B">
      <w:pPr>
        <w:widowControl w:val="0"/>
        <w:spacing w:beforeLines="50" w:afterLines="50"/>
        <w:ind w:firstLineChars="0" w:firstLine="0"/>
        <w:jc w:val="center"/>
        <w:rPr>
          <w:rFonts w:ascii="宋体" w:hAnsi="宋体"/>
          <w:b/>
          <w:color w:val="000000"/>
          <w:sz w:val="20"/>
        </w:rPr>
      </w:pPr>
    </w:p>
    <w:p w:rsidR="00800760" w:rsidRDefault="00800760" w:rsidP="00C22A7B">
      <w:pPr>
        <w:widowControl w:val="0"/>
        <w:spacing w:beforeLines="50" w:afterLines="50"/>
        <w:ind w:firstLineChars="0" w:firstLine="0"/>
        <w:jc w:val="center"/>
        <w:rPr>
          <w:rFonts w:ascii="宋体" w:hAnsi="宋体"/>
          <w:b/>
          <w:color w:val="000000"/>
          <w:sz w:val="20"/>
        </w:rPr>
      </w:pPr>
    </w:p>
    <w:p w:rsidR="00800760" w:rsidRDefault="00235733">
      <w:pPr>
        <w:spacing w:line="240" w:lineRule="auto"/>
        <w:ind w:firstLineChars="0" w:firstLine="0"/>
        <w:rPr>
          <w:rFonts w:ascii="宋体" w:hAnsi="宋体"/>
          <w:b/>
          <w:color w:val="000000"/>
          <w:sz w:val="20"/>
        </w:rPr>
      </w:pPr>
      <w:r>
        <w:rPr>
          <w:rFonts w:ascii="宋体" w:hAnsi="宋体"/>
          <w:b/>
          <w:color w:val="000000"/>
          <w:sz w:val="20"/>
        </w:rPr>
        <w:br w:type="page"/>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回避申请决定</w:t>
      </w:r>
    </w:p>
    <w:p w:rsidR="00800760" w:rsidRDefault="00235733">
      <w:pPr>
        <w:widowControl w:val="0"/>
        <w:ind w:firstLineChars="0" w:firstLine="0"/>
        <w:jc w:val="right"/>
        <w:rPr>
          <w:rFonts w:ascii="仿宋" w:eastAsia="仿宋_GB2312" w:hAnsi="仿宋"/>
          <w:color w:val="000000"/>
          <w:sz w:val="20"/>
        </w:rPr>
      </w:pPr>
      <w:r>
        <w:rPr>
          <w:rFonts w:ascii="仿宋" w:eastAsia="仿宋_GB2312" w:hAnsi="仿宋"/>
          <w:color w:val="000000"/>
          <w:sz w:val="20"/>
          <w:lang w:eastAsia="en-US"/>
        </w:rPr>
        <w:t>案号：</w:t>
      </w:r>
      <w:r>
        <w:rPr>
          <w:rFonts w:ascii="仿宋" w:eastAsia="仿宋_GB2312" w:hAnsi="仿宋" w:hint="eastAsia"/>
          <w:color w:val="000000"/>
          <w:sz w:val="20"/>
        </w:rPr>
        <w:t>____________________</w:t>
      </w:r>
    </w:p>
    <w:tbl>
      <w:tblPr>
        <w:tblW w:w="5000" w:type="pct"/>
        <w:jc w:val="center"/>
        <w:tblCellMar>
          <w:left w:w="10" w:type="dxa"/>
          <w:right w:w="10" w:type="dxa"/>
        </w:tblCellMar>
        <w:tblLook w:val="04A0"/>
      </w:tblPr>
      <w:tblGrid>
        <w:gridCol w:w="2827"/>
        <w:gridCol w:w="2483"/>
        <w:gridCol w:w="971"/>
        <w:gridCol w:w="3586"/>
      </w:tblGrid>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案由</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回避申请人</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rPr>
            </w:pPr>
            <w:r>
              <w:rPr>
                <w:rFonts w:ascii="仿宋_GB2312" w:eastAsia="仿宋_GB2312" w:hAnsi="仿宋" w:hint="eastAsia"/>
                <w:color w:val="000000"/>
                <w:sz w:val="20"/>
              </w:rPr>
              <w:t>法定代表人（负责人）</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jc w:val="center"/>
              <w:rPr>
                <w:rFonts w:ascii="仿宋_GB2312" w:eastAsia="仿宋_GB2312" w:hAnsi="仿宋"/>
                <w:color w:val="000000"/>
                <w:sz w:val="20"/>
              </w:rPr>
            </w:pPr>
          </w:p>
        </w:tc>
      </w:tr>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住所</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ind w:firstLineChars="0" w:firstLine="0"/>
              <w:jc w:val="center"/>
              <w:rPr>
                <w:rFonts w:ascii="仿宋_GB2312" w:eastAsia="仿宋_GB2312" w:hAnsi="仿宋"/>
                <w:color w:val="000000"/>
                <w:sz w:val="20"/>
                <w:lang w:eastAsia="en-US"/>
              </w:rPr>
            </w:pPr>
          </w:p>
        </w:tc>
      </w:tr>
      <w:tr w:rsidR="00800760">
        <w:trPr>
          <w:trHeight w:val="20"/>
          <w:jc w:val="center"/>
        </w:trPr>
        <w:tc>
          <w:tcPr>
            <w:tcW w:w="1433"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邮政编码</w:t>
            </w:r>
          </w:p>
        </w:tc>
        <w:tc>
          <w:tcPr>
            <w:tcW w:w="1258" w:type="pct"/>
            <w:tcBorders>
              <w:top w:val="single" w:sz="4" w:space="0" w:color="auto"/>
              <w:left w:val="single" w:sz="4" w:space="0" w:color="auto"/>
              <w:bottom w:val="single" w:sz="4" w:space="0" w:color="auto"/>
            </w:tcBorders>
            <w:shd w:val="clear" w:color="auto" w:fill="FFFFFF"/>
            <w:tcMar>
              <w:left w:w="57" w:type="dxa"/>
              <w:right w:w="57" w:type="dxa"/>
            </w:tcMar>
          </w:tcPr>
          <w:p w:rsidR="00800760" w:rsidRDefault="00800760">
            <w:pPr>
              <w:ind w:leftChars="103" w:left="216" w:firstLineChars="0" w:firstLine="0"/>
              <w:jc w:val="center"/>
              <w:rPr>
                <w:rFonts w:ascii="仿宋_GB2312" w:eastAsia="仿宋_GB2312" w:hAnsi="仿宋"/>
                <w:color w:val="000000"/>
                <w:sz w:val="20"/>
                <w:lang w:eastAsia="en-US"/>
              </w:rPr>
            </w:pPr>
          </w:p>
        </w:tc>
        <w:tc>
          <w:tcPr>
            <w:tcW w:w="49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235733" w:rsidP="00235733">
            <w:pPr>
              <w:ind w:leftChars="8" w:left="17"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电话</w:t>
            </w:r>
          </w:p>
        </w:tc>
        <w:tc>
          <w:tcPr>
            <w:tcW w:w="1817"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ind w:leftChars="103" w:left="216" w:firstLineChars="0" w:firstLine="0"/>
              <w:rPr>
                <w:rFonts w:ascii="仿宋_GB2312" w:eastAsia="仿宋_GB2312" w:hAnsi="仿宋"/>
                <w:color w:val="000000"/>
                <w:sz w:val="20"/>
                <w:lang w:eastAsia="en-US"/>
              </w:rPr>
            </w:pPr>
          </w:p>
        </w:tc>
      </w:tr>
    </w:tbl>
    <w:p w:rsidR="00800760" w:rsidRDefault="00800760">
      <w:pPr>
        <w:ind w:right="21" w:firstLineChars="0" w:firstLine="0"/>
        <w:jc w:val="both"/>
        <w:rPr>
          <w:rFonts w:ascii="仿宋_GB2312" w:eastAsia="仿宋_GB2312" w:hAnsi="仿宋"/>
          <w:color w:val="000000"/>
          <w:sz w:val="20"/>
          <w:u w:val="single"/>
        </w:rPr>
      </w:pPr>
    </w:p>
    <w:p w:rsidR="00800760" w:rsidRDefault="00235733">
      <w:pPr>
        <w:ind w:right="21" w:firstLineChars="0" w:firstLine="0"/>
        <w:jc w:val="both"/>
        <w:rPr>
          <w:rFonts w:ascii="仿宋_GB2312" w:eastAsia="仿宋_GB2312" w:hAnsi="仿宋"/>
          <w:color w:val="000000"/>
          <w:sz w:val="20"/>
          <w:lang w:eastAsia="en-US"/>
        </w:rPr>
      </w:pPr>
      <w:r>
        <w:rPr>
          <w:rFonts w:ascii="仿宋_GB2312" w:eastAsia="仿宋_GB2312" w:hAnsi="仿宋" w:hint="eastAsia"/>
          <w:color w:val="000000"/>
          <w:sz w:val="20"/>
          <w:u w:val="single"/>
          <w:lang w:eastAsia="en-US"/>
        </w:rPr>
        <w:t xml:space="preserve">                           </w:t>
      </w:r>
      <w:r>
        <w:rPr>
          <w:rFonts w:ascii="仿宋_GB2312" w:eastAsia="仿宋_GB2312" w:hAnsi="仿宋" w:hint="eastAsia"/>
          <w:color w:val="000000"/>
          <w:sz w:val="20"/>
          <w:lang w:eastAsia="en-US"/>
        </w:rPr>
        <w:t>：</w:t>
      </w:r>
    </w:p>
    <w:p w:rsidR="00800760" w:rsidRDefault="00235733">
      <w:pPr>
        <w:ind w:firstLine="400"/>
        <w:rPr>
          <w:rFonts w:ascii="仿宋_GB2312" w:eastAsia="仿宋_GB2312" w:hAnsi="仿宋"/>
          <w:color w:val="000000"/>
          <w:sz w:val="20"/>
        </w:rPr>
      </w:pPr>
      <w:r>
        <w:rPr>
          <w:rFonts w:ascii="仿宋_GB2312" w:eastAsia="仿宋_GB2312" w:hAnsi="仿宋" w:hint="eastAsia"/>
          <w:color w:val="000000"/>
          <w:sz w:val="20"/>
        </w:rPr>
        <w:t>你（单位）于</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年</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月</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日向本局提出的申请承办人员回避的请求，经调查核实，我局认为：</w:t>
      </w:r>
    </w:p>
    <w:p w:rsidR="00800760" w:rsidRDefault="00235733">
      <w:pPr>
        <w:ind w:firstLine="400"/>
        <w:rPr>
          <w:rFonts w:ascii="仿宋_GB2312" w:eastAsia="仿宋_GB2312" w:hAnsi="仿宋"/>
          <w:color w:val="000000"/>
          <w:sz w:val="20"/>
        </w:rPr>
      </w:pPr>
      <w:r>
        <w:rPr>
          <w:rFonts w:ascii="仿宋_GB2312" w:eastAsia="仿宋_GB2312" w:hAnsi="仿宋" w:hint="eastAsia"/>
          <w:color w:val="000000"/>
          <w:sz w:val="20"/>
        </w:rPr>
        <w:t>□申请回避理由成立，批准你（单位）的回避请求申请，并决定由</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担任本案的承办人员。</w:t>
      </w:r>
    </w:p>
    <w:p w:rsidR="00800760" w:rsidRDefault="00235733">
      <w:pPr>
        <w:ind w:firstLine="400"/>
        <w:rPr>
          <w:rFonts w:ascii="仿宋_GB2312" w:eastAsia="仿宋_GB2312" w:hAnsi="仿宋"/>
          <w:color w:val="000000"/>
          <w:sz w:val="20"/>
        </w:rPr>
      </w:pPr>
      <w:r>
        <w:rPr>
          <w:rFonts w:ascii="仿宋_GB2312" w:eastAsia="仿宋_GB2312" w:hAnsi="仿宋" w:hint="eastAsia"/>
          <w:color w:val="000000"/>
          <w:sz w:val="20"/>
        </w:rPr>
        <w:t>□申请回避理由不成立，不批准你（单位）的回避请求申请。</w:t>
      </w:r>
    </w:p>
    <w:p w:rsidR="00800760" w:rsidRDefault="00800760">
      <w:pPr>
        <w:widowControl w:val="0"/>
        <w:ind w:firstLineChars="0" w:firstLine="600"/>
        <w:rPr>
          <w:rFonts w:ascii="仿宋_GB2312" w:eastAsia="仿宋_GB2312" w:hAnsi="宋体"/>
          <w:color w:val="000000"/>
          <w:spacing w:val="6"/>
          <w:sz w:val="20"/>
        </w:rPr>
      </w:pP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widowControl w:val="0"/>
        <w:ind w:left="420" w:firstLineChars="1937" w:firstLine="3874"/>
        <w:jc w:val="both"/>
        <w:rPr>
          <w:rFonts w:ascii="仿宋_GB2312" w:eastAsia="仿宋_GB2312" w:hAnsi="仿宋" w:cs="PMingLiU"/>
          <w:color w:val="000000"/>
          <w:kern w:val="2"/>
          <w:sz w:val="20"/>
          <w:lang w:val="en-US"/>
        </w:rPr>
      </w:pPr>
    </w:p>
    <w:p w:rsidR="00800760" w:rsidRDefault="00800760">
      <w:pPr>
        <w:widowControl w:val="0"/>
        <w:ind w:left="420" w:firstLineChars="1937" w:firstLine="3874"/>
        <w:jc w:val="both"/>
        <w:rPr>
          <w:rFonts w:ascii="仿宋_GB2312" w:eastAsia="仿宋_GB2312" w:hAnsi="仿宋" w:cs="PMingLiU"/>
          <w:color w:val="000000"/>
          <w:kern w:val="2"/>
          <w:sz w:val="20"/>
          <w:lang w:val="en-US"/>
        </w:rPr>
      </w:pPr>
    </w:p>
    <w:p w:rsidR="00800760" w:rsidRDefault="00800760">
      <w:pPr>
        <w:widowControl w:val="0"/>
        <w:ind w:left="420" w:firstLineChars="1937" w:firstLine="3874"/>
        <w:jc w:val="both"/>
        <w:rPr>
          <w:rFonts w:ascii="仿宋_GB2312" w:eastAsia="仿宋_GB2312" w:hAnsi="仿宋" w:cs="PMingLiU"/>
          <w:color w:val="000000"/>
          <w:kern w:val="2"/>
          <w:sz w:val="20"/>
          <w:lang w:val="en-US"/>
        </w:rPr>
      </w:pPr>
    </w:p>
    <w:p w:rsidR="00800760" w:rsidRDefault="00800760">
      <w:pPr>
        <w:widowControl w:val="0"/>
        <w:ind w:left="420" w:firstLineChars="1937" w:firstLine="3874"/>
        <w:jc w:val="both"/>
        <w:rPr>
          <w:rFonts w:ascii="仿宋_GB2312" w:eastAsia="仿宋_GB2312" w:hAnsi="仿宋" w:cs="PMingLiU"/>
          <w:color w:val="000000"/>
          <w:kern w:val="2"/>
          <w:sz w:val="20"/>
          <w:lang w:val="en-US"/>
        </w:rPr>
      </w:pPr>
    </w:p>
    <w:p w:rsidR="00800760" w:rsidRDefault="00800760">
      <w:pPr>
        <w:widowControl w:val="0"/>
        <w:ind w:left="420" w:firstLineChars="1937" w:firstLine="3874"/>
        <w:jc w:val="both"/>
        <w:rPr>
          <w:rFonts w:ascii="仿宋_GB2312" w:eastAsia="仿宋_GB2312" w:hAnsi="仿宋" w:cs="PMingLiU"/>
          <w:color w:val="000000"/>
          <w:kern w:val="2"/>
          <w:sz w:val="20"/>
          <w:lang w:val="en-US"/>
        </w:rPr>
      </w:pPr>
    </w:p>
    <w:p w:rsidR="00800760" w:rsidRDefault="00800760">
      <w:pPr>
        <w:widowControl w:val="0"/>
        <w:ind w:left="420" w:firstLineChars="1937" w:firstLine="3874"/>
        <w:jc w:val="both"/>
        <w:rPr>
          <w:rFonts w:ascii="仿宋_GB2312" w:eastAsia="仿宋_GB2312" w:hAnsi="仿宋" w:cs="PMingLiU"/>
          <w:color w:val="000000"/>
          <w:kern w:val="2"/>
          <w:sz w:val="20"/>
          <w:lang w:val="en-US"/>
        </w:rPr>
      </w:pPr>
    </w:p>
    <w:p w:rsidR="00800760" w:rsidRDefault="00800760" w:rsidP="00235733">
      <w:pPr>
        <w:widowControl w:val="0"/>
        <w:ind w:firstLine="400"/>
        <w:jc w:val="both"/>
        <w:rPr>
          <w:rFonts w:ascii="仿宋_GB2312" w:eastAsia="仿宋_GB2312" w:hAnsi="仿宋" w:cs="PMingLiU"/>
          <w:color w:val="000000"/>
          <w:kern w:val="2"/>
          <w:sz w:val="20"/>
          <w:lang w:val="en-US"/>
        </w:rPr>
      </w:pPr>
    </w:p>
    <w:p w:rsidR="00800760" w:rsidRDefault="00800760" w:rsidP="00235733">
      <w:pPr>
        <w:widowControl w:val="0"/>
        <w:ind w:firstLine="400"/>
        <w:jc w:val="both"/>
        <w:rPr>
          <w:rFonts w:ascii="仿宋_GB2312" w:eastAsia="仿宋_GB2312" w:hAnsi="仿宋" w:cs="PMingLiU"/>
          <w:color w:val="000000"/>
          <w:kern w:val="2"/>
          <w:sz w:val="20"/>
          <w:lang w:val="en-US"/>
        </w:rPr>
      </w:pPr>
    </w:p>
    <w:p w:rsidR="00800760" w:rsidRDefault="00800760">
      <w:pPr>
        <w:widowControl w:val="0"/>
        <w:ind w:left="420" w:firstLineChars="1937" w:firstLine="3874"/>
        <w:jc w:val="both"/>
        <w:rPr>
          <w:rFonts w:ascii="仿宋_GB2312" w:eastAsia="仿宋_GB2312" w:hAnsi="仿宋" w:cs="PMingLiU"/>
          <w:color w:val="000000"/>
          <w:kern w:val="2"/>
          <w:sz w:val="20"/>
          <w:lang w:val="en-US"/>
        </w:rPr>
      </w:pPr>
    </w:p>
    <w:p w:rsidR="00800760" w:rsidRDefault="00235733" w:rsidP="00235733">
      <w:pPr>
        <w:widowControl w:val="0"/>
        <w:ind w:firstLine="400"/>
        <w:jc w:val="both"/>
        <w:rPr>
          <w:rFonts w:ascii="仿宋_GB2312" w:eastAsia="仿宋_GB2312" w:hAnsi="仿宋" w:cs="PMingLiU"/>
          <w:color w:val="000000"/>
          <w:kern w:val="2"/>
          <w:sz w:val="20"/>
          <w:lang w:val="en-US"/>
        </w:rPr>
      </w:pPr>
      <w:r>
        <w:rPr>
          <w:rFonts w:ascii="仿宋_GB2312" w:eastAsia="仿宋_GB2312" w:hAnsi="仿宋" w:cs="PMingLiU" w:hint="eastAsia"/>
          <w:color w:val="000000"/>
          <w:kern w:val="2"/>
          <w:sz w:val="20"/>
          <w:lang w:val="en-US"/>
        </w:rPr>
        <w:t>说明：本决定书一式两份，一份送达当事人，一份由知识产权局存档。</w:t>
      </w:r>
    </w:p>
    <w:p w:rsidR="00800760" w:rsidRDefault="00235733">
      <w:pPr>
        <w:spacing w:line="240" w:lineRule="auto"/>
        <w:ind w:firstLineChars="0" w:firstLine="0"/>
        <w:rPr>
          <w:rFonts w:ascii="仿宋_GB2312" w:eastAsia="仿宋_GB2312" w:hAnsi="仿宋" w:cs="PMingLiU"/>
          <w:color w:val="000000"/>
          <w:kern w:val="2"/>
          <w:sz w:val="20"/>
          <w:lang w:val="en-US"/>
        </w:rPr>
      </w:pPr>
      <w:r>
        <w:rPr>
          <w:rFonts w:ascii="仿宋_GB2312" w:eastAsia="仿宋_GB2312" w:hAnsi="仿宋"/>
          <w:color w:val="000000"/>
          <w:sz w:val="20"/>
        </w:rPr>
        <w:br w:type="page"/>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bookmarkStart w:id="9320" w:name="_Toc438562060"/>
      <w:bookmarkStart w:id="9321" w:name="_Toc9859"/>
      <w:r>
        <w:rPr>
          <w:rFonts w:ascii="方正小标宋_GBK" w:eastAsia="方正小标宋_GBK" w:hAnsi="宋体" w:hint="eastAsia"/>
          <w:color w:val="000000"/>
          <w:spacing w:val="6"/>
          <w:sz w:val="36"/>
          <w:szCs w:val="36"/>
        </w:rPr>
        <w:t>专利侵权纠纷案件口头审理笔录</w:t>
      </w:r>
      <w:bookmarkEnd w:id="9320"/>
      <w:bookmarkEnd w:id="9321"/>
    </w:p>
    <w:p w:rsidR="00800760" w:rsidRDefault="00235733">
      <w:pPr>
        <w:widowControl w:val="0"/>
        <w:ind w:firstLineChars="0" w:firstLine="0"/>
        <w:jc w:val="right"/>
        <w:rPr>
          <w:rFonts w:ascii="仿宋" w:eastAsia="仿宋_GB2312" w:hAnsi="仿宋"/>
          <w:color w:val="000000"/>
          <w:sz w:val="18"/>
          <w:szCs w:val="18"/>
        </w:rPr>
      </w:pPr>
      <w:r>
        <w:rPr>
          <w:rFonts w:ascii="仿宋" w:eastAsia="仿宋_GB2312" w:hAnsi="仿宋"/>
          <w:color w:val="000000"/>
          <w:sz w:val="18"/>
          <w:szCs w:val="18"/>
          <w:lang w:eastAsia="en-US"/>
        </w:rPr>
        <w:t>案号：</w:t>
      </w:r>
      <w:r>
        <w:rPr>
          <w:rFonts w:ascii="仿宋" w:eastAsia="仿宋_GB2312" w:hAnsi="仿宋" w:hint="eastAsia"/>
          <w:color w:val="000000"/>
          <w:sz w:val="18"/>
          <w:szCs w:val="18"/>
        </w:rPr>
        <w:t>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37"/>
        <w:gridCol w:w="2508"/>
        <w:gridCol w:w="1845"/>
        <w:gridCol w:w="633"/>
        <w:gridCol w:w="1750"/>
        <w:gridCol w:w="1494"/>
      </w:tblGrid>
      <w:tr w:rsidR="00800760">
        <w:trPr>
          <w:trHeight w:val="20"/>
          <w:jc w:val="center"/>
        </w:trPr>
        <w:tc>
          <w:tcPr>
            <w:tcW w:w="829" w:type="pct"/>
            <w:tcMar>
              <w:left w:w="57" w:type="dxa"/>
              <w:right w:w="57" w:type="dxa"/>
            </w:tcMar>
            <w:vAlign w:val="center"/>
          </w:tcPr>
          <w:p w:rsidR="00800760" w:rsidRDefault="00235733">
            <w:pPr>
              <w:topLinePunct/>
              <w:ind w:firstLineChars="0" w:firstLine="0"/>
              <w:jc w:val="center"/>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案由</w:t>
            </w:r>
          </w:p>
        </w:tc>
        <w:tc>
          <w:tcPr>
            <w:tcW w:w="4171" w:type="pct"/>
            <w:gridSpan w:val="5"/>
            <w:tcMar>
              <w:left w:w="57" w:type="dxa"/>
              <w:right w:w="57" w:type="dxa"/>
            </w:tcMar>
            <w:vAlign w:val="center"/>
          </w:tcPr>
          <w:p w:rsidR="00800760" w:rsidRDefault="00800760">
            <w:pPr>
              <w:topLinePunct/>
              <w:ind w:firstLineChars="0" w:firstLine="0"/>
              <w:jc w:val="center"/>
              <w:rPr>
                <w:rFonts w:ascii="仿宋_GB2312" w:eastAsia="仿宋_GB2312" w:hAnsi="仿宋"/>
                <w:color w:val="000000"/>
                <w:sz w:val="18"/>
                <w:szCs w:val="18"/>
                <w:lang w:eastAsia="en-US"/>
              </w:rPr>
            </w:pPr>
          </w:p>
        </w:tc>
      </w:tr>
      <w:tr w:rsidR="00800760">
        <w:trPr>
          <w:trHeight w:val="20"/>
          <w:jc w:val="center"/>
        </w:trPr>
        <w:tc>
          <w:tcPr>
            <w:tcW w:w="829" w:type="pct"/>
            <w:tcMar>
              <w:left w:w="57" w:type="dxa"/>
              <w:right w:w="57" w:type="dxa"/>
            </w:tcMar>
            <w:vAlign w:val="center"/>
          </w:tcPr>
          <w:p w:rsidR="00800760" w:rsidRDefault="00235733">
            <w:pPr>
              <w:topLinePunct/>
              <w:ind w:firstLineChars="0" w:firstLine="0"/>
              <w:jc w:val="center"/>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时间</w:t>
            </w:r>
          </w:p>
        </w:tc>
        <w:tc>
          <w:tcPr>
            <w:tcW w:w="1271" w:type="pct"/>
            <w:tcMar>
              <w:left w:w="57" w:type="dxa"/>
              <w:right w:w="57" w:type="dxa"/>
            </w:tcMar>
            <w:vAlign w:val="center"/>
          </w:tcPr>
          <w:p w:rsidR="00800760" w:rsidRDefault="00800760">
            <w:pPr>
              <w:topLinePunct/>
              <w:ind w:firstLineChars="0" w:firstLine="0"/>
              <w:jc w:val="center"/>
              <w:rPr>
                <w:rFonts w:ascii="仿宋_GB2312" w:eastAsia="仿宋_GB2312" w:hAnsi="仿宋"/>
                <w:color w:val="000000"/>
                <w:sz w:val="18"/>
                <w:szCs w:val="18"/>
                <w:lang w:eastAsia="en-US"/>
              </w:rPr>
            </w:pPr>
          </w:p>
        </w:tc>
        <w:tc>
          <w:tcPr>
            <w:tcW w:w="935" w:type="pct"/>
            <w:tcMar>
              <w:left w:w="57" w:type="dxa"/>
              <w:right w:w="57" w:type="dxa"/>
            </w:tcMar>
            <w:vAlign w:val="center"/>
          </w:tcPr>
          <w:p w:rsidR="00800760" w:rsidRDefault="00235733">
            <w:pPr>
              <w:topLinePunct/>
              <w:ind w:firstLineChars="0" w:firstLine="0"/>
              <w:jc w:val="center"/>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地点</w:t>
            </w:r>
          </w:p>
        </w:tc>
        <w:tc>
          <w:tcPr>
            <w:tcW w:w="1965" w:type="pct"/>
            <w:gridSpan w:val="3"/>
            <w:tcMar>
              <w:left w:w="57" w:type="dxa"/>
              <w:right w:w="57" w:type="dxa"/>
            </w:tcMar>
            <w:vAlign w:val="center"/>
          </w:tcPr>
          <w:p w:rsidR="00800760" w:rsidRDefault="00800760">
            <w:pPr>
              <w:topLinePunct/>
              <w:ind w:firstLineChars="0" w:firstLine="0"/>
              <w:jc w:val="center"/>
              <w:rPr>
                <w:rFonts w:ascii="仿宋_GB2312" w:eastAsia="仿宋_GB2312" w:hAnsi="仿宋"/>
                <w:color w:val="000000"/>
                <w:sz w:val="18"/>
                <w:szCs w:val="18"/>
                <w:lang w:eastAsia="en-US"/>
              </w:rPr>
            </w:pPr>
          </w:p>
        </w:tc>
      </w:tr>
      <w:tr w:rsidR="00800760">
        <w:trPr>
          <w:trHeight w:val="20"/>
          <w:jc w:val="center"/>
        </w:trPr>
        <w:tc>
          <w:tcPr>
            <w:tcW w:w="829" w:type="pct"/>
            <w:tcMar>
              <w:left w:w="57" w:type="dxa"/>
              <w:right w:w="57" w:type="dxa"/>
            </w:tcMar>
            <w:vAlign w:val="center"/>
          </w:tcPr>
          <w:p w:rsidR="00800760" w:rsidRDefault="00235733">
            <w:pPr>
              <w:topLinePunct/>
              <w:ind w:firstLineChars="0" w:firstLine="0"/>
              <w:jc w:val="center"/>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合议组</w:t>
            </w:r>
          </w:p>
        </w:tc>
        <w:tc>
          <w:tcPr>
            <w:tcW w:w="2527" w:type="pct"/>
            <w:gridSpan w:val="3"/>
            <w:tcMar>
              <w:left w:w="57" w:type="dxa"/>
              <w:right w:w="57" w:type="dxa"/>
            </w:tcMar>
            <w:vAlign w:val="center"/>
          </w:tcPr>
          <w:p w:rsidR="00800760" w:rsidRDefault="00800760">
            <w:pPr>
              <w:topLinePunct/>
              <w:ind w:firstLineChars="0" w:firstLine="0"/>
              <w:jc w:val="center"/>
              <w:rPr>
                <w:rFonts w:ascii="仿宋_GB2312" w:eastAsia="仿宋_GB2312" w:hAnsi="仿宋"/>
                <w:color w:val="000000"/>
                <w:sz w:val="18"/>
                <w:szCs w:val="18"/>
                <w:lang w:eastAsia="en-US"/>
              </w:rPr>
            </w:pPr>
          </w:p>
        </w:tc>
        <w:tc>
          <w:tcPr>
            <w:tcW w:w="887" w:type="pct"/>
            <w:tcMar>
              <w:left w:w="57" w:type="dxa"/>
              <w:right w:w="57" w:type="dxa"/>
            </w:tcMar>
            <w:vAlign w:val="center"/>
          </w:tcPr>
          <w:p w:rsidR="00800760" w:rsidRDefault="00235733">
            <w:pPr>
              <w:topLinePunct/>
              <w:ind w:firstLineChars="0" w:firstLine="0"/>
              <w:jc w:val="center"/>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书记员</w:t>
            </w:r>
          </w:p>
        </w:tc>
        <w:tc>
          <w:tcPr>
            <w:tcW w:w="756" w:type="pct"/>
            <w:tcMar>
              <w:left w:w="57" w:type="dxa"/>
              <w:right w:w="57" w:type="dxa"/>
            </w:tcMar>
            <w:vAlign w:val="center"/>
          </w:tcPr>
          <w:p w:rsidR="00800760" w:rsidRDefault="00800760">
            <w:pPr>
              <w:topLinePunct/>
              <w:ind w:firstLineChars="0" w:firstLine="0"/>
              <w:jc w:val="center"/>
              <w:rPr>
                <w:rFonts w:ascii="仿宋_GB2312" w:eastAsia="仿宋_GB2312" w:hAnsi="仿宋"/>
                <w:color w:val="000000"/>
                <w:sz w:val="18"/>
                <w:szCs w:val="18"/>
                <w:lang w:eastAsia="en-US"/>
              </w:rPr>
            </w:pPr>
          </w:p>
        </w:tc>
      </w:tr>
      <w:tr w:rsidR="00800760">
        <w:trPr>
          <w:trHeight w:val="20"/>
          <w:jc w:val="center"/>
        </w:trPr>
        <w:tc>
          <w:tcPr>
            <w:tcW w:w="829" w:type="pct"/>
            <w:tcMar>
              <w:left w:w="57" w:type="dxa"/>
              <w:right w:w="57" w:type="dxa"/>
            </w:tcMar>
            <w:vAlign w:val="center"/>
          </w:tcPr>
          <w:p w:rsidR="00800760" w:rsidRDefault="00235733">
            <w:pPr>
              <w:topLinePunct/>
              <w:ind w:firstLineChars="0" w:firstLine="0"/>
              <w:jc w:val="center"/>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请求人</w:t>
            </w:r>
          </w:p>
        </w:tc>
        <w:tc>
          <w:tcPr>
            <w:tcW w:w="4171" w:type="pct"/>
            <w:gridSpan w:val="5"/>
            <w:tcMar>
              <w:left w:w="57" w:type="dxa"/>
              <w:right w:w="57" w:type="dxa"/>
            </w:tcMar>
            <w:vAlign w:val="center"/>
          </w:tcPr>
          <w:p w:rsidR="00800760" w:rsidRDefault="00800760">
            <w:pPr>
              <w:topLinePunct/>
              <w:ind w:firstLineChars="0" w:firstLine="0"/>
              <w:jc w:val="center"/>
              <w:rPr>
                <w:rFonts w:ascii="仿宋_GB2312" w:eastAsia="仿宋_GB2312" w:hAnsi="仿宋"/>
                <w:color w:val="000000"/>
                <w:sz w:val="18"/>
                <w:szCs w:val="18"/>
                <w:lang w:eastAsia="en-US"/>
              </w:rPr>
            </w:pPr>
          </w:p>
        </w:tc>
      </w:tr>
      <w:tr w:rsidR="00800760">
        <w:trPr>
          <w:trHeight w:val="20"/>
          <w:jc w:val="center"/>
        </w:trPr>
        <w:tc>
          <w:tcPr>
            <w:tcW w:w="829" w:type="pct"/>
            <w:tcMar>
              <w:left w:w="57" w:type="dxa"/>
              <w:right w:w="57" w:type="dxa"/>
            </w:tcMar>
            <w:vAlign w:val="center"/>
          </w:tcPr>
          <w:p w:rsidR="00800760" w:rsidRDefault="00235733">
            <w:pPr>
              <w:topLinePunct/>
              <w:ind w:firstLineChars="0" w:firstLine="0"/>
              <w:jc w:val="center"/>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委托代理人</w:t>
            </w:r>
          </w:p>
        </w:tc>
        <w:tc>
          <w:tcPr>
            <w:tcW w:w="4171" w:type="pct"/>
            <w:gridSpan w:val="5"/>
            <w:tcMar>
              <w:left w:w="57" w:type="dxa"/>
              <w:right w:w="57" w:type="dxa"/>
            </w:tcMar>
            <w:vAlign w:val="center"/>
          </w:tcPr>
          <w:p w:rsidR="00800760" w:rsidRDefault="00800760">
            <w:pPr>
              <w:topLinePunct/>
              <w:ind w:firstLineChars="0" w:firstLine="0"/>
              <w:jc w:val="center"/>
              <w:rPr>
                <w:rFonts w:ascii="仿宋_GB2312" w:eastAsia="仿宋_GB2312" w:hAnsi="仿宋"/>
                <w:color w:val="000000"/>
                <w:sz w:val="18"/>
                <w:szCs w:val="18"/>
                <w:lang w:eastAsia="en-US"/>
              </w:rPr>
            </w:pPr>
          </w:p>
        </w:tc>
      </w:tr>
      <w:tr w:rsidR="00800760">
        <w:trPr>
          <w:trHeight w:val="20"/>
          <w:jc w:val="center"/>
        </w:trPr>
        <w:tc>
          <w:tcPr>
            <w:tcW w:w="829" w:type="pct"/>
            <w:tcMar>
              <w:left w:w="57" w:type="dxa"/>
              <w:right w:w="57" w:type="dxa"/>
            </w:tcMar>
            <w:vAlign w:val="center"/>
          </w:tcPr>
          <w:p w:rsidR="00800760" w:rsidRDefault="00235733">
            <w:pPr>
              <w:topLinePunct/>
              <w:ind w:firstLineChars="0" w:firstLine="0"/>
              <w:jc w:val="center"/>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被请求人</w:t>
            </w:r>
          </w:p>
        </w:tc>
        <w:tc>
          <w:tcPr>
            <w:tcW w:w="4171" w:type="pct"/>
            <w:gridSpan w:val="5"/>
            <w:tcMar>
              <w:left w:w="57" w:type="dxa"/>
              <w:right w:w="57" w:type="dxa"/>
            </w:tcMar>
            <w:vAlign w:val="center"/>
          </w:tcPr>
          <w:p w:rsidR="00800760" w:rsidRDefault="00800760">
            <w:pPr>
              <w:topLinePunct/>
              <w:ind w:firstLineChars="0" w:firstLine="0"/>
              <w:jc w:val="center"/>
              <w:rPr>
                <w:rFonts w:ascii="仿宋_GB2312" w:eastAsia="仿宋_GB2312" w:hAnsi="仿宋"/>
                <w:color w:val="000000"/>
                <w:sz w:val="18"/>
                <w:szCs w:val="18"/>
                <w:lang w:eastAsia="en-US"/>
              </w:rPr>
            </w:pPr>
          </w:p>
        </w:tc>
      </w:tr>
      <w:tr w:rsidR="00800760">
        <w:trPr>
          <w:trHeight w:val="20"/>
          <w:jc w:val="center"/>
        </w:trPr>
        <w:tc>
          <w:tcPr>
            <w:tcW w:w="829" w:type="pct"/>
            <w:tcMar>
              <w:left w:w="57" w:type="dxa"/>
              <w:right w:w="57" w:type="dxa"/>
            </w:tcMar>
            <w:vAlign w:val="center"/>
          </w:tcPr>
          <w:p w:rsidR="00800760" w:rsidRDefault="00235733">
            <w:pPr>
              <w:topLinePunct/>
              <w:ind w:firstLineChars="0" w:firstLine="0"/>
              <w:jc w:val="center"/>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委托代理人</w:t>
            </w:r>
          </w:p>
        </w:tc>
        <w:tc>
          <w:tcPr>
            <w:tcW w:w="4171" w:type="pct"/>
            <w:gridSpan w:val="5"/>
            <w:tcMar>
              <w:left w:w="57" w:type="dxa"/>
              <w:right w:w="57" w:type="dxa"/>
            </w:tcMar>
            <w:vAlign w:val="center"/>
          </w:tcPr>
          <w:p w:rsidR="00800760" w:rsidRDefault="00800760">
            <w:pPr>
              <w:topLinePunct/>
              <w:ind w:firstLineChars="0" w:firstLine="0"/>
              <w:jc w:val="center"/>
              <w:rPr>
                <w:rFonts w:ascii="仿宋_GB2312" w:eastAsia="仿宋_GB2312" w:hAnsi="仿宋"/>
                <w:color w:val="000000"/>
                <w:sz w:val="18"/>
                <w:szCs w:val="18"/>
                <w:lang w:eastAsia="en-US"/>
              </w:rPr>
            </w:pPr>
          </w:p>
        </w:tc>
      </w:tr>
      <w:tr w:rsidR="00800760">
        <w:trPr>
          <w:trHeight w:val="20"/>
          <w:jc w:val="center"/>
        </w:trPr>
        <w:tc>
          <w:tcPr>
            <w:tcW w:w="5000" w:type="pct"/>
            <w:gridSpan w:val="6"/>
            <w:tcMar>
              <w:left w:w="57" w:type="dxa"/>
              <w:right w:w="57" w:type="dxa"/>
            </w:tcMar>
          </w:tcPr>
          <w:p w:rsidR="00800760" w:rsidRDefault="00235733">
            <w:pPr>
              <w:topLinePunct/>
              <w:ind w:firstLineChars="0" w:firstLine="0"/>
              <w:rPr>
                <w:rFonts w:ascii="仿宋_GB2312" w:eastAsia="仿宋_GB2312" w:hAnsi="仿宋"/>
                <w:color w:val="000000"/>
                <w:sz w:val="18"/>
                <w:szCs w:val="18"/>
              </w:rPr>
            </w:pPr>
            <w:r>
              <w:rPr>
                <w:rFonts w:ascii="仿宋_GB2312" w:eastAsia="仿宋_GB2312" w:hAnsi="仿宋" w:hint="eastAsia"/>
                <w:color w:val="000000"/>
                <w:sz w:val="18"/>
                <w:szCs w:val="18"/>
              </w:rPr>
              <w:t>审理要点记录如下：</w:t>
            </w: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800760">
            <w:pPr>
              <w:topLinePunct/>
              <w:ind w:firstLineChars="0" w:firstLine="0"/>
              <w:jc w:val="center"/>
              <w:rPr>
                <w:rFonts w:ascii="仿宋_GB2312" w:eastAsia="仿宋_GB2312" w:hAnsi="仿宋"/>
                <w:color w:val="000000"/>
                <w:sz w:val="18"/>
                <w:szCs w:val="18"/>
              </w:rPr>
            </w:pPr>
          </w:p>
          <w:p w:rsidR="00800760" w:rsidRDefault="00235733">
            <w:pPr>
              <w:topLinePunct/>
              <w:ind w:firstLineChars="0" w:firstLine="0"/>
              <w:jc w:val="right"/>
              <w:rPr>
                <w:rFonts w:ascii="仿宋_GB2312" w:eastAsia="仿宋_GB2312" w:hAnsi="仿宋"/>
                <w:color w:val="000000"/>
                <w:sz w:val="18"/>
                <w:szCs w:val="18"/>
              </w:rPr>
            </w:pPr>
            <w:r>
              <w:rPr>
                <w:rFonts w:ascii="仿宋_GB2312" w:eastAsia="仿宋_GB2312" w:hAnsi="仿宋" w:hint="eastAsia"/>
                <w:color w:val="000000"/>
                <w:sz w:val="18"/>
                <w:szCs w:val="18"/>
              </w:rPr>
              <w:t>（可续页）</w:t>
            </w:r>
          </w:p>
        </w:tc>
      </w:tr>
      <w:tr w:rsidR="00800760">
        <w:trPr>
          <w:trHeight w:val="20"/>
          <w:jc w:val="center"/>
        </w:trPr>
        <w:tc>
          <w:tcPr>
            <w:tcW w:w="5000" w:type="pct"/>
            <w:gridSpan w:val="6"/>
            <w:tcMar>
              <w:left w:w="57" w:type="dxa"/>
              <w:right w:w="57" w:type="dxa"/>
            </w:tcMar>
          </w:tcPr>
          <w:p w:rsidR="00800760" w:rsidRDefault="00235733">
            <w:pPr>
              <w:topLinePunct/>
              <w:ind w:firstLineChars="0" w:firstLine="0"/>
              <w:jc w:val="both"/>
              <w:rPr>
                <w:rFonts w:ascii="仿宋_GB2312" w:eastAsia="仿宋_GB2312" w:hAnsi="仿宋"/>
                <w:color w:val="000000"/>
                <w:sz w:val="18"/>
                <w:szCs w:val="18"/>
                <w:lang w:eastAsia="en-US"/>
              </w:rPr>
            </w:pPr>
            <w:r>
              <w:rPr>
                <w:rFonts w:ascii="仿宋_GB2312" w:eastAsia="仿宋_GB2312" w:hAnsi="仿宋" w:hint="eastAsia"/>
                <w:color w:val="000000"/>
                <w:sz w:val="18"/>
                <w:szCs w:val="18"/>
                <w:lang w:eastAsia="en-US"/>
              </w:rPr>
              <w:t>审理要点记录如下：</w:t>
            </w: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p w:rsidR="00800760" w:rsidRDefault="00800760">
            <w:pPr>
              <w:topLinePunct/>
              <w:ind w:firstLineChars="0" w:firstLine="0"/>
              <w:rPr>
                <w:rFonts w:ascii="仿宋_GB2312" w:eastAsia="仿宋_GB2312" w:hAnsi="仿宋"/>
                <w:color w:val="000000"/>
                <w:sz w:val="18"/>
                <w:szCs w:val="18"/>
              </w:rPr>
            </w:pPr>
          </w:p>
        </w:tc>
      </w:tr>
    </w:tbl>
    <w:p w:rsidR="00800760" w:rsidRDefault="00800760" w:rsidP="00235733">
      <w:pPr>
        <w:widowControl w:val="0"/>
        <w:ind w:left="440" w:firstLine="361"/>
        <w:jc w:val="both"/>
        <w:rPr>
          <w:rFonts w:ascii="宋体" w:hAnsi="宋体" w:cs="Microsoft JhengHei"/>
          <w:b/>
          <w:color w:val="000000"/>
          <w:kern w:val="2"/>
          <w:sz w:val="18"/>
          <w:szCs w:val="18"/>
          <w:lang w:val="en-US"/>
        </w:rPr>
      </w:pPr>
    </w:p>
    <w:p w:rsidR="00800760" w:rsidRDefault="00235733">
      <w:pPr>
        <w:topLinePunct/>
        <w:ind w:firstLineChars="0" w:firstLine="0"/>
        <w:rPr>
          <w:rFonts w:ascii="仿宋_GB2312" w:eastAsia="仿宋_GB2312" w:hAnsi="仿宋"/>
          <w:color w:val="000000"/>
          <w:sz w:val="18"/>
          <w:szCs w:val="18"/>
        </w:rPr>
      </w:pPr>
      <w:r>
        <w:rPr>
          <w:rFonts w:ascii="仿宋_GB2312" w:eastAsia="仿宋_GB2312" w:hAnsi="仿宋" w:hint="eastAsia"/>
          <w:color w:val="000000"/>
          <w:sz w:val="18"/>
          <w:szCs w:val="18"/>
        </w:rPr>
        <w:t>合议组成员（签章）：</w:t>
      </w:r>
      <w:r>
        <w:rPr>
          <w:rFonts w:ascii="仿宋_GB2312" w:eastAsia="仿宋_GB2312" w:hAnsi="仿宋" w:hint="eastAsia"/>
          <w:color w:val="000000"/>
          <w:sz w:val="18"/>
          <w:szCs w:val="18"/>
          <w:u w:val="single"/>
        </w:rPr>
        <w:t xml:space="preserve">　　　　　　　　</w:t>
      </w:r>
      <w:r>
        <w:rPr>
          <w:rFonts w:ascii="仿宋_GB2312" w:eastAsia="仿宋_GB2312" w:hAnsi="仿宋" w:hint="eastAsia"/>
          <w:color w:val="000000"/>
          <w:sz w:val="18"/>
          <w:szCs w:val="18"/>
        </w:rPr>
        <w:t xml:space="preserve">      </w:t>
      </w:r>
      <w:r>
        <w:rPr>
          <w:rFonts w:ascii="仿宋_GB2312" w:eastAsia="仿宋_GB2312" w:hAnsi="仿宋" w:hint="eastAsia"/>
          <w:color w:val="000000"/>
          <w:sz w:val="18"/>
          <w:szCs w:val="18"/>
          <w:u w:val="single"/>
        </w:rPr>
        <w:t xml:space="preserve">　　　　　　　　     </w:t>
      </w:r>
      <w:r>
        <w:rPr>
          <w:rFonts w:ascii="仿宋_GB2312" w:eastAsia="仿宋_GB2312" w:hAnsi="仿宋" w:hint="eastAsia"/>
          <w:color w:val="000000"/>
          <w:sz w:val="18"/>
          <w:szCs w:val="18"/>
        </w:rPr>
        <w:t xml:space="preserve">  </w:t>
      </w:r>
      <w:r>
        <w:rPr>
          <w:rFonts w:ascii="仿宋_GB2312" w:eastAsia="仿宋_GB2312" w:hAnsi="仿宋" w:hint="eastAsia"/>
          <w:color w:val="000000"/>
          <w:sz w:val="18"/>
          <w:szCs w:val="18"/>
          <w:u w:val="single"/>
        </w:rPr>
        <w:t xml:space="preserve">　　　　　　　　 </w:t>
      </w:r>
    </w:p>
    <w:p w:rsidR="00800760" w:rsidRDefault="00235733">
      <w:pPr>
        <w:topLinePunct/>
        <w:ind w:firstLineChars="950" w:firstLine="1824"/>
        <w:rPr>
          <w:rFonts w:ascii="仿宋_GB2312" w:eastAsia="仿宋_GB2312" w:hAnsi="仿宋"/>
          <w:color w:val="000000"/>
          <w:sz w:val="18"/>
          <w:szCs w:val="18"/>
        </w:rPr>
      </w:pP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年</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月</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日</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年</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月</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 xml:space="preserve">日 </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年</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月</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日</w:t>
      </w:r>
    </w:p>
    <w:p w:rsidR="00800760" w:rsidRDefault="00800760">
      <w:pPr>
        <w:topLinePunct/>
        <w:ind w:firstLineChars="0" w:firstLine="0"/>
        <w:rPr>
          <w:rFonts w:ascii="仿宋_GB2312" w:eastAsia="仿宋_GB2312" w:hAnsi="仿宋"/>
          <w:color w:val="000000"/>
          <w:sz w:val="18"/>
          <w:szCs w:val="18"/>
        </w:rPr>
      </w:pPr>
    </w:p>
    <w:p w:rsidR="00800760" w:rsidRDefault="00235733">
      <w:pPr>
        <w:topLinePunct/>
        <w:ind w:firstLineChars="0" w:firstLine="0"/>
        <w:rPr>
          <w:rFonts w:ascii="仿宋_GB2312" w:eastAsia="仿宋_GB2312" w:hAnsi="仿宋"/>
          <w:color w:val="000000"/>
          <w:sz w:val="18"/>
          <w:szCs w:val="18"/>
        </w:rPr>
      </w:pPr>
      <w:r>
        <w:rPr>
          <w:rFonts w:ascii="仿宋_GB2312" w:eastAsia="仿宋_GB2312" w:hAnsi="仿宋" w:hint="eastAsia"/>
          <w:color w:val="000000"/>
          <w:sz w:val="18"/>
          <w:szCs w:val="18"/>
        </w:rPr>
        <w:t>请求人（签章）：</w:t>
      </w:r>
      <w:r>
        <w:rPr>
          <w:rFonts w:ascii="仿宋_GB2312" w:eastAsia="仿宋_GB2312" w:hAnsi="仿宋" w:hint="eastAsia"/>
          <w:color w:val="000000"/>
          <w:sz w:val="18"/>
          <w:szCs w:val="18"/>
          <w:u w:val="single"/>
        </w:rPr>
        <w:t xml:space="preserve">　　　　　　　　　　　</w:t>
      </w:r>
      <w:r>
        <w:rPr>
          <w:rFonts w:ascii="仿宋_GB2312" w:eastAsia="仿宋_GB2312" w:hAnsi="仿宋" w:hint="eastAsia"/>
          <w:color w:val="000000"/>
          <w:sz w:val="18"/>
          <w:szCs w:val="18"/>
        </w:rPr>
        <w:t xml:space="preserve">　　　请求人代理人（签章）：</w:t>
      </w:r>
      <w:r>
        <w:rPr>
          <w:rFonts w:ascii="仿宋_GB2312" w:eastAsia="仿宋_GB2312" w:hAnsi="仿宋" w:hint="eastAsia"/>
          <w:color w:val="000000"/>
          <w:sz w:val="18"/>
          <w:szCs w:val="18"/>
          <w:u w:val="single"/>
        </w:rPr>
        <w:t xml:space="preserve">　　　　　　　　　　　</w:t>
      </w:r>
    </w:p>
    <w:p w:rsidR="00800760" w:rsidRDefault="00235733">
      <w:pPr>
        <w:topLinePunct/>
        <w:ind w:firstLineChars="0" w:firstLine="1701"/>
        <w:rPr>
          <w:rFonts w:ascii="仿宋_GB2312" w:eastAsia="仿宋_GB2312" w:hAnsi="仿宋"/>
          <w:color w:val="000000"/>
          <w:sz w:val="18"/>
          <w:szCs w:val="18"/>
        </w:rPr>
      </w:pP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年</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月</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 xml:space="preserve">日 　　</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年</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月</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日</w:t>
      </w:r>
    </w:p>
    <w:p w:rsidR="00800760" w:rsidRDefault="00800760">
      <w:pPr>
        <w:topLinePunct/>
        <w:ind w:firstLineChars="0" w:firstLine="1701"/>
        <w:rPr>
          <w:rFonts w:ascii="仿宋_GB2312" w:eastAsia="仿宋_GB2312" w:hAnsi="仿宋"/>
          <w:color w:val="000000"/>
          <w:sz w:val="18"/>
          <w:szCs w:val="18"/>
        </w:rPr>
      </w:pPr>
    </w:p>
    <w:p w:rsidR="00800760" w:rsidRDefault="00235733">
      <w:pPr>
        <w:topLinePunct/>
        <w:ind w:firstLineChars="0" w:firstLine="0"/>
        <w:rPr>
          <w:rFonts w:ascii="仿宋_GB2312" w:eastAsia="仿宋_GB2312" w:hAnsi="仿宋"/>
          <w:color w:val="000000"/>
          <w:sz w:val="18"/>
          <w:szCs w:val="18"/>
        </w:rPr>
      </w:pPr>
      <w:r>
        <w:rPr>
          <w:rFonts w:ascii="仿宋_GB2312" w:eastAsia="仿宋_GB2312" w:hAnsi="仿宋" w:hint="eastAsia"/>
          <w:color w:val="000000"/>
          <w:sz w:val="18"/>
          <w:szCs w:val="18"/>
        </w:rPr>
        <w:t>被请求人（签章）：</w:t>
      </w:r>
      <w:r>
        <w:rPr>
          <w:rFonts w:ascii="仿宋_GB2312" w:eastAsia="仿宋_GB2312" w:hAnsi="仿宋" w:hint="eastAsia"/>
          <w:color w:val="000000"/>
          <w:sz w:val="18"/>
          <w:szCs w:val="18"/>
          <w:u w:val="single"/>
        </w:rPr>
        <w:t xml:space="preserve">　　　　　　　　　　　</w:t>
      </w:r>
      <w:r>
        <w:rPr>
          <w:rFonts w:ascii="仿宋_GB2312" w:eastAsia="仿宋_GB2312" w:hAnsi="仿宋" w:hint="eastAsia"/>
          <w:color w:val="000000"/>
          <w:sz w:val="18"/>
          <w:szCs w:val="18"/>
        </w:rPr>
        <w:t xml:space="preserve">　　被请求人代理人（签章）：</w:t>
      </w:r>
      <w:r>
        <w:rPr>
          <w:rFonts w:ascii="仿宋_GB2312" w:eastAsia="仿宋_GB2312" w:hAnsi="仿宋" w:hint="eastAsia"/>
          <w:color w:val="000000"/>
          <w:sz w:val="18"/>
          <w:szCs w:val="18"/>
          <w:u w:val="single"/>
        </w:rPr>
        <w:t xml:space="preserve">　　　　　　　　　　　</w:t>
      </w:r>
    </w:p>
    <w:p w:rsidR="00800760" w:rsidRDefault="00235733">
      <w:pPr>
        <w:ind w:firstLineChars="950" w:firstLine="1824"/>
        <w:rPr>
          <w:rFonts w:ascii="仿宋_GB2312" w:eastAsia="仿宋_GB2312" w:hAnsi="仿宋"/>
          <w:color w:val="000000"/>
          <w:sz w:val="18"/>
          <w:szCs w:val="18"/>
        </w:rPr>
      </w:pP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年</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月</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 xml:space="preserve">日　</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年</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月</w:t>
      </w:r>
      <w:r>
        <w:rPr>
          <w:rFonts w:ascii="仿宋_GB2312" w:eastAsia="仿宋_GB2312" w:hAnsi="宋体" w:hint="eastAsia"/>
          <w:color w:val="000000"/>
          <w:spacing w:val="6"/>
          <w:sz w:val="18"/>
          <w:szCs w:val="18"/>
          <w:u w:val="single"/>
        </w:rPr>
        <w:t xml:space="preserve">    </w:t>
      </w:r>
      <w:r>
        <w:rPr>
          <w:rFonts w:ascii="仿宋_GB2312" w:eastAsia="仿宋_GB2312" w:hAnsi="宋体" w:hint="eastAsia"/>
          <w:color w:val="000000"/>
          <w:spacing w:val="6"/>
          <w:sz w:val="18"/>
          <w:szCs w:val="18"/>
        </w:rPr>
        <w:t>日</w:t>
      </w:r>
    </w:p>
    <w:p w:rsidR="00800760" w:rsidRDefault="00800760">
      <w:pPr>
        <w:ind w:firstLineChars="950" w:firstLine="1710"/>
        <w:rPr>
          <w:rFonts w:ascii="仿宋_GB2312" w:eastAsia="仿宋_GB2312" w:hAnsi="仿宋"/>
          <w:color w:val="000000"/>
          <w:sz w:val="18"/>
          <w:szCs w:val="18"/>
        </w:rPr>
      </w:pPr>
    </w:p>
    <w:p w:rsidR="00800760" w:rsidRDefault="00800760">
      <w:pPr>
        <w:ind w:firstLineChars="0" w:firstLine="0"/>
        <w:rPr>
          <w:rFonts w:ascii="仿宋_GB2312" w:eastAsia="仿宋_GB2312" w:hAnsi="仿宋"/>
          <w:color w:val="000000"/>
          <w:sz w:val="18"/>
          <w:szCs w:val="18"/>
        </w:rPr>
      </w:pPr>
    </w:p>
    <w:p w:rsidR="00800760" w:rsidRDefault="00235733">
      <w:pPr>
        <w:widowControl w:val="0"/>
        <w:wordWrap w:val="0"/>
        <w:ind w:right="105" w:firstLineChars="1150" w:firstLine="2208"/>
        <w:jc w:val="right"/>
        <w:rPr>
          <w:rFonts w:ascii="仿宋_GB2312" w:eastAsia="仿宋_GB2312" w:hAnsi="仿宋" w:cs="PMingLiU"/>
          <w:color w:val="000000"/>
          <w:kern w:val="2"/>
          <w:sz w:val="18"/>
          <w:szCs w:val="18"/>
          <w:lang w:val="en-US"/>
        </w:rPr>
      </w:pPr>
      <w:r>
        <w:rPr>
          <w:rFonts w:ascii="仿宋_GB2312" w:eastAsia="仿宋_GB2312" w:hAnsi="宋体" w:cs="PMingLiU" w:hint="eastAsia"/>
          <w:color w:val="000000"/>
          <w:spacing w:val="6"/>
          <w:kern w:val="2"/>
          <w:sz w:val="18"/>
          <w:szCs w:val="18"/>
          <w:u w:val="single"/>
          <w:lang w:val="en-US"/>
        </w:rPr>
        <w:t xml:space="preserve">              </w:t>
      </w:r>
      <w:r>
        <w:rPr>
          <w:rFonts w:ascii="仿宋_GB2312" w:eastAsia="仿宋_GB2312" w:hAnsi="仿宋" w:cs="PMingLiU" w:hint="eastAsia"/>
          <w:color w:val="000000"/>
          <w:kern w:val="2"/>
          <w:sz w:val="18"/>
          <w:szCs w:val="18"/>
          <w:lang w:val="en-US"/>
        </w:rPr>
        <w:t>知识产权局</w:t>
      </w:r>
    </w:p>
    <w:p w:rsidR="00800760" w:rsidRDefault="00235733">
      <w:pPr>
        <w:spacing w:line="240" w:lineRule="auto"/>
        <w:ind w:firstLineChars="0" w:firstLine="0"/>
        <w:jc w:val="center"/>
        <w:rPr>
          <w:rFonts w:ascii="方正小标宋简体" w:eastAsia="方正小标宋简体" w:hAnsi="宋体"/>
          <w:color w:val="000000"/>
          <w:spacing w:val="6"/>
          <w:sz w:val="36"/>
          <w:szCs w:val="36"/>
        </w:rPr>
      </w:pPr>
      <w:r>
        <w:rPr>
          <w:rFonts w:ascii="宋体" w:hAnsi="宋体"/>
          <w:b/>
          <w:color w:val="000000"/>
          <w:sz w:val="18"/>
          <w:szCs w:val="18"/>
        </w:rPr>
        <w:br w:type="page"/>
      </w:r>
      <w:r>
        <w:rPr>
          <w:rFonts w:ascii="方正小标宋简体" w:eastAsia="方正小标宋简体" w:hAnsi="宋体" w:hint="eastAsia"/>
          <w:color w:val="000000"/>
          <w:spacing w:val="6"/>
          <w:sz w:val="36"/>
          <w:szCs w:val="36"/>
        </w:rPr>
        <w:t>重大专利侵权纠纷行政裁决口头审理通知书</w:t>
      </w:r>
    </w:p>
    <w:p w:rsidR="00800760" w:rsidRDefault="00235733">
      <w:pPr>
        <w:spacing w:line="360" w:lineRule="auto"/>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tbl>
      <w:tblPr>
        <w:tblW w:w="5000" w:type="pct"/>
        <w:jc w:val="center"/>
        <w:tblCellMar>
          <w:left w:w="10" w:type="dxa"/>
          <w:right w:w="10" w:type="dxa"/>
        </w:tblCellMar>
        <w:tblLook w:val="04A0"/>
      </w:tblPr>
      <w:tblGrid>
        <w:gridCol w:w="1962"/>
        <w:gridCol w:w="7905"/>
      </w:tblGrid>
      <w:tr w:rsidR="00800760">
        <w:trPr>
          <w:trHeight w:val="20"/>
          <w:jc w:val="center"/>
        </w:trPr>
        <w:tc>
          <w:tcPr>
            <w:tcW w:w="994"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专利号</w:t>
            </w:r>
          </w:p>
        </w:tc>
        <w:tc>
          <w:tcPr>
            <w:tcW w:w="4006"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994"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专利名称</w:t>
            </w:r>
          </w:p>
        </w:tc>
        <w:tc>
          <w:tcPr>
            <w:tcW w:w="4006"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994"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专利权人</w:t>
            </w:r>
          </w:p>
        </w:tc>
        <w:tc>
          <w:tcPr>
            <w:tcW w:w="4006"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994"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006" w:type="pct"/>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r w:rsidR="00800760">
        <w:trPr>
          <w:trHeight w:val="20"/>
          <w:jc w:val="center"/>
        </w:trPr>
        <w:tc>
          <w:tcPr>
            <w:tcW w:w="994"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4006"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仿宋"/>
                <w:color w:val="000000"/>
                <w:sz w:val="20"/>
                <w:lang w:eastAsia="en-US"/>
              </w:rPr>
            </w:pPr>
          </w:p>
        </w:tc>
      </w:tr>
    </w:tbl>
    <w:p w:rsidR="00800760" w:rsidRDefault="00235733">
      <w:pPr>
        <w:spacing w:line="360" w:lineRule="auto"/>
        <w:ind w:firstLineChars="0" w:firstLine="444"/>
        <w:rPr>
          <w:rFonts w:ascii="仿宋_GB2312" w:eastAsia="仿宋_GB2312" w:hAnsi="仿宋"/>
          <w:color w:val="000000"/>
          <w:sz w:val="20"/>
          <w:lang w:eastAsia="en-US"/>
        </w:rPr>
      </w:pPr>
      <w:r>
        <w:rPr>
          <w:rFonts w:ascii="仿宋_GB2312" w:eastAsia="仿宋_GB2312" w:hAnsi="宋体" w:hint="eastAsia"/>
          <w:color w:val="000000"/>
          <w:spacing w:val="6"/>
          <w:sz w:val="20"/>
          <w:u w:val="single"/>
          <w:lang w:eastAsia="en-US"/>
        </w:rPr>
        <w:t xml:space="preserve">                     </w:t>
      </w:r>
      <w:r>
        <w:rPr>
          <w:rFonts w:ascii="仿宋_GB2312" w:eastAsia="仿宋_GB2312" w:hAnsi="仿宋" w:hint="eastAsia"/>
          <w:color w:val="000000"/>
          <w:sz w:val="20"/>
          <w:u w:val="single"/>
          <w:lang w:eastAsia="en-US"/>
        </w:rPr>
        <w:t xml:space="preserve">  </w:t>
      </w:r>
      <w:r>
        <w:rPr>
          <w:rFonts w:ascii="仿宋_GB2312" w:eastAsia="仿宋_GB2312" w:hAnsi="仿宋" w:hint="eastAsia"/>
          <w:color w:val="000000"/>
          <w:sz w:val="20"/>
          <w:lang w:eastAsia="en-US"/>
        </w:rPr>
        <w:t>：</w:t>
      </w:r>
    </w:p>
    <w:p w:rsidR="00800760" w:rsidRDefault="00235733">
      <w:pPr>
        <w:tabs>
          <w:tab w:val="left" w:leader="underscore" w:pos="6663"/>
        </w:tabs>
        <w:spacing w:line="360" w:lineRule="auto"/>
        <w:ind w:firstLineChars="0" w:firstLine="444"/>
        <w:rPr>
          <w:rFonts w:ascii="仿宋_GB2312" w:eastAsia="仿宋_GB2312" w:hAnsi="仿宋"/>
          <w:color w:val="000000"/>
          <w:sz w:val="20"/>
        </w:rPr>
      </w:pPr>
      <w:r>
        <w:rPr>
          <w:rFonts w:ascii="仿宋_GB2312" w:eastAsia="仿宋_GB2312" w:hAnsi="仿宋" w:hint="eastAsia"/>
          <w:color w:val="000000"/>
          <w:spacing w:val="6"/>
          <w:sz w:val="20"/>
        </w:rPr>
        <w:t>依据</w:t>
      </w:r>
      <w:r>
        <w:rPr>
          <w:rFonts w:ascii="仿宋_GB2312" w:eastAsia="仿宋_GB2312" w:hAnsi="仿宋" w:hint="eastAsia"/>
          <w:color w:val="000000"/>
          <w:sz w:val="20"/>
        </w:rPr>
        <w:t>《专利纠纷行政裁决和调解办法》</w:t>
      </w:r>
      <w:r>
        <w:rPr>
          <w:rFonts w:ascii="仿宋_GB2312" w:eastAsia="仿宋_GB2312" w:hAnsi="仿宋" w:hint="eastAsia"/>
          <w:color w:val="000000"/>
          <w:spacing w:val="6"/>
          <w:sz w:val="20"/>
        </w:rPr>
        <w:t>第二十六条的规定，本局决定于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pacing w:val="6"/>
          <w:sz w:val="20"/>
        </w:rPr>
        <w:t>时在</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对请求人提出的侵犯专利权纠纷处理请求进行口头审理。</w:t>
      </w:r>
    </w:p>
    <w:p w:rsidR="00800760" w:rsidRDefault="00235733">
      <w:pPr>
        <w:spacing w:line="360" w:lineRule="auto"/>
        <w:ind w:firstLine="400"/>
        <w:rPr>
          <w:rFonts w:ascii="仿宋_GB2312" w:eastAsia="仿宋_GB2312" w:hAnsi="仿宋"/>
          <w:color w:val="000000"/>
          <w:sz w:val="20"/>
        </w:rPr>
      </w:pPr>
      <w:r>
        <w:rPr>
          <w:rFonts w:ascii="仿宋_GB2312" w:eastAsia="仿宋_GB2312" w:hAnsi="仿宋" w:hint="eastAsia"/>
          <w:color w:val="000000"/>
          <w:sz w:val="20"/>
        </w:rPr>
        <w:t>双方当事人应当在收到本通知书之日起</w:t>
      </w:r>
      <w:r>
        <w:rPr>
          <w:rFonts w:ascii="仿宋_GB2312" w:eastAsia="仿宋_GB2312" w:hint="eastAsia"/>
          <w:color w:val="000000"/>
          <w:sz w:val="20"/>
        </w:rPr>
        <w:t>3</w:t>
      </w:r>
      <w:r>
        <w:rPr>
          <w:rFonts w:ascii="仿宋_GB2312" w:eastAsia="仿宋_GB2312" w:hAnsi="仿宋" w:hint="eastAsia"/>
          <w:color w:val="000000"/>
          <w:sz w:val="20"/>
        </w:rPr>
        <w:t>日内将参加口头审理的回执送交本局。无正当理由拒不参加或者中途退出的，对请求人按撤回请求处理，对被请求人按缺席处理。</w:t>
      </w:r>
    </w:p>
    <w:p w:rsidR="00800760" w:rsidRDefault="00235733">
      <w:pPr>
        <w:spacing w:line="360" w:lineRule="auto"/>
        <w:ind w:firstLine="400"/>
        <w:rPr>
          <w:rFonts w:ascii="仿宋_GB2312" w:eastAsia="仿宋_GB2312" w:hAnsi="仿宋"/>
          <w:color w:val="000000"/>
          <w:sz w:val="20"/>
        </w:rPr>
      </w:pPr>
      <w:r>
        <w:rPr>
          <w:rFonts w:ascii="仿宋_GB2312" w:eastAsia="仿宋_GB2312" w:hAnsi="仿宋" w:hint="eastAsia"/>
          <w:color w:val="000000"/>
          <w:sz w:val="20"/>
        </w:rPr>
        <w:t>当事人因正当理由不能参加的，应提前</w:t>
      </w:r>
      <w:r>
        <w:rPr>
          <w:rFonts w:ascii="仿宋_GB2312" w:eastAsia="仿宋_GB2312" w:hint="eastAsia"/>
          <w:color w:val="000000"/>
          <w:sz w:val="20"/>
        </w:rPr>
        <w:t>3</w:t>
      </w:r>
      <w:r>
        <w:rPr>
          <w:rFonts w:ascii="仿宋_GB2312" w:eastAsia="仿宋_GB2312" w:hAnsi="仿宋" w:hint="eastAsia"/>
          <w:color w:val="000000"/>
          <w:sz w:val="20"/>
        </w:rPr>
        <w:t>日向本局提出，申请改期。</w:t>
      </w:r>
    </w:p>
    <w:p w:rsidR="00800760" w:rsidRDefault="00235733">
      <w:pPr>
        <w:spacing w:line="360" w:lineRule="auto"/>
        <w:ind w:firstLine="400"/>
        <w:rPr>
          <w:rFonts w:ascii="仿宋_GB2312" w:eastAsia="仿宋_GB2312" w:hAnsi="仿宋"/>
          <w:color w:val="000000"/>
          <w:sz w:val="20"/>
        </w:rPr>
      </w:pPr>
      <w:r>
        <w:rPr>
          <w:rFonts w:ascii="仿宋_GB2312" w:eastAsia="仿宋_GB2312" w:hAnsi="仿宋" w:hint="eastAsia"/>
          <w:color w:val="000000"/>
          <w:sz w:val="20"/>
        </w:rPr>
        <w:t>参加口头审理的人员，应当携带以下材料：</w:t>
      </w:r>
    </w:p>
    <w:p w:rsidR="00800760" w:rsidRDefault="00235733">
      <w:pPr>
        <w:spacing w:line="360" w:lineRule="auto"/>
        <w:ind w:firstLine="400"/>
        <w:rPr>
          <w:rFonts w:ascii="仿宋_GB2312" w:eastAsia="仿宋_GB2312" w:hAnsi="仿宋"/>
          <w:color w:val="000000"/>
          <w:sz w:val="20"/>
        </w:rPr>
      </w:pPr>
      <w:r>
        <w:rPr>
          <w:rFonts w:ascii="仿宋_GB2312" w:eastAsia="仿宋_GB2312" w:hint="eastAsia"/>
          <w:color w:val="000000"/>
          <w:sz w:val="20"/>
        </w:rPr>
        <w:t>1</w:t>
      </w:r>
      <w:r>
        <w:rPr>
          <w:rFonts w:ascii="仿宋_GB2312" w:eastAsia="仿宋_GB2312" w:hAnsi="仿宋" w:hint="eastAsia"/>
          <w:color w:val="000000"/>
          <w:sz w:val="20"/>
        </w:rPr>
        <w:t>.当事人的主体资格证明（如：法人提供营业执照副本复印件或者其他主体资格证明文件并加盖单位公章；自然人提供身份证正反面复印件</w:t>
      </w:r>
      <w:r>
        <w:rPr>
          <w:rFonts w:ascii="仿宋_GB2312" w:eastAsia="仿宋_GB2312" w:hAnsi="仿宋" w:hint="eastAsia"/>
          <w:color w:val="000000"/>
          <w:sz w:val="20"/>
          <w:lang w:bidi="en-US"/>
        </w:rPr>
        <w:t>）</w:t>
      </w:r>
      <w:r>
        <w:rPr>
          <w:rFonts w:ascii="仿宋_GB2312" w:eastAsia="仿宋_GB2312" w:hAnsi="仿宋" w:hint="eastAsia"/>
          <w:color w:val="000000"/>
          <w:sz w:val="20"/>
        </w:rPr>
        <w:t>。</w:t>
      </w:r>
    </w:p>
    <w:p w:rsidR="00800760" w:rsidRDefault="00235733">
      <w:pPr>
        <w:spacing w:line="360" w:lineRule="auto"/>
        <w:ind w:firstLine="400"/>
        <w:rPr>
          <w:rFonts w:ascii="仿宋_GB2312" w:eastAsia="仿宋_GB2312" w:hAnsi="仿宋"/>
          <w:color w:val="000000"/>
          <w:sz w:val="20"/>
        </w:rPr>
      </w:pPr>
      <w:r>
        <w:rPr>
          <w:rFonts w:ascii="仿宋_GB2312" w:eastAsia="仿宋_GB2312" w:hint="eastAsia"/>
          <w:color w:val="000000"/>
          <w:sz w:val="20"/>
        </w:rPr>
        <w:t>2</w:t>
      </w:r>
      <w:r>
        <w:rPr>
          <w:rFonts w:ascii="仿宋_GB2312" w:eastAsia="仿宋_GB2312" w:hAnsi="仿宋" w:hint="eastAsia"/>
          <w:color w:val="000000"/>
          <w:sz w:val="20"/>
        </w:rPr>
        <w:t>.委托代理人（</w:t>
      </w:r>
      <w:r>
        <w:rPr>
          <w:rFonts w:ascii="仿宋_GB2312" w:eastAsia="仿宋_GB2312" w:hint="eastAsia"/>
          <w:color w:val="000000"/>
          <w:sz w:val="20"/>
        </w:rPr>
        <w:t>1</w:t>
      </w:r>
      <w:r>
        <w:rPr>
          <w:rFonts w:ascii="仿宋_GB2312" w:eastAsia="仿宋_GB2312" w:hAnsi="仿宋" w:hint="eastAsia"/>
          <w:color w:val="000000"/>
          <w:sz w:val="20"/>
        </w:rPr>
        <w:t>～</w:t>
      </w:r>
      <w:r>
        <w:rPr>
          <w:rFonts w:ascii="仿宋_GB2312" w:eastAsia="仿宋_GB2312" w:hint="eastAsia"/>
          <w:color w:val="000000"/>
          <w:sz w:val="20"/>
        </w:rPr>
        <w:t>2</w:t>
      </w:r>
      <w:r>
        <w:rPr>
          <w:rFonts w:ascii="仿宋_GB2312" w:eastAsia="仿宋_GB2312" w:hAnsi="仿宋" w:hint="eastAsia"/>
          <w:color w:val="000000"/>
          <w:sz w:val="20"/>
        </w:rPr>
        <w:t>人）出席的，应当提交授权委托书及委托代理人的身份证明</w:t>
      </w:r>
      <w:r>
        <w:rPr>
          <w:rFonts w:ascii="仿宋_GB2312" w:eastAsia="仿宋_GB2312" w:hAnsi="仿宋" w:hint="eastAsia"/>
          <w:color w:val="000000"/>
          <w:sz w:val="20"/>
          <w:lang w:bidi="en-US"/>
        </w:rPr>
        <w:t>（</w:t>
      </w:r>
      <w:r>
        <w:rPr>
          <w:rFonts w:ascii="仿宋_GB2312" w:eastAsia="仿宋_GB2312" w:hAnsi="仿宋" w:hint="eastAsia"/>
          <w:color w:val="000000"/>
          <w:sz w:val="20"/>
        </w:rPr>
        <w:t>身份证正反面复印件）。</w:t>
      </w:r>
    </w:p>
    <w:p w:rsidR="00800760" w:rsidRDefault="00235733">
      <w:pPr>
        <w:tabs>
          <w:tab w:val="left" w:pos="709"/>
        </w:tabs>
        <w:spacing w:line="360" w:lineRule="auto"/>
        <w:ind w:left="440" w:firstLineChars="0" w:firstLine="0"/>
        <w:rPr>
          <w:rFonts w:ascii="仿宋_GB2312" w:eastAsia="仿宋_GB2312" w:hAnsi="仿宋"/>
          <w:color w:val="000000"/>
          <w:sz w:val="20"/>
        </w:rPr>
      </w:pPr>
      <w:r>
        <w:rPr>
          <w:rFonts w:ascii="仿宋_GB2312" w:eastAsia="仿宋_GB2312" w:hint="eastAsia"/>
          <w:color w:val="000000"/>
          <w:sz w:val="20"/>
        </w:rPr>
        <w:t>3</w:t>
      </w:r>
      <w:r>
        <w:rPr>
          <w:rFonts w:ascii="仿宋_GB2312" w:eastAsia="仿宋_GB2312" w:hAnsi="仿宋" w:hint="eastAsia"/>
          <w:color w:val="000000"/>
          <w:sz w:val="20"/>
        </w:rPr>
        <w:t>.有关证据材料原件。</w:t>
      </w:r>
    </w:p>
    <w:p w:rsidR="00800760" w:rsidRDefault="00235733">
      <w:pPr>
        <w:spacing w:line="360" w:lineRule="auto"/>
        <w:ind w:firstLine="400"/>
        <w:rPr>
          <w:rFonts w:ascii="仿宋_GB2312" w:eastAsia="仿宋_GB2312" w:hAnsi="仿宋"/>
          <w:color w:val="000000"/>
          <w:sz w:val="20"/>
        </w:rPr>
      </w:pPr>
      <w:r>
        <w:rPr>
          <w:rFonts w:ascii="仿宋_GB2312" w:eastAsia="仿宋_GB2312" w:hAnsi="仿宋" w:hint="eastAsia"/>
          <w:color w:val="000000"/>
          <w:sz w:val="20"/>
        </w:rPr>
        <w:t>附：口头审理回执</w:t>
      </w:r>
    </w:p>
    <w:p w:rsidR="00800760" w:rsidRDefault="00800760">
      <w:pPr>
        <w:spacing w:line="360" w:lineRule="auto"/>
        <w:ind w:firstLineChars="0" w:firstLine="0"/>
        <w:rPr>
          <w:rFonts w:ascii="仿宋_GB2312" w:eastAsia="仿宋_GB2312" w:hAnsi="仿宋"/>
          <w:color w:val="000000"/>
          <w:sz w:val="20"/>
        </w:rPr>
      </w:pP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国家知识产权局（盖章）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235733">
      <w:pPr>
        <w:tabs>
          <w:tab w:val="center" w:pos="6363"/>
        </w:tabs>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联 系 人：</w:t>
      </w:r>
    </w:p>
    <w:p w:rsidR="00800760" w:rsidRDefault="00235733">
      <w:pPr>
        <w:tabs>
          <w:tab w:val="center" w:pos="6363"/>
        </w:tabs>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联系电话：</w:t>
      </w:r>
    </w:p>
    <w:p w:rsidR="00800760" w:rsidRDefault="00235733">
      <w:pPr>
        <w:tabs>
          <w:tab w:val="center" w:pos="6363"/>
        </w:tabs>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本局地址：</w:t>
      </w:r>
    </w:p>
    <w:p w:rsidR="00800760" w:rsidRDefault="00235733">
      <w:pPr>
        <w:tabs>
          <w:tab w:val="center" w:pos="6363"/>
        </w:tabs>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邮政编码：</w:t>
      </w:r>
    </w:p>
    <w:p w:rsidR="00800760" w:rsidRDefault="00235733">
      <w:pPr>
        <w:spacing w:line="360" w:lineRule="auto"/>
        <w:ind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t>说明：本通知书一式三份，两份送达当事人，一份由国家知识产权局存档。</w:t>
      </w:r>
    </w:p>
    <w:p w:rsidR="00800760" w:rsidRDefault="00800760" w:rsidP="00C22A7B">
      <w:pPr>
        <w:spacing w:beforeLines="50" w:afterLines="50" w:line="360" w:lineRule="auto"/>
        <w:ind w:firstLineChars="0" w:firstLine="0"/>
        <w:rPr>
          <w:rFonts w:ascii="方正小标宋简体" w:eastAsia="方正小标宋简体" w:hAnsi="宋体"/>
          <w:color w:val="000000"/>
          <w:spacing w:val="6"/>
          <w:sz w:val="36"/>
          <w:szCs w:val="36"/>
        </w:rPr>
      </w:pPr>
    </w:p>
    <w:p w:rsidR="00DC3A0E" w:rsidRDefault="00DC3A0E" w:rsidP="00C22A7B">
      <w:pPr>
        <w:spacing w:beforeLines="50" w:afterLines="50" w:line="360" w:lineRule="auto"/>
        <w:ind w:firstLineChars="0" w:firstLine="744"/>
        <w:jc w:val="center"/>
        <w:rPr>
          <w:rFonts w:ascii="方正小标宋简体" w:eastAsia="方正小标宋简体" w:hAnsi="宋体"/>
          <w:color w:val="000000"/>
          <w:spacing w:val="6"/>
          <w:sz w:val="36"/>
          <w:szCs w:val="36"/>
        </w:rPr>
      </w:pPr>
    </w:p>
    <w:p w:rsidR="00800760" w:rsidRDefault="00235733" w:rsidP="00C22A7B">
      <w:pPr>
        <w:spacing w:beforeLines="50" w:afterLines="50" w:line="360" w:lineRule="auto"/>
        <w:ind w:firstLineChars="0" w:firstLine="744"/>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重大专利侵权纠纷行政裁决口头审理回执</w:t>
      </w:r>
    </w:p>
    <w:p w:rsidR="00800760" w:rsidRDefault="00235733">
      <w:pPr>
        <w:spacing w:line="360" w:lineRule="auto"/>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w:t>
      </w:r>
      <w:r>
        <w:rPr>
          <w:rFonts w:ascii="仿宋" w:eastAsia="仿宋_GB2312" w:hAnsi="仿宋" w:hint="eastAsia"/>
          <w:color w:val="000000"/>
          <w:sz w:val="20"/>
        </w:rPr>
        <w:t>____________________</w:t>
      </w:r>
    </w:p>
    <w:p w:rsidR="00800760" w:rsidRDefault="00235733">
      <w:pPr>
        <w:tabs>
          <w:tab w:val="left" w:leader="underscore" w:pos="1707"/>
        </w:tabs>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国家知识产权局：</w:t>
      </w:r>
    </w:p>
    <w:p w:rsidR="00800760" w:rsidRDefault="00235733">
      <w:pPr>
        <w:tabs>
          <w:tab w:val="left" w:leader="underscore" w:pos="2394"/>
          <w:tab w:val="left" w:leader="underscore" w:pos="3037"/>
          <w:tab w:val="left" w:leader="underscore" w:pos="3783"/>
          <w:tab w:val="left" w:leader="underscore" w:pos="4328"/>
        </w:tabs>
        <w:spacing w:line="360" w:lineRule="auto"/>
        <w:ind w:left="440" w:firstLineChars="0" w:firstLine="0"/>
        <w:rPr>
          <w:rFonts w:ascii="仿宋_GB2312" w:eastAsia="仿宋_GB2312" w:hAnsi="仿宋"/>
          <w:color w:val="000000"/>
          <w:sz w:val="20"/>
        </w:rPr>
      </w:pPr>
      <w:r>
        <w:rPr>
          <w:rFonts w:ascii="仿宋_GB2312" w:eastAsia="仿宋_GB2312" w:hAnsi="仿宋" w:hint="eastAsia"/>
          <w:color w:val="000000"/>
          <w:sz w:val="20"/>
        </w:rPr>
        <w:t>□我方参加</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时举行的口头审理。</w:t>
      </w:r>
    </w:p>
    <w:p w:rsidR="00800760" w:rsidRDefault="00235733">
      <w:pPr>
        <w:tabs>
          <w:tab w:val="left" w:leader="underscore" w:pos="2394"/>
          <w:tab w:val="left" w:leader="underscore" w:pos="3037"/>
          <w:tab w:val="left" w:leader="underscore" w:pos="3783"/>
          <w:tab w:val="left" w:leader="underscore" w:pos="4328"/>
        </w:tabs>
        <w:spacing w:line="360" w:lineRule="auto"/>
        <w:ind w:left="440" w:firstLineChars="0" w:firstLine="0"/>
        <w:rPr>
          <w:rFonts w:ascii="仿宋_GB2312" w:eastAsia="仿宋_GB2312" w:hAnsi="仿宋"/>
          <w:color w:val="000000"/>
          <w:sz w:val="20"/>
          <w:u w:val="single"/>
        </w:rPr>
      </w:pPr>
      <w:r>
        <w:rPr>
          <w:rFonts w:ascii="仿宋_GB2312" w:eastAsia="仿宋_GB2312" w:hAnsi="仿宋" w:hint="eastAsia"/>
          <w:color w:val="000000"/>
          <w:sz w:val="20"/>
        </w:rPr>
        <w:t>□我方不参加</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时举行的口头审理，其原因是:</w:t>
      </w:r>
      <w:r>
        <w:rPr>
          <w:rFonts w:ascii="仿宋_GB2312" w:eastAsia="仿宋_GB2312" w:hAnsi="仿宋" w:hint="eastAsia"/>
          <w:color w:val="000000"/>
          <w:sz w:val="20"/>
          <w:u w:val="single"/>
        </w:rPr>
        <w:t xml:space="preserve">                     </w:t>
      </w:r>
    </w:p>
    <w:p w:rsidR="00800760" w:rsidRDefault="00235733">
      <w:pPr>
        <w:tabs>
          <w:tab w:val="left" w:leader="underscore" w:pos="2394"/>
          <w:tab w:val="left" w:leader="underscore" w:pos="3037"/>
          <w:tab w:val="left" w:leader="underscore" w:pos="3783"/>
          <w:tab w:val="left" w:leader="underscore" w:pos="4328"/>
        </w:tabs>
        <w:spacing w:line="360" w:lineRule="auto"/>
        <w:ind w:left="440" w:firstLineChars="0" w:firstLine="0"/>
        <w:rPr>
          <w:rFonts w:ascii="仿宋_GB2312" w:eastAsia="仿宋_GB2312" w:hAnsi="仿宋"/>
          <w:color w:val="000000"/>
          <w:sz w:val="20"/>
        </w:rPr>
      </w:pP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w:t>
      </w:r>
    </w:p>
    <w:p w:rsidR="00800760" w:rsidRDefault="00235733">
      <w:pPr>
        <w:tabs>
          <w:tab w:val="left" w:leader="underscore" w:pos="2394"/>
          <w:tab w:val="left" w:leader="underscore" w:pos="3037"/>
          <w:tab w:val="left" w:leader="underscore" w:pos="3783"/>
          <w:tab w:val="left" w:leader="underscore" w:pos="4328"/>
        </w:tabs>
        <w:spacing w:line="360" w:lineRule="auto"/>
        <w:ind w:left="440" w:firstLineChars="0" w:firstLine="0"/>
        <w:rPr>
          <w:rFonts w:ascii="仿宋_GB2312" w:eastAsia="仿宋_GB2312" w:hAnsi="仿宋"/>
          <w:color w:val="000000"/>
          <w:sz w:val="20"/>
        </w:rPr>
      </w:pPr>
      <w:r>
        <w:rPr>
          <w:rFonts w:ascii="仿宋_GB2312" w:eastAsia="仿宋_GB2312" w:hAnsi="仿宋" w:hint="eastAsia"/>
          <w:color w:val="000000"/>
          <w:sz w:val="20"/>
        </w:rPr>
        <w:t>□我方是本案的请求人，参加口头审理的人员如下：</w:t>
      </w:r>
    </w:p>
    <w:p w:rsidR="00800760" w:rsidRDefault="00235733">
      <w:pPr>
        <w:tabs>
          <w:tab w:val="left" w:leader="underscore" w:pos="2394"/>
          <w:tab w:val="left" w:leader="underscore" w:pos="3037"/>
          <w:tab w:val="left" w:leader="underscore" w:pos="3783"/>
          <w:tab w:val="left" w:leader="underscore" w:pos="4328"/>
        </w:tabs>
        <w:spacing w:line="360" w:lineRule="auto"/>
        <w:ind w:left="440" w:firstLineChars="0" w:firstLine="0"/>
        <w:rPr>
          <w:rFonts w:ascii="仿宋_GB2312" w:eastAsia="仿宋_GB2312" w:hAnsi="仿宋"/>
          <w:color w:val="000000"/>
          <w:sz w:val="20"/>
        </w:rPr>
      </w:pPr>
      <w:r>
        <w:rPr>
          <w:rFonts w:ascii="仿宋_GB2312" w:eastAsia="仿宋_GB2312" w:hAnsi="仿宋" w:hint="eastAsia"/>
          <w:color w:val="000000"/>
          <w:sz w:val="20"/>
        </w:rPr>
        <w:t>□我方是本案的被请求人，参加口头审理的人员如下：</w:t>
      </w:r>
    </w:p>
    <w:tbl>
      <w:tblPr>
        <w:tblW w:w="5000" w:type="pct"/>
        <w:jc w:val="center"/>
        <w:tblCellMar>
          <w:left w:w="10" w:type="dxa"/>
          <w:right w:w="10" w:type="dxa"/>
        </w:tblCellMar>
        <w:tblLook w:val="04A0"/>
      </w:tblPr>
      <w:tblGrid>
        <w:gridCol w:w="1511"/>
        <w:gridCol w:w="2161"/>
        <w:gridCol w:w="1891"/>
        <w:gridCol w:w="1950"/>
        <w:gridCol w:w="2354"/>
      </w:tblGrid>
      <w:tr w:rsidR="00800760">
        <w:trPr>
          <w:trHeight w:val="20"/>
          <w:jc w:val="center"/>
        </w:trPr>
        <w:tc>
          <w:tcPr>
            <w:tcW w:w="766"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姓名</w:t>
            </w:r>
          </w:p>
        </w:tc>
        <w:tc>
          <w:tcPr>
            <w:tcW w:w="1095"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单位</w:t>
            </w:r>
          </w:p>
        </w:tc>
        <w:tc>
          <w:tcPr>
            <w:tcW w:w="958"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职务</w:t>
            </w:r>
          </w:p>
        </w:tc>
        <w:tc>
          <w:tcPr>
            <w:tcW w:w="988"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移动电话</w:t>
            </w:r>
          </w:p>
        </w:tc>
        <w:tc>
          <w:tcPr>
            <w:tcW w:w="1193"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固定电话</w:t>
            </w:r>
          </w:p>
        </w:tc>
      </w:tr>
      <w:tr w:rsidR="00800760">
        <w:trPr>
          <w:trHeight w:val="20"/>
          <w:jc w:val="center"/>
        </w:trPr>
        <w:tc>
          <w:tcPr>
            <w:tcW w:w="766" w:type="pct"/>
            <w:tcBorders>
              <w:top w:val="single" w:sz="4" w:space="0" w:color="auto"/>
              <w:lef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c>
          <w:tcPr>
            <w:tcW w:w="1095" w:type="pct"/>
            <w:tcBorders>
              <w:top w:val="single" w:sz="4" w:space="0" w:color="auto"/>
              <w:lef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c>
          <w:tcPr>
            <w:tcW w:w="958" w:type="pct"/>
            <w:tcBorders>
              <w:top w:val="single" w:sz="4" w:space="0" w:color="auto"/>
              <w:lef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c>
          <w:tcPr>
            <w:tcW w:w="988" w:type="pct"/>
            <w:tcBorders>
              <w:top w:val="single" w:sz="4" w:space="0" w:color="auto"/>
              <w:lef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c>
          <w:tcPr>
            <w:tcW w:w="1193" w:type="pct"/>
            <w:tcBorders>
              <w:top w:val="single" w:sz="4" w:space="0" w:color="auto"/>
              <w:left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766"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c>
          <w:tcPr>
            <w:tcW w:w="1095"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c>
          <w:tcPr>
            <w:tcW w:w="958"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c>
          <w:tcPr>
            <w:tcW w:w="988"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c>
          <w:tcPr>
            <w:tcW w:w="1193"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800760">
            <w:pPr>
              <w:spacing w:line="360" w:lineRule="auto"/>
              <w:ind w:firstLineChars="0" w:firstLine="0"/>
              <w:jc w:val="center"/>
              <w:rPr>
                <w:rFonts w:ascii="仿宋_GB2312" w:eastAsia="仿宋_GB2312" w:hAnsi="仿宋"/>
                <w:color w:val="000000"/>
                <w:sz w:val="20"/>
                <w:lang w:eastAsia="en-US"/>
              </w:rPr>
            </w:pPr>
          </w:p>
        </w:tc>
      </w:tr>
    </w:tbl>
    <w:p w:rsidR="00800760" w:rsidRDefault="00800760">
      <w:pPr>
        <w:spacing w:line="360" w:lineRule="auto"/>
        <w:ind w:firstLineChars="0" w:firstLine="444"/>
        <w:rPr>
          <w:rFonts w:ascii="仿宋_GB2312" w:eastAsia="仿宋_GB2312" w:hAnsi="宋体"/>
          <w:color w:val="000000"/>
          <w:spacing w:val="6"/>
          <w:sz w:val="20"/>
          <w:lang w:eastAsia="en-US"/>
        </w:rPr>
      </w:pPr>
    </w:p>
    <w:p w:rsidR="00800760" w:rsidRDefault="00235733">
      <w:pPr>
        <w:spacing w:line="360" w:lineRule="auto"/>
        <w:ind w:firstLineChars="0" w:firstLine="444"/>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（盖章）　　</w:t>
      </w:r>
    </w:p>
    <w:p w:rsidR="00800760" w:rsidRDefault="00235733">
      <w:pPr>
        <w:spacing w:line="360" w:lineRule="auto"/>
        <w:ind w:firstLineChars="0" w:firstLine="444"/>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日　　</w:t>
      </w:r>
    </w:p>
    <w:p w:rsidR="00800760" w:rsidRDefault="00800760">
      <w:pPr>
        <w:spacing w:line="360" w:lineRule="auto"/>
        <w:ind w:firstLineChars="0" w:firstLine="0"/>
        <w:rPr>
          <w:rFonts w:ascii="仿宋" w:eastAsia="仿宋_GB2312" w:hAnsi="仿宋"/>
          <w:color w:val="000000"/>
          <w:sz w:val="20"/>
          <w:lang w:eastAsia="en-US"/>
        </w:rPr>
      </w:pPr>
    </w:p>
    <w:p w:rsidR="00800760" w:rsidRDefault="00800760">
      <w:pPr>
        <w:spacing w:line="360" w:lineRule="auto"/>
        <w:ind w:firstLineChars="0" w:firstLine="0"/>
        <w:rPr>
          <w:rFonts w:ascii="仿宋" w:eastAsia="仿宋_GB2312" w:hAnsi="仿宋"/>
          <w:color w:val="000000"/>
          <w:sz w:val="20"/>
          <w:lang w:eastAsia="en-US"/>
        </w:rPr>
      </w:pPr>
    </w:p>
    <w:p w:rsidR="00800760" w:rsidRDefault="00800760">
      <w:pPr>
        <w:spacing w:line="360" w:lineRule="auto"/>
        <w:ind w:firstLineChars="0" w:firstLine="0"/>
        <w:rPr>
          <w:rFonts w:ascii="仿宋" w:eastAsia="仿宋_GB2312" w:hAnsi="仿宋"/>
          <w:color w:val="000000"/>
          <w:sz w:val="20"/>
          <w:lang w:eastAsia="en-US"/>
        </w:rPr>
      </w:pPr>
    </w:p>
    <w:p w:rsidR="00800760" w:rsidRDefault="00800760">
      <w:pPr>
        <w:spacing w:line="360" w:lineRule="auto"/>
        <w:ind w:firstLineChars="0" w:firstLine="0"/>
        <w:rPr>
          <w:rFonts w:ascii="仿宋" w:eastAsia="仿宋_GB2312" w:hAnsi="仿宋"/>
          <w:color w:val="000000"/>
          <w:sz w:val="20"/>
          <w:lang w:eastAsia="en-US"/>
        </w:rPr>
      </w:pPr>
    </w:p>
    <w:p w:rsidR="00800760" w:rsidRDefault="00800760">
      <w:pPr>
        <w:spacing w:line="360" w:lineRule="auto"/>
        <w:ind w:firstLineChars="0" w:firstLine="0"/>
        <w:rPr>
          <w:rFonts w:ascii="仿宋" w:eastAsia="仿宋_GB2312" w:hAnsi="仿宋"/>
          <w:color w:val="000000"/>
          <w:sz w:val="20"/>
          <w:lang w:eastAsia="en-US"/>
        </w:rPr>
      </w:pPr>
    </w:p>
    <w:p w:rsidR="00800760" w:rsidRDefault="00800760">
      <w:pPr>
        <w:spacing w:line="360" w:lineRule="auto"/>
        <w:ind w:firstLineChars="0" w:firstLine="0"/>
        <w:rPr>
          <w:rFonts w:ascii="仿宋" w:eastAsia="仿宋_GB2312" w:hAnsi="仿宋"/>
          <w:color w:val="000000"/>
          <w:sz w:val="20"/>
          <w:lang w:eastAsia="en-US"/>
        </w:rPr>
      </w:pPr>
    </w:p>
    <w:p w:rsidR="00800760" w:rsidRDefault="00800760">
      <w:pPr>
        <w:spacing w:line="360" w:lineRule="auto"/>
        <w:ind w:firstLineChars="0" w:firstLine="0"/>
        <w:rPr>
          <w:rFonts w:ascii="仿宋" w:eastAsia="仿宋_GB2312" w:hAnsi="仿宋"/>
          <w:color w:val="000000"/>
          <w:sz w:val="20"/>
          <w:lang w:eastAsia="en-US"/>
        </w:rPr>
      </w:pPr>
    </w:p>
    <w:p w:rsidR="00800760" w:rsidRDefault="00235733">
      <w:pPr>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附件：□参加人员的身份证件复印件</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份</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页，共</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w:t>
      </w:r>
    </w:p>
    <w:p w:rsidR="00800760" w:rsidRDefault="00235733">
      <w:pPr>
        <w:spacing w:line="360" w:lineRule="auto"/>
        <w:ind w:firstLineChars="300" w:firstLine="600"/>
        <w:rPr>
          <w:rFonts w:ascii="仿宋_GB2312" w:eastAsia="仿宋_GB2312" w:hAnsi="仿宋"/>
          <w:color w:val="000000"/>
          <w:sz w:val="20"/>
        </w:rPr>
      </w:pPr>
      <w:r>
        <w:rPr>
          <w:rFonts w:ascii="仿宋_GB2312" w:eastAsia="仿宋_GB2312" w:hAnsi="仿宋" w:hint="eastAsia"/>
          <w:color w:val="000000"/>
          <w:sz w:val="20"/>
        </w:rPr>
        <w:t>□授权委托书</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份</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页，共</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w:t>
      </w:r>
    </w:p>
    <w:p w:rsidR="00800760" w:rsidRDefault="00235733">
      <w:pPr>
        <w:spacing w:line="360" w:lineRule="auto"/>
        <w:ind w:firstLineChars="300" w:firstLine="600"/>
        <w:rPr>
          <w:rFonts w:ascii="仿宋_GB2312" w:eastAsia="仿宋_GB2312" w:hAnsi="仿宋"/>
          <w:color w:val="000000"/>
          <w:sz w:val="20"/>
        </w:rPr>
      </w:pPr>
      <w:r>
        <w:rPr>
          <w:rFonts w:ascii="仿宋_GB2312" w:eastAsia="仿宋_GB2312" w:hAnsi="仿宋" w:hint="eastAsia"/>
          <w:color w:val="000000"/>
          <w:sz w:val="20"/>
        </w:rPr>
        <w:t>□法定代表人（负责人）证明</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份</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页，共</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页。</w:t>
      </w:r>
    </w:p>
    <w:p w:rsidR="00800760" w:rsidRDefault="00235733" w:rsidP="00C22A7B">
      <w:pPr>
        <w:spacing w:beforeLines="50" w:afterLines="50" w:line="360" w:lineRule="auto"/>
        <w:ind w:firstLineChars="0" w:firstLine="744"/>
        <w:jc w:val="center"/>
        <w:rPr>
          <w:rFonts w:ascii="方正小标宋简体" w:eastAsia="方正小标宋简体" w:hAnsi="宋体"/>
          <w:color w:val="000000"/>
          <w:spacing w:val="6"/>
          <w:sz w:val="36"/>
          <w:szCs w:val="36"/>
          <w:vertAlign w:val="subscript"/>
        </w:rPr>
      </w:pPr>
      <w:r>
        <w:rPr>
          <w:rFonts w:ascii="宋体" w:hAnsi="宋体"/>
          <w:b/>
          <w:color w:val="000000"/>
          <w:sz w:val="20"/>
        </w:rPr>
        <w:br w:type="page"/>
      </w:r>
      <w:r>
        <w:rPr>
          <w:rFonts w:ascii="方正小标宋简体" w:eastAsia="方正小标宋简体" w:hAnsi="宋体" w:hint="eastAsia"/>
          <w:color w:val="000000"/>
          <w:spacing w:val="6"/>
          <w:sz w:val="36"/>
          <w:szCs w:val="36"/>
        </w:rPr>
        <w:t>重大专利侵权纠纷行政裁决回避申请决定</w:t>
      </w:r>
    </w:p>
    <w:p w:rsidR="00800760" w:rsidRDefault="00800760" w:rsidP="00C22A7B">
      <w:pPr>
        <w:spacing w:beforeLines="50" w:afterLines="50" w:line="360" w:lineRule="auto"/>
        <w:ind w:firstLineChars="0" w:firstLine="422"/>
        <w:jc w:val="center"/>
        <w:rPr>
          <w:rFonts w:ascii="仿宋_GB2312" w:eastAsia="仿宋_GB2312" w:hAnsi="宋体"/>
          <w:color w:val="000000"/>
          <w:spacing w:val="6"/>
          <w:sz w:val="20"/>
        </w:rPr>
      </w:pP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jc w:val="center"/>
        <w:tblCellMar>
          <w:left w:w="10" w:type="dxa"/>
          <w:right w:w="10" w:type="dxa"/>
        </w:tblCellMar>
        <w:tblLook w:val="04A0"/>
      </w:tblPr>
      <w:tblGrid>
        <w:gridCol w:w="2827"/>
        <w:gridCol w:w="2483"/>
        <w:gridCol w:w="971"/>
        <w:gridCol w:w="3586"/>
      </w:tblGrid>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案由</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回避申请人</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rPr>
            </w:pPr>
            <w:r>
              <w:rPr>
                <w:rFonts w:ascii="仿宋_GB2312" w:eastAsia="仿宋_GB2312" w:hAnsi="仿宋" w:hint="eastAsia"/>
                <w:color w:val="000000"/>
                <w:sz w:val="20"/>
              </w:rPr>
              <w:t>法定代表人（负责人）</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jc w:val="center"/>
              <w:rPr>
                <w:rFonts w:ascii="仿宋_GB2312" w:eastAsia="仿宋_GB2312" w:hAnsi="仿宋"/>
                <w:color w:val="000000"/>
                <w:sz w:val="20"/>
              </w:rPr>
            </w:pPr>
          </w:p>
        </w:tc>
      </w:tr>
      <w:tr w:rsidR="00800760">
        <w:trPr>
          <w:trHeight w:val="20"/>
          <w:jc w:val="center"/>
        </w:trPr>
        <w:tc>
          <w:tcPr>
            <w:tcW w:w="1433" w:type="pct"/>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住所</w:t>
            </w:r>
          </w:p>
        </w:tc>
        <w:tc>
          <w:tcPr>
            <w:tcW w:w="3567" w:type="pct"/>
            <w:gridSpan w:val="3"/>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1433" w:type="pct"/>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邮政编码</w:t>
            </w:r>
          </w:p>
        </w:tc>
        <w:tc>
          <w:tcPr>
            <w:tcW w:w="1258" w:type="pct"/>
            <w:tcBorders>
              <w:top w:val="single" w:sz="4" w:space="0" w:color="auto"/>
              <w:left w:val="single" w:sz="4" w:space="0" w:color="auto"/>
              <w:bottom w:val="single" w:sz="4" w:space="0" w:color="auto"/>
            </w:tcBorders>
            <w:shd w:val="clear" w:color="auto" w:fill="FFFFFF"/>
            <w:tcMar>
              <w:left w:w="57" w:type="dxa"/>
              <w:right w:w="57" w:type="dxa"/>
            </w:tcMar>
          </w:tcPr>
          <w:p w:rsidR="00800760" w:rsidRDefault="00800760">
            <w:pPr>
              <w:spacing w:line="360" w:lineRule="auto"/>
              <w:ind w:leftChars="103" w:left="216" w:firstLineChars="0" w:firstLine="0"/>
              <w:jc w:val="center"/>
              <w:rPr>
                <w:rFonts w:ascii="仿宋_GB2312" w:eastAsia="仿宋_GB2312" w:hAnsi="仿宋"/>
                <w:color w:val="000000"/>
                <w:sz w:val="20"/>
                <w:lang w:eastAsia="en-US"/>
              </w:rPr>
            </w:pPr>
          </w:p>
        </w:tc>
        <w:tc>
          <w:tcPr>
            <w:tcW w:w="49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800760" w:rsidRDefault="00235733" w:rsidP="00235733">
            <w:pPr>
              <w:spacing w:line="360" w:lineRule="auto"/>
              <w:ind w:leftChars="8" w:left="17"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电话</w:t>
            </w:r>
          </w:p>
        </w:tc>
        <w:tc>
          <w:tcPr>
            <w:tcW w:w="1817"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spacing w:line="360" w:lineRule="auto"/>
              <w:ind w:leftChars="103" w:left="216" w:firstLineChars="0" w:firstLine="0"/>
              <w:rPr>
                <w:rFonts w:ascii="仿宋_GB2312" w:eastAsia="仿宋_GB2312" w:hAnsi="仿宋"/>
                <w:color w:val="000000"/>
                <w:sz w:val="20"/>
                <w:lang w:eastAsia="en-US"/>
              </w:rPr>
            </w:pPr>
          </w:p>
        </w:tc>
      </w:tr>
    </w:tbl>
    <w:p w:rsidR="00800760" w:rsidRDefault="00235733">
      <w:pPr>
        <w:spacing w:line="360" w:lineRule="auto"/>
        <w:ind w:right="21" w:firstLineChars="0" w:firstLine="0"/>
        <w:rPr>
          <w:rFonts w:ascii="仿宋_GB2312" w:eastAsia="仿宋_GB2312" w:hAnsi="仿宋"/>
          <w:color w:val="000000"/>
          <w:sz w:val="20"/>
          <w:lang w:eastAsia="en-US"/>
        </w:rPr>
      </w:pPr>
      <w:r>
        <w:rPr>
          <w:rFonts w:ascii="仿宋_GB2312" w:eastAsia="仿宋_GB2312" w:hAnsi="仿宋" w:hint="eastAsia"/>
          <w:color w:val="000000"/>
          <w:sz w:val="20"/>
          <w:u w:val="single"/>
          <w:lang w:eastAsia="en-US"/>
        </w:rPr>
        <w:t xml:space="preserve">                           </w:t>
      </w:r>
      <w:r>
        <w:rPr>
          <w:rFonts w:ascii="仿宋_GB2312" w:eastAsia="仿宋_GB2312" w:hAnsi="仿宋" w:hint="eastAsia"/>
          <w:color w:val="000000"/>
          <w:sz w:val="20"/>
          <w:lang w:eastAsia="en-US"/>
        </w:rPr>
        <w:t>：</w:t>
      </w:r>
    </w:p>
    <w:p w:rsidR="00800760" w:rsidRDefault="00235733">
      <w:pPr>
        <w:spacing w:line="360" w:lineRule="auto"/>
        <w:ind w:firstLine="400"/>
        <w:rPr>
          <w:rFonts w:ascii="仿宋_GB2312" w:eastAsia="仿宋_GB2312" w:hAnsi="仿宋"/>
          <w:color w:val="000000"/>
          <w:sz w:val="20"/>
        </w:rPr>
      </w:pPr>
      <w:r>
        <w:rPr>
          <w:rFonts w:ascii="仿宋_GB2312" w:eastAsia="仿宋_GB2312" w:hAnsi="仿宋" w:hint="eastAsia"/>
          <w:color w:val="000000"/>
          <w:sz w:val="20"/>
        </w:rPr>
        <w:t>你（单位）于</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年</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月</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日向本局提出的申请承办人员回避的请求，经调查核实，我局认为：</w:t>
      </w:r>
    </w:p>
    <w:p w:rsidR="00800760" w:rsidRDefault="00235733">
      <w:pPr>
        <w:spacing w:line="360" w:lineRule="auto"/>
        <w:ind w:firstLine="400"/>
        <w:rPr>
          <w:rFonts w:ascii="仿宋_GB2312" w:eastAsia="仿宋_GB2312" w:hAnsi="仿宋"/>
          <w:color w:val="000000"/>
          <w:sz w:val="20"/>
        </w:rPr>
      </w:pPr>
      <w:r>
        <w:rPr>
          <w:rFonts w:ascii="仿宋_GB2312" w:eastAsia="仿宋_GB2312" w:hAnsi="仿宋" w:hint="eastAsia"/>
          <w:color w:val="000000"/>
          <w:sz w:val="20"/>
        </w:rPr>
        <w:t>□申请回避理由成立，批准你（单位）的回避请求申请，并决定由</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担任本案的承办人员。</w:t>
      </w:r>
    </w:p>
    <w:p w:rsidR="00800760" w:rsidRDefault="00235733">
      <w:pPr>
        <w:spacing w:line="360" w:lineRule="auto"/>
        <w:ind w:firstLine="400"/>
        <w:rPr>
          <w:rFonts w:ascii="仿宋_GB2312" w:eastAsia="仿宋_GB2312" w:hAnsi="仿宋"/>
          <w:color w:val="000000"/>
          <w:sz w:val="20"/>
        </w:rPr>
      </w:pPr>
      <w:r>
        <w:rPr>
          <w:rFonts w:ascii="仿宋_GB2312" w:eastAsia="仿宋_GB2312" w:hAnsi="仿宋" w:hint="eastAsia"/>
          <w:color w:val="000000"/>
          <w:sz w:val="20"/>
        </w:rPr>
        <w:t>□申请回避理由不成立，不批准你（单位）的回避请求申请。</w:t>
      </w:r>
    </w:p>
    <w:p w:rsidR="00800760" w:rsidRDefault="00800760">
      <w:pPr>
        <w:spacing w:line="360" w:lineRule="auto"/>
        <w:ind w:firstLineChars="0" w:firstLine="444"/>
        <w:rPr>
          <w:rFonts w:ascii="仿宋_GB2312" w:eastAsia="仿宋_GB2312" w:hAnsi="宋体"/>
          <w:color w:val="000000"/>
          <w:spacing w:val="6"/>
          <w:sz w:val="20"/>
        </w:rPr>
      </w:pP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国家知识产权局（盖章）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spacing w:line="360" w:lineRule="auto"/>
        <w:ind w:left="420" w:firstLineChars="1937" w:firstLine="3874"/>
        <w:rPr>
          <w:rFonts w:ascii="仿宋_GB2312" w:eastAsia="仿宋_GB2312" w:hAnsi="仿宋" w:cs="PMingLiU"/>
          <w:color w:val="000000"/>
          <w:sz w:val="20"/>
        </w:rPr>
      </w:pPr>
    </w:p>
    <w:p w:rsidR="00800760" w:rsidRDefault="00800760">
      <w:pPr>
        <w:spacing w:line="360" w:lineRule="auto"/>
        <w:ind w:left="420" w:firstLineChars="1937" w:firstLine="3874"/>
        <w:rPr>
          <w:rFonts w:ascii="仿宋_GB2312" w:eastAsia="仿宋_GB2312" w:hAnsi="仿宋" w:cs="PMingLiU"/>
          <w:color w:val="000000"/>
          <w:sz w:val="20"/>
        </w:rPr>
      </w:pPr>
    </w:p>
    <w:p w:rsidR="00800760" w:rsidRDefault="00800760">
      <w:pPr>
        <w:spacing w:line="360" w:lineRule="auto"/>
        <w:ind w:left="420" w:firstLineChars="1937" w:firstLine="3874"/>
        <w:rPr>
          <w:rFonts w:ascii="仿宋_GB2312" w:eastAsia="仿宋_GB2312" w:hAnsi="仿宋" w:cs="PMingLiU"/>
          <w:color w:val="000000"/>
          <w:sz w:val="20"/>
        </w:rPr>
      </w:pPr>
    </w:p>
    <w:p w:rsidR="00800760" w:rsidRDefault="00800760">
      <w:pPr>
        <w:spacing w:line="360" w:lineRule="auto"/>
        <w:ind w:left="420" w:firstLineChars="1937" w:firstLine="3874"/>
        <w:rPr>
          <w:rFonts w:ascii="仿宋_GB2312" w:eastAsia="仿宋_GB2312" w:hAnsi="仿宋" w:cs="PMingLiU"/>
          <w:color w:val="000000"/>
          <w:sz w:val="20"/>
        </w:rPr>
      </w:pPr>
    </w:p>
    <w:p w:rsidR="00800760" w:rsidRDefault="00800760">
      <w:pPr>
        <w:spacing w:line="360" w:lineRule="auto"/>
        <w:ind w:left="420" w:firstLineChars="1937" w:firstLine="3874"/>
        <w:rPr>
          <w:rFonts w:ascii="仿宋_GB2312" w:eastAsia="仿宋_GB2312" w:hAnsi="仿宋" w:cs="PMingLiU"/>
          <w:color w:val="000000"/>
          <w:sz w:val="20"/>
        </w:rPr>
      </w:pPr>
    </w:p>
    <w:p w:rsidR="00800760" w:rsidRDefault="00800760">
      <w:pPr>
        <w:spacing w:line="360" w:lineRule="auto"/>
        <w:ind w:left="420" w:firstLineChars="1937" w:firstLine="3874"/>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firstLineChars="0" w:firstLine="0"/>
        <w:rPr>
          <w:rFonts w:ascii="仿宋_GB2312" w:eastAsia="仿宋_GB2312" w:hAnsi="仿宋" w:cs="PMingLiU"/>
          <w:color w:val="000000"/>
          <w:sz w:val="20"/>
        </w:rPr>
      </w:pPr>
    </w:p>
    <w:p w:rsidR="00800760" w:rsidRDefault="00800760">
      <w:pPr>
        <w:spacing w:line="360" w:lineRule="auto"/>
        <w:ind w:left="420" w:firstLineChars="1937" w:firstLine="3874"/>
        <w:rPr>
          <w:rFonts w:ascii="仿宋_GB2312" w:eastAsia="仿宋_GB2312" w:hAnsi="仿宋" w:cs="PMingLiU"/>
          <w:color w:val="000000"/>
          <w:sz w:val="20"/>
        </w:rPr>
      </w:pPr>
    </w:p>
    <w:p w:rsidR="00800760" w:rsidRDefault="00235733">
      <w:pPr>
        <w:spacing w:line="360" w:lineRule="auto"/>
        <w:ind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t>说明：本决定书一式两份，一份送达当事人，一份由国家知识产权局存档。</w:t>
      </w:r>
    </w:p>
    <w:p w:rsidR="00800760" w:rsidRDefault="00235733">
      <w:pPr>
        <w:spacing w:line="240" w:lineRule="auto"/>
        <w:ind w:firstLineChars="0" w:firstLine="0"/>
        <w:rPr>
          <w:rFonts w:ascii="仿宋_GB2312" w:eastAsia="仿宋_GB2312" w:hAnsi="仿宋" w:cs="PMingLiU"/>
          <w:color w:val="000000"/>
          <w:sz w:val="20"/>
          <w:szCs w:val="21"/>
        </w:rPr>
      </w:pPr>
      <w:r>
        <w:rPr>
          <w:rFonts w:ascii="仿宋_GB2312" w:eastAsia="仿宋_GB2312" w:hAnsi="仿宋" w:cs="PMingLiU"/>
          <w:color w:val="000000"/>
          <w:sz w:val="20"/>
          <w:szCs w:val="21"/>
        </w:rPr>
        <w:br w:type="page"/>
      </w:r>
    </w:p>
    <w:p w:rsidR="00800760" w:rsidRDefault="00235733">
      <w:pPr>
        <w:spacing w:line="240" w:lineRule="auto"/>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重大专利侵权纠纷行政裁决口头审理笔录</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37"/>
        <w:gridCol w:w="2508"/>
        <w:gridCol w:w="1845"/>
        <w:gridCol w:w="633"/>
        <w:gridCol w:w="1750"/>
        <w:gridCol w:w="1494"/>
      </w:tblGrid>
      <w:tr w:rsidR="00800760">
        <w:trPr>
          <w:trHeight w:val="20"/>
          <w:jc w:val="center"/>
        </w:trPr>
        <w:tc>
          <w:tcPr>
            <w:tcW w:w="829" w:type="pct"/>
            <w:tcMar>
              <w:left w:w="57" w:type="dxa"/>
              <w:right w:w="57" w:type="dxa"/>
            </w:tcMar>
            <w:vAlign w:val="center"/>
          </w:tcPr>
          <w:p w:rsidR="00800760" w:rsidRDefault="00235733">
            <w:pPr>
              <w:topLinePunct/>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案由</w:t>
            </w:r>
          </w:p>
        </w:tc>
        <w:tc>
          <w:tcPr>
            <w:tcW w:w="4171" w:type="pct"/>
            <w:gridSpan w:val="5"/>
            <w:tcMar>
              <w:left w:w="57" w:type="dxa"/>
              <w:right w:w="57" w:type="dxa"/>
            </w:tcMar>
            <w:vAlign w:val="center"/>
          </w:tcPr>
          <w:p w:rsidR="00800760" w:rsidRDefault="00800760">
            <w:pPr>
              <w:topLinePunct/>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29" w:type="pct"/>
            <w:tcMar>
              <w:left w:w="57" w:type="dxa"/>
              <w:right w:w="57" w:type="dxa"/>
            </w:tcMar>
            <w:vAlign w:val="center"/>
          </w:tcPr>
          <w:p w:rsidR="00800760" w:rsidRDefault="00235733">
            <w:pPr>
              <w:topLinePunct/>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时间</w:t>
            </w:r>
          </w:p>
        </w:tc>
        <w:tc>
          <w:tcPr>
            <w:tcW w:w="1271" w:type="pct"/>
            <w:tcMar>
              <w:left w:w="57" w:type="dxa"/>
              <w:right w:w="57" w:type="dxa"/>
            </w:tcMar>
            <w:vAlign w:val="center"/>
          </w:tcPr>
          <w:p w:rsidR="00800760" w:rsidRDefault="00800760">
            <w:pPr>
              <w:topLinePunct/>
              <w:spacing w:line="360" w:lineRule="auto"/>
              <w:ind w:firstLineChars="0" w:firstLine="0"/>
              <w:jc w:val="center"/>
              <w:rPr>
                <w:rFonts w:ascii="仿宋_GB2312" w:eastAsia="仿宋_GB2312" w:hAnsi="仿宋"/>
                <w:color w:val="000000"/>
                <w:sz w:val="20"/>
                <w:lang w:eastAsia="en-US"/>
              </w:rPr>
            </w:pPr>
          </w:p>
        </w:tc>
        <w:tc>
          <w:tcPr>
            <w:tcW w:w="935" w:type="pct"/>
            <w:tcMar>
              <w:left w:w="57" w:type="dxa"/>
              <w:right w:w="57" w:type="dxa"/>
            </w:tcMar>
            <w:vAlign w:val="center"/>
          </w:tcPr>
          <w:p w:rsidR="00800760" w:rsidRDefault="00235733">
            <w:pPr>
              <w:topLinePunct/>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地点</w:t>
            </w:r>
          </w:p>
        </w:tc>
        <w:tc>
          <w:tcPr>
            <w:tcW w:w="1965" w:type="pct"/>
            <w:gridSpan w:val="3"/>
            <w:tcMar>
              <w:left w:w="57" w:type="dxa"/>
              <w:right w:w="57" w:type="dxa"/>
            </w:tcMar>
            <w:vAlign w:val="center"/>
          </w:tcPr>
          <w:p w:rsidR="00800760" w:rsidRDefault="00800760">
            <w:pPr>
              <w:topLinePunct/>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29" w:type="pct"/>
            <w:tcMar>
              <w:left w:w="57" w:type="dxa"/>
              <w:right w:w="57" w:type="dxa"/>
            </w:tcMar>
            <w:vAlign w:val="center"/>
          </w:tcPr>
          <w:p w:rsidR="00800760" w:rsidRDefault="00235733">
            <w:pPr>
              <w:topLinePunct/>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合议组</w:t>
            </w:r>
          </w:p>
        </w:tc>
        <w:tc>
          <w:tcPr>
            <w:tcW w:w="2527" w:type="pct"/>
            <w:gridSpan w:val="3"/>
            <w:tcMar>
              <w:left w:w="57" w:type="dxa"/>
              <w:right w:w="57" w:type="dxa"/>
            </w:tcMar>
            <w:vAlign w:val="center"/>
          </w:tcPr>
          <w:p w:rsidR="00800760" w:rsidRDefault="00800760">
            <w:pPr>
              <w:topLinePunct/>
              <w:spacing w:line="360" w:lineRule="auto"/>
              <w:ind w:firstLineChars="0" w:firstLine="0"/>
              <w:jc w:val="center"/>
              <w:rPr>
                <w:rFonts w:ascii="仿宋_GB2312" w:eastAsia="仿宋_GB2312" w:hAnsi="仿宋"/>
                <w:color w:val="000000"/>
                <w:sz w:val="20"/>
                <w:lang w:eastAsia="en-US"/>
              </w:rPr>
            </w:pPr>
          </w:p>
        </w:tc>
        <w:tc>
          <w:tcPr>
            <w:tcW w:w="887" w:type="pct"/>
            <w:tcMar>
              <w:left w:w="57" w:type="dxa"/>
              <w:right w:w="57" w:type="dxa"/>
            </w:tcMar>
            <w:vAlign w:val="center"/>
          </w:tcPr>
          <w:p w:rsidR="00800760" w:rsidRDefault="00235733">
            <w:pPr>
              <w:topLinePunct/>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书记员</w:t>
            </w:r>
          </w:p>
        </w:tc>
        <w:tc>
          <w:tcPr>
            <w:tcW w:w="756" w:type="pct"/>
            <w:tcMar>
              <w:left w:w="57" w:type="dxa"/>
              <w:right w:w="57" w:type="dxa"/>
            </w:tcMar>
            <w:vAlign w:val="center"/>
          </w:tcPr>
          <w:p w:rsidR="00800760" w:rsidRDefault="00800760">
            <w:pPr>
              <w:topLinePunct/>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29" w:type="pct"/>
            <w:tcMar>
              <w:left w:w="57" w:type="dxa"/>
              <w:right w:w="57" w:type="dxa"/>
            </w:tcMar>
            <w:vAlign w:val="center"/>
          </w:tcPr>
          <w:p w:rsidR="00800760" w:rsidRDefault="00235733">
            <w:pPr>
              <w:topLinePunct/>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请求人</w:t>
            </w:r>
          </w:p>
        </w:tc>
        <w:tc>
          <w:tcPr>
            <w:tcW w:w="4171" w:type="pct"/>
            <w:gridSpan w:val="5"/>
            <w:tcMar>
              <w:left w:w="57" w:type="dxa"/>
              <w:right w:w="57" w:type="dxa"/>
            </w:tcMar>
            <w:vAlign w:val="center"/>
          </w:tcPr>
          <w:p w:rsidR="00800760" w:rsidRDefault="00800760">
            <w:pPr>
              <w:topLinePunct/>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29" w:type="pct"/>
            <w:tcMar>
              <w:left w:w="57" w:type="dxa"/>
              <w:right w:w="57" w:type="dxa"/>
            </w:tcMar>
            <w:vAlign w:val="center"/>
          </w:tcPr>
          <w:p w:rsidR="00800760" w:rsidRDefault="00235733">
            <w:pPr>
              <w:topLinePunct/>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委托代理人</w:t>
            </w:r>
          </w:p>
        </w:tc>
        <w:tc>
          <w:tcPr>
            <w:tcW w:w="4171" w:type="pct"/>
            <w:gridSpan w:val="5"/>
            <w:tcMar>
              <w:left w:w="57" w:type="dxa"/>
              <w:right w:w="57" w:type="dxa"/>
            </w:tcMar>
            <w:vAlign w:val="center"/>
          </w:tcPr>
          <w:p w:rsidR="00800760" w:rsidRDefault="00800760">
            <w:pPr>
              <w:topLinePunct/>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29" w:type="pct"/>
            <w:tcMar>
              <w:left w:w="57" w:type="dxa"/>
              <w:right w:w="57" w:type="dxa"/>
            </w:tcMar>
            <w:vAlign w:val="center"/>
          </w:tcPr>
          <w:p w:rsidR="00800760" w:rsidRDefault="00235733">
            <w:pPr>
              <w:topLinePunct/>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被请求人</w:t>
            </w:r>
          </w:p>
        </w:tc>
        <w:tc>
          <w:tcPr>
            <w:tcW w:w="4171" w:type="pct"/>
            <w:gridSpan w:val="5"/>
            <w:tcMar>
              <w:left w:w="57" w:type="dxa"/>
              <w:right w:w="57" w:type="dxa"/>
            </w:tcMar>
            <w:vAlign w:val="center"/>
          </w:tcPr>
          <w:p w:rsidR="00800760" w:rsidRDefault="00800760">
            <w:pPr>
              <w:topLinePunct/>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829" w:type="pct"/>
            <w:tcMar>
              <w:left w:w="57" w:type="dxa"/>
              <w:right w:w="57" w:type="dxa"/>
            </w:tcMar>
            <w:vAlign w:val="center"/>
          </w:tcPr>
          <w:p w:rsidR="00800760" w:rsidRDefault="00235733">
            <w:pPr>
              <w:topLinePunct/>
              <w:spacing w:line="360" w:lineRule="auto"/>
              <w:ind w:firstLineChars="0" w:firstLine="0"/>
              <w:jc w:val="center"/>
              <w:rPr>
                <w:rFonts w:ascii="仿宋_GB2312" w:eastAsia="仿宋_GB2312" w:hAnsi="仿宋"/>
                <w:color w:val="000000"/>
                <w:sz w:val="20"/>
                <w:lang w:eastAsia="en-US"/>
              </w:rPr>
            </w:pPr>
            <w:r>
              <w:rPr>
                <w:rFonts w:ascii="仿宋_GB2312" w:eastAsia="仿宋_GB2312" w:hAnsi="仿宋" w:hint="eastAsia"/>
                <w:color w:val="000000"/>
                <w:sz w:val="20"/>
                <w:lang w:eastAsia="en-US"/>
              </w:rPr>
              <w:t>委托代理人</w:t>
            </w:r>
          </w:p>
        </w:tc>
        <w:tc>
          <w:tcPr>
            <w:tcW w:w="4171" w:type="pct"/>
            <w:gridSpan w:val="5"/>
            <w:tcMar>
              <w:left w:w="57" w:type="dxa"/>
              <w:right w:w="57" w:type="dxa"/>
            </w:tcMar>
            <w:vAlign w:val="center"/>
          </w:tcPr>
          <w:p w:rsidR="00800760" w:rsidRDefault="00800760">
            <w:pPr>
              <w:topLinePunct/>
              <w:spacing w:line="360" w:lineRule="auto"/>
              <w:ind w:firstLineChars="0" w:firstLine="0"/>
              <w:jc w:val="center"/>
              <w:rPr>
                <w:rFonts w:ascii="仿宋_GB2312" w:eastAsia="仿宋_GB2312" w:hAnsi="仿宋"/>
                <w:color w:val="000000"/>
                <w:sz w:val="20"/>
                <w:lang w:eastAsia="en-US"/>
              </w:rPr>
            </w:pPr>
          </w:p>
        </w:tc>
      </w:tr>
      <w:tr w:rsidR="00800760">
        <w:trPr>
          <w:trHeight w:val="20"/>
          <w:jc w:val="center"/>
        </w:trPr>
        <w:tc>
          <w:tcPr>
            <w:tcW w:w="5000" w:type="pct"/>
            <w:gridSpan w:val="6"/>
            <w:tcMar>
              <w:left w:w="57" w:type="dxa"/>
              <w:right w:w="57" w:type="dxa"/>
            </w:tcMar>
          </w:tcPr>
          <w:p w:rsidR="00800760" w:rsidRDefault="00235733">
            <w:pPr>
              <w:topLinePunct/>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审理要点记录如下：</w:t>
            </w: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800760">
            <w:pPr>
              <w:topLinePunct/>
              <w:spacing w:line="360" w:lineRule="auto"/>
              <w:ind w:firstLineChars="0" w:firstLine="0"/>
              <w:jc w:val="center"/>
              <w:rPr>
                <w:rFonts w:ascii="仿宋_GB2312" w:eastAsia="仿宋_GB2312" w:hAnsi="仿宋"/>
                <w:color w:val="000000"/>
                <w:sz w:val="20"/>
              </w:rPr>
            </w:pPr>
          </w:p>
          <w:p w:rsidR="00800760" w:rsidRDefault="00235733">
            <w:pPr>
              <w:topLinePunct/>
              <w:spacing w:line="360" w:lineRule="auto"/>
              <w:ind w:firstLineChars="0" w:firstLine="0"/>
              <w:jc w:val="right"/>
              <w:rPr>
                <w:rFonts w:ascii="仿宋_GB2312" w:eastAsia="仿宋_GB2312" w:hAnsi="仿宋"/>
                <w:color w:val="000000"/>
                <w:sz w:val="20"/>
              </w:rPr>
            </w:pPr>
            <w:r>
              <w:rPr>
                <w:rFonts w:ascii="仿宋_GB2312" w:eastAsia="仿宋_GB2312" w:hAnsi="仿宋" w:hint="eastAsia"/>
                <w:color w:val="000000"/>
                <w:sz w:val="20"/>
              </w:rPr>
              <w:t>（可续页）</w:t>
            </w:r>
          </w:p>
        </w:tc>
      </w:tr>
      <w:tr w:rsidR="00800760">
        <w:trPr>
          <w:trHeight w:val="20"/>
          <w:jc w:val="center"/>
        </w:trPr>
        <w:tc>
          <w:tcPr>
            <w:tcW w:w="5000" w:type="pct"/>
            <w:gridSpan w:val="6"/>
            <w:tcMar>
              <w:left w:w="57" w:type="dxa"/>
              <w:right w:w="57" w:type="dxa"/>
            </w:tcMar>
          </w:tcPr>
          <w:p w:rsidR="00800760" w:rsidRDefault="00235733">
            <w:pPr>
              <w:topLinePunct/>
              <w:spacing w:line="360" w:lineRule="auto"/>
              <w:ind w:firstLineChars="0" w:firstLine="0"/>
              <w:rPr>
                <w:rFonts w:ascii="仿宋_GB2312" w:eastAsia="仿宋_GB2312" w:hAnsi="仿宋"/>
                <w:color w:val="000000"/>
                <w:sz w:val="20"/>
                <w:lang w:eastAsia="en-US"/>
              </w:rPr>
            </w:pPr>
            <w:r>
              <w:rPr>
                <w:rFonts w:ascii="仿宋_GB2312" w:eastAsia="仿宋_GB2312" w:hAnsi="仿宋" w:hint="eastAsia"/>
                <w:color w:val="000000"/>
                <w:sz w:val="20"/>
                <w:lang w:eastAsia="en-US"/>
              </w:rPr>
              <w:t>审理要点记录如下：</w:t>
            </w: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p w:rsidR="00800760" w:rsidRDefault="00800760">
            <w:pPr>
              <w:topLinePunct/>
              <w:spacing w:line="360" w:lineRule="auto"/>
              <w:ind w:firstLineChars="0" w:firstLine="0"/>
              <w:rPr>
                <w:rFonts w:ascii="仿宋_GB2312" w:eastAsia="仿宋_GB2312" w:hAnsi="仿宋"/>
                <w:color w:val="000000"/>
                <w:sz w:val="20"/>
                <w:lang w:eastAsia="en-US"/>
              </w:rPr>
            </w:pPr>
          </w:p>
        </w:tc>
      </w:tr>
    </w:tbl>
    <w:p w:rsidR="00800760" w:rsidRDefault="00800760">
      <w:pPr>
        <w:spacing w:line="360" w:lineRule="auto"/>
        <w:ind w:left="440" w:firstLineChars="0" w:firstLine="422"/>
        <w:rPr>
          <w:rFonts w:ascii="仿宋_GB2312" w:eastAsia="仿宋_GB2312" w:hAnsi="宋体" w:cs="Microsoft JhengHei"/>
          <w:b/>
          <w:color w:val="000000"/>
          <w:sz w:val="20"/>
          <w:lang w:eastAsia="en-US"/>
        </w:rPr>
      </w:pPr>
    </w:p>
    <w:p w:rsidR="00800760" w:rsidRDefault="00235733">
      <w:pPr>
        <w:topLinePunct/>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合议组成员（签章）：</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 xml:space="preserve">      </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 xml:space="preserve">  </w:t>
      </w:r>
      <w:r>
        <w:rPr>
          <w:rFonts w:ascii="仿宋_GB2312" w:eastAsia="仿宋_GB2312" w:hAnsi="仿宋" w:hint="eastAsia"/>
          <w:color w:val="000000"/>
          <w:sz w:val="20"/>
          <w:u w:val="single"/>
        </w:rPr>
        <w:t xml:space="preserve">　　　　　　　　 </w:t>
      </w:r>
    </w:p>
    <w:p w:rsidR="00800760" w:rsidRDefault="00235733">
      <w:pPr>
        <w:topLinePunct/>
        <w:spacing w:line="360" w:lineRule="auto"/>
        <w:ind w:firstLineChars="950" w:firstLine="2014"/>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pPr>
        <w:topLinePunct/>
        <w:spacing w:line="360" w:lineRule="auto"/>
        <w:ind w:firstLineChars="0" w:firstLine="0"/>
        <w:rPr>
          <w:rFonts w:ascii="仿宋_GB2312" w:eastAsia="仿宋_GB2312" w:hAnsi="仿宋"/>
          <w:color w:val="000000"/>
          <w:sz w:val="20"/>
        </w:rPr>
      </w:pPr>
    </w:p>
    <w:p w:rsidR="00800760" w:rsidRDefault="00235733">
      <w:pPr>
        <w:topLinePunct/>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请求人（签章）：</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 xml:space="preserve">　　　请求人代理人（签章）：</w:t>
      </w:r>
      <w:r>
        <w:rPr>
          <w:rFonts w:ascii="仿宋_GB2312" w:eastAsia="仿宋_GB2312" w:hAnsi="仿宋" w:hint="eastAsia"/>
          <w:color w:val="000000"/>
          <w:sz w:val="20"/>
          <w:u w:val="single"/>
        </w:rPr>
        <w:t xml:space="preserve">　　　　　　　　　　　</w:t>
      </w:r>
    </w:p>
    <w:p w:rsidR="00800760" w:rsidRDefault="00235733">
      <w:pPr>
        <w:topLinePunct/>
        <w:spacing w:line="360" w:lineRule="auto"/>
        <w:ind w:firstLineChars="0" w:firstLine="444"/>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pPr>
        <w:topLinePunct/>
        <w:spacing w:line="360" w:lineRule="auto"/>
        <w:ind w:firstLineChars="0" w:firstLine="0"/>
        <w:rPr>
          <w:rFonts w:ascii="仿宋_GB2312" w:eastAsia="仿宋_GB2312" w:hAnsi="仿宋"/>
          <w:color w:val="000000"/>
          <w:sz w:val="20"/>
        </w:rPr>
      </w:pPr>
    </w:p>
    <w:p w:rsidR="00800760" w:rsidRDefault="00235733">
      <w:pPr>
        <w:topLinePunct/>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被请求人（签章）：</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 xml:space="preserve">　　被请求人代理人（签章）：</w:t>
      </w:r>
      <w:r>
        <w:rPr>
          <w:rFonts w:ascii="仿宋_GB2312" w:eastAsia="仿宋_GB2312" w:hAnsi="仿宋" w:hint="eastAsia"/>
          <w:color w:val="000000"/>
          <w:sz w:val="20"/>
          <w:u w:val="single"/>
        </w:rPr>
        <w:t xml:space="preserve">　　　　　　　　　　　</w:t>
      </w:r>
    </w:p>
    <w:p w:rsidR="00800760" w:rsidRDefault="00235733">
      <w:pPr>
        <w:spacing w:line="360" w:lineRule="auto"/>
        <w:ind w:firstLineChars="950" w:firstLine="2014"/>
        <w:rPr>
          <w:rFonts w:ascii="仿宋_GB2312"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pPr>
        <w:spacing w:line="360" w:lineRule="auto"/>
        <w:ind w:firstLineChars="950" w:firstLine="1900"/>
        <w:rPr>
          <w:rFonts w:ascii="仿宋_GB2312" w:eastAsia="仿宋_GB2312" w:hAnsi="仿宋"/>
          <w:color w:val="000000"/>
          <w:sz w:val="20"/>
        </w:rPr>
      </w:pPr>
    </w:p>
    <w:p w:rsidR="00800760" w:rsidRDefault="00800760">
      <w:pPr>
        <w:spacing w:line="360" w:lineRule="auto"/>
        <w:ind w:firstLineChars="0" w:firstLine="0"/>
        <w:rPr>
          <w:rFonts w:ascii="仿宋_GB2312" w:eastAsia="仿宋_GB2312" w:hAnsi="仿宋"/>
          <w:color w:val="000000"/>
          <w:sz w:val="20"/>
        </w:rPr>
      </w:pPr>
    </w:p>
    <w:p w:rsidR="00800760" w:rsidRDefault="00235733">
      <w:pPr>
        <w:spacing w:line="360" w:lineRule="auto"/>
        <w:ind w:firstLineChars="1150" w:firstLine="2300"/>
        <w:jc w:val="right"/>
        <w:rPr>
          <w:rFonts w:ascii="仿宋_GB2312" w:eastAsia="仿宋_GB2312" w:hAnsi="仿宋"/>
          <w:color w:val="000000"/>
          <w:sz w:val="20"/>
        </w:rPr>
      </w:pPr>
      <w:r>
        <w:rPr>
          <w:rFonts w:ascii="仿宋_GB2312" w:eastAsia="仿宋_GB2312" w:hAnsi="仿宋" w:cs="PMingLiU" w:hint="eastAsia"/>
          <w:color w:val="000000"/>
          <w:sz w:val="20"/>
        </w:rPr>
        <w:t>国家知识产权局</w:t>
      </w:r>
      <w:r>
        <w:rPr>
          <w:rFonts w:ascii="仿宋_GB2312" w:eastAsia="仿宋_GB2312" w:hAnsi="仿宋" w:hint="eastAsia"/>
          <w:color w:val="000000"/>
          <w:sz w:val="20"/>
        </w:rPr>
        <w:t>（签章）</w:t>
      </w:r>
    </w:p>
    <w:p w:rsidR="00800760" w:rsidRDefault="00235733">
      <w:pPr>
        <w:spacing w:line="360" w:lineRule="auto"/>
        <w:ind w:firstLineChars="1150" w:firstLine="2438"/>
        <w:jc w:val="right"/>
        <w:rPr>
          <w:rFonts w:ascii="仿宋_GB2312" w:eastAsia="仿宋_GB2312" w:hAnsi="仿宋" w:cs="PMingLiU"/>
          <w:color w:val="000000"/>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235733">
      <w:pPr>
        <w:spacing w:line="360" w:lineRule="auto"/>
        <w:ind w:firstLineChars="0" w:firstLine="0"/>
        <w:rPr>
          <w:rFonts w:ascii="仿宋_GB2312" w:eastAsia="仿宋_GB2312" w:hAnsi="仿宋" w:cs="PMingLiU"/>
          <w:color w:val="000000"/>
          <w:sz w:val="20"/>
        </w:rPr>
      </w:pPr>
      <w:r>
        <w:rPr>
          <w:rFonts w:ascii="仿宋_GB2312" w:eastAsia="仿宋_GB2312" w:hAnsi="宋体" w:hint="eastAsia"/>
          <w:b/>
          <w:color w:val="000000"/>
          <w:sz w:val="20"/>
        </w:rPr>
        <w:br w:type="page"/>
      </w:r>
    </w:p>
    <w:p w:rsidR="00800760" w:rsidRDefault="00235733">
      <w:pPr>
        <w:spacing w:line="240" w:lineRule="auto"/>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hint="eastAsia"/>
          <w:color w:val="000000"/>
          <w:spacing w:val="6"/>
          <w:sz w:val="36"/>
          <w:szCs w:val="36"/>
        </w:rPr>
        <w:t>专利侵权纠纷延长办案期限通知书</w:t>
      </w:r>
    </w:p>
    <w:p w:rsidR="00800760" w:rsidRDefault="00235733" w:rsidP="00C22A7B">
      <w:pPr>
        <w:widowControl w:val="0"/>
        <w:spacing w:beforeLines="50" w:afterLines="50"/>
        <w:ind w:firstLineChars="0" w:firstLine="0"/>
        <w:jc w:val="center"/>
        <w:rPr>
          <w:rFonts w:ascii="仿宋_GB2312" w:eastAsia="仿宋_GB2312" w:hAnsi="仿宋"/>
          <w:color w:val="000000"/>
          <w:sz w:val="20"/>
        </w:rPr>
      </w:pPr>
      <w:r>
        <w:rPr>
          <w:rFonts w:ascii="仿宋_GB2312" w:eastAsia="仿宋_GB2312" w:hAnsi="仿宋" w:hint="eastAsia"/>
          <w:color w:val="000000"/>
          <w:szCs w:val="21"/>
          <w:lang w:val="en-US"/>
        </w:rPr>
        <w:t xml:space="preserve">                 </w:t>
      </w:r>
      <w:r>
        <w:rPr>
          <w:rFonts w:ascii="仿宋_GB2312" w:eastAsia="仿宋_GB2312" w:hAnsi="仿宋" w:hint="eastAsia"/>
          <w:color w:val="000000"/>
          <w:szCs w:val="21"/>
        </w:rPr>
        <w:t xml:space="preserve">                              </w:t>
      </w:r>
      <w:r>
        <w:rPr>
          <w:rFonts w:ascii="仿宋_GB2312" w:eastAsia="仿宋_GB2312" w:hAnsi="仿宋" w:hint="eastAsia"/>
          <w:color w:val="000000"/>
          <w:sz w:val="20"/>
        </w:rPr>
        <w:t xml:space="preserve"> </w:t>
      </w:r>
      <w:r>
        <w:rPr>
          <w:rFonts w:ascii="仿宋_GB2312" w:eastAsia="仿宋_GB2312" w:hAnsi="仿宋"/>
          <w:color w:val="000000"/>
          <w:sz w:val="20"/>
        </w:rPr>
        <w:t>案号：</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 xml:space="preserve">   　　       </w:t>
      </w:r>
    </w:p>
    <w:p w:rsidR="00800760" w:rsidRDefault="00800760">
      <w:pPr>
        <w:widowControl w:val="0"/>
        <w:spacing w:line="520" w:lineRule="exact"/>
        <w:ind w:firstLineChars="0" w:firstLine="0"/>
        <w:rPr>
          <w:rFonts w:ascii="仿宋" w:eastAsia="仿宋" w:hAnsi="仿宋" w:cs="仿宋"/>
          <w:sz w:val="20"/>
          <w:u w:val="single"/>
          <w:lang w:val="en-US"/>
        </w:rPr>
      </w:pPr>
    </w:p>
    <w:p w:rsidR="00800760" w:rsidRDefault="00235733">
      <w:pPr>
        <w:widowControl w:val="0"/>
        <w:spacing w:line="520" w:lineRule="exact"/>
        <w:ind w:firstLineChars="0" w:firstLine="0"/>
        <w:rPr>
          <w:rFonts w:ascii="仿宋_GB2312" w:eastAsia="仿宋_GB2312" w:hAnsi="仿宋"/>
          <w:color w:val="000000"/>
          <w:sz w:val="20"/>
        </w:rPr>
      </w:pPr>
      <w:r>
        <w:rPr>
          <w:rFonts w:ascii="仿宋_GB2312" w:eastAsia="仿宋_GB2312" w:hAnsi="仿宋" w:hint="eastAsia"/>
          <w:color w:val="000000"/>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w:t>
      </w:r>
    </w:p>
    <w:p w:rsidR="00800760" w:rsidRDefault="00235733" w:rsidP="00235733">
      <w:pPr>
        <w:widowControl w:val="0"/>
        <w:spacing w:line="520" w:lineRule="exact"/>
        <w:ind w:leftChars="8" w:left="17" w:firstLineChars="197" w:firstLine="394"/>
        <w:rPr>
          <w:rFonts w:ascii="仿宋_GB2312" w:eastAsia="仿宋_GB2312" w:hAnsi="仿宋"/>
          <w:color w:val="000000"/>
          <w:sz w:val="20"/>
        </w:rPr>
      </w:pPr>
      <w:r>
        <w:rPr>
          <w:rFonts w:ascii="仿宋_GB2312" w:eastAsia="仿宋_GB2312" w:hAnsi="仿宋" w:hint="eastAsia"/>
          <w:color w:val="000000"/>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 xml:space="preserve"> 年 </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 xml:space="preserve"> 月 </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 xml:space="preserve"> 日，我局立案处理 </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 xml:space="preserve"> 与 </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 xml:space="preserve"> 专利侵权纠纷。经审查，本局认为本案件特别复杂，根据《专利纠纷行政裁决和调解办法》第三十七条之规定，经批准，延长案件办理期限</w:t>
      </w:r>
      <w:r>
        <w:rPr>
          <w:rFonts w:ascii="仿宋_GB2312" w:eastAsia="仿宋_GB2312" w:hAnsi="仿宋"/>
          <w:color w:val="000000"/>
          <w:sz w:val="20"/>
          <w:u w:val="single"/>
        </w:rPr>
        <w:t xml:space="preserve">    </w:t>
      </w:r>
      <w:r>
        <w:rPr>
          <w:rFonts w:ascii="仿宋_GB2312" w:eastAsia="仿宋_GB2312" w:hAnsi="仿宋" w:hint="eastAsia"/>
          <w:color w:val="000000"/>
          <w:sz w:val="20"/>
        </w:rPr>
        <w:t>个月。</w:t>
      </w:r>
    </w:p>
    <w:p w:rsidR="00800760" w:rsidRDefault="00235733" w:rsidP="00235733">
      <w:pPr>
        <w:widowControl w:val="0"/>
        <w:spacing w:line="520" w:lineRule="exact"/>
        <w:ind w:leftChars="8" w:left="17" w:firstLineChars="197" w:firstLine="394"/>
        <w:rPr>
          <w:rFonts w:ascii="仿宋_GB2312" w:eastAsia="仿宋_GB2312" w:hAnsi="仿宋"/>
          <w:color w:val="000000"/>
          <w:sz w:val="20"/>
        </w:rPr>
      </w:pPr>
      <w:r>
        <w:rPr>
          <w:rFonts w:ascii="仿宋_GB2312" w:eastAsia="仿宋_GB2312" w:hAnsi="仿宋" w:hint="eastAsia"/>
          <w:color w:val="000000"/>
          <w:sz w:val="20"/>
        </w:rPr>
        <w:t>特此通知。</w:t>
      </w:r>
    </w:p>
    <w:p w:rsidR="00800760" w:rsidRDefault="00800760">
      <w:pPr>
        <w:widowControl w:val="0"/>
        <w:spacing w:line="520" w:lineRule="exact"/>
        <w:ind w:right="960" w:firstLineChars="225" w:firstLine="450"/>
        <w:jc w:val="right"/>
        <w:rPr>
          <w:rFonts w:ascii="仿宋_GB2312" w:eastAsia="仿宋_GB2312" w:hAnsi="仿宋"/>
          <w:color w:val="000000"/>
          <w:sz w:val="20"/>
        </w:rPr>
      </w:pP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仿宋"/>
          <w:color w:val="000000"/>
          <w:sz w:val="20"/>
        </w:rPr>
        <w:t xml:space="preserve">      </w:t>
      </w: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pPr>
        <w:wordWrap w:val="0"/>
        <w:spacing w:line="520" w:lineRule="exact"/>
        <w:ind w:right="746" w:firstLineChars="225" w:firstLine="477"/>
        <w:jc w:val="right"/>
        <w:rPr>
          <w:rFonts w:ascii="仿宋_GB2312" w:eastAsia="仿宋_GB2312" w:hAnsi="仿宋"/>
          <w:color w:val="000000"/>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widowControl w:val="0"/>
        <w:spacing w:line="520" w:lineRule="exact"/>
        <w:ind w:firstLineChars="0" w:firstLine="0"/>
        <w:rPr>
          <w:rFonts w:ascii="仿宋_GB2312" w:eastAsia="仿宋_GB2312" w:hAnsi="仿宋"/>
          <w:color w:val="000000"/>
          <w:sz w:val="20"/>
        </w:rPr>
      </w:pPr>
    </w:p>
    <w:p w:rsidR="00800760" w:rsidRDefault="00800760" w:rsidP="00235733">
      <w:pPr>
        <w:widowControl w:val="0"/>
        <w:spacing w:line="360" w:lineRule="exact"/>
        <w:ind w:firstLine="400"/>
        <w:jc w:val="right"/>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jc w:val="right"/>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jc w:val="right"/>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jc w:val="right"/>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jc w:val="right"/>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color w:val="000000"/>
          <w:kern w:val="2"/>
          <w:sz w:val="20"/>
          <w:lang w:val="en-US"/>
        </w:rPr>
      </w:pPr>
    </w:p>
    <w:p w:rsidR="00800760" w:rsidRDefault="00800760" w:rsidP="00235733">
      <w:pPr>
        <w:widowControl w:val="0"/>
        <w:spacing w:line="360" w:lineRule="exact"/>
        <w:ind w:firstLine="400"/>
        <w:rPr>
          <w:rFonts w:ascii="仿宋_GB2312" w:eastAsia="仿宋_GB2312" w:hAnsi="仿宋" w:cs="PMingLiU"/>
          <w:kern w:val="2"/>
          <w:sz w:val="20"/>
          <w:lang w:val="en-US"/>
        </w:rPr>
      </w:pPr>
    </w:p>
    <w:p w:rsidR="00800760" w:rsidRDefault="00235733" w:rsidP="00235733">
      <w:pPr>
        <w:widowControl w:val="0"/>
        <w:ind w:firstLine="400"/>
        <w:jc w:val="both"/>
        <w:rPr>
          <w:rFonts w:ascii="仿宋_GB2312" w:eastAsia="仿宋_GB2312" w:hAnsi="仿宋" w:cs="PMingLiU"/>
          <w:kern w:val="2"/>
          <w:sz w:val="20"/>
          <w:lang w:val="en-US"/>
        </w:rPr>
      </w:pPr>
      <w:r>
        <w:rPr>
          <w:rFonts w:ascii="仿宋_GB2312" w:eastAsia="仿宋_GB2312" w:hAnsi="仿宋" w:cs="PMingLiU" w:hint="eastAsia"/>
          <w:kern w:val="2"/>
          <w:sz w:val="20"/>
          <w:lang w:val="en-US"/>
        </w:rPr>
        <w:t>说明：本通知书一式两份，一份送达当事人，一份由知识产权局存档。</w:t>
      </w:r>
    </w:p>
    <w:p w:rsidR="00800760" w:rsidRDefault="00800760"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800760" w:rsidRDefault="00800760"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DC3A0E" w:rsidRDefault="00DC3A0E" w:rsidP="00C22A7B">
      <w:pPr>
        <w:widowControl w:val="0"/>
        <w:spacing w:beforeLines="50" w:afterLines="50"/>
        <w:ind w:firstLineChars="0" w:firstLine="0"/>
        <w:jc w:val="center"/>
        <w:rPr>
          <w:rFonts w:ascii="方正小标宋_GBK" w:eastAsia="方正小标宋_GBK" w:hAnsi="宋体"/>
          <w:color w:val="000000"/>
          <w:spacing w:val="6"/>
          <w:sz w:val="36"/>
          <w:szCs w:val="36"/>
        </w:rPr>
      </w:pP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highlight w:val="yellow"/>
        </w:rPr>
      </w:pPr>
      <w:r>
        <w:rPr>
          <w:rFonts w:ascii="方正小标宋_GBK" w:eastAsia="方正小标宋_GBK" w:hAnsi="宋体"/>
          <w:color w:val="000000"/>
          <w:spacing w:val="6"/>
          <w:sz w:val="36"/>
          <w:szCs w:val="36"/>
        </w:rPr>
        <w:t>专利侵权纠纷</w:t>
      </w:r>
      <w:r>
        <w:rPr>
          <w:rFonts w:ascii="方正小标宋_GBK" w:eastAsia="方正小标宋_GBK" w:hAnsi="宋体" w:hint="eastAsia"/>
          <w:color w:val="000000"/>
          <w:spacing w:val="6"/>
          <w:sz w:val="36"/>
          <w:szCs w:val="36"/>
        </w:rPr>
        <w:t>行政</w:t>
      </w:r>
      <w:r>
        <w:rPr>
          <w:rFonts w:ascii="方正小标宋_GBK" w:eastAsia="方正小标宋_GBK" w:hAnsi="宋体"/>
          <w:color w:val="000000"/>
          <w:spacing w:val="6"/>
          <w:sz w:val="36"/>
          <w:szCs w:val="36"/>
        </w:rPr>
        <w:t>调解协议书</w:t>
      </w:r>
    </w:p>
    <w:p w:rsidR="00800760" w:rsidRDefault="00235733">
      <w:pPr>
        <w:widowControl w:val="0"/>
        <w:ind w:firstLineChars="0" w:firstLine="0"/>
        <w:jc w:val="right"/>
        <w:rPr>
          <w:rFonts w:ascii="仿宋" w:eastAsia="仿宋_GB2312" w:hAnsi="仿宋"/>
          <w:color w:val="000000"/>
          <w:sz w:val="20"/>
        </w:rPr>
      </w:pPr>
      <w:r>
        <w:rPr>
          <w:rFonts w:ascii="仿宋" w:eastAsia="仿宋_GB2312" w:hAnsi="仿宋"/>
          <w:color w:val="000000"/>
          <w:sz w:val="20"/>
        </w:rPr>
        <w:t>案号：</w:t>
      </w:r>
      <w:r>
        <w:rPr>
          <w:rFonts w:ascii="仿宋" w:eastAsia="仿宋_GB2312" w:hAnsi="仿宋" w:hint="eastAsia"/>
          <w:color w:val="000000"/>
          <w:sz w:val="20"/>
        </w:rPr>
        <w:t>____________________</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请求人：</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法定代表人</w:t>
      </w:r>
      <w:r>
        <w:rPr>
          <w:rFonts w:ascii="仿宋" w:eastAsia="仿宋_GB2312" w:hAnsi="仿宋"/>
          <w:color w:val="000000"/>
          <w:sz w:val="20"/>
          <w:lang w:bidi="en-US"/>
        </w:rPr>
        <w:t>（</w:t>
      </w:r>
      <w:r>
        <w:rPr>
          <w:rFonts w:ascii="仿宋" w:eastAsia="仿宋_GB2312" w:hAnsi="仿宋"/>
          <w:color w:val="000000"/>
          <w:sz w:val="20"/>
        </w:rPr>
        <w:t>负责人</w:t>
      </w:r>
      <w:r>
        <w:rPr>
          <w:rFonts w:ascii="仿宋" w:eastAsia="仿宋_GB2312" w:hAnsi="仿宋"/>
          <w:color w:val="000000"/>
          <w:sz w:val="20"/>
          <w:lang w:bidi="en-US"/>
        </w:rPr>
        <w:t>）：</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住所：</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委托代理人：</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被请求人：</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法定代表人</w:t>
      </w:r>
      <w:r>
        <w:rPr>
          <w:rFonts w:ascii="仿宋" w:eastAsia="仿宋_GB2312" w:hAnsi="仿宋"/>
          <w:color w:val="000000"/>
          <w:sz w:val="20"/>
          <w:lang w:bidi="en-US"/>
        </w:rPr>
        <w:t>（</w:t>
      </w:r>
      <w:r>
        <w:rPr>
          <w:rFonts w:ascii="仿宋" w:eastAsia="仿宋_GB2312" w:hAnsi="仿宋"/>
          <w:color w:val="000000"/>
          <w:sz w:val="20"/>
        </w:rPr>
        <w:t>负责人</w:t>
      </w:r>
      <w:r>
        <w:rPr>
          <w:rFonts w:ascii="仿宋" w:eastAsia="仿宋_GB2312" w:hAnsi="仿宋"/>
          <w:color w:val="000000"/>
          <w:sz w:val="20"/>
          <w:lang w:bidi="en-US"/>
        </w:rPr>
        <w:t>）：</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住所：</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委托代理人：</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案由：</w:t>
      </w:r>
      <w:r>
        <w:rPr>
          <w:rFonts w:ascii="仿宋" w:eastAsia="仿宋_GB2312" w:hAnsi="仿宋" w:hint="eastAsia"/>
          <w:color w:val="000000"/>
          <w:sz w:val="20"/>
        </w:rPr>
        <w:t>“</w:t>
      </w:r>
      <w:r>
        <w:rPr>
          <w:rFonts w:ascii="仿宋" w:eastAsia="仿宋_GB2312" w:hAnsi="仿宋" w:hint="eastAsia"/>
          <w:color w:val="000000"/>
          <w:sz w:val="20"/>
          <w:u w:val="single"/>
        </w:rPr>
        <w:t xml:space="preserve">                     </w:t>
      </w:r>
      <w:r>
        <w:rPr>
          <w:rFonts w:ascii="仿宋" w:eastAsia="仿宋_GB2312" w:hAnsi="仿宋" w:hint="eastAsia"/>
          <w:color w:val="000000"/>
          <w:sz w:val="20"/>
        </w:rPr>
        <w:t>”</w:t>
      </w:r>
      <w:r>
        <w:rPr>
          <w:rFonts w:ascii="仿宋" w:eastAsia="仿宋_GB2312" w:hAnsi="仿宋"/>
          <w:color w:val="000000"/>
          <w:sz w:val="20"/>
        </w:rPr>
        <w:t>（专利号：</w:t>
      </w:r>
      <w:r>
        <w:rPr>
          <w:rFonts w:ascii="仿宋" w:eastAsia="仿宋_GB2312" w:hAnsi="仿宋" w:hint="eastAsia"/>
          <w:color w:val="000000"/>
          <w:sz w:val="20"/>
          <w:u w:val="single"/>
        </w:rPr>
        <w:t xml:space="preserve">                    </w:t>
      </w:r>
      <w:r>
        <w:rPr>
          <w:rFonts w:ascii="仿宋" w:eastAsia="仿宋_GB2312" w:hAnsi="仿宋"/>
          <w:color w:val="000000"/>
          <w:sz w:val="20"/>
        </w:rPr>
        <w:t>）专利侵权纠纷</w:t>
      </w:r>
    </w:p>
    <w:p w:rsidR="00800760" w:rsidRDefault="00235733" w:rsidP="00C22A7B">
      <w:pPr>
        <w:spacing w:beforeLines="50" w:afterLines="50"/>
        <w:ind w:firstLine="400"/>
        <w:rPr>
          <w:rFonts w:ascii="仿宋" w:eastAsia="仿宋_GB2312" w:hAnsi="仿宋"/>
          <w:color w:val="000000"/>
          <w:sz w:val="20"/>
        </w:rPr>
      </w:pPr>
      <w:r>
        <w:rPr>
          <w:rFonts w:ascii="仿宋" w:eastAsia="仿宋_GB2312" w:hAnsi="仿宋"/>
          <w:color w:val="000000"/>
          <w:sz w:val="20"/>
        </w:rPr>
        <w:t>请求人就其</w:t>
      </w:r>
      <w:r>
        <w:rPr>
          <w:rFonts w:ascii="仿宋" w:eastAsia="仿宋_GB2312" w:hAnsi="仿宋"/>
          <w:color w:val="000000"/>
          <w:sz w:val="20"/>
        </w:rPr>
        <w:t>“</w:t>
      </w:r>
      <w:r>
        <w:rPr>
          <w:rFonts w:ascii="仿宋" w:eastAsia="仿宋_GB2312" w:hAnsi="仿宋" w:hint="eastAsia"/>
          <w:color w:val="000000"/>
          <w:sz w:val="20"/>
          <w:u w:val="single"/>
        </w:rPr>
        <w:t xml:space="preserve">                  </w:t>
      </w:r>
      <w:r>
        <w:rPr>
          <w:rFonts w:ascii="仿宋" w:eastAsia="仿宋_GB2312" w:hAnsi="仿宋"/>
          <w:color w:val="000000"/>
          <w:sz w:val="20"/>
        </w:rPr>
        <w:t>”</w:t>
      </w:r>
      <w:r>
        <w:rPr>
          <w:rFonts w:ascii="仿宋" w:eastAsia="仿宋_GB2312" w:hAnsi="仿宋"/>
          <w:color w:val="000000"/>
          <w:sz w:val="20"/>
        </w:rPr>
        <w:t>专利（专利号</w:t>
      </w:r>
      <w:r>
        <w:rPr>
          <w:rFonts w:ascii="仿宋" w:eastAsia="仿宋_GB2312" w:hAnsi="仿宋" w:hint="eastAsia"/>
          <w:color w:val="000000"/>
          <w:sz w:val="20"/>
        </w:rPr>
        <w:t>：</w:t>
      </w:r>
      <w:r>
        <w:rPr>
          <w:rFonts w:ascii="仿宋" w:eastAsia="仿宋_GB2312" w:hAnsi="仿宋" w:hint="eastAsia"/>
          <w:color w:val="000000"/>
          <w:sz w:val="20"/>
          <w:u w:val="single"/>
        </w:rPr>
        <w:t xml:space="preserve">              </w:t>
      </w:r>
      <w:r>
        <w:rPr>
          <w:rFonts w:ascii="仿宋" w:eastAsia="仿宋_GB2312" w:hAnsi="仿宋"/>
          <w:color w:val="000000"/>
          <w:sz w:val="20"/>
        </w:rPr>
        <w:t>）与被请求人的专利侵权纠纷，向本局提出处理请求。本局于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 w:eastAsia="仿宋_GB2312" w:hAnsi="仿宋"/>
          <w:color w:val="000000"/>
          <w:sz w:val="20"/>
        </w:rPr>
        <w:t>受理后，依照《</w:t>
      </w:r>
      <w:r>
        <w:rPr>
          <w:rFonts w:ascii="仿宋" w:eastAsia="仿宋_GB2312" w:hAnsi="仿宋" w:hint="eastAsia"/>
          <w:color w:val="000000"/>
          <w:sz w:val="20"/>
        </w:rPr>
        <w:t>专利纠纷行政裁决和调解办法</w:t>
      </w:r>
      <w:r>
        <w:rPr>
          <w:rFonts w:ascii="仿宋" w:eastAsia="仿宋_GB2312" w:hAnsi="仿宋"/>
          <w:color w:val="000000"/>
          <w:sz w:val="20"/>
        </w:rPr>
        <w:t>》第</w:t>
      </w:r>
      <w:r>
        <w:rPr>
          <w:rFonts w:ascii="仿宋" w:eastAsia="仿宋_GB2312" w:hAnsi="仿宋" w:hint="eastAsia"/>
          <w:color w:val="000000"/>
          <w:sz w:val="20"/>
        </w:rPr>
        <w:t>二十</w:t>
      </w:r>
      <w:r>
        <w:rPr>
          <w:rFonts w:ascii="仿宋" w:eastAsia="仿宋_GB2312" w:hAnsi="仿宋"/>
          <w:color w:val="000000"/>
          <w:sz w:val="20"/>
        </w:rPr>
        <w:t>条组成合议组。在本案审理过程中，</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 w:eastAsia="仿宋_GB2312" w:hAnsi="仿宋"/>
          <w:color w:val="000000"/>
          <w:sz w:val="20"/>
        </w:rPr>
        <w:t>，请求人与被请求人在本局的主持下达成调解协议，内容如下</w:t>
      </w:r>
      <w:r>
        <w:rPr>
          <w:rFonts w:ascii="仿宋" w:eastAsia="仿宋_GB2312" w:hAnsi="仿宋" w:hint="eastAsia"/>
          <w:color w:val="000000"/>
          <w:sz w:val="20"/>
        </w:rPr>
        <w:t>：</w:t>
      </w:r>
    </w:p>
    <w:p w:rsidR="00800760" w:rsidRDefault="00235733" w:rsidP="00C22A7B">
      <w:pPr>
        <w:spacing w:beforeLines="50" w:afterLines="50"/>
        <w:ind w:firstLine="400"/>
        <w:rPr>
          <w:rFonts w:ascii="仿宋" w:eastAsia="仿宋_GB2312" w:hAnsi="仿宋"/>
          <w:color w:val="000000"/>
          <w:sz w:val="20"/>
        </w:rPr>
      </w:pPr>
      <w:r>
        <w:rPr>
          <w:rFonts w:eastAsia="仿宋_GB2312" w:hint="eastAsia"/>
          <w:color w:val="000000"/>
          <w:sz w:val="20"/>
        </w:rPr>
        <w:t>1</w:t>
      </w:r>
      <w:r>
        <w:rPr>
          <w:rFonts w:ascii="仿宋" w:eastAsia="仿宋_GB2312" w:hAnsi="仿宋" w:hint="eastAsia"/>
          <w:color w:val="000000"/>
          <w:sz w:val="20"/>
        </w:rPr>
        <w:t>.</w:t>
      </w:r>
      <w:r>
        <w:rPr>
          <w:rFonts w:ascii="宋体" w:hAnsi="宋体" w:hint="eastAsia"/>
          <w:color w:val="000000"/>
          <w:kern w:val="21"/>
          <w:sz w:val="20"/>
        </w:rPr>
        <w:t>……</w:t>
      </w:r>
    </w:p>
    <w:p w:rsidR="00800760" w:rsidRDefault="00235733" w:rsidP="00C22A7B">
      <w:pPr>
        <w:spacing w:beforeLines="50" w:afterLines="50"/>
        <w:ind w:firstLine="400"/>
        <w:rPr>
          <w:rFonts w:ascii="仿宋" w:eastAsia="仿宋_GB2312" w:hAnsi="仿宋"/>
          <w:color w:val="000000"/>
          <w:sz w:val="20"/>
        </w:rPr>
      </w:pPr>
      <w:r>
        <w:rPr>
          <w:rFonts w:eastAsia="仿宋_GB2312" w:hint="eastAsia"/>
          <w:color w:val="000000"/>
          <w:sz w:val="20"/>
        </w:rPr>
        <w:t>2</w:t>
      </w:r>
      <w:r>
        <w:rPr>
          <w:rFonts w:ascii="仿宋" w:eastAsia="仿宋_GB2312" w:hAnsi="仿宋" w:hint="eastAsia"/>
          <w:color w:val="000000"/>
          <w:sz w:val="20"/>
        </w:rPr>
        <w:t>.</w:t>
      </w:r>
      <w:r>
        <w:rPr>
          <w:rFonts w:ascii="宋体" w:hAnsi="宋体" w:hint="eastAsia"/>
          <w:color w:val="000000"/>
          <w:kern w:val="21"/>
          <w:sz w:val="20"/>
        </w:rPr>
        <w:t>……</w:t>
      </w:r>
    </w:p>
    <w:p w:rsidR="00800760" w:rsidRDefault="00235733" w:rsidP="00C22A7B">
      <w:pPr>
        <w:spacing w:beforeLines="50" w:afterLines="50"/>
        <w:ind w:firstLine="400"/>
        <w:rPr>
          <w:rFonts w:ascii="宋体" w:hAnsi="宋体"/>
          <w:color w:val="000000"/>
          <w:kern w:val="21"/>
          <w:sz w:val="20"/>
        </w:rPr>
      </w:pPr>
      <w:r>
        <w:rPr>
          <w:rFonts w:ascii="宋体" w:hAnsi="宋体" w:hint="eastAsia"/>
          <w:color w:val="000000"/>
          <w:kern w:val="21"/>
          <w:sz w:val="20"/>
        </w:rPr>
        <w:t>……</w:t>
      </w:r>
    </w:p>
    <w:p w:rsidR="00800760" w:rsidRDefault="00800760">
      <w:pPr>
        <w:ind w:firstLine="400"/>
        <w:rPr>
          <w:rFonts w:ascii="宋体" w:hAnsi="宋体"/>
          <w:color w:val="000000"/>
          <w:kern w:val="21"/>
          <w:sz w:val="20"/>
        </w:rPr>
      </w:pPr>
    </w:p>
    <w:p w:rsidR="00800760" w:rsidRDefault="00800760">
      <w:pPr>
        <w:ind w:firstLine="400"/>
        <w:rPr>
          <w:rFonts w:ascii="宋体" w:hAnsi="宋体"/>
          <w:color w:val="000000"/>
          <w:kern w:val="21"/>
          <w:sz w:val="20"/>
        </w:rPr>
      </w:pPr>
    </w:p>
    <w:p w:rsidR="00800760" w:rsidRDefault="00800760">
      <w:pPr>
        <w:ind w:firstLine="400"/>
        <w:rPr>
          <w:rFonts w:ascii="宋体" w:hAnsi="宋体"/>
          <w:color w:val="000000"/>
          <w:kern w:val="21"/>
          <w:sz w:val="20"/>
        </w:rPr>
      </w:pPr>
    </w:p>
    <w:p w:rsidR="00800760" w:rsidRDefault="00800760">
      <w:pPr>
        <w:ind w:firstLine="400"/>
        <w:rPr>
          <w:rFonts w:ascii="宋体" w:hAnsi="宋体"/>
          <w:color w:val="000000"/>
          <w:kern w:val="21"/>
          <w:sz w:val="20"/>
        </w:rPr>
      </w:pPr>
    </w:p>
    <w:p w:rsidR="00800760" w:rsidRDefault="00800760">
      <w:pPr>
        <w:ind w:firstLine="400"/>
        <w:rPr>
          <w:rFonts w:ascii="宋体" w:hAnsi="宋体"/>
          <w:color w:val="000000"/>
          <w:kern w:val="21"/>
          <w:sz w:val="20"/>
        </w:rPr>
      </w:pPr>
    </w:p>
    <w:p w:rsidR="00800760" w:rsidRDefault="00800760">
      <w:pPr>
        <w:ind w:firstLine="400"/>
        <w:rPr>
          <w:rFonts w:ascii="宋体" w:hAnsi="宋体"/>
          <w:color w:val="000000"/>
          <w:kern w:val="21"/>
          <w:sz w:val="20"/>
        </w:rPr>
      </w:pPr>
    </w:p>
    <w:p w:rsidR="00800760" w:rsidRDefault="00800760">
      <w:pPr>
        <w:ind w:firstLine="400"/>
        <w:rPr>
          <w:rFonts w:ascii="宋体" w:hAnsi="宋体"/>
          <w:color w:val="000000"/>
          <w:kern w:val="21"/>
          <w:sz w:val="20"/>
        </w:rPr>
      </w:pPr>
    </w:p>
    <w:p w:rsidR="00800760" w:rsidRDefault="00800760">
      <w:pPr>
        <w:ind w:firstLineChars="0" w:firstLine="0"/>
        <w:rPr>
          <w:rFonts w:ascii="宋体" w:hAnsi="宋体"/>
          <w:color w:val="000000"/>
          <w:kern w:val="21"/>
          <w:sz w:val="20"/>
        </w:rPr>
      </w:pPr>
    </w:p>
    <w:p w:rsidR="00800760" w:rsidRDefault="00235733" w:rsidP="00C22A7B">
      <w:pPr>
        <w:widowControl w:val="0"/>
        <w:spacing w:beforeLines="50" w:afterLines="50" w:line="560" w:lineRule="exact"/>
        <w:ind w:firstLine="400"/>
        <w:rPr>
          <w:rFonts w:ascii="仿宋" w:eastAsia="仿宋_GB2312" w:hAnsi="仿宋" w:cs="PMingLiU"/>
          <w:color w:val="000000"/>
          <w:kern w:val="2"/>
          <w:sz w:val="20"/>
          <w:lang w:val="en-US"/>
        </w:rPr>
      </w:pPr>
      <w:r>
        <w:rPr>
          <w:rFonts w:ascii="仿宋" w:eastAsia="仿宋_GB2312" w:hAnsi="仿宋" w:cs="PMingLiU" w:hint="eastAsia"/>
          <w:color w:val="000000"/>
          <w:kern w:val="2"/>
          <w:sz w:val="20"/>
          <w:lang w:val="en-US"/>
        </w:rPr>
        <w:t>本调解协议书自请求人与被请求人签章之日起生效，共一式</w:t>
      </w: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份，请求人与被请求人各执一份，本局留存一份。</w:t>
      </w:r>
    </w:p>
    <w:p w:rsidR="00800760" w:rsidRDefault="00235733" w:rsidP="00C22A7B">
      <w:pPr>
        <w:widowControl w:val="0"/>
        <w:spacing w:beforeLines="50" w:afterLines="50" w:line="560" w:lineRule="exact"/>
        <w:ind w:firstLine="400"/>
        <w:rPr>
          <w:rFonts w:ascii="仿宋" w:eastAsia="仿宋_GB2312" w:hAnsi="仿宋" w:cs="PMingLiU"/>
          <w:color w:val="000000"/>
          <w:kern w:val="2"/>
          <w:sz w:val="20"/>
          <w:lang w:val="en-US"/>
        </w:rPr>
      </w:pPr>
      <w:r>
        <w:rPr>
          <w:rFonts w:ascii="仿宋" w:eastAsia="仿宋_GB2312" w:hAnsi="仿宋" w:cs="PMingLiU" w:hint="eastAsia"/>
          <w:color w:val="000000"/>
          <w:kern w:val="2"/>
          <w:sz w:val="20"/>
          <w:lang w:val="en-US"/>
        </w:rPr>
        <w:t>□双方当事人自愿申请专利侵权纠纷调解协议司法确认。</w:t>
      </w:r>
    </w:p>
    <w:p w:rsidR="00800760" w:rsidRDefault="00235733" w:rsidP="00C22A7B">
      <w:pPr>
        <w:widowControl w:val="0"/>
        <w:spacing w:beforeLines="50" w:afterLines="50" w:line="560" w:lineRule="exact"/>
        <w:ind w:firstLine="400"/>
        <w:rPr>
          <w:rFonts w:ascii="仿宋" w:eastAsia="仿宋_GB2312" w:hAnsi="仿宋" w:cs="PMingLiU"/>
          <w:color w:val="000000"/>
          <w:kern w:val="2"/>
          <w:sz w:val="20"/>
          <w:lang w:val="en-US"/>
        </w:rPr>
      </w:pPr>
      <w:r>
        <w:rPr>
          <w:rFonts w:ascii="仿宋" w:eastAsia="仿宋_GB2312" w:hAnsi="仿宋" w:cs="PMingLiU" w:hint="eastAsia"/>
          <w:color w:val="000000"/>
          <w:kern w:val="2"/>
          <w:sz w:val="20"/>
          <w:lang w:val="en-US"/>
        </w:rPr>
        <w:t>□双方当事人自愿申请专利侵权纠纷调解协议仲裁确认。</w:t>
      </w:r>
    </w:p>
    <w:p w:rsidR="00800760" w:rsidRDefault="00800760" w:rsidP="00235733">
      <w:pPr>
        <w:widowControl w:val="0"/>
        <w:spacing w:line="560" w:lineRule="exact"/>
        <w:ind w:firstLine="400"/>
        <w:rPr>
          <w:rFonts w:ascii="仿宋" w:eastAsia="仿宋_GB2312" w:hAnsi="仿宋" w:cs="PMingLiU"/>
          <w:color w:val="000000"/>
          <w:kern w:val="2"/>
          <w:sz w:val="20"/>
          <w:lang w:val="en-US"/>
        </w:rPr>
      </w:pPr>
    </w:p>
    <w:p w:rsidR="00800760" w:rsidRDefault="00800760" w:rsidP="00235733">
      <w:pPr>
        <w:widowControl w:val="0"/>
        <w:spacing w:line="560" w:lineRule="exact"/>
        <w:ind w:firstLine="400"/>
        <w:jc w:val="center"/>
        <w:rPr>
          <w:rFonts w:ascii="仿宋" w:eastAsia="仿宋_GB2312" w:hAnsi="仿宋" w:cs="PMingLiU"/>
          <w:color w:val="000000"/>
          <w:kern w:val="2"/>
          <w:sz w:val="20"/>
          <w:lang w:val="en-US"/>
        </w:rPr>
      </w:pPr>
    </w:p>
    <w:p w:rsidR="00800760" w:rsidRDefault="00235733" w:rsidP="00235733">
      <w:pPr>
        <w:widowControl w:val="0"/>
        <w:spacing w:line="560" w:lineRule="exact"/>
        <w:ind w:firstLine="400"/>
        <w:rPr>
          <w:rFonts w:ascii="仿宋" w:eastAsia="仿宋_GB2312" w:hAnsi="仿宋" w:cs="PMingLiU"/>
          <w:color w:val="000000"/>
          <w:kern w:val="2"/>
          <w:sz w:val="20"/>
          <w:lang w:val="en-US"/>
        </w:rPr>
      </w:pPr>
      <w:r>
        <w:rPr>
          <w:rFonts w:ascii="仿宋" w:eastAsia="仿宋_GB2312" w:hAnsi="仿宋" w:cs="PMingLiU" w:hint="eastAsia"/>
          <w:color w:val="000000"/>
          <w:kern w:val="2"/>
          <w:sz w:val="20"/>
          <w:lang w:val="en-US"/>
        </w:rPr>
        <w:t>请求人（签章）：</w:t>
      </w: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请求人（签章）：</w:t>
      </w:r>
      <w:r>
        <w:rPr>
          <w:rFonts w:ascii="仿宋" w:eastAsia="仿宋_GB2312" w:hAnsi="仿宋" w:cs="PMingLiU" w:hint="eastAsia"/>
          <w:color w:val="000000"/>
          <w:kern w:val="2"/>
          <w:sz w:val="20"/>
          <w:lang w:val="en-US"/>
        </w:rPr>
        <w:t xml:space="preserve">          </w:t>
      </w:r>
    </w:p>
    <w:p w:rsidR="00800760" w:rsidRDefault="00235733">
      <w:pPr>
        <w:widowControl w:val="0"/>
        <w:spacing w:line="560" w:lineRule="exact"/>
        <w:ind w:firstLineChars="50" w:firstLine="100"/>
        <w:rPr>
          <w:rFonts w:ascii="仿宋" w:eastAsia="仿宋_GB2312" w:hAnsi="仿宋" w:cs="PMingLiU"/>
          <w:color w:val="000000"/>
          <w:kern w:val="2"/>
          <w:sz w:val="20"/>
          <w:lang w:val="en-US"/>
        </w:rPr>
      </w:pP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年</w:t>
      </w: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月</w:t>
      </w: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日</w:t>
      </w: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年</w:t>
      </w: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月</w:t>
      </w: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日</w:t>
      </w:r>
    </w:p>
    <w:p w:rsidR="00800760" w:rsidRDefault="00800760" w:rsidP="00235733">
      <w:pPr>
        <w:widowControl w:val="0"/>
        <w:spacing w:line="560" w:lineRule="exact"/>
        <w:ind w:firstLine="400"/>
        <w:jc w:val="center"/>
        <w:rPr>
          <w:rFonts w:ascii="仿宋" w:eastAsia="仿宋_GB2312" w:hAnsi="仿宋" w:cs="PMingLiU"/>
          <w:color w:val="000000"/>
          <w:kern w:val="2"/>
          <w:sz w:val="20"/>
          <w:lang w:val="en-US"/>
        </w:rPr>
      </w:pPr>
    </w:p>
    <w:p w:rsidR="00800760" w:rsidRDefault="00800760">
      <w:pPr>
        <w:tabs>
          <w:tab w:val="left" w:leader="underscore" w:pos="4022"/>
        </w:tabs>
        <w:ind w:firstLineChars="0" w:firstLine="0"/>
        <w:jc w:val="both"/>
        <w:rPr>
          <w:rFonts w:ascii="仿宋_GB2312" w:eastAsia="仿宋_GB2312" w:hAnsi="仿宋" w:cs="PMingLiU"/>
          <w:color w:val="000000"/>
          <w:sz w:val="20"/>
        </w:rPr>
      </w:pPr>
    </w:p>
    <w:p w:rsidR="00800760" w:rsidRDefault="00235733">
      <w:pPr>
        <w:tabs>
          <w:tab w:val="left" w:leader="underscore" w:pos="4022"/>
          <w:tab w:val="right" w:pos="9412"/>
        </w:tabs>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合议组长：</w:t>
      </w:r>
      <w:r>
        <w:rPr>
          <w:rFonts w:ascii="仿宋_GB2312" w:eastAsia="仿宋_GB2312" w:hAnsi="仿宋" w:cs="PMingLiU"/>
          <w:color w:val="000000"/>
          <w:sz w:val="20"/>
          <w:u w:val="single"/>
        </w:rPr>
        <w:tab/>
      </w:r>
    </w:p>
    <w:p w:rsidR="00800760" w:rsidRDefault="00235733">
      <w:pPr>
        <w:tabs>
          <w:tab w:val="left" w:leader="underscore" w:pos="4022"/>
          <w:tab w:val="right" w:pos="9412"/>
        </w:tabs>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主审员：</w:t>
      </w:r>
      <w:r>
        <w:rPr>
          <w:rFonts w:ascii="仿宋_GB2312" w:eastAsia="仿宋_GB2312" w:hAnsi="仿宋" w:cs="PMingLiU"/>
          <w:color w:val="000000"/>
          <w:sz w:val="20"/>
          <w:u w:val="single"/>
        </w:rPr>
        <w:tab/>
      </w:r>
    </w:p>
    <w:p w:rsidR="00800760" w:rsidRDefault="00235733">
      <w:pPr>
        <w:tabs>
          <w:tab w:val="left" w:leader="underscore" w:pos="4022"/>
          <w:tab w:val="right" w:pos="9412"/>
        </w:tabs>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参审员：</w:t>
      </w:r>
      <w:r>
        <w:rPr>
          <w:rFonts w:ascii="仿宋_GB2312" w:eastAsia="仿宋_GB2312" w:hAnsi="仿宋" w:cs="PMingLiU"/>
          <w:color w:val="000000"/>
          <w:sz w:val="20"/>
          <w:u w:val="single"/>
        </w:rPr>
        <w:tab/>
      </w:r>
    </w:p>
    <w:p w:rsidR="00800760" w:rsidRDefault="00800760">
      <w:pPr>
        <w:widowControl w:val="0"/>
        <w:ind w:firstLineChars="0" w:firstLine="600"/>
        <w:rPr>
          <w:rFonts w:ascii="仿宋_GB2312" w:eastAsia="仿宋_GB2312" w:hAnsi="宋体"/>
          <w:color w:val="000000"/>
          <w:spacing w:val="6"/>
          <w:sz w:val="20"/>
        </w:rPr>
      </w:pP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pPr>
        <w:widowControl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pPr>
        <w:tabs>
          <w:tab w:val="left" w:leader="underscore" w:pos="4022"/>
        </w:tabs>
        <w:ind w:firstLineChars="0" w:firstLine="0"/>
        <w:jc w:val="both"/>
        <w:rPr>
          <w:rFonts w:ascii="仿宋_GB2312" w:eastAsia="仿宋_GB2312" w:hAnsi="仿宋" w:cs="PMingLiU"/>
          <w:color w:val="000000"/>
          <w:sz w:val="20"/>
        </w:rPr>
      </w:pPr>
    </w:p>
    <w:p w:rsidR="00800760" w:rsidRDefault="00800760" w:rsidP="00235733">
      <w:pPr>
        <w:widowControl w:val="0"/>
        <w:spacing w:line="560" w:lineRule="exact"/>
        <w:ind w:firstLine="400"/>
        <w:jc w:val="right"/>
        <w:rPr>
          <w:rFonts w:ascii="仿宋" w:eastAsia="仿宋_GB2312" w:hAnsi="仿宋" w:cs="PMingLiU"/>
          <w:color w:val="000000"/>
          <w:kern w:val="2"/>
          <w:sz w:val="20"/>
          <w:lang w:val="en-US"/>
        </w:rPr>
      </w:pPr>
    </w:p>
    <w:p w:rsidR="00800760" w:rsidRDefault="00800760" w:rsidP="00235733">
      <w:pPr>
        <w:widowControl w:val="0"/>
        <w:spacing w:line="560" w:lineRule="exact"/>
        <w:ind w:firstLine="400"/>
        <w:jc w:val="right"/>
        <w:rPr>
          <w:rFonts w:ascii="仿宋" w:eastAsia="仿宋_GB2312" w:hAnsi="仿宋" w:cs="PMingLiU"/>
          <w:color w:val="000000"/>
          <w:kern w:val="2"/>
          <w:sz w:val="20"/>
          <w:lang w:val="en-US"/>
        </w:rPr>
      </w:pPr>
    </w:p>
    <w:p w:rsidR="00800760" w:rsidRDefault="00235733" w:rsidP="00235733">
      <w:pPr>
        <w:widowControl w:val="0"/>
        <w:wordWrap w:val="0"/>
        <w:spacing w:line="560" w:lineRule="exact"/>
        <w:ind w:firstLine="400"/>
        <w:jc w:val="right"/>
        <w:rPr>
          <w:rFonts w:ascii="仿宋" w:eastAsia="仿宋_GB2312" w:hAnsi="仿宋" w:cs="PMingLiU"/>
          <w:color w:val="000000"/>
          <w:kern w:val="2"/>
          <w:sz w:val="20"/>
          <w:lang w:val="en-US"/>
        </w:rPr>
      </w:pP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书</w:t>
      </w: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记</w:t>
      </w:r>
      <w:r>
        <w:rPr>
          <w:rFonts w:ascii="仿宋" w:eastAsia="仿宋_GB2312" w:hAnsi="仿宋" w:cs="PMingLiU" w:hint="eastAsia"/>
          <w:color w:val="000000"/>
          <w:kern w:val="2"/>
          <w:sz w:val="20"/>
          <w:lang w:val="en-US"/>
        </w:rPr>
        <w:t xml:space="preserve"> </w:t>
      </w:r>
      <w:r>
        <w:rPr>
          <w:rFonts w:ascii="仿宋" w:eastAsia="仿宋_GB2312" w:hAnsi="仿宋" w:cs="PMingLiU" w:hint="eastAsia"/>
          <w:color w:val="000000"/>
          <w:kern w:val="2"/>
          <w:sz w:val="20"/>
          <w:lang w:val="en-US"/>
        </w:rPr>
        <w:t>员：</w:t>
      </w:r>
      <w:r>
        <w:rPr>
          <w:rFonts w:ascii="仿宋_GB2312" w:eastAsia="仿宋_GB2312" w:hAnsi="仿宋" w:cs="PMingLiU" w:hint="eastAsia"/>
          <w:color w:val="000000"/>
          <w:kern w:val="2"/>
          <w:sz w:val="20"/>
          <w:u w:val="single"/>
          <w:lang w:val="en-US"/>
        </w:rPr>
        <w:t xml:space="preserve">                 </w:t>
      </w:r>
    </w:p>
    <w:p w:rsidR="00800760" w:rsidRDefault="00800760" w:rsidP="00235733">
      <w:pPr>
        <w:widowControl w:val="0"/>
        <w:spacing w:line="560" w:lineRule="exact"/>
        <w:ind w:firstLine="400"/>
        <w:jc w:val="center"/>
        <w:rPr>
          <w:rFonts w:ascii="仿宋" w:eastAsia="仿宋_GB2312" w:hAnsi="仿宋" w:cs="PMingLiU"/>
          <w:color w:val="000000"/>
          <w:kern w:val="2"/>
          <w:sz w:val="20"/>
          <w:lang w:val="en-US"/>
        </w:rPr>
      </w:pPr>
    </w:p>
    <w:p w:rsidR="00800760" w:rsidRDefault="00235733">
      <w:pPr>
        <w:spacing w:line="240" w:lineRule="auto"/>
        <w:ind w:firstLineChars="0" w:firstLine="0"/>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重大专利侵权纠纷调解协议书</w:t>
      </w:r>
    </w:p>
    <w:p w:rsidR="00800760" w:rsidRDefault="00235733">
      <w:pPr>
        <w:spacing w:line="360" w:lineRule="auto"/>
        <w:ind w:firstLineChars="0" w:firstLine="0"/>
        <w:jc w:val="right"/>
        <w:rPr>
          <w:rFonts w:ascii="仿宋" w:eastAsia="仿宋_GB2312" w:hAnsi="仿宋"/>
          <w:color w:val="000000"/>
          <w:sz w:val="20"/>
          <w:szCs w:val="21"/>
        </w:rPr>
      </w:pPr>
      <w:r>
        <w:rPr>
          <w:rFonts w:ascii="仿宋" w:eastAsia="仿宋_GB2312" w:hAnsi="仿宋"/>
          <w:color w:val="000000"/>
          <w:sz w:val="20"/>
          <w:szCs w:val="21"/>
        </w:rPr>
        <w:t>案号：</w:t>
      </w:r>
      <w:r>
        <w:rPr>
          <w:rFonts w:ascii="仿宋" w:eastAsia="仿宋_GB2312" w:hAnsi="仿宋" w:hint="eastAsia"/>
          <w:color w:val="000000"/>
          <w:sz w:val="20"/>
          <w:szCs w:val="21"/>
        </w:rPr>
        <w:t>____________________</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请求人：</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法定代表人</w:t>
      </w:r>
      <w:r>
        <w:rPr>
          <w:rFonts w:ascii="仿宋" w:eastAsia="仿宋_GB2312" w:hAnsi="仿宋"/>
          <w:color w:val="000000"/>
          <w:sz w:val="20"/>
          <w:szCs w:val="21"/>
          <w:lang w:bidi="en-US"/>
        </w:rPr>
        <w:t>（</w:t>
      </w:r>
      <w:r>
        <w:rPr>
          <w:rFonts w:ascii="仿宋" w:eastAsia="仿宋_GB2312" w:hAnsi="仿宋"/>
          <w:color w:val="000000"/>
          <w:sz w:val="20"/>
          <w:szCs w:val="21"/>
        </w:rPr>
        <w:t>负责人</w:t>
      </w:r>
      <w:r>
        <w:rPr>
          <w:rFonts w:ascii="仿宋" w:eastAsia="仿宋_GB2312" w:hAnsi="仿宋"/>
          <w:color w:val="000000"/>
          <w:sz w:val="20"/>
          <w:szCs w:val="21"/>
          <w:lang w:bidi="en-US"/>
        </w:rPr>
        <w:t>）：</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住所：</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委托代理人：</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被请求人：</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法定代表人</w:t>
      </w:r>
      <w:r>
        <w:rPr>
          <w:rFonts w:ascii="仿宋" w:eastAsia="仿宋_GB2312" w:hAnsi="仿宋"/>
          <w:color w:val="000000"/>
          <w:sz w:val="20"/>
          <w:szCs w:val="21"/>
          <w:lang w:bidi="en-US"/>
        </w:rPr>
        <w:t>（</w:t>
      </w:r>
      <w:r>
        <w:rPr>
          <w:rFonts w:ascii="仿宋" w:eastAsia="仿宋_GB2312" w:hAnsi="仿宋"/>
          <w:color w:val="000000"/>
          <w:sz w:val="20"/>
          <w:szCs w:val="21"/>
        </w:rPr>
        <w:t>负责人</w:t>
      </w:r>
      <w:r>
        <w:rPr>
          <w:rFonts w:ascii="仿宋" w:eastAsia="仿宋_GB2312" w:hAnsi="仿宋"/>
          <w:color w:val="000000"/>
          <w:sz w:val="20"/>
          <w:szCs w:val="21"/>
          <w:lang w:bidi="en-US"/>
        </w:rPr>
        <w:t>）：</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住所：</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委托代理人：</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案由：</w:t>
      </w:r>
      <w:r>
        <w:rPr>
          <w:rFonts w:ascii="仿宋" w:eastAsia="仿宋_GB2312" w:hAnsi="仿宋" w:hint="eastAsia"/>
          <w:color w:val="000000"/>
          <w:sz w:val="20"/>
          <w:szCs w:val="21"/>
        </w:rPr>
        <w:t>“</w:t>
      </w: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rPr>
        <w:t>”</w:t>
      </w:r>
      <w:r>
        <w:rPr>
          <w:rFonts w:ascii="仿宋" w:eastAsia="仿宋_GB2312" w:hAnsi="仿宋"/>
          <w:color w:val="000000"/>
          <w:sz w:val="20"/>
          <w:szCs w:val="21"/>
        </w:rPr>
        <w:t>（专利号：</w:t>
      </w:r>
      <w:r>
        <w:rPr>
          <w:rFonts w:ascii="仿宋" w:eastAsia="仿宋_GB2312" w:hAnsi="仿宋" w:hint="eastAsia"/>
          <w:color w:val="000000"/>
          <w:sz w:val="20"/>
          <w:szCs w:val="21"/>
          <w:u w:val="single"/>
        </w:rPr>
        <w:t xml:space="preserve">                    </w:t>
      </w:r>
      <w:r>
        <w:rPr>
          <w:rFonts w:ascii="仿宋" w:eastAsia="仿宋_GB2312" w:hAnsi="仿宋"/>
          <w:color w:val="000000"/>
          <w:sz w:val="20"/>
          <w:szCs w:val="21"/>
        </w:rPr>
        <w:t>）专利侵权纠纷</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请求人就其</w:t>
      </w:r>
      <w:r>
        <w:rPr>
          <w:rFonts w:ascii="仿宋" w:eastAsia="仿宋_GB2312" w:hAnsi="仿宋"/>
          <w:color w:val="000000"/>
          <w:sz w:val="20"/>
          <w:szCs w:val="21"/>
        </w:rPr>
        <w:t>“</w:t>
      </w:r>
      <w:r>
        <w:rPr>
          <w:rFonts w:ascii="仿宋" w:eastAsia="仿宋_GB2312" w:hAnsi="仿宋" w:hint="eastAsia"/>
          <w:color w:val="000000"/>
          <w:sz w:val="20"/>
          <w:szCs w:val="21"/>
          <w:u w:val="single"/>
        </w:rPr>
        <w:t xml:space="preserve">                  </w:t>
      </w:r>
      <w:r>
        <w:rPr>
          <w:rFonts w:ascii="仿宋" w:eastAsia="仿宋_GB2312" w:hAnsi="仿宋"/>
          <w:color w:val="000000"/>
          <w:sz w:val="20"/>
          <w:szCs w:val="21"/>
        </w:rPr>
        <w:t>”</w:t>
      </w:r>
      <w:r>
        <w:rPr>
          <w:rFonts w:ascii="仿宋" w:eastAsia="仿宋_GB2312" w:hAnsi="仿宋"/>
          <w:color w:val="000000"/>
          <w:sz w:val="20"/>
          <w:szCs w:val="21"/>
        </w:rPr>
        <w:t>专利（专利号</w:t>
      </w:r>
      <w:r>
        <w:rPr>
          <w:rFonts w:ascii="仿宋" w:eastAsia="仿宋_GB2312" w:hAnsi="仿宋" w:hint="eastAsia"/>
          <w:color w:val="000000"/>
          <w:sz w:val="20"/>
          <w:szCs w:val="21"/>
        </w:rPr>
        <w:t>：</w:t>
      </w:r>
      <w:r>
        <w:rPr>
          <w:rFonts w:ascii="仿宋" w:eastAsia="仿宋_GB2312" w:hAnsi="仿宋" w:hint="eastAsia"/>
          <w:color w:val="000000"/>
          <w:sz w:val="20"/>
          <w:szCs w:val="21"/>
          <w:u w:val="single"/>
        </w:rPr>
        <w:t xml:space="preserve">              </w:t>
      </w:r>
      <w:r>
        <w:rPr>
          <w:rFonts w:ascii="仿宋" w:eastAsia="仿宋_GB2312" w:hAnsi="仿宋"/>
          <w:color w:val="000000"/>
          <w:sz w:val="20"/>
          <w:szCs w:val="21"/>
        </w:rPr>
        <w:t>）与被请求人的专利侵权纠纷，向本局提出处理请求。本局于</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 w:eastAsia="仿宋_GB2312" w:hAnsi="仿宋"/>
          <w:color w:val="000000"/>
          <w:sz w:val="20"/>
          <w:szCs w:val="21"/>
        </w:rPr>
        <w:t>受理后，依照</w:t>
      </w:r>
      <w:r>
        <w:rPr>
          <w:rFonts w:ascii="仿宋" w:eastAsia="仿宋_GB2312" w:hAnsi="仿宋"/>
          <w:color w:val="000000"/>
          <w:sz w:val="20"/>
        </w:rPr>
        <w:t>《</w:t>
      </w:r>
      <w:r>
        <w:rPr>
          <w:rFonts w:ascii="仿宋" w:eastAsia="仿宋_GB2312" w:hAnsi="仿宋" w:hint="eastAsia"/>
          <w:color w:val="000000"/>
          <w:sz w:val="20"/>
        </w:rPr>
        <w:t>专利纠纷行政裁决和调解办法</w:t>
      </w:r>
      <w:r>
        <w:rPr>
          <w:rFonts w:ascii="仿宋" w:eastAsia="仿宋_GB2312" w:hAnsi="仿宋"/>
          <w:color w:val="000000"/>
          <w:sz w:val="20"/>
        </w:rPr>
        <w:t>》第</w:t>
      </w:r>
      <w:r>
        <w:rPr>
          <w:rFonts w:ascii="仿宋" w:eastAsia="仿宋_GB2312" w:hAnsi="仿宋" w:hint="eastAsia"/>
          <w:color w:val="000000"/>
          <w:sz w:val="20"/>
        </w:rPr>
        <w:t>二十</w:t>
      </w:r>
      <w:r>
        <w:rPr>
          <w:rFonts w:ascii="仿宋" w:eastAsia="仿宋_GB2312" w:hAnsi="仿宋"/>
          <w:color w:val="000000"/>
          <w:sz w:val="20"/>
        </w:rPr>
        <w:t>条</w:t>
      </w:r>
      <w:r>
        <w:rPr>
          <w:rFonts w:ascii="仿宋" w:eastAsia="仿宋_GB2312" w:hAnsi="仿宋"/>
          <w:color w:val="000000"/>
          <w:sz w:val="20"/>
          <w:szCs w:val="21"/>
        </w:rPr>
        <w:t>组成合议组。在本案审理过程中，</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 w:eastAsia="仿宋_GB2312" w:hAnsi="仿宋"/>
          <w:color w:val="000000"/>
          <w:sz w:val="20"/>
          <w:szCs w:val="21"/>
        </w:rPr>
        <w:t>，请求人与被请求人在本局的主持下达成调解协议，内容如下</w:t>
      </w:r>
      <w:r>
        <w:rPr>
          <w:rFonts w:ascii="仿宋" w:eastAsia="仿宋_GB2312" w:hAnsi="仿宋" w:hint="eastAsia"/>
          <w:color w:val="000000"/>
          <w:sz w:val="20"/>
          <w:szCs w:val="21"/>
        </w:rPr>
        <w:t>：</w:t>
      </w:r>
    </w:p>
    <w:p w:rsidR="00800760" w:rsidRDefault="00235733">
      <w:pPr>
        <w:spacing w:line="360" w:lineRule="auto"/>
        <w:ind w:firstLine="400"/>
        <w:rPr>
          <w:rFonts w:ascii="仿宋" w:eastAsia="仿宋_GB2312" w:hAnsi="仿宋"/>
          <w:color w:val="000000"/>
          <w:sz w:val="20"/>
          <w:szCs w:val="21"/>
        </w:rPr>
      </w:pPr>
      <w:r>
        <w:rPr>
          <w:rFonts w:eastAsia="仿宋_GB2312" w:hint="eastAsia"/>
          <w:color w:val="000000"/>
          <w:sz w:val="20"/>
          <w:szCs w:val="21"/>
        </w:rPr>
        <w:t>1</w:t>
      </w:r>
      <w:r>
        <w:rPr>
          <w:rFonts w:ascii="仿宋" w:eastAsia="仿宋_GB2312" w:hAnsi="仿宋" w:hint="eastAsia"/>
          <w:color w:val="000000"/>
          <w:sz w:val="20"/>
          <w:szCs w:val="21"/>
        </w:rPr>
        <w:t>.</w:t>
      </w:r>
      <w:r>
        <w:rPr>
          <w:rFonts w:ascii="宋体" w:hAnsi="宋体" w:hint="eastAsia"/>
          <w:color w:val="000000"/>
          <w:kern w:val="21"/>
          <w:sz w:val="20"/>
          <w:szCs w:val="21"/>
        </w:rPr>
        <w:t>……</w:t>
      </w:r>
    </w:p>
    <w:p w:rsidR="00800760" w:rsidRDefault="00235733">
      <w:pPr>
        <w:spacing w:line="360" w:lineRule="auto"/>
        <w:ind w:firstLine="400"/>
        <w:rPr>
          <w:rFonts w:ascii="仿宋" w:eastAsia="仿宋_GB2312" w:hAnsi="仿宋"/>
          <w:color w:val="000000"/>
          <w:sz w:val="20"/>
          <w:szCs w:val="21"/>
        </w:rPr>
      </w:pPr>
      <w:r>
        <w:rPr>
          <w:rFonts w:eastAsia="仿宋_GB2312" w:hint="eastAsia"/>
          <w:color w:val="000000"/>
          <w:sz w:val="20"/>
          <w:szCs w:val="21"/>
        </w:rPr>
        <w:t>2</w:t>
      </w:r>
      <w:r>
        <w:rPr>
          <w:rFonts w:ascii="仿宋" w:eastAsia="仿宋_GB2312" w:hAnsi="仿宋" w:hint="eastAsia"/>
          <w:color w:val="000000"/>
          <w:sz w:val="20"/>
          <w:szCs w:val="21"/>
        </w:rPr>
        <w:t>.</w:t>
      </w:r>
      <w:r>
        <w:rPr>
          <w:rFonts w:ascii="宋体" w:hAnsi="宋体" w:hint="eastAsia"/>
          <w:color w:val="000000"/>
          <w:kern w:val="21"/>
          <w:sz w:val="20"/>
          <w:szCs w:val="21"/>
        </w:rPr>
        <w:t>……</w:t>
      </w:r>
    </w:p>
    <w:p w:rsidR="00800760" w:rsidRDefault="00235733">
      <w:pPr>
        <w:tabs>
          <w:tab w:val="left" w:leader="underscore" w:pos="6848"/>
        </w:tabs>
        <w:spacing w:line="360" w:lineRule="auto"/>
        <w:ind w:firstLine="400"/>
        <w:rPr>
          <w:rFonts w:ascii="仿宋_GB2312" w:eastAsia="仿宋_GB2312" w:hAnsi="仿宋"/>
          <w:color w:val="000000"/>
          <w:sz w:val="20"/>
          <w:szCs w:val="21"/>
        </w:rPr>
      </w:pPr>
      <w:r>
        <w:rPr>
          <w:rFonts w:ascii="仿宋" w:eastAsia="仿宋_GB2312" w:hAnsi="仿宋"/>
          <w:color w:val="000000"/>
          <w:sz w:val="20"/>
          <w:szCs w:val="21"/>
        </w:rPr>
        <w:t>本调解协议书自请求人与被请求人签章</w:t>
      </w:r>
      <w:r>
        <w:rPr>
          <w:rFonts w:ascii="仿宋_GB2312" w:eastAsia="仿宋_GB2312" w:hAnsi="仿宋" w:hint="eastAsia"/>
          <w:color w:val="000000"/>
          <w:sz w:val="20"/>
          <w:szCs w:val="21"/>
        </w:rPr>
        <w:t>之日起生效，共一式</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份，请求人与被请求人各执一份，本局留存一份。</w:t>
      </w:r>
    </w:p>
    <w:p w:rsidR="00800760" w:rsidRDefault="00235733">
      <w:pPr>
        <w:tabs>
          <w:tab w:val="left" w:leader="underscore" w:pos="6848"/>
        </w:tabs>
        <w:spacing w:line="360" w:lineRule="auto"/>
        <w:ind w:firstLine="400"/>
        <w:rPr>
          <w:rFonts w:ascii="仿宋_GB2312" w:eastAsia="仿宋_GB2312" w:hAnsi="仿宋"/>
          <w:color w:val="000000"/>
          <w:sz w:val="20"/>
          <w:szCs w:val="21"/>
          <w:u w:val="single"/>
        </w:rPr>
      </w:pPr>
      <w:r>
        <w:rPr>
          <w:rFonts w:ascii="仿宋_GB2312" w:eastAsia="仿宋_GB2312" w:hAnsi="仿宋" w:hint="eastAsia"/>
          <w:color w:val="000000"/>
          <w:sz w:val="20"/>
          <w:szCs w:val="21"/>
        </w:rPr>
        <w:t>请求人（签章）：</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 xml:space="preserve">       　　　被请求人（签章）：</w:t>
      </w:r>
      <w:r>
        <w:rPr>
          <w:rFonts w:ascii="仿宋_GB2312" w:eastAsia="仿宋_GB2312" w:hAnsi="仿宋" w:hint="eastAsia"/>
          <w:color w:val="000000"/>
          <w:sz w:val="20"/>
          <w:szCs w:val="21"/>
          <w:u w:val="single"/>
        </w:rPr>
        <w:t xml:space="preserve">                     </w:t>
      </w:r>
    </w:p>
    <w:p w:rsidR="00800760" w:rsidRDefault="00235733">
      <w:pPr>
        <w:spacing w:line="360" w:lineRule="auto"/>
        <w:ind w:left="420" w:firstLineChars="353" w:firstLine="706"/>
        <w:rPr>
          <w:rFonts w:ascii="仿宋_GB2312" w:eastAsia="仿宋_GB2312" w:hAnsi="仿宋" w:cs="PMingLiU"/>
          <w:color w:val="000000"/>
          <w:sz w:val="20"/>
          <w:szCs w:val="21"/>
        </w:rPr>
      </w:pPr>
      <w:r>
        <w:rPr>
          <w:rFonts w:ascii="仿宋_GB2312" w:eastAsia="仿宋_GB2312" w:hAnsi="仿宋" w:cs="PMingLiU" w:hint="eastAsia"/>
          <w:color w:val="000000"/>
          <w:sz w:val="20"/>
          <w:szCs w:val="21"/>
          <w:u w:val="single"/>
        </w:rPr>
        <w:t xml:space="preserve">      </w:t>
      </w:r>
      <w:r>
        <w:rPr>
          <w:rFonts w:ascii="仿宋_GB2312" w:eastAsia="仿宋_GB2312" w:hAnsi="仿宋" w:cs="PMingLiU" w:hint="eastAsia"/>
          <w:color w:val="000000"/>
          <w:sz w:val="20"/>
          <w:szCs w:val="21"/>
        </w:rPr>
        <w:t>年</w:t>
      </w:r>
      <w:r>
        <w:rPr>
          <w:rFonts w:ascii="仿宋_GB2312" w:eastAsia="仿宋_GB2312" w:hAnsi="仿宋" w:cs="PMingLiU" w:hint="eastAsia"/>
          <w:color w:val="000000"/>
          <w:sz w:val="20"/>
          <w:szCs w:val="21"/>
          <w:u w:val="single"/>
        </w:rPr>
        <w:t xml:space="preserve">    </w:t>
      </w:r>
      <w:r>
        <w:rPr>
          <w:rFonts w:ascii="仿宋_GB2312" w:eastAsia="仿宋_GB2312" w:hAnsi="仿宋" w:cs="PMingLiU" w:hint="eastAsia"/>
          <w:color w:val="000000"/>
          <w:sz w:val="20"/>
          <w:szCs w:val="21"/>
        </w:rPr>
        <w:t>月</w:t>
      </w:r>
      <w:r>
        <w:rPr>
          <w:rFonts w:ascii="仿宋_GB2312" w:eastAsia="仿宋_GB2312" w:hAnsi="仿宋" w:cs="PMingLiU" w:hint="eastAsia"/>
          <w:color w:val="000000"/>
          <w:sz w:val="20"/>
          <w:szCs w:val="21"/>
          <w:u w:val="single"/>
        </w:rPr>
        <w:t xml:space="preserve">    </w:t>
      </w:r>
      <w:r>
        <w:rPr>
          <w:rFonts w:ascii="仿宋_GB2312" w:eastAsia="仿宋_GB2312" w:hAnsi="仿宋" w:cs="PMingLiU" w:hint="eastAsia"/>
          <w:color w:val="000000"/>
          <w:sz w:val="20"/>
          <w:szCs w:val="21"/>
        </w:rPr>
        <w:t xml:space="preserve">日                   </w:t>
      </w:r>
      <w:r>
        <w:rPr>
          <w:rFonts w:ascii="仿宋_GB2312" w:eastAsia="仿宋_GB2312" w:hAnsi="仿宋" w:cs="PMingLiU" w:hint="eastAsia"/>
          <w:color w:val="000000"/>
          <w:sz w:val="20"/>
          <w:szCs w:val="21"/>
          <w:u w:val="single"/>
        </w:rPr>
        <w:t xml:space="preserve">       </w:t>
      </w:r>
      <w:r>
        <w:rPr>
          <w:rFonts w:ascii="仿宋_GB2312" w:eastAsia="仿宋_GB2312" w:hAnsi="仿宋" w:cs="PMingLiU" w:hint="eastAsia"/>
          <w:color w:val="000000"/>
          <w:sz w:val="20"/>
          <w:szCs w:val="21"/>
        </w:rPr>
        <w:t>年</w:t>
      </w:r>
      <w:r>
        <w:rPr>
          <w:rFonts w:ascii="仿宋_GB2312" w:eastAsia="仿宋_GB2312" w:hAnsi="仿宋" w:cs="PMingLiU" w:hint="eastAsia"/>
          <w:color w:val="000000"/>
          <w:sz w:val="20"/>
          <w:szCs w:val="21"/>
          <w:u w:val="single"/>
        </w:rPr>
        <w:t xml:space="preserve">    </w:t>
      </w:r>
      <w:r>
        <w:rPr>
          <w:rFonts w:ascii="仿宋_GB2312" w:eastAsia="仿宋_GB2312" w:hAnsi="仿宋" w:cs="PMingLiU" w:hint="eastAsia"/>
          <w:color w:val="000000"/>
          <w:sz w:val="20"/>
          <w:szCs w:val="21"/>
        </w:rPr>
        <w:t>月</w:t>
      </w:r>
      <w:r>
        <w:rPr>
          <w:rFonts w:ascii="仿宋_GB2312" w:eastAsia="仿宋_GB2312" w:hAnsi="仿宋" w:cs="PMingLiU" w:hint="eastAsia"/>
          <w:color w:val="000000"/>
          <w:sz w:val="20"/>
          <w:szCs w:val="21"/>
          <w:u w:val="single"/>
        </w:rPr>
        <w:t xml:space="preserve">    </w:t>
      </w:r>
      <w:r>
        <w:rPr>
          <w:rFonts w:ascii="仿宋_GB2312" w:eastAsia="仿宋_GB2312" w:hAnsi="仿宋" w:cs="PMingLiU" w:hint="eastAsia"/>
          <w:color w:val="000000"/>
          <w:sz w:val="20"/>
          <w:szCs w:val="21"/>
        </w:rPr>
        <w:t>日</w:t>
      </w:r>
    </w:p>
    <w:p w:rsidR="00800760" w:rsidRDefault="00235733">
      <w:pPr>
        <w:tabs>
          <w:tab w:val="left" w:leader="underscore" w:pos="6848"/>
        </w:tabs>
        <w:spacing w:line="360" w:lineRule="auto"/>
        <w:ind w:firstLineChars="2600" w:firstLine="5200"/>
        <w:rPr>
          <w:rFonts w:ascii="仿宋_GB2312" w:eastAsia="仿宋_GB2312" w:hAnsi="仿宋"/>
          <w:color w:val="000000"/>
          <w:sz w:val="20"/>
          <w:szCs w:val="21"/>
          <w:u w:val="single"/>
        </w:rPr>
      </w:pPr>
      <w:r>
        <w:rPr>
          <w:rFonts w:ascii="仿宋_GB2312" w:eastAsia="仿宋_GB2312" w:hAnsi="仿宋" w:hint="eastAsia"/>
          <w:color w:val="000000"/>
          <w:sz w:val="20"/>
          <w:szCs w:val="21"/>
        </w:rPr>
        <w:t>合议组长：</w:t>
      </w:r>
      <w:r>
        <w:rPr>
          <w:rFonts w:ascii="仿宋_GB2312" w:eastAsia="仿宋_GB2312" w:hAnsi="仿宋" w:hint="eastAsia"/>
          <w:color w:val="000000"/>
          <w:sz w:val="20"/>
          <w:szCs w:val="21"/>
          <w:u w:val="single"/>
        </w:rPr>
        <w:t xml:space="preserve">              </w:t>
      </w:r>
    </w:p>
    <w:p w:rsidR="00800760" w:rsidRDefault="00235733">
      <w:pPr>
        <w:tabs>
          <w:tab w:val="left" w:leader="underscore" w:pos="6848"/>
        </w:tabs>
        <w:spacing w:line="360" w:lineRule="auto"/>
        <w:ind w:firstLineChars="2600" w:firstLine="5200"/>
        <w:rPr>
          <w:rFonts w:ascii="仿宋_GB2312" w:eastAsia="仿宋_GB2312" w:hAnsi="仿宋"/>
          <w:color w:val="000000"/>
          <w:sz w:val="20"/>
          <w:szCs w:val="21"/>
          <w:u w:val="single"/>
        </w:rPr>
      </w:pPr>
      <w:r>
        <w:rPr>
          <w:rFonts w:ascii="仿宋_GB2312" w:eastAsia="仿宋_GB2312" w:hAnsi="仿宋" w:hint="eastAsia"/>
          <w:color w:val="000000"/>
          <w:sz w:val="20"/>
          <w:szCs w:val="21"/>
        </w:rPr>
        <w:t>审理员：</w:t>
      </w:r>
      <w:r>
        <w:rPr>
          <w:rFonts w:ascii="仿宋_GB2312" w:eastAsia="仿宋_GB2312" w:hAnsi="仿宋" w:hint="eastAsia"/>
          <w:color w:val="000000"/>
          <w:sz w:val="20"/>
          <w:szCs w:val="21"/>
          <w:u w:val="single"/>
        </w:rPr>
        <w:t xml:space="preserve">               </w:t>
      </w:r>
    </w:p>
    <w:p w:rsidR="00800760" w:rsidRDefault="00235733">
      <w:pPr>
        <w:tabs>
          <w:tab w:val="left" w:leader="underscore" w:pos="6848"/>
        </w:tabs>
        <w:spacing w:line="360" w:lineRule="auto"/>
        <w:ind w:firstLineChars="2600" w:firstLine="5200"/>
        <w:rPr>
          <w:rFonts w:ascii="仿宋_GB2312" w:eastAsia="仿宋_GB2312" w:hAnsi="仿宋"/>
          <w:color w:val="000000"/>
          <w:sz w:val="20"/>
          <w:szCs w:val="21"/>
          <w:u w:val="single"/>
        </w:rPr>
      </w:pPr>
      <w:r>
        <w:rPr>
          <w:rFonts w:ascii="仿宋_GB2312" w:eastAsia="仿宋_GB2312" w:hAnsi="仿宋" w:hint="eastAsia"/>
          <w:color w:val="000000"/>
          <w:sz w:val="20"/>
          <w:szCs w:val="21"/>
        </w:rPr>
        <w:t>审理员：</w:t>
      </w: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国家知识产权局（盖章）　　</w:t>
      </w: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800760">
      <w:pPr>
        <w:tabs>
          <w:tab w:val="left" w:leader="underscore" w:pos="6848"/>
        </w:tabs>
        <w:spacing w:line="360" w:lineRule="auto"/>
        <w:ind w:firstLineChars="2600" w:firstLine="5200"/>
        <w:rPr>
          <w:rFonts w:ascii="仿宋_GB2312" w:eastAsia="仿宋_GB2312" w:hAnsi="仿宋"/>
          <w:color w:val="000000"/>
          <w:sz w:val="20"/>
          <w:szCs w:val="21"/>
        </w:rPr>
      </w:pPr>
    </w:p>
    <w:p w:rsidR="00800760" w:rsidRDefault="00235733">
      <w:pPr>
        <w:tabs>
          <w:tab w:val="left" w:leader="underscore" w:pos="6848"/>
        </w:tabs>
        <w:spacing w:line="360" w:lineRule="auto"/>
        <w:ind w:leftChars="600" w:left="1260" w:firstLineChars="2950" w:firstLine="5900"/>
        <w:rPr>
          <w:rFonts w:ascii="仿宋_GB2312" w:eastAsia="仿宋_GB2312" w:hAnsi="仿宋"/>
          <w:color w:val="000000"/>
          <w:sz w:val="20"/>
          <w:szCs w:val="21"/>
          <w:u w:val="single"/>
        </w:rPr>
      </w:pPr>
      <w:r>
        <w:rPr>
          <w:rFonts w:ascii="仿宋_GB2312" w:eastAsia="仿宋_GB2312" w:hAnsi="仿宋" w:hint="eastAsia"/>
          <w:color w:val="000000"/>
          <w:sz w:val="20"/>
          <w:szCs w:val="21"/>
        </w:rPr>
        <w:t>书 记 员：</w:t>
      </w:r>
      <w:r>
        <w:rPr>
          <w:rFonts w:ascii="仿宋_GB2312" w:eastAsia="仿宋_GB2312" w:hAnsi="仿宋" w:hint="eastAsia"/>
          <w:color w:val="000000"/>
          <w:sz w:val="20"/>
          <w:szCs w:val="21"/>
          <w:u w:val="single"/>
        </w:rPr>
        <w:t xml:space="preserve">               </w:t>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br w:type="page"/>
        <w:t>专利侵权纠纷案件</w:t>
      </w:r>
      <w:r>
        <w:rPr>
          <w:rFonts w:ascii="方正小标宋_GBK" w:eastAsia="方正小标宋_GBK" w:hAnsi="宋体" w:hint="eastAsia"/>
          <w:color w:val="000000"/>
          <w:spacing w:val="6"/>
          <w:sz w:val="36"/>
          <w:szCs w:val="36"/>
        </w:rPr>
        <w:t>行政裁决</w:t>
      </w:r>
      <w:r>
        <w:rPr>
          <w:rFonts w:ascii="方正小标宋_GBK" w:eastAsia="方正小标宋_GBK" w:hAnsi="宋体"/>
          <w:color w:val="000000"/>
          <w:spacing w:val="6"/>
          <w:sz w:val="36"/>
          <w:szCs w:val="36"/>
        </w:rPr>
        <w:t>书</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请求人：</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法定代表人</w:t>
      </w:r>
      <w:r>
        <w:rPr>
          <w:rFonts w:ascii="仿宋_GB2312" w:eastAsia="仿宋_GB2312" w:hAnsi="仿宋" w:cs="PMingLiU" w:hint="eastAsia"/>
          <w:color w:val="000000"/>
          <w:sz w:val="20"/>
          <w:lang w:val="en-US" w:bidi="en-US"/>
        </w:rPr>
        <w:t>（</w:t>
      </w:r>
      <w:r>
        <w:rPr>
          <w:rFonts w:ascii="仿宋_GB2312" w:eastAsia="仿宋_GB2312" w:hAnsi="仿宋" w:cs="PMingLiU" w:hint="eastAsia"/>
          <w:color w:val="000000"/>
          <w:sz w:val="20"/>
        </w:rPr>
        <w:t>负责人</w:t>
      </w:r>
      <w:r>
        <w:rPr>
          <w:rFonts w:ascii="仿宋_GB2312" w:eastAsia="仿宋_GB2312" w:hAnsi="仿宋" w:cs="PMingLiU" w:hint="eastAsia"/>
          <w:color w:val="000000"/>
          <w:sz w:val="20"/>
          <w:lang w:val="en-US" w:bidi="en-US"/>
        </w:rPr>
        <w:t>）：</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住所：</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委托代理人：</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被请求人：</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法定代表人</w:t>
      </w:r>
      <w:r>
        <w:rPr>
          <w:rFonts w:ascii="仿宋_GB2312" w:eastAsia="仿宋_GB2312" w:hAnsi="仿宋" w:cs="PMingLiU" w:hint="eastAsia"/>
          <w:color w:val="000000"/>
          <w:sz w:val="20"/>
          <w:lang w:val="en-US" w:bidi="en-US"/>
        </w:rPr>
        <w:t>（</w:t>
      </w:r>
      <w:r>
        <w:rPr>
          <w:rFonts w:ascii="仿宋_GB2312" w:eastAsia="仿宋_GB2312" w:hAnsi="仿宋" w:cs="PMingLiU" w:hint="eastAsia"/>
          <w:color w:val="000000"/>
          <w:sz w:val="20"/>
        </w:rPr>
        <w:t>负责人</w:t>
      </w:r>
      <w:r>
        <w:rPr>
          <w:rFonts w:ascii="仿宋_GB2312" w:eastAsia="仿宋_GB2312" w:hAnsi="仿宋" w:cs="PMingLiU" w:hint="eastAsia"/>
          <w:color w:val="000000"/>
          <w:sz w:val="20"/>
          <w:lang w:val="en-US" w:bidi="en-US"/>
        </w:rPr>
        <w:t>）：</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住所：</w:t>
      </w:r>
    </w:p>
    <w:p w:rsidR="00800760" w:rsidRDefault="00800760">
      <w:pPr>
        <w:spacing w:line="288" w:lineRule="auto"/>
        <w:ind w:firstLine="400"/>
        <w:rPr>
          <w:rFonts w:ascii="仿宋_GB2312" w:eastAsia="仿宋_GB2312" w:hAnsi="仿宋" w:cs="PMingLiU"/>
          <w:color w:val="000000"/>
          <w:sz w:val="20"/>
        </w:rPr>
      </w:pP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委托代理人：</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一、案由</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请求人</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以</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为被请求人提出专利侵权纠纷行政裁决请求。请求涉及名称为“</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”的发明/实用新型/外观设计专利(专利号：ZLXX，以下简称“涉案专利”)。</w:t>
      </w:r>
    </w:p>
    <w:p w:rsidR="00800760" w:rsidRDefault="00235733">
      <w:pPr>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本局</w:t>
      </w:r>
      <w:r>
        <w:rPr>
          <w:rFonts w:ascii="仿宋_GB2312" w:eastAsia="仿宋_GB2312" w:hAnsi="仿宋" w:hint="eastAsia"/>
          <w:color w:val="000000"/>
          <w:sz w:val="20"/>
        </w:rPr>
        <w:t>依据《中国人民共和国专利法》第六十五条的规定于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仿宋" w:cs="PMingLiU" w:hint="eastAsia"/>
          <w:color w:val="000000"/>
          <w:sz w:val="20"/>
        </w:rPr>
        <w:t>受理该请求，依照</w:t>
      </w:r>
      <w:r>
        <w:rPr>
          <w:rFonts w:ascii="仿宋_GB2312" w:eastAsia="仿宋_GB2312" w:hAnsi="仿宋" w:hint="eastAsia"/>
          <w:color w:val="000000"/>
          <w:sz w:val="20"/>
        </w:rPr>
        <w:t>《专利纠纷行政裁决和调解办法》</w:t>
      </w:r>
      <w:r>
        <w:rPr>
          <w:rFonts w:ascii="仿宋_GB2312" w:eastAsia="仿宋_GB2312" w:hAnsi="仿宋" w:cs="PMingLiU" w:hint="eastAsia"/>
          <w:color w:val="000000"/>
          <w:sz w:val="20"/>
        </w:rPr>
        <w:t>第二十条组成合议组，并于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仿宋" w:cs="PMingLiU" w:hint="eastAsia"/>
          <w:color w:val="000000"/>
          <w:sz w:val="20"/>
        </w:rPr>
        <w:t>进行了口头审理，请求人</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、请求人代理人</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和被请求人</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、被请求人代理人</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到庭参加了口头审理。现本案已审结。</w:t>
      </w:r>
    </w:p>
    <w:p w:rsidR="00800760" w:rsidRDefault="00235733">
      <w:pPr>
        <w:tabs>
          <w:tab w:val="left" w:leader="underscore" w:pos="1947"/>
        </w:tabs>
        <w:spacing w:line="288"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二、双方当事人提交的证据</w:t>
      </w:r>
    </w:p>
    <w:p w:rsidR="00800760" w:rsidRDefault="00235733">
      <w:pPr>
        <w:tabs>
          <w:tab w:val="left" w:leader="underscore" w:pos="1947"/>
        </w:tabs>
        <w:spacing w:line="288" w:lineRule="auto"/>
        <w:ind w:firstLineChars="250" w:firstLine="500"/>
        <w:jc w:val="both"/>
        <w:rPr>
          <w:rFonts w:ascii="仿宋_GB2312" w:eastAsia="仿宋_GB2312" w:hAnsi="仿宋"/>
          <w:color w:val="000000"/>
          <w:sz w:val="20"/>
        </w:rPr>
      </w:pPr>
      <w:r>
        <w:rPr>
          <w:rFonts w:ascii="仿宋_GB2312" w:eastAsia="仿宋_GB2312" w:hAnsi="仿宋" w:hint="eastAsia"/>
          <w:color w:val="000000"/>
          <w:sz w:val="20"/>
        </w:rPr>
        <w:t xml:space="preserve">（一）请求人 </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为证明其主张提交了X份证据。</w:t>
      </w:r>
    </w:p>
    <w:p w:rsidR="00800760" w:rsidRDefault="00235733">
      <w:pPr>
        <w:tabs>
          <w:tab w:val="left" w:leader="underscore" w:pos="1947"/>
        </w:tabs>
        <w:spacing w:line="288" w:lineRule="auto"/>
        <w:ind w:firstLineChars="250" w:firstLine="500"/>
        <w:jc w:val="both"/>
        <w:rPr>
          <w:rFonts w:ascii="仿宋_GB2312" w:eastAsia="仿宋_GB2312" w:hAnsi="仿宋"/>
          <w:color w:val="000000"/>
          <w:sz w:val="20"/>
        </w:rPr>
      </w:pPr>
      <w:r>
        <w:rPr>
          <w:rFonts w:ascii="仿宋_GB2312" w:eastAsia="仿宋_GB2312" w:hAnsi="仿宋" w:hint="eastAsia"/>
          <w:color w:val="000000"/>
          <w:sz w:val="20"/>
        </w:rPr>
        <w:t>（二）被请求人</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为证明其主张提交了X份证据。</w:t>
      </w:r>
    </w:p>
    <w:p w:rsidR="00800760" w:rsidRDefault="00235733">
      <w:pPr>
        <w:widowControl w:val="0"/>
        <w:numPr>
          <w:ilvl w:val="0"/>
          <w:numId w:val="3"/>
        </w:numPr>
        <w:tabs>
          <w:tab w:val="left" w:leader="underscore" w:pos="1947"/>
        </w:tabs>
        <w:spacing w:line="288" w:lineRule="auto"/>
        <w:ind w:firstLine="400"/>
        <w:jc w:val="both"/>
        <w:rPr>
          <w:rFonts w:ascii="仿宋_GB2312" w:eastAsia="仿宋_GB2312" w:hAnsi="仿宋"/>
          <w:color w:val="000000"/>
          <w:sz w:val="20"/>
        </w:rPr>
      </w:pPr>
      <w:r>
        <w:rPr>
          <w:rFonts w:ascii="仿宋_GB2312" w:eastAsia="仿宋_GB2312" w:hAnsi="仿宋" w:hint="eastAsia"/>
          <w:color w:val="000000"/>
          <w:sz w:val="20"/>
        </w:rPr>
        <w:t>行政机关取得的证据。</w:t>
      </w:r>
    </w:p>
    <w:p w:rsidR="00800760" w:rsidRDefault="00235733">
      <w:pPr>
        <w:tabs>
          <w:tab w:val="left" w:leader="underscore" w:pos="1947"/>
        </w:tabs>
        <w:spacing w:line="288" w:lineRule="auto"/>
        <w:ind w:firstLine="400"/>
        <w:jc w:val="both"/>
        <w:rPr>
          <w:rFonts w:ascii="仿宋_GB2312" w:eastAsia="仿宋_GB2312" w:hAnsi="仿宋"/>
          <w:color w:val="000000"/>
          <w:sz w:val="20"/>
        </w:rPr>
      </w:pPr>
      <w:r>
        <w:rPr>
          <w:rFonts w:ascii="仿宋_GB2312" w:eastAsia="仿宋_GB2312" w:hAnsi="仿宋" w:hint="eastAsia"/>
          <w:color w:val="000000"/>
          <w:sz w:val="20"/>
        </w:rPr>
        <w:t>合议组组织双方当事人进行了证据交换和质证。</w:t>
      </w:r>
    </w:p>
    <w:p w:rsidR="00800760" w:rsidRDefault="00235733">
      <w:pPr>
        <w:tabs>
          <w:tab w:val="left" w:leader="underscore" w:pos="1947"/>
        </w:tabs>
        <w:spacing w:line="288" w:lineRule="auto"/>
        <w:ind w:firstLine="400"/>
        <w:jc w:val="both"/>
        <w:rPr>
          <w:rFonts w:ascii="仿宋_GB2312" w:eastAsia="仿宋_GB2312" w:hAnsi="仿宋"/>
          <w:color w:val="000000"/>
          <w:sz w:val="20"/>
        </w:rPr>
      </w:pPr>
      <w:r>
        <w:rPr>
          <w:rFonts w:ascii="仿宋_GB2312" w:eastAsia="仿宋_GB2312" w:hAnsi="仿宋" w:hint="eastAsia"/>
          <w:color w:val="000000"/>
          <w:sz w:val="20"/>
        </w:rPr>
        <w:t>被请求人对请求人提交证据的质证意见如下：例：认可证据3、8、10的真实性，认可证据3、8的关联性；不认可证据1、2、7、10-13的关联性；对证据4、5、6、9不发表质证意见。请求人对行政机关取得的证据的质证意见如下：......</w:t>
      </w:r>
    </w:p>
    <w:p w:rsidR="00800760" w:rsidRDefault="00235733">
      <w:pPr>
        <w:tabs>
          <w:tab w:val="left" w:leader="underscore" w:pos="1947"/>
        </w:tabs>
        <w:spacing w:line="288" w:lineRule="auto"/>
        <w:ind w:firstLine="400"/>
        <w:jc w:val="both"/>
        <w:rPr>
          <w:rFonts w:ascii="仿宋_GB2312" w:eastAsia="仿宋_GB2312" w:hAnsi="仿宋"/>
          <w:color w:val="000000"/>
          <w:sz w:val="20"/>
        </w:rPr>
      </w:pPr>
      <w:r>
        <w:rPr>
          <w:rFonts w:ascii="仿宋_GB2312" w:eastAsia="仿宋_GB2312" w:hAnsi="仿宋" w:hint="eastAsia"/>
          <w:color w:val="000000"/>
          <w:sz w:val="20"/>
        </w:rPr>
        <w:t>被请求人对请求人提交证据的质证意见如下：例：认可证据4、5、6、8、9的真实性；不认可证据1、2、4-10、12、13的关联性；对3、11不发表质证意见。被请求人对行政机关取得的证据的质证意见如下：......</w:t>
      </w:r>
    </w:p>
    <w:p w:rsidR="00800760" w:rsidRDefault="00235733">
      <w:pPr>
        <w:tabs>
          <w:tab w:val="left" w:leader="underscore" w:pos="1947"/>
        </w:tabs>
        <w:spacing w:line="288" w:lineRule="auto"/>
        <w:ind w:left="442" w:firstLineChars="250" w:firstLine="500"/>
        <w:jc w:val="both"/>
        <w:rPr>
          <w:rFonts w:ascii="仿宋_GB2312" w:eastAsia="仿宋_GB2312" w:hAnsi="仿宋"/>
          <w:color w:val="000000"/>
          <w:sz w:val="20"/>
        </w:rPr>
      </w:pPr>
      <w:r>
        <w:rPr>
          <w:rFonts w:ascii="仿宋_GB2312" w:eastAsia="仿宋_GB2312" w:hAnsi="仿宋" w:hint="eastAsia"/>
          <w:color w:val="000000"/>
          <w:sz w:val="20"/>
        </w:rPr>
        <w:t xml:space="preserve">经核实，合议组对请求人 </w:t>
      </w:r>
      <w:r>
        <w:rPr>
          <w:rFonts w:ascii="仿宋_GB2312" w:eastAsia="仿宋_GB2312" w:hAnsi="宋体" w:hint="eastAsia"/>
          <w:color w:val="000000"/>
          <w:spacing w:val="6"/>
          <w:sz w:val="20"/>
          <w:u w:val="single"/>
        </w:rPr>
        <w:t xml:space="preserve">      </w:t>
      </w:r>
      <w:r>
        <w:rPr>
          <w:rFonts w:ascii="仿宋_GB2312" w:eastAsia="仿宋_GB2312" w:hAnsi="仿宋" w:hint="eastAsia"/>
          <w:color w:val="000000"/>
          <w:sz w:val="20"/>
        </w:rPr>
        <w:t>提交的证据认证如下：例：对证据1～7和10的真实性和关联性予以确认；证据8为X，合议组对该部分内容的真实性/关联性不予认可；合议组对被请求人提供其与被请求人之间签订的购买合同的真实性和关联性予以确认。</w:t>
      </w:r>
    </w:p>
    <w:p w:rsidR="00800760" w:rsidRDefault="00235733">
      <w:pPr>
        <w:tabs>
          <w:tab w:val="left" w:leader="underscore" w:pos="1947"/>
        </w:tabs>
        <w:spacing w:line="288" w:lineRule="auto"/>
        <w:ind w:left="442" w:firstLineChars="250" w:firstLine="500"/>
        <w:jc w:val="both"/>
        <w:rPr>
          <w:rFonts w:ascii="仿宋_GB2312" w:eastAsia="仿宋_GB2312" w:hAnsi="仿宋" w:cs="PMingLiU"/>
          <w:color w:val="000000"/>
          <w:sz w:val="20"/>
        </w:rPr>
      </w:pPr>
      <w:r>
        <w:rPr>
          <w:rFonts w:ascii="仿宋_GB2312" w:eastAsia="仿宋_GB2312" w:hAnsi="仿宋" w:cs="PMingLiU" w:hint="eastAsia"/>
          <w:color w:val="000000"/>
          <w:sz w:val="20"/>
        </w:rPr>
        <w:t>三、合议组查明的事实（一）关于涉案专利</w:t>
      </w:r>
    </w:p>
    <w:p w:rsidR="00800760" w:rsidRDefault="00235733">
      <w:pPr>
        <w:tabs>
          <w:tab w:val="left" w:leader="underscore" w:pos="1947"/>
        </w:tabs>
        <w:spacing w:line="288" w:lineRule="auto"/>
        <w:ind w:left="442" w:firstLineChars="250" w:firstLine="500"/>
        <w:jc w:val="both"/>
        <w:rPr>
          <w:rFonts w:ascii="仿宋_GB2312" w:eastAsia="仿宋_GB2312" w:hAnsi="仿宋" w:cs="PMingLiU"/>
          <w:color w:val="000000"/>
          <w:sz w:val="20"/>
        </w:rPr>
      </w:pPr>
      <w:r>
        <w:rPr>
          <w:rFonts w:ascii="仿宋_GB2312" w:eastAsia="仿宋_GB2312" w:hAnsi="仿宋" w:cs="PMingLiU" w:hint="eastAsia"/>
          <w:color w:val="000000"/>
          <w:sz w:val="20"/>
        </w:rPr>
        <w:t>涉案发明/实用新型/外观设计专利名称为“   ”(专利号：ZLX XXX)。专利申请日为  年  月  日，授权公告日为 年 月 日。X年X月X日，本案请求人为涉案专利的专利权人。在请求人提出行政裁决请求时，涉案专利处于有效状态。</w:t>
      </w:r>
    </w:p>
    <w:p w:rsidR="00800760" w:rsidRDefault="00235733">
      <w:pPr>
        <w:tabs>
          <w:tab w:val="left" w:leader="underscore" w:pos="1947"/>
        </w:tabs>
        <w:spacing w:line="288" w:lineRule="auto"/>
        <w:ind w:left="442" w:firstLine="400"/>
        <w:jc w:val="both"/>
        <w:rPr>
          <w:rFonts w:ascii="仿宋_GB2312" w:eastAsia="仿宋_GB2312" w:hAnsi="仿宋" w:cs="PMingLiU"/>
          <w:color w:val="000000"/>
          <w:sz w:val="20"/>
        </w:rPr>
      </w:pPr>
      <w:r>
        <w:rPr>
          <w:rFonts w:ascii="仿宋_GB2312" w:eastAsia="仿宋_GB2312" w:hAnsi="仿宋" w:cs="PMingLiU" w:hint="eastAsia"/>
          <w:color w:val="000000"/>
          <w:sz w:val="20"/>
        </w:rPr>
        <w:t>涉案专利权利要求如下：（根据请求人在请求书中载明据以请求处理被请求人侵犯其专利权的权利要求项记录）</w:t>
      </w:r>
    </w:p>
    <w:p w:rsidR="00800760" w:rsidRDefault="00235733">
      <w:pPr>
        <w:tabs>
          <w:tab w:val="left" w:leader="underscore" w:pos="1947"/>
        </w:tabs>
        <w:spacing w:line="288" w:lineRule="auto"/>
        <w:ind w:firstLineChars="450" w:firstLine="900"/>
        <w:jc w:val="both"/>
        <w:rPr>
          <w:rFonts w:ascii="仿宋_GB2312" w:eastAsia="仿宋_GB2312" w:hAnsi="仿宋" w:cs="PMingLiU"/>
          <w:color w:val="000000"/>
          <w:sz w:val="20"/>
        </w:rPr>
      </w:pPr>
      <w:r>
        <w:rPr>
          <w:rFonts w:ascii="仿宋_GB2312" w:eastAsia="仿宋_GB2312" w:hAnsi="仿宋" w:cs="PMingLiU" w:hint="eastAsia"/>
          <w:color w:val="000000"/>
          <w:sz w:val="20"/>
        </w:rPr>
        <w:t>（二）关于被控侵权产品</w:t>
      </w:r>
    </w:p>
    <w:p w:rsidR="00800760" w:rsidRDefault="00235733">
      <w:pPr>
        <w:tabs>
          <w:tab w:val="left" w:leader="underscore" w:pos="1947"/>
        </w:tabs>
        <w:spacing w:line="288" w:lineRule="auto"/>
        <w:ind w:left="442" w:firstLineChars="250" w:firstLine="500"/>
        <w:jc w:val="both"/>
        <w:rPr>
          <w:rFonts w:ascii="仿宋_GB2312" w:eastAsia="仿宋_GB2312" w:hAnsi="仿宋" w:cs="PMingLiU"/>
          <w:color w:val="000000"/>
          <w:sz w:val="20"/>
        </w:rPr>
      </w:pPr>
      <w:r>
        <w:rPr>
          <w:rFonts w:ascii="仿宋_GB2312" w:eastAsia="仿宋_GB2312" w:hAnsi="仿宋" w:cs="PMingLiU" w:hint="eastAsia"/>
          <w:color w:val="000000"/>
          <w:sz w:val="20"/>
        </w:rPr>
        <w:t>（三）关于被控侵权产品的制造/销售/许诺销售/使用/出口行为。</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四、裁决的理由</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合议组审理认为，请求人为涉案专利的专利权人，涉案专利合法有效，其合法权利应受法律保护。本案的争议焦点在于：</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（一）</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（二）</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进一步围绕辩论焦点和侵权行为进行阐明。</w:t>
      </w:r>
    </w:p>
    <w:p w:rsidR="00800760" w:rsidRDefault="00235733">
      <w:pPr>
        <w:tabs>
          <w:tab w:val="left" w:leader="underscore" w:pos="1947"/>
        </w:tabs>
        <w:spacing w:line="288" w:lineRule="auto"/>
        <w:ind w:firstLineChars="400" w:firstLine="800"/>
        <w:jc w:val="both"/>
        <w:rPr>
          <w:rFonts w:ascii="仿宋_GB2312" w:eastAsia="仿宋_GB2312" w:hAnsi="仿宋" w:cs="PMingLiU"/>
          <w:color w:val="000000"/>
          <w:sz w:val="20"/>
        </w:rPr>
      </w:pPr>
      <w:r>
        <w:rPr>
          <w:rFonts w:ascii="仿宋_GB2312" w:eastAsia="仿宋_GB2312" w:hAnsi="仿宋" w:cs="PMingLiU" w:hint="eastAsia"/>
          <w:color w:val="000000"/>
          <w:sz w:val="20"/>
        </w:rPr>
        <w:t>合议组认为：</w:t>
      </w:r>
    </w:p>
    <w:p w:rsidR="00800760" w:rsidRDefault="00235733">
      <w:pPr>
        <w:spacing w:line="288" w:lineRule="auto"/>
        <w:ind w:left="440" w:right="21" w:firstLine="400"/>
        <w:rPr>
          <w:rFonts w:ascii="仿宋_GB2312" w:eastAsia="仿宋_GB2312" w:hAnsi="仿宋" w:cs="PMingLiU"/>
          <w:color w:val="000000"/>
          <w:sz w:val="20"/>
        </w:rPr>
      </w:pPr>
      <w:r>
        <w:rPr>
          <w:rFonts w:ascii="仿宋_GB2312" w:eastAsia="仿宋_GB2312" w:hAnsi="仿宋" w:cs="PMingLiU" w:hint="eastAsia"/>
          <w:color w:val="000000"/>
          <w:sz w:val="20"/>
        </w:rPr>
        <w:t>五、裁决</w:t>
      </w:r>
    </w:p>
    <w:p w:rsidR="00800760" w:rsidRDefault="00235733">
      <w:pPr>
        <w:spacing w:line="288" w:lineRule="auto"/>
        <w:ind w:left="440" w:right="21" w:firstLine="400"/>
        <w:rPr>
          <w:rFonts w:ascii="仿宋_GB2312" w:eastAsia="仿宋_GB2312" w:hAnsi="仿宋" w:cs="PMingLiU"/>
          <w:color w:val="000000"/>
          <w:sz w:val="20"/>
        </w:rPr>
      </w:pPr>
      <w:r>
        <w:rPr>
          <w:rFonts w:ascii="仿宋_GB2312" w:eastAsia="仿宋_GB2312" w:hAnsi="仿宋" w:cs="PMingLiU" w:hint="eastAsia"/>
          <w:color w:val="000000"/>
          <w:sz w:val="20"/>
        </w:rPr>
        <w:t>综上所述，根据《中华人民共和国专利法》第　　条、《中华人民共和国专利法实施细则》第　　条、</w:t>
      </w:r>
      <w:r>
        <w:rPr>
          <w:rFonts w:ascii="仿宋_GB2312" w:eastAsia="仿宋_GB2312" w:hAnsi="宋体" w:hint="eastAsia"/>
          <w:color w:val="000000"/>
          <w:sz w:val="20"/>
        </w:rPr>
        <w:t>《专利纠纷行政裁决和调解办法》</w:t>
      </w:r>
      <w:r>
        <w:rPr>
          <w:rFonts w:ascii="仿宋_GB2312" w:eastAsia="仿宋_GB2312" w:hAnsi="仿宋" w:cs="PMingLiU" w:hint="eastAsia"/>
          <w:color w:val="000000"/>
          <w:sz w:val="20"/>
        </w:rPr>
        <w:t>第　　条之规定，本局作出行政裁决如下：</w:t>
      </w:r>
    </w:p>
    <w:p w:rsidR="00800760" w:rsidRDefault="00235733">
      <w:pPr>
        <w:spacing w:line="288" w:lineRule="auto"/>
        <w:ind w:left="440" w:firstLineChars="0" w:firstLine="0"/>
        <w:jc w:val="both"/>
        <w:rPr>
          <w:rFonts w:ascii="仿宋_GB2312" w:eastAsia="仿宋_GB2312" w:hAnsi="仿宋" w:cs="PMingLiU"/>
          <w:color w:val="000000"/>
          <w:sz w:val="20"/>
          <w:lang w:val="en-US" w:bidi="en-US"/>
        </w:rPr>
      </w:pPr>
      <w:r>
        <w:rPr>
          <w:rFonts w:ascii="仿宋_GB2312" w:eastAsia="仿宋_GB2312" w:cs="PMingLiU" w:hint="eastAsia"/>
          <w:color w:val="000000"/>
          <w:sz w:val="20"/>
          <w:lang w:val="en-US" w:bidi="en-US"/>
        </w:rPr>
        <w:t>1</w:t>
      </w:r>
      <w:r>
        <w:rPr>
          <w:rFonts w:ascii="仿宋_GB2312" w:eastAsia="仿宋_GB2312" w:hAnsi="仿宋" w:cs="PMingLiU" w:hint="eastAsia"/>
          <w:color w:val="000000"/>
          <w:sz w:val="20"/>
          <w:lang w:val="en-US" w:bidi="en-US"/>
        </w:rPr>
        <w:t>.</w:t>
      </w:r>
      <w:r>
        <w:rPr>
          <w:rFonts w:ascii="仿宋_GB2312" w:eastAsia="仿宋_GB2312" w:hAnsi="宋体" w:cs="PMingLiU" w:hint="eastAsia"/>
          <w:color w:val="000000"/>
          <w:sz w:val="20"/>
        </w:rPr>
        <w:t>……</w:t>
      </w:r>
    </w:p>
    <w:p w:rsidR="00800760" w:rsidRDefault="00235733">
      <w:pPr>
        <w:spacing w:line="288" w:lineRule="auto"/>
        <w:ind w:left="440" w:firstLineChars="0" w:firstLine="0"/>
        <w:jc w:val="both"/>
        <w:rPr>
          <w:rFonts w:ascii="仿宋_GB2312" w:eastAsia="仿宋_GB2312" w:hAnsi="仿宋" w:cs="PMingLiU"/>
          <w:color w:val="000000"/>
          <w:sz w:val="20"/>
          <w:lang w:val="en-US" w:bidi="en-US"/>
        </w:rPr>
      </w:pPr>
      <w:r>
        <w:rPr>
          <w:rFonts w:ascii="仿宋_GB2312" w:eastAsia="仿宋_GB2312" w:cs="PMingLiU" w:hint="eastAsia"/>
          <w:color w:val="000000"/>
          <w:sz w:val="20"/>
          <w:lang w:val="en-US" w:bidi="en-US"/>
        </w:rPr>
        <w:t>2</w:t>
      </w:r>
      <w:r>
        <w:rPr>
          <w:rFonts w:ascii="仿宋_GB2312" w:eastAsia="仿宋_GB2312" w:hAnsi="仿宋" w:cs="PMingLiU" w:hint="eastAsia"/>
          <w:color w:val="000000"/>
          <w:sz w:val="20"/>
          <w:lang w:val="en-US" w:bidi="en-US"/>
        </w:rPr>
        <w:t>.</w:t>
      </w:r>
      <w:r>
        <w:rPr>
          <w:rFonts w:ascii="仿宋_GB2312" w:eastAsia="仿宋_GB2312" w:hAnsi="宋体" w:cs="PMingLiU" w:hint="eastAsia"/>
          <w:color w:val="000000"/>
          <w:sz w:val="20"/>
        </w:rPr>
        <w:t>……</w:t>
      </w:r>
    </w:p>
    <w:p w:rsidR="00800760" w:rsidRDefault="00235733">
      <w:pPr>
        <w:spacing w:line="288" w:lineRule="auto"/>
        <w:ind w:left="440" w:firstLineChars="0" w:firstLine="0"/>
        <w:jc w:val="both"/>
        <w:rPr>
          <w:rFonts w:ascii="仿宋_GB2312" w:eastAsia="仿宋_GB2312" w:hAnsi="宋体" w:cs="PMingLiU"/>
          <w:color w:val="000000"/>
          <w:sz w:val="20"/>
        </w:rPr>
      </w:pPr>
      <w:r>
        <w:rPr>
          <w:rFonts w:ascii="仿宋_GB2312" w:eastAsia="仿宋_GB2312" w:hAnsi="宋体" w:cs="PMingLiU" w:hint="eastAsia"/>
          <w:color w:val="000000"/>
          <w:sz w:val="20"/>
        </w:rPr>
        <w:t>……</w:t>
      </w:r>
    </w:p>
    <w:p w:rsidR="00800760" w:rsidRDefault="00235733">
      <w:pPr>
        <w:spacing w:line="288" w:lineRule="auto"/>
        <w:ind w:firstLine="400"/>
        <w:jc w:val="both"/>
        <w:rPr>
          <w:rFonts w:ascii="仿宋_GB2312" w:eastAsia="仿宋_GB2312" w:hAnsi="仿宋" w:cs="PMingLiU"/>
          <w:color w:val="000000"/>
          <w:sz w:val="20"/>
        </w:rPr>
      </w:pPr>
      <w:r>
        <w:rPr>
          <w:rFonts w:ascii="仿宋_GB2312" w:eastAsia="仿宋_GB2312" w:hAnsi="仿宋" w:cs="PMingLiU" w:hint="eastAsia"/>
          <w:color w:val="000000"/>
          <w:sz w:val="20"/>
        </w:rPr>
        <w:t>当事人如不服本裁决，可自收到裁决书之日起</w:t>
      </w:r>
      <w:r>
        <w:rPr>
          <w:rFonts w:ascii="仿宋_GB2312" w:eastAsia="仿宋_GB2312" w:cs="PMingLiU" w:hint="eastAsia"/>
          <w:color w:val="000000"/>
          <w:sz w:val="20"/>
        </w:rPr>
        <w:t>15</w:t>
      </w:r>
      <w:r>
        <w:rPr>
          <w:rFonts w:ascii="仿宋_GB2312" w:eastAsia="仿宋_GB2312" w:hAnsi="仿宋" w:cs="PMingLiU" w:hint="eastAsia"/>
          <w:color w:val="000000"/>
          <w:sz w:val="20"/>
        </w:rPr>
        <w:t>日内，依照《中华人民共和国专利法》第六十五条向</w:t>
      </w:r>
      <w:r>
        <w:rPr>
          <w:rFonts w:ascii="仿宋_GB2312" w:eastAsia="仿宋_GB2312" w:hAnsi="仿宋" w:cs="PMingLiU" w:hint="eastAsia"/>
          <w:color w:val="000000"/>
          <w:sz w:val="20"/>
          <w:u w:val="single"/>
        </w:rPr>
        <w:t xml:space="preserve">      </w:t>
      </w:r>
      <w:r>
        <w:rPr>
          <w:rFonts w:ascii="仿宋_GB2312" w:eastAsia="仿宋_GB2312" w:hAnsi="仿宋" w:cs="PMingLiU" w:hint="eastAsia"/>
          <w:color w:val="000000"/>
          <w:sz w:val="20"/>
        </w:rPr>
        <w:t>人民法院起诉。期满不起诉又不履行行政裁决的，本局将申请人民法院强制执行。</w:t>
      </w:r>
    </w:p>
    <w:p w:rsidR="00800760" w:rsidRDefault="00800760">
      <w:pPr>
        <w:tabs>
          <w:tab w:val="left" w:leader="underscore" w:pos="4022"/>
        </w:tabs>
        <w:spacing w:line="288" w:lineRule="auto"/>
        <w:ind w:firstLineChars="0" w:firstLine="0"/>
        <w:jc w:val="both"/>
        <w:rPr>
          <w:rFonts w:ascii="仿宋_GB2312" w:eastAsia="仿宋_GB2312" w:hAnsi="仿宋" w:cs="PMingLiU"/>
          <w:color w:val="000000"/>
          <w:sz w:val="20"/>
        </w:rPr>
      </w:pPr>
    </w:p>
    <w:p w:rsidR="00800760" w:rsidRDefault="00800760">
      <w:pPr>
        <w:tabs>
          <w:tab w:val="left" w:leader="underscore" w:pos="4022"/>
        </w:tabs>
        <w:spacing w:line="288" w:lineRule="auto"/>
        <w:ind w:firstLineChars="0" w:firstLine="0"/>
        <w:jc w:val="both"/>
        <w:rPr>
          <w:rFonts w:ascii="仿宋_GB2312" w:eastAsia="仿宋_GB2312" w:hAnsi="仿宋" w:cs="PMingLiU"/>
          <w:color w:val="000000"/>
          <w:sz w:val="20"/>
        </w:rPr>
      </w:pP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合议组长：</w:t>
      </w:r>
      <w:r>
        <w:rPr>
          <w:rFonts w:ascii="仿宋_GB2312" w:eastAsia="仿宋_GB2312" w:hAnsi="仿宋" w:cs="PMingLiU" w:hint="eastAsia"/>
          <w:color w:val="000000"/>
          <w:sz w:val="20"/>
          <w:u w:val="single"/>
        </w:rPr>
        <w:tab/>
      </w: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主审员：</w:t>
      </w:r>
      <w:r>
        <w:rPr>
          <w:rFonts w:ascii="仿宋_GB2312" w:eastAsia="仿宋_GB2312" w:hAnsi="仿宋" w:cs="PMingLiU" w:hint="eastAsia"/>
          <w:color w:val="000000"/>
          <w:sz w:val="20"/>
          <w:u w:val="single"/>
        </w:rPr>
        <w:tab/>
      </w: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参审员：</w:t>
      </w:r>
      <w:r>
        <w:rPr>
          <w:rFonts w:ascii="仿宋_GB2312" w:eastAsia="仿宋_GB2312" w:hAnsi="仿宋" w:cs="PMingLiU" w:hint="eastAsia"/>
          <w:color w:val="000000"/>
          <w:sz w:val="20"/>
          <w:u w:val="single"/>
        </w:rPr>
        <w:tab/>
      </w:r>
    </w:p>
    <w:p w:rsidR="00800760" w:rsidRDefault="00800760">
      <w:pPr>
        <w:widowControl w:val="0"/>
        <w:spacing w:line="288" w:lineRule="auto"/>
        <w:ind w:firstLineChars="0" w:firstLine="600"/>
        <w:rPr>
          <w:rFonts w:ascii="仿宋_GB2312" w:eastAsia="仿宋_GB2312" w:hAnsi="宋体"/>
          <w:color w:val="000000"/>
          <w:spacing w:val="6"/>
          <w:sz w:val="20"/>
        </w:rPr>
      </w:pPr>
    </w:p>
    <w:p w:rsidR="00800760" w:rsidRDefault="00235733">
      <w:pPr>
        <w:widowControl w:val="0"/>
        <w:spacing w:line="288"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pPr>
        <w:widowControl w:val="0"/>
        <w:spacing w:line="288"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pPr>
        <w:tabs>
          <w:tab w:val="left" w:leader="underscore" w:pos="4022"/>
        </w:tabs>
        <w:spacing w:line="288" w:lineRule="auto"/>
        <w:ind w:firstLineChars="0" w:firstLine="0"/>
        <w:jc w:val="both"/>
        <w:rPr>
          <w:rFonts w:ascii="仿宋_GB2312" w:eastAsia="仿宋_GB2312" w:hAnsi="仿宋" w:cs="PMingLiU"/>
          <w:color w:val="000000"/>
          <w:sz w:val="20"/>
        </w:rPr>
      </w:pPr>
    </w:p>
    <w:p w:rsidR="00800760" w:rsidRDefault="00800760">
      <w:pPr>
        <w:tabs>
          <w:tab w:val="left" w:leader="underscore" w:pos="4022"/>
          <w:tab w:val="right" w:pos="9412"/>
        </w:tabs>
        <w:spacing w:line="288" w:lineRule="auto"/>
        <w:ind w:firstLineChars="0" w:firstLine="0"/>
        <w:jc w:val="both"/>
        <w:rPr>
          <w:rFonts w:ascii="仿宋_GB2312" w:eastAsia="仿宋_GB2312" w:hAnsi="仿宋" w:cs="PMingLiU"/>
          <w:color w:val="000000"/>
          <w:sz w:val="20"/>
        </w:rPr>
      </w:pP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技术调查官：</w:t>
      </w:r>
      <w:r>
        <w:rPr>
          <w:rFonts w:ascii="仿宋_GB2312" w:eastAsia="仿宋_GB2312" w:hAnsi="仿宋" w:cs="PMingLiU" w:hint="eastAsia"/>
          <w:color w:val="000000"/>
          <w:sz w:val="20"/>
          <w:u w:val="single"/>
        </w:rPr>
        <w:tab/>
      </w:r>
    </w:p>
    <w:p w:rsidR="00800760" w:rsidRDefault="00235733">
      <w:pPr>
        <w:tabs>
          <w:tab w:val="left" w:leader="underscore" w:pos="4022"/>
          <w:tab w:val="right" w:pos="9412"/>
        </w:tabs>
        <w:spacing w:line="288" w:lineRule="auto"/>
        <w:ind w:leftChars="800" w:left="1680" w:firstLineChars="2205" w:firstLine="4410"/>
        <w:jc w:val="both"/>
        <w:rPr>
          <w:rFonts w:ascii="仿宋_GB2312" w:eastAsia="仿宋_GB2312" w:hAnsi="仿宋" w:cs="PMingLiU"/>
          <w:color w:val="000000"/>
          <w:sz w:val="20"/>
        </w:rPr>
      </w:pPr>
      <w:r>
        <w:rPr>
          <w:rFonts w:ascii="仿宋_GB2312" w:eastAsia="仿宋_GB2312" w:hAnsi="仿宋" w:cs="PMingLiU" w:hint="eastAsia"/>
          <w:color w:val="000000"/>
          <w:sz w:val="20"/>
        </w:rPr>
        <w:t>书记员：</w:t>
      </w:r>
      <w:r>
        <w:rPr>
          <w:rFonts w:ascii="仿宋_GB2312" w:eastAsia="仿宋_GB2312" w:hAnsi="仿宋" w:cs="PMingLiU" w:hint="eastAsia"/>
          <w:color w:val="000000"/>
          <w:sz w:val="20"/>
          <w:u w:val="single"/>
        </w:rPr>
        <w:tab/>
      </w:r>
    </w:p>
    <w:p w:rsidR="00800760" w:rsidRDefault="00235733">
      <w:pPr>
        <w:spacing w:line="288" w:lineRule="auto"/>
        <w:ind w:firstLineChars="0" w:firstLine="0"/>
        <w:jc w:val="center"/>
        <w:rPr>
          <w:rFonts w:ascii="方正小标宋_GBK" w:eastAsia="方正小标宋_GBK" w:hAnsi="宋体"/>
          <w:color w:val="000000"/>
          <w:spacing w:val="6"/>
          <w:sz w:val="36"/>
          <w:szCs w:val="36"/>
        </w:rPr>
      </w:pPr>
      <w:r>
        <w:rPr>
          <w:rFonts w:ascii="仿宋_GB2312" w:eastAsia="仿宋_GB2312" w:hAnsi="宋体" w:hint="eastAsia"/>
          <w:b/>
          <w:color w:val="000000"/>
          <w:sz w:val="20"/>
        </w:rPr>
        <w:br w:type="page"/>
      </w:r>
      <w:r>
        <w:rPr>
          <w:rFonts w:ascii="方正小标宋_GBK" w:eastAsia="方正小标宋_GBK" w:hAnsi="宋体"/>
          <w:color w:val="000000"/>
          <w:spacing w:val="6"/>
          <w:sz w:val="36"/>
          <w:szCs w:val="36"/>
        </w:rPr>
        <w:t>送达回证</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3"/>
        <w:gridCol w:w="6984"/>
      </w:tblGrid>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送达单位</w:t>
            </w:r>
          </w:p>
        </w:tc>
        <w:tc>
          <w:tcPr>
            <w:tcW w:w="3539"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送达文书及页数</w:t>
            </w:r>
          </w:p>
        </w:tc>
        <w:tc>
          <w:tcPr>
            <w:tcW w:w="3539" w:type="pct"/>
            <w:tcMar>
              <w:left w:w="57" w:type="dxa"/>
              <w:right w:w="57" w:type="dxa"/>
            </w:tcMar>
          </w:tcPr>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例1.专利侵权纠纷裁决请求受理通知书壹页</w:t>
            </w:r>
          </w:p>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例2.专利侵权纠纷行政裁决请求立案通知书壹页</w:t>
            </w:r>
          </w:p>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例3.答辩通知书X页</w:t>
            </w:r>
          </w:p>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例4.举证通知书X页</w:t>
            </w:r>
          </w:p>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例5.请求书及其附件的副本共X页、实物证据X件</w:t>
            </w:r>
          </w:p>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例6.答辩书其附件的副本共X页、实物证据X件</w:t>
            </w:r>
          </w:p>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例7.合议组通知书X页</w:t>
            </w:r>
          </w:p>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例8.口头审理通知书X页</w:t>
            </w:r>
          </w:p>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例9.专利侵权纠纷行政裁决书X页</w:t>
            </w:r>
          </w:p>
          <w:p w:rsidR="00800760" w:rsidRDefault="00235733" w:rsidP="00235733">
            <w:pPr>
              <w:spacing w:line="320" w:lineRule="exact"/>
              <w:ind w:leftChars="75" w:left="158" w:firstLineChars="0" w:firstLine="0"/>
              <w:jc w:val="both"/>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例10.专利侵权纠纷行政调解书X页</w:t>
            </w:r>
          </w:p>
          <w:p w:rsidR="00800760" w:rsidRDefault="00235733">
            <w:pPr>
              <w:widowControl w:val="0"/>
              <w:ind w:firstLineChars="50" w:firstLine="100"/>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例11.专利侵权纠纷撤销案件通知书X页</w:t>
            </w: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被送达人</w:t>
            </w:r>
          </w:p>
        </w:tc>
        <w:tc>
          <w:tcPr>
            <w:tcW w:w="3539"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委托代理机构及代理人</w:t>
            </w:r>
          </w:p>
        </w:tc>
        <w:tc>
          <w:tcPr>
            <w:tcW w:w="3539"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送达地址</w:t>
            </w:r>
          </w:p>
        </w:tc>
        <w:tc>
          <w:tcPr>
            <w:tcW w:w="3539"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送达方式</w:t>
            </w:r>
          </w:p>
        </w:tc>
        <w:tc>
          <w:tcPr>
            <w:tcW w:w="3539" w:type="pct"/>
            <w:tcMar>
              <w:left w:w="57" w:type="dxa"/>
              <w:right w:w="57" w:type="dxa"/>
            </w:tcMar>
          </w:tcPr>
          <w:p w:rsidR="00800760" w:rsidRDefault="00235733" w:rsidP="00235733">
            <w:pPr>
              <w:widowControl w:val="0"/>
              <w:ind w:firstLine="400"/>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□邮寄       □直接送达    □留置送达</w:t>
            </w: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收件人签章</w:t>
            </w:r>
          </w:p>
        </w:tc>
        <w:tc>
          <w:tcPr>
            <w:tcW w:w="3539"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u w:val="single"/>
                <w:lang w:val="en-US"/>
              </w:rPr>
            </w:pPr>
          </w:p>
          <w:p w:rsidR="00800760" w:rsidRDefault="00235733" w:rsidP="00235733">
            <w:pPr>
              <w:widowControl w:val="0"/>
              <w:ind w:firstLine="424"/>
              <w:jc w:val="right"/>
              <w:rPr>
                <w:rFonts w:ascii="仿宋_GB2312" w:eastAsia="仿宋_GB2312" w:hAnsi="宋体" w:cs="Microsoft JhengHei"/>
                <w:color w:val="000000"/>
                <w:kern w:val="2"/>
                <w:sz w:val="20"/>
                <w:lang w:val="en-US"/>
              </w:rPr>
            </w:pP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r>
              <w:rPr>
                <w:rFonts w:ascii="仿宋_GB2312" w:eastAsia="仿宋_GB2312" w:hAnsi="宋体" w:cs="Microsoft JhengHei" w:hint="eastAsia"/>
                <w:color w:val="000000"/>
                <w:kern w:val="2"/>
                <w:sz w:val="20"/>
                <w:lang w:val="en-US"/>
              </w:rPr>
              <w:t xml:space="preserve">  </w:t>
            </w: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送达人签章</w:t>
            </w:r>
          </w:p>
        </w:tc>
        <w:tc>
          <w:tcPr>
            <w:tcW w:w="3539"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u w:val="single"/>
                <w:lang w:val="en-US"/>
              </w:rPr>
            </w:pPr>
          </w:p>
          <w:p w:rsidR="00800760" w:rsidRDefault="00235733" w:rsidP="00235733">
            <w:pPr>
              <w:widowControl w:val="0"/>
              <w:ind w:firstLine="424"/>
              <w:jc w:val="right"/>
              <w:rPr>
                <w:rFonts w:ascii="仿宋_GB2312" w:eastAsia="仿宋_GB2312" w:hAnsi="宋体" w:cs="Microsoft JhengHei"/>
                <w:color w:val="000000"/>
                <w:kern w:val="2"/>
                <w:sz w:val="20"/>
                <w:lang w:val="en-US"/>
              </w:rPr>
            </w:pP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r>
              <w:rPr>
                <w:rFonts w:ascii="仿宋_GB2312" w:eastAsia="仿宋_GB2312" w:hAnsi="宋体" w:cs="Microsoft JhengHei" w:hint="eastAsia"/>
                <w:color w:val="000000"/>
                <w:kern w:val="2"/>
                <w:sz w:val="20"/>
                <w:lang w:val="en-US"/>
              </w:rPr>
              <w:t xml:space="preserve">  </w:t>
            </w: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见证人签章</w:t>
            </w:r>
          </w:p>
        </w:tc>
        <w:tc>
          <w:tcPr>
            <w:tcW w:w="3539" w:type="pct"/>
            <w:tcMar>
              <w:left w:w="57" w:type="dxa"/>
              <w:right w:w="57" w:type="dxa"/>
            </w:tcMar>
          </w:tcPr>
          <w:p w:rsidR="00800760" w:rsidRDefault="00800760" w:rsidP="00235733">
            <w:pPr>
              <w:widowControl w:val="0"/>
              <w:ind w:firstLine="424"/>
              <w:rPr>
                <w:rFonts w:ascii="仿宋_GB2312" w:eastAsia="仿宋_GB2312" w:hAnsi="宋体" w:cs="PMingLiU"/>
                <w:color w:val="000000"/>
                <w:spacing w:val="6"/>
                <w:kern w:val="2"/>
                <w:sz w:val="20"/>
                <w:u w:val="single"/>
                <w:lang w:val="en-US"/>
              </w:rPr>
            </w:pPr>
          </w:p>
          <w:p w:rsidR="00800760" w:rsidRDefault="00235733">
            <w:pPr>
              <w:widowControl w:val="0"/>
              <w:ind w:firstLineChars="1800" w:firstLine="3816"/>
              <w:rPr>
                <w:rFonts w:ascii="仿宋_GB2312" w:eastAsia="仿宋_GB2312" w:hAnsi="宋体" w:cs="Microsoft JhengHei"/>
                <w:color w:val="000000"/>
                <w:kern w:val="2"/>
                <w:sz w:val="20"/>
                <w:u w:val="single"/>
                <w:lang w:val="en-US"/>
              </w:rPr>
            </w:pP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备注</w:t>
            </w:r>
          </w:p>
        </w:tc>
        <w:tc>
          <w:tcPr>
            <w:tcW w:w="3539"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461"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填写说明</w:t>
            </w:r>
          </w:p>
        </w:tc>
        <w:tc>
          <w:tcPr>
            <w:tcW w:w="3539" w:type="pct"/>
            <w:tcMar>
              <w:left w:w="57" w:type="dxa"/>
              <w:right w:w="57" w:type="dxa"/>
            </w:tcMar>
          </w:tcPr>
          <w:p w:rsidR="00800760" w:rsidRDefault="00235733">
            <w:pPr>
              <w:tabs>
                <w:tab w:val="left" w:pos="298"/>
              </w:tabs>
              <w:ind w:firstLineChars="0" w:firstLine="0"/>
              <w:jc w:val="both"/>
              <w:rPr>
                <w:rFonts w:ascii="仿宋_GB2312" w:eastAsia="仿宋_GB2312" w:hAnsi="仿宋"/>
                <w:color w:val="000000"/>
                <w:sz w:val="20"/>
              </w:rPr>
            </w:pPr>
            <w:r>
              <w:rPr>
                <w:rStyle w:val="MSGENFONTSTYLENAMETEMPLATEROLENUMBERMSGENFONTSTYLENAMEBYROLETEXT2MSGENFONTSTYLEMODIFERNAMEPMingLiU"/>
                <w:rFonts w:ascii="仿宋_GB2312" w:eastAsia="仿宋_GB2312" w:hAnsi="Times New Roman" w:hint="eastAsia"/>
                <w:sz w:val="20"/>
                <w:szCs w:val="20"/>
              </w:rPr>
              <w:t>1</w:t>
            </w:r>
            <w:r>
              <w:rPr>
                <w:rStyle w:val="MSGENFONTSTYLENAMETEMPLATEROLENUMBERMSGENFONTSTYLENAMEBYROLETEXT2MSGENFONTSTYLEMODIFERNAMEPMingLiU"/>
                <w:rFonts w:ascii="仿宋_GB2312" w:eastAsia="仿宋_GB2312" w:hAnsi="仿宋" w:hint="eastAsia"/>
                <w:sz w:val="20"/>
                <w:szCs w:val="20"/>
              </w:rPr>
              <w:t>.代替被送达人收件的，由代收人在收件人栏内签名或者盖章，并在备注栏中注明与被送达人的关系。</w:t>
            </w:r>
          </w:p>
          <w:p w:rsidR="00800760" w:rsidRDefault="00235733">
            <w:pPr>
              <w:tabs>
                <w:tab w:val="left" w:pos="331"/>
              </w:tabs>
              <w:ind w:firstLineChars="0" w:firstLine="0"/>
              <w:jc w:val="both"/>
              <w:rPr>
                <w:rStyle w:val="MSGENFONTSTYLENAMETEMPLATEROLENUMBERMSGENFONTSTYLENAMEBYROLETEXT2MSGENFONTSTYLEMODIFERNAMEPMingLiU"/>
                <w:rFonts w:ascii="仿宋_GB2312" w:eastAsia="仿宋_GB2312" w:hAnsi="仿宋"/>
                <w:sz w:val="20"/>
                <w:szCs w:val="20"/>
              </w:rPr>
            </w:pPr>
            <w:r>
              <w:rPr>
                <w:rStyle w:val="MSGENFONTSTYLENAMETEMPLATEROLENUMBERMSGENFONTSTYLENAMEBYROLETEXT2MSGENFONTSTYLEMODIFERNAMEPMingLiU"/>
                <w:rFonts w:ascii="仿宋_GB2312" w:eastAsia="仿宋_GB2312" w:hAnsi="Times New Roman" w:hint="eastAsia"/>
                <w:sz w:val="20"/>
                <w:szCs w:val="20"/>
                <w:lang w:val="en-US"/>
              </w:rPr>
              <w:t>2</w:t>
            </w:r>
            <w:r>
              <w:rPr>
                <w:rStyle w:val="MSGENFONTSTYLENAMETEMPLATEROLENUMBERMSGENFONTSTYLENAMEBYROLETEXT2MSGENFONTSTYLEMODIFERNAMEPMingLiU"/>
                <w:rFonts w:ascii="仿宋_GB2312" w:eastAsia="仿宋_GB2312" w:hAnsi="仿宋" w:hint="eastAsia"/>
                <w:sz w:val="20"/>
                <w:szCs w:val="20"/>
                <w:lang w:val="en-US"/>
              </w:rPr>
              <w:t>.</w:t>
            </w:r>
            <w:r>
              <w:rPr>
                <w:rStyle w:val="MSGENFONTSTYLENAMETEMPLATEROLENUMBERMSGENFONTSTYLENAMEBYROLETEXT2MSGENFONTSTYLEMODIFERNAMEPMingLiU"/>
                <w:rFonts w:ascii="仿宋_GB2312" w:eastAsia="仿宋_GB2312" w:hAnsi="仿宋" w:hint="eastAsia"/>
                <w:sz w:val="20"/>
                <w:szCs w:val="20"/>
              </w:rPr>
              <w:t>邮寄送达的，被送达人或代理人收到有关文书后，请于</w:t>
            </w:r>
            <w:r>
              <w:rPr>
                <w:rStyle w:val="MSGENFONTSTYLENAMETEMPLATEROLENUMBERMSGENFONTSTYLENAMEBYROLETEXT2MSGENFONTSTYLEMODIFERNAMEPMingLiU"/>
                <w:rFonts w:ascii="仿宋_GB2312" w:eastAsia="仿宋_GB2312" w:hAnsi="Times New Roman" w:hint="eastAsia"/>
                <w:sz w:val="20"/>
                <w:szCs w:val="20"/>
              </w:rPr>
              <w:t>3</w:t>
            </w:r>
            <w:r>
              <w:rPr>
                <w:rStyle w:val="MSGENFONTSTYLENAMETEMPLATEROLENUMBERMSGENFONTSTYLENAMEBYROLETEXT2MSGENFONTSTYLEMODIFERNAMEPMingLiU"/>
                <w:rFonts w:ascii="仿宋_GB2312" w:eastAsia="仿宋_GB2312" w:hAnsi="仿宋" w:hint="eastAsia"/>
                <w:sz w:val="20"/>
                <w:szCs w:val="20"/>
              </w:rPr>
              <w:t>日内填写此送达回证并寄回本局。</w:t>
            </w:r>
          </w:p>
          <w:p w:rsidR="00800760" w:rsidRDefault="00235733">
            <w:pPr>
              <w:tabs>
                <w:tab w:val="left" w:pos="331"/>
              </w:tabs>
              <w:ind w:firstLineChars="0" w:firstLine="0"/>
              <w:jc w:val="both"/>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联 系 人：</w:t>
            </w:r>
          </w:p>
          <w:p w:rsidR="00800760" w:rsidRDefault="00235733">
            <w:pPr>
              <w:tabs>
                <w:tab w:val="left" w:pos="331"/>
              </w:tabs>
              <w:ind w:firstLineChars="0" w:firstLine="0"/>
              <w:jc w:val="both"/>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联系电话：</w:t>
            </w:r>
          </w:p>
          <w:p w:rsidR="00800760" w:rsidRDefault="00235733">
            <w:pPr>
              <w:tabs>
                <w:tab w:val="left" w:pos="331"/>
              </w:tabs>
              <w:ind w:firstLineChars="0" w:firstLine="0"/>
              <w:jc w:val="both"/>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本局地址：</w:t>
            </w:r>
          </w:p>
          <w:p w:rsidR="00800760" w:rsidRDefault="00235733">
            <w:pPr>
              <w:tabs>
                <w:tab w:val="left" w:pos="331"/>
              </w:tabs>
              <w:ind w:firstLineChars="0" w:firstLine="0"/>
              <w:jc w:val="both"/>
              <w:rPr>
                <w:rFonts w:ascii="仿宋_GB2312" w:eastAsia="仿宋_GB2312" w:hAnsi="宋体" w:cs="Microsoft JhengHei"/>
                <w:color w:val="000000"/>
                <w:sz w:val="20"/>
                <w:lang w:eastAsia="en-US"/>
              </w:rPr>
            </w:pPr>
            <w:r>
              <w:rPr>
                <w:rStyle w:val="MSGENFONTSTYLENAMETEMPLATEROLENUMBERMSGENFONTSTYLENAMEBYROLETEXT2MSGENFONTSTYLEMODIFERNAMEPMingLiU"/>
                <w:rFonts w:ascii="仿宋_GB2312" w:eastAsia="仿宋_GB2312" w:hAnsi="仿宋" w:hint="eastAsia"/>
                <w:sz w:val="20"/>
                <w:szCs w:val="20"/>
              </w:rPr>
              <w:t>邮政编码：</w:t>
            </w:r>
          </w:p>
        </w:tc>
      </w:tr>
    </w:tbl>
    <w:p w:rsidR="00800760" w:rsidRDefault="00800760">
      <w:pPr>
        <w:spacing w:line="240" w:lineRule="auto"/>
        <w:ind w:firstLineChars="0" w:firstLine="0"/>
        <w:jc w:val="center"/>
        <w:rPr>
          <w:rFonts w:ascii="方正小标宋简体" w:eastAsia="方正小标宋简体" w:hAnsi="方正小标宋简体" w:cs="方正小标宋简体"/>
          <w:sz w:val="36"/>
          <w:szCs w:val="36"/>
          <w:lang w:val="en-US"/>
        </w:rPr>
      </w:pPr>
    </w:p>
    <w:p w:rsidR="00800760" w:rsidRDefault="00235733">
      <w:pPr>
        <w:spacing w:line="240" w:lineRule="auto"/>
        <w:ind w:firstLineChars="0" w:firstLine="0"/>
        <w:jc w:val="center"/>
        <w:rPr>
          <w:sz w:val="36"/>
          <w:szCs w:val="36"/>
          <w:highlight w:val="yellow"/>
          <w:lang w:val="en-US"/>
        </w:rPr>
      </w:pPr>
      <w:r>
        <w:rPr>
          <w:rFonts w:ascii="方正小标宋简体" w:eastAsia="方正小标宋简体" w:hAnsi="方正小标宋简体" w:cs="方正小标宋简体" w:hint="eastAsia"/>
          <w:sz w:val="36"/>
          <w:szCs w:val="36"/>
          <w:lang w:val="en-US"/>
        </w:rPr>
        <w:t>送达回证目录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6"/>
        <w:gridCol w:w="6596"/>
        <w:gridCol w:w="929"/>
        <w:gridCol w:w="929"/>
        <w:gridCol w:w="929"/>
      </w:tblGrid>
      <w:tr w:rsidR="00800760">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序号</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文书名称</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送达对象</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发件时间</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送达时间</w:t>
            </w:r>
          </w:p>
        </w:tc>
      </w:tr>
      <w:tr w:rsidR="00800760">
        <w:trPr>
          <w:trHeight w:val="483"/>
        </w:trPr>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1</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受理和补正通知书</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请求人</w:t>
            </w: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2</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立案通知书、合议组组成通知书、举证通知书</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请求人</w:t>
            </w: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3</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立案通知书、答辩通知书、合议组组成通知书、请求书及请求人证据材料清单和附件</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被请求人</w:t>
            </w: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4</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被请求人答辩状及证据材料</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请求人</w:t>
            </w: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5</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行政告知书</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根据实际</w:t>
            </w: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6</w:t>
            </w:r>
          </w:p>
        </w:tc>
        <w:tc>
          <w:tcPr>
            <w:tcW w:w="0" w:type="auto"/>
            <w:vMerge w:val="restart"/>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口头审理通知书</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请求人</w:t>
            </w:r>
          </w:p>
        </w:tc>
        <w:tc>
          <w:tcPr>
            <w:tcW w:w="0" w:type="auto"/>
            <w:vMerge w:val="restart"/>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rPr>
          <w:trHeight w:val="90"/>
        </w:trPr>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7</w:t>
            </w:r>
          </w:p>
        </w:tc>
        <w:tc>
          <w:tcPr>
            <w:tcW w:w="0" w:type="auto"/>
            <w:vMerge/>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被请求人</w:t>
            </w:r>
          </w:p>
        </w:tc>
        <w:tc>
          <w:tcPr>
            <w:tcW w:w="0" w:type="auto"/>
            <w:vMerge/>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8</w:t>
            </w:r>
          </w:p>
        </w:tc>
        <w:tc>
          <w:tcPr>
            <w:tcW w:w="0" w:type="auto"/>
            <w:vMerge w:val="restart"/>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延长办案期限通知书</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请求人</w:t>
            </w: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9</w:t>
            </w:r>
          </w:p>
        </w:tc>
        <w:tc>
          <w:tcPr>
            <w:tcW w:w="0" w:type="auto"/>
            <w:vMerge/>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被请求人</w:t>
            </w: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c>
          <w:tcPr>
            <w:tcW w:w="0" w:type="auto"/>
            <w:vMerge w:val="restart"/>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10</w:t>
            </w:r>
          </w:p>
        </w:tc>
        <w:tc>
          <w:tcPr>
            <w:tcW w:w="0" w:type="auto"/>
            <w:vMerge w:val="restart"/>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行政裁决书/调解协议书/撤销专利侵权纠纷案件决定书</w:t>
            </w: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请求人</w:t>
            </w: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r w:rsidR="00800760">
        <w:tc>
          <w:tcPr>
            <w:tcW w:w="0" w:type="auto"/>
            <w:vMerge/>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Merge/>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235733">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被请求人</w:t>
            </w: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c>
          <w:tcPr>
            <w:tcW w:w="0" w:type="auto"/>
            <w:vAlign w:val="center"/>
          </w:tcPr>
          <w:p w:rsidR="00800760" w:rsidRDefault="00800760">
            <w:pPr>
              <w:tabs>
                <w:tab w:val="left" w:pos="331"/>
              </w:tabs>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p>
        </w:tc>
      </w:tr>
    </w:tbl>
    <w:p w:rsidR="00800760" w:rsidRDefault="00800760">
      <w:pPr>
        <w:tabs>
          <w:tab w:val="left" w:pos="331"/>
        </w:tabs>
        <w:ind w:firstLineChars="0" w:firstLine="0"/>
        <w:jc w:val="both"/>
        <w:rPr>
          <w:rStyle w:val="MSGENFONTSTYLENAMETEMPLATEROLENUMBERMSGENFONTSTYLENAMEBYROLETEXT2MSGENFONTSTYLEMODIFERNAMEPMingLiU"/>
          <w:rFonts w:ascii="仿宋_GB2312" w:eastAsia="仿宋_GB2312" w:hAnsi="仿宋"/>
          <w:sz w:val="20"/>
          <w:szCs w:val="20"/>
          <w:lang w:eastAsia="en-US"/>
        </w:rPr>
      </w:pPr>
    </w:p>
    <w:p w:rsidR="00800760" w:rsidRDefault="00800760">
      <w:pPr>
        <w:tabs>
          <w:tab w:val="left" w:pos="331"/>
        </w:tabs>
        <w:ind w:firstLineChars="0" w:firstLine="0"/>
        <w:jc w:val="both"/>
        <w:rPr>
          <w:rStyle w:val="MSGENFONTSTYLENAMETEMPLATEROLENUMBERMSGENFONTSTYLENAMEBYROLETEXT2MSGENFONTSTYLEMODIFERNAMEPMingLiU"/>
          <w:rFonts w:ascii="仿宋_GB2312" w:eastAsia="仿宋_GB2312" w:hAnsi="仿宋"/>
          <w:sz w:val="20"/>
          <w:szCs w:val="20"/>
          <w:lang w:eastAsia="en-US"/>
        </w:rPr>
      </w:pPr>
    </w:p>
    <w:p w:rsidR="00800760" w:rsidRDefault="00800760" w:rsidP="00C22A7B">
      <w:pPr>
        <w:widowControl w:val="0"/>
        <w:spacing w:beforeLines="50" w:afterLines="50"/>
        <w:ind w:firstLineChars="0" w:firstLine="0"/>
        <w:jc w:val="both"/>
        <w:rPr>
          <w:rFonts w:ascii="仿宋_GB2312" w:eastAsia="仿宋_GB2312" w:hAnsi="宋体" w:cs="PMingLiU"/>
          <w:b/>
          <w:color w:val="000000"/>
          <w:sz w:val="20"/>
        </w:rPr>
      </w:pPr>
    </w:p>
    <w:p w:rsidR="00800760" w:rsidRDefault="00800760" w:rsidP="00C22A7B">
      <w:pPr>
        <w:widowControl w:val="0"/>
        <w:spacing w:beforeLines="50" w:afterLines="50"/>
        <w:ind w:firstLineChars="0" w:firstLine="0"/>
        <w:jc w:val="both"/>
        <w:rPr>
          <w:rFonts w:ascii="仿宋_GB2312" w:eastAsia="仿宋_GB2312" w:hAnsi="宋体" w:cs="PMingLiU"/>
          <w:b/>
          <w:color w:val="000000"/>
          <w:sz w:val="20"/>
        </w:rPr>
      </w:pPr>
    </w:p>
    <w:p w:rsidR="00800760" w:rsidRDefault="00800760" w:rsidP="00C22A7B">
      <w:pPr>
        <w:widowControl w:val="0"/>
        <w:spacing w:beforeLines="50" w:afterLines="50"/>
        <w:ind w:firstLineChars="0" w:firstLine="0"/>
        <w:jc w:val="both"/>
        <w:rPr>
          <w:rFonts w:ascii="仿宋_GB2312" w:eastAsia="仿宋_GB2312" w:hAnsi="宋体" w:cs="PMingLiU"/>
          <w:b/>
          <w:color w:val="000000"/>
          <w:sz w:val="20"/>
        </w:rPr>
      </w:pPr>
    </w:p>
    <w:p w:rsidR="00800760" w:rsidRDefault="00800760" w:rsidP="00C22A7B">
      <w:pPr>
        <w:widowControl w:val="0"/>
        <w:spacing w:beforeLines="50" w:afterLines="50"/>
        <w:ind w:firstLineChars="0" w:firstLine="0"/>
        <w:jc w:val="both"/>
        <w:rPr>
          <w:rFonts w:ascii="仿宋_GB2312" w:eastAsia="仿宋_GB2312" w:hAnsi="宋体" w:cs="PMingLiU"/>
          <w:b/>
          <w:color w:val="000000"/>
          <w:sz w:val="20"/>
        </w:rPr>
      </w:pPr>
    </w:p>
    <w:p w:rsidR="00800760" w:rsidRDefault="00800760" w:rsidP="00C22A7B">
      <w:pPr>
        <w:spacing w:beforeLines="50" w:afterLines="50" w:line="360" w:lineRule="auto"/>
        <w:ind w:firstLineChars="0" w:firstLine="0"/>
        <w:rPr>
          <w:rFonts w:ascii="方正小标宋简体" w:eastAsia="方正小标宋简体" w:hAnsi="宋体"/>
          <w:color w:val="000000"/>
          <w:spacing w:val="6"/>
          <w:sz w:val="36"/>
          <w:szCs w:val="36"/>
        </w:rPr>
      </w:pPr>
    </w:p>
    <w:p w:rsidR="00DC3A0E" w:rsidRDefault="00DC3A0E" w:rsidP="00C22A7B">
      <w:pPr>
        <w:spacing w:beforeLines="50" w:afterLines="50" w:line="360" w:lineRule="auto"/>
        <w:ind w:firstLineChars="0" w:firstLine="744"/>
        <w:jc w:val="center"/>
        <w:rPr>
          <w:rFonts w:ascii="方正小标宋简体" w:eastAsia="方正小标宋简体" w:hAnsi="宋体"/>
          <w:color w:val="000000"/>
          <w:spacing w:val="6"/>
          <w:sz w:val="36"/>
          <w:szCs w:val="36"/>
        </w:rPr>
      </w:pPr>
    </w:p>
    <w:p w:rsidR="00DC3A0E" w:rsidRDefault="00DC3A0E" w:rsidP="00C22A7B">
      <w:pPr>
        <w:spacing w:beforeLines="50" w:afterLines="50" w:line="360" w:lineRule="auto"/>
        <w:ind w:firstLineChars="0" w:firstLine="744"/>
        <w:jc w:val="center"/>
        <w:rPr>
          <w:rFonts w:ascii="方正小标宋简体" w:eastAsia="方正小标宋简体" w:hAnsi="宋体"/>
          <w:color w:val="000000"/>
          <w:spacing w:val="6"/>
          <w:sz w:val="36"/>
          <w:szCs w:val="36"/>
        </w:rPr>
      </w:pPr>
    </w:p>
    <w:p w:rsidR="00800760" w:rsidRDefault="00235733" w:rsidP="00C22A7B">
      <w:pPr>
        <w:spacing w:beforeLines="50" w:afterLines="50" w:line="360" w:lineRule="auto"/>
        <w:ind w:firstLineChars="0" w:firstLine="744"/>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重大专利侵权纠纷行政裁决书</w:t>
      </w:r>
    </w:p>
    <w:p w:rsidR="00800760" w:rsidRDefault="00235733">
      <w:pPr>
        <w:spacing w:line="360" w:lineRule="auto"/>
        <w:ind w:firstLineChars="0" w:firstLine="0"/>
        <w:jc w:val="right"/>
        <w:rPr>
          <w:rFonts w:ascii="仿宋" w:eastAsia="仿宋_GB2312" w:hAnsi="仿宋"/>
          <w:color w:val="000000"/>
          <w:sz w:val="20"/>
        </w:rPr>
      </w:pPr>
      <w:r>
        <w:rPr>
          <w:rFonts w:ascii="仿宋" w:eastAsia="仿宋_GB2312" w:hAnsi="仿宋"/>
          <w:color w:val="000000"/>
          <w:sz w:val="20"/>
        </w:rPr>
        <w:t>案号：</w:t>
      </w:r>
      <w:r>
        <w:rPr>
          <w:rFonts w:ascii="仿宋" w:eastAsia="仿宋_GB2312" w:hAnsi="仿宋" w:hint="eastAsia"/>
          <w:color w:val="000000"/>
          <w:sz w:val="20"/>
        </w:rPr>
        <w:t>____________________</w:t>
      </w:r>
    </w:p>
    <w:p w:rsidR="00800760" w:rsidRDefault="00235733">
      <w:pPr>
        <w:spacing w:line="360"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请求人：</w:t>
      </w:r>
    </w:p>
    <w:p w:rsidR="00800760" w:rsidRDefault="00235733">
      <w:pPr>
        <w:spacing w:line="360"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法定代表人</w:t>
      </w:r>
      <w:r>
        <w:rPr>
          <w:rFonts w:ascii="仿宋_GB2312" w:eastAsia="仿宋_GB2312" w:hAnsi="仿宋" w:cs="PMingLiU" w:hint="eastAsia"/>
          <w:color w:val="000000"/>
          <w:sz w:val="20"/>
          <w:lang w:bidi="en-US"/>
        </w:rPr>
        <w:t>（</w:t>
      </w:r>
      <w:r>
        <w:rPr>
          <w:rFonts w:ascii="仿宋_GB2312" w:eastAsia="仿宋_GB2312" w:hAnsi="仿宋" w:cs="PMingLiU" w:hint="eastAsia"/>
          <w:color w:val="000000"/>
          <w:sz w:val="20"/>
        </w:rPr>
        <w:t>负责人</w:t>
      </w:r>
      <w:r>
        <w:rPr>
          <w:rFonts w:ascii="仿宋_GB2312" w:eastAsia="仿宋_GB2312" w:hAnsi="仿宋" w:cs="PMingLiU" w:hint="eastAsia"/>
          <w:color w:val="000000"/>
          <w:sz w:val="20"/>
          <w:lang w:bidi="en-US"/>
        </w:rPr>
        <w:t>）：</w:t>
      </w:r>
    </w:p>
    <w:p w:rsidR="00800760" w:rsidRDefault="00235733">
      <w:pPr>
        <w:spacing w:line="360"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住所：</w:t>
      </w:r>
    </w:p>
    <w:p w:rsidR="00800760" w:rsidRDefault="00235733">
      <w:pPr>
        <w:spacing w:line="360"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委托代理人：</w:t>
      </w:r>
    </w:p>
    <w:p w:rsidR="00800760" w:rsidRDefault="00235733">
      <w:pPr>
        <w:spacing w:line="360"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被请求人：</w:t>
      </w:r>
    </w:p>
    <w:p w:rsidR="00800760" w:rsidRDefault="00235733">
      <w:pPr>
        <w:spacing w:line="360"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法定代表人</w:t>
      </w:r>
      <w:r>
        <w:rPr>
          <w:rFonts w:ascii="仿宋_GB2312" w:eastAsia="仿宋_GB2312" w:hAnsi="仿宋" w:cs="PMingLiU" w:hint="eastAsia"/>
          <w:color w:val="000000"/>
          <w:sz w:val="20"/>
          <w:lang w:bidi="en-US"/>
        </w:rPr>
        <w:t>（</w:t>
      </w:r>
      <w:r>
        <w:rPr>
          <w:rFonts w:ascii="仿宋_GB2312" w:eastAsia="仿宋_GB2312" w:hAnsi="仿宋" w:cs="PMingLiU" w:hint="eastAsia"/>
          <w:color w:val="000000"/>
          <w:sz w:val="20"/>
        </w:rPr>
        <w:t>负责人</w:t>
      </w:r>
      <w:r>
        <w:rPr>
          <w:rFonts w:ascii="仿宋_GB2312" w:eastAsia="仿宋_GB2312" w:hAnsi="仿宋" w:cs="PMingLiU" w:hint="eastAsia"/>
          <w:color w:val="000000"/>
          <w:sz w:val="20"/>
          <w:lang w:bidi="en-US"/>
        </w:rPr>
        <w:t>）：</w:t>
      </w:r>
    </w:p>
    <w:p w:rsidR="00800760" w:rsidRDefault="00235733">
      <w:pPr>
        <w:spacing w:line="360"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住所：</w:t>
      </w:r>
    </w:p>
    <w:p w:rsidR="00800760" w:rsidRDefault="00235733">
      <w:pPr>
        <w:spacing w:line="360"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委托代理人：</w:t>
      </w:r>
    </w:p>
    <w:p w:rsidR="00800760" w:rsidRDefault="00235733">
      <w:pPr>
        <w:spacing w:line="360" w:lineRule="auto"/>
        <w:ind w:firstLineChars="150" w:firstLine="300"/>
        <w:rPr>
          <w:rFonts w:ascii="仿宋_GB2312" w:eastAsia="仿宋_GB2312" w:hAnsi="仿宋" w:cs="PMingLiU"/>
          <w:color w:val="000000"/>
          <w:sz w:val="20"/>
        </w:rPr>
      </w:pPr>
      <w:r>
        <w:rPr>
          <w:rFonts w:ascii="仿宋_GB2312" w:eastAsia="仿宋_GB2312" w:hAnsi="仿宋" w:cs="PMingLiU" w:hint="eastAsia"/>
          <w:color w:val="000000"/>
          <w:sz w:val="20"/>
        </w:rPr>
        <w:t>案由：“</w:t>
      </w:r>
      <w:r>
        <w:rPr>
          <w:rFonts w:ascii="仿宋_GB2312" w:eastAsia="仿宋_GB2312" w:hAnsi="仿宋" w:cs="PMingLiU" w:hint="eastAsia"/>
          <w:color w:val="000000"/>
          <w:sz w:val="20"/>
          <w:u w:val="single"/>
        </w:rPr>
        <w:t xml:space="preserve">                    </w:t>
      </w:r>
      <w:r>
        <w:rPr>
          <w:rFonts w:ascii="仿宋_GB2312" w:eastAsia="仿宋_GB2312" w:hAnsi="仿宋" w:cs="PMingLiU" w:hint="eastAsia"/>
          <w:color w:val="000000"/>
          <w:sz w:val="20"/>
        </w:rPr>
        <w:t>”</w:t>
      </w:r>
      <w:r>
        <w:rPr>
          <w:rFonts w:ascii="仿宋_GB2312" w:eastAsia="仿宋_GB2312" w:hAnsi="仿宋" w:cs="PMingLiU" w:hint="eastAsia"/>
          <w:color w:val="000000"/>
          <w:sz w:val="20"/>
          <w:lang w:bidi="en-US"/>
        </w:rPr>
        <w:t>（</w:t>
      </w:r>
      <w:r>
        <w:rPr>
          <w:rFonts w:ascii="仿宋_GB2312" w:eastAsia="仿宋_GB2312" w:hAnsi="仿宋" w:cs="PMingLiU" w:hint="eastAsia"/>
          <w:color w:val="000000"/>
          <w:sz w:val="20"/>
        </w:rPr>
        <w:t>专利号：</w:t>
      </w:r>
      <w:r>
        <w:rPr>
          <w:rFonts w:ascii="仿宋_GB2312" w:eastAsia="仿宋_GB2312" w:hAnsi="仿宋" w:cs="PMingLiU" w:hint="eastAsia"/>
          <w:color w:val="000000"/>
          <w:sz w:val="20"/>
          <w:u w:val="single"/>
        </w:rPr>
        <w:t xml:space="preserve">              </w:t>
      </w:r>
      <w:r>
        <w:rPr>
          <w:rFonts w:ascii="仿宋_GB2312" w:eastAsia="仿宋_GB2312" w:hAnsi="仿宋" w:cs="PMingLiU" w:hint="eastAsia"/>
          <w:color w:val="000000"/>
          <w:sz w:val="20"/>
          <w:lang w:bidi="en-US"/>
        </w:rPr>
        <w:t>）</w:t>
      </w:r>
      <w:r>
        <w:rPr>
          <w:rFonts w:ascii="仿宋_GB2312" w:eastAsia="仿宋_GB2312" w:hAnsi="仿宋" w:cs="PMingLiU" w:hint="eastAsia"/>
          <w:color w:val="000000"/>
          <w:sz w:val="20"/>
        </w:rPr>
        <w:t>专利侵权纠纷</w:t>
      </w:r>
    </w:p>
    <w:p w:rsidR="00800760" w:rsidRDefault="00235733">
      <w:pPr>
        <w:spacing w:line="360" w:lineRule="auto"/>
        <w:ind w:firstLineChars="150" w:firstLine="300"/>
        <w:rPr>
          <w:rFonts w:ascii="仿宋_GB2312" w:eastAsia="仿宋_GB2312" w:hAnsi="仿宋" w:cs="PMingLiU"/>
          <w:color w:val="000000"/>
          <w:sz w:val="20"/>
        </w:rPr>
      </w:pPr>
      <w:r>
        <w:rPr>
          <w:rFonts w:ascii="仿宋_GB2312" w:eastAsia="仿宋_GB2312" w:hAnsi="仿宋" w:cs="PMingLiU" w:hint="eastAsia"/>
          <w:color w:val="000000"/>
          <w:sz w:val="20"/>
        </w:rPr>
        <w:t>请求人就其“</w:t>
      </w:r>
      <w:r>
        <w:rPr>
          <w:rFonts w:ascii="仿宋_GB2312" w:eastAsia="仿宋_GB2312" w:hAnsi="仿宋" w:cs="PMingLiU" w:hint="eastAsia"/>
          <w:color w:val="000000"/>
          <w:sz w:val="20"/>
          <w:u w:val="single"/>
        </w:rPr>
        <w:t xml:space="preserve">             </w:t>
      </w:r>
      <w:r>
        <w:rPr>
          <w:rFonts w:ascii="仿宋_GB2312" w:eastAsia="仿宋_GB2312" w:hAnsi="仿宋" w:cs="PMingLiU" w:hint="eastAsia"/>
          <w:color w:val="000000"/>
          <w:sz w:val="20"/>
        </w:rPr>
        <w:t>”专利（专利号：</w:t>
      </w:r>
      <w:r>
        <w:rPr>
          <w:rFonts w:ascii="仿宋_GB2312" w:eastAsia="仿宋_GB2312" w:hAnsi="仿宋" w:cs="PMingLiU" w:hint="eastAsia"/>
          <w:color w:val="000000"/>
          <w:sz w:val="20"/>
          <w:u w:val="single"/>
        </w:rPr>
        <w:t xml:space="preserve">            </w:t>
      </w:r>
      <w:r>
        <w:rPr>
          <w:rFonts w:ascii="仿宋_GB2312" w:eastAsia="仿宋_GB2312" w:hAnsi="仿宋" w:cs="PMingLiU" w:hint="eastAsia"/>
          <w:color w:val="000000"/>
          <w:sz w:val="20"/>
          <w:lang w:bidi="en-US"/>
        </w:rPr>
        <w:t>）</w:t>
      </w:r>
      <w:r>
        <w:rPr>
          <w:rFonts w:ascii="仿宋_GB2312" w:eastAsia="仿宋_GB2312" w:hAnsi="仿宋" w:cs="PMingLiU" w:hint="eastAsia"/>
          <w:color w:val="000000"/>
          <w:sz w:val="20"/>
        </w:rPr>
        <w:t>与被请求人的专利侵权纠纷，向本局提出处理请求。本局于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仿宋" w:cs="PMingLiU" w:hint="eastAsia"/>
          <w:color w:val="000000"/>
          <w:sz w:val="20"/>
        </w:rPr>
        <w:t>受理后，依照</w:t>
      </w:r>
      <w:r>
        <w:rPr>
          <w:rFonts w:ascii="仿宋" w:eastAsia="仿宋_GB2312" w:hAnsi="仿宋"/>
          <w:color w:val="000000"/>
          <w:sz w:val="20"/>
        </w:rPr>
        <w:t>《</w:t>
      </w:r>
      <w:r>
        <w:rPr>
          <w:rFonts w:ascii="仿宋" w:eastAsia="仿宋_GB2312" w:hAnsi="仿宋" w:hint="eastAsia"/>
          <w:color w:val="000000"/>
          <w:sz w:val="20"/>
        </w:rPr>
        <w:t>专利纠纷行政裁决和调解办法</w:t>
      </w:r>
      <w:r>
        <w:rPr>
          <w:rFonts w:ascii="仿宋" w:eastAsia="仿宋_GB2312" w:hAnsi="仿宋"/>
          <w:color w:val="000000"/>
          <w:sz w:val="20"/>
        </w:rPr>
        <w:t>》第</w:t>
      </w:r>
      <w:r>
        <w:rPr>
          <w:rFonts w:ascii="仿宋" w:eastAsia="仿宋_GB2312" w:hAnsi="仿宋" w:hint="eastAsia"/>
          <w:color w:val="000000"/>
          <w:sz w:val="20"/>
        </w:rPr>
        <w:t>二十</w:t>
      </w:r>
      <w:r>
        <w:rPr>
          <w:rFonts w:ascii="仿宋" w:eastAsia="仿宋_GB2312" w:hAnsi="仿宋"/>
          <w:color w:val="000000"/>
          <w:sz w:val="20"/>
        </w:rPr>
        <w:t>条</w:t>
      </w:r>
      <w:r>
        <w:rPr>
          <w:rFonts w:ascii="仿宋_GB2312" w:eastAsia="仿宋_GB2312" w:hAnsi="仿宋" w:cs="PMingLiU" w:hint="eastAsia"/>
          <w:color w:val="000000"/>
          <w:sz w:val="20"/>
        </w:rPr>
        <w:t>组成合议组，并于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仿宋" w:cs="PMingLiU" w:hint="eastAsia"/>
          <w:color w:val="000000"/>
          <w:sz w:val="20"/>
        </w:rPr>
        <w:t>进行了口头审理，请求人、请求人代理人和被请求人、被请求人代理人到庭参加了口头审理。  现本案已审结。</w:t>
      </w:r>
    </w:p>
    <w:p w:rsidR="00800760" w:rsidRDefault="00235733">
      <w:pPr>
        <w:tabs>
          <w:tab w:val="left" w:leader="underscore" w:pos="1947"/>
        </w:tabs>
        <w:spacing w:line="360" w:lineRule="auto"/>
        <w:ind w:firstLineChars="150" w:firstLine="300"/>
        <w:rPr>
          <w:rFonts w:ascii="仿宋_GB2312" w:eastAsia="仿宋_GB2312" w:hAnsi="仿宋" w:cs="PMingLiU"/>
          <w:color w:val="000000"/>
          <w:sz w:val="20"/>
        </w:rPr>
      </w:pPr>
      <w:r>
        <w:rPr>
          <w:rFonts w:ascii="仿宋_GB2312" w:eastAsia="仿宋_GB2312" w:hAnsi="仿宋" w:cs="PMingLiU" w:hint="eastAsia"/>
          <w:color w:val="000000"/>
          <w:sz w:val="20"/>
        </w:rPr>
        <w:t>请求人称：</w:t>
      </w:r>
    </w:p>
    <w:p w:rsidR="00800760" w:rsidRDefault="00800760">
      <w:pPr>
        <w:tabs>
          <w:tab w:val="left" w:leader="underscore" w:pos="1947"/>
        </w:tabs>
        <w:spacing w:line="360" w:lineRule="auto"/>
        <w:ind w:left="442" w:firstLineChars="0" w:firstLine="0"/>
        <w:rPr>
          <w:rFonts w:ascii="仿宋_GB2312" w:eastAsia="仿宋_GB2312" w:hAnsi="仿宋" w:cs="PMingLiU"/>
          <w:color w:val="000000"/>
          <w:sz w:val="20"/>
        </w:rPr>
      </w:pPr>
    </w:p>
    <w:p w:rsidR="00800760" w:rsidRDefault="00235733">
      <w:pPr>
        <w:tabs>
          <w:tab w:val="left" w:leader="underscore" w:pos="1947"/>
        </w:tabs>
        <w:spacing w:line="360" w:lineRule="auto"/>
        <w:ind w:firstLineChars="150" w:firstLine="300"/>
        <w:rPr>
          <w:rFonts w:ascii="仿宋_GB2312" w:eastAsia="仿宋_GB2312" w:hAnsi="仿宋" w:cs="PMingLiU"/>
          <w:color w:val="000000"/>
          <w:sz w:val="20"/>
        </w:rPr>
      </w:pPr>
      <w:r>
        <w:rPr>
          <w:rFonts w:ascii="仿宋_GB2312" w:eastAsia="仿宋_GB2312" w:hAnsi="仿宋" w:cs="PMingLiU" w:hint="eastAsia"/>
          <w:color w:val="000000"/>
          <w:sz w:val="20"/>
        </w:rPr>
        <w:t>被请求人辩称：</w:t>
      </w:r>
    </w:p>
    <w:p w:rsidR="00800760" w:rsidRDefault="00800760">
      <w:pPr>
        <w:tabs>
          <w:tab w:val="left" w:leader="underscore" w:pos="1947"/>
        </w:tabs>
        <w:spacing w:line="360" w:lineRule="auto"/>
        <w:ind w:left="442" w:firstLineChars="0" w:firstLine="0"/>
        <w:rPr>
          <w:rFonts w:ascii="仿宋_GB2312" w:eastAsia="仿宋_GB2312" w:hAnsi="仿宋" w:cs="PMingLiU"/>
          <w:color w:val="000000"/>
          <w:sz w:val="20"/>
        </w:rPr>
      </w:pPr>
    </w:p>
    <w:p w:rsidR="00800760" w:rsidRDefault="00800760">
      <w:pPr>
        <w:tabs>
          <w:tab w:val="left" w:leader="underscore" w:pos="1947"/>
        </w:tabs>
        <w:spacing w:line="360" w:lineRule="auto"/>
        <w:ind w:firstLineChars="0" w:firstLine="0"/>
        <w:rPr>
          <w:rFonts w:ascii="仿宋_GB2312" w:eastAsia="仿宋_GB2312" w:hAnsi="仿宋" w:cs="PMingLiU"/>
          <w:color w:val="000000"/>
          <w:sz w:val="20"/>
        </w:rPr>
      </w:pPr>
    </w:p>
    <w:p w:rsidR="00800760" w:rsidRDefault="00235733">
      <w:pPr>
        <w:tabs>
          <w:tab w:val="left" w:leader="underscore" w:pos="1947"/>
        </w:tabs>
        <w:spacing w:line="360" w:lineRule="auto"/>
        <w:ind w:firstLineChars="150" w:firstLine="300"/>
        <w:rPr>
          <w:rFonts w:ascii="仿宋_GB2312" w:eastAsia="仿宋_GB2312" w:hAnsi="仿宋" w:cs="PMingLiU"/>
          <w:color w:val="000000"/>
          <w:sz w:val="20"/>
        </w:rPr>
      </w:pPr>
      <w:r>
        <w:rPr>
          <w:rFonts w:ascii="仿宋_GB2312" w:eastAsia="仿宋_GB2312" w:hAnsi="仿宋" w:cs="PMingLiU" w:hint="eastAsia"/>
          <w:color w:val="000000"/>
          <w:sz w:val="20"/>
        </w:rPr>
        <w:t>经审理查明：</w:t>
      </w:r>
    </w:p>
    <w:p w:rsidR="00800760" w:rsidRDefault="00235733">
      <w:pPr>
        <w:tabs>
          <w:tab w:val="left" w:leader="underscore" w:pos="1947"/>
        </w:tabs>
        <w:spacing w:line="360" w:lineRule="auto"/>
        <w:ind w:left="442" w:firstLineChars="0" w:firstLine="0"/>
        <w:rPr>
          <w:rFonts w:ascii="仿宋_GB2312" w:eastAsia="仿宋_GB2312" w:hAnsi="仿宋" w:cs="PMingLiU"/>
          <w:color w:val="000000"/>
          <w:sz w:val="20"/>
        </w:rPr>
      </w:pPr>
      <w:r>
        <w:rPr>
          <w:rFonts w:eastAsia="仿宋_GB2312" w:cs="PMingLiU" w:hint="eastAsia"/>
          <w:color w:val="000000"/>
          <w:sz w:val="20"/>
        </w:rPr>
        <w:t>1</w:t>
      </w:r>
      <w:r>
        <w:rPr>
          <w:rFonts w:ascii="仿宋_GB2312" w:eastAsia="仿宋_GB2312" w:hAnsi="仿宋" w:cs="PMingLiU" w:hint="eastAsia"/>
          <w:color w:val="000000"/>
          <w:sz w:val="20"/>
        </w:rPr>
        <w:t>.</w:t>
      </w:r>
      <w:r>
        <w:rPr>
          <w:rFonts w:ascii="宋体" w:hAnsi="宋体" w:cs="PMingLiU" w:hint="eastAsia"/>
          <w:color w:val="000000"/>
          <w:sz w:val="20"/>
        </w:rPr>
        <w:t>……</w:t>
      </w:r>
    </w:p>
    <w:p w:rsidR="00800760" w:rsidRDefault="00235733">
      <w:pPr>
        <w:tabs>
          <w:tab w:val="left" w:leader="underscore" w:pos="1947"/>
        </w:tabs>
        <w:spacing w:line="360" w:lineRule="auto"/>
        <w:ind w:left="442" w:firstLineChars="0" w:firstLine="0"/>
        <w:rPr>
          <w:rFonts w:ascii="仿宋_GB2312" w:eastAsia="仿宋_GB2312" w:hAnsi="仿宋" w:cs="PMingLiU"/>
          <w:color w:val="000000"/>
          <w:sz w:val="20"/>
        </w:rPr>
      </w:pPr>
      <w:r>
        <w:rPr>
          <w:rFonts w:eastAsia="仿宋_GB2312" w:cs="PMingLiU" w:hint="eastAsia"/>
          <w:color w:val="000000"/>
          <w:sz w:val="20"/>
        </w:rPr>
        <w:t>2</w:t>
      </w:r>
      <w:r>
        <w:rPr>
          <w:rFonts w:ascii="仿宋_GB2312" w:eastAsia="仿宋_GB2312" w:hAnsi="仿宋" w:cs="PMingLiU" w:hint="eastAsia"/>
          <w:color w:val="000000"/>
          <w:sz w:val="20"/>
        </w:rPr>
        <w:t>.</w:t>
      </w:r>
      <w:r>
        <w:rPr>
          <w:rFonts w:ascii="宋体" w:hAnsi="宋体" w:cs="PMingLiU" w:hint="eastAsia"/>
          <w:color w:val="000000"/>
          <w:sz w:val="20"/>
        </w:rPr>
        <w:t>……</w:t>
      </w:r>
    </w:p>
    <w:p w:rsidR="00800760" w:rsidRDefault="00235733">
      <w:pPr>
        <w:spacing w:line="360" w:lineRule="auto"/>
        <w:ind w:left="440" w:right="21" w:firstLineChars="0" w:firstLine="0"/>
        <w:rPr>
          <w:rFonts w:ascii="仿宋_GB2312" w:eastAsia="仿宋_GB2312" w:hAnsi="仿宋" w:cs="PMingLiU"/>
          <w:color w:val="000000"/>
          <w:sz w:val="20"/>
        </w:rPr>
      </w:pPr>
      <w:r>
        <w:rPr>
          <w:rFonts w:ascii="仿宋" w:eastAsia="仿宋_GB2312" w:hAnsi="仿宋"/>
          <w:color w:val="000000"/>
          <w:sz w:val="20"/>
        </w:rPr>
        <w:br w:type="page"/>
      </w:r>
      <w:r>
        <w:rPr>
          <w:rFonts w:ascii="仿宋_GB2312" w:eastAsia="仿宋_GB2312" w:hAnsi="仿宋" w:cs="PMingLiU" w:hint="eastAsia"/>
          <w:color w:val="000000"/>
          <w:sz w:val="20"/>
        </w:rPr>
        <w:t>以上事实有</w:t>
      </w:r>
      <w:r>
        <w:rPr>
          <w:rFonts w:ascii="仿宋_GB2312" w:eastAsia="仿宋_GB2312" w:hAnsi="宋体" w:hint="eastAsia"/>
          <w:color w:val="000000"/>
          <w:spacing w:val="6"/>
          <w:sz w:val="20"/>
          <w:u w:val="single"/>
        </w:rPr>
        <w:t xml:space="preserve">                    </w:t>
      </w:r>
      <w:r>
        <w:rPr>
          <w:rFonts w:ascii="仿宋_GB2312" w:eastAsia="仿宋_GB2312" w:hAnsi="仿宋" w:cs="PMingLiU" w:hint="eastAsia"/>
          <w:color w:val="000000"/>
          <w:sz w:val="20"/>
        </w:rPr>
        <w:t xml:space="preserve">等佐证。 </w:t>
      </w:r>
    </w:p>
    <w:p w:rsidR="00800760" w:rsidRDefault="00235733">
      <w:pPr>
        <w:spacing w:line="360" w:lineRule="auto"/>
        <w:ind w:left="440" w:right="21"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t>本局认为：</w:t>
      </w:r>
    </w:p>
    <w:p w:rsidR="00800760" w:rsidRDefault="00235733">
      <w:pPr>
        <w:spacing w:line="360" w:lineRule="auto"/>
        <w:ind w:left="440" w:firstLineChars="0" w:firstLine="0"/>
        <w:rPr>
          <w:rFonts w:ascii="仿宋_GB2312" w:eastAsia="仿宋_GB2312" w:hAnsi="仿宋" w:cs="PMingLiU"/>
          <w:color w:val="000000"/>
          <w:sz w:val="20"/>
          <w:lang w:bidi="en-US"/>
        </w:rPr>
      </w:pPr>
      <w:r>
        <w:rPr>
          <w:rFonts w:eastAsia="仿宋_GB2312" w:cs="PMingLiU" w:hint="eastAsia"/>
          <w:color w:val="000000"/>
          <w:sz w:val="20"/>
          <w:lang w:bidi="en-US"/>
        </w:rPr>
        <w:t>1</w:t>
      </w:r>
      <w:r>
        <w:rPr>
          <w:rFonts w:ascii="仿宋_GB2312" w:eastAsia="仿宋_GB2312" w:hAnsi="仿宋" w:cs="PMingLiU" w:hint="eastAsia"/>
          <w:color w:val="000000"/>
          <w:sz w:val="20"/>
          <w:lang w:bidi="en-US"/>
        </w:rPr>
        <w:t>.</w:t>
      </w:r>
      <w:r>
        <w:rPr>
          <w:rFonts w:ascii="宋体" w:hAnsi="宋体" w:cs="PMingLiU" w:hint="eastAsia"/>
          <w:color w:val="000000"/>
          <w:sz w:val="20"/>
        </w:rPr>
        <w:t>……</w:t>
      </w:r>
    </w:p>
    <w:p w:rsidR="00800760" w:rsidRDefault="00235733">
      <w:pPr>
        <w:spacing w:line="360" w:lineRule="auto"/>
        <w:ind w:left="440" w:firstLineChars="0" w:firstLine="0"/>
        <w:rPr>
          <w:rFonts w:ascii="仿宋_GB2312" w:eastAsia="仿宋_GB2312" w:hAnsi="仿宋" w:cs="PMingLiU"/>
          <w:color w:val="000000"/>
          <w:sz w:val="20"/>
          <w:lang w:bidi="en-US"/>
        </w:rPr>
      </w:pPr>
      <w:r>
        <w:rPr>
          <w:rFonts w:eastAsia="仿宋_GB2312" w:cs="PMingLiU" w:hint="eastAsia"/>
          <w:color w:val="000000"/>
          <w:sz w:val="20"/>
          <w:lang w:bidi="en-US"/>
        </w:rPr>
        <w:t>2</w:t>
      </w:r>
      <w:r>
        <w:rPr>
          <w:rFonts w:ascii="仿宋_GB2312" w:eastAsia="仿宋_GB2312" w:hAnsi="仿宋" w:cs="PMingLiU" w:hint="eastAsia"/>
          <w:color w:val="000000"/>
          <w:sz w:val="20"/>
          <w:lang w:bidi="en-US"/>
        </w:rPr>
        <w:t>.</w:t>
      </w:r>
      <w:r>
        <w:rPr>
          <w:rFonts w:ascii="宋体" w:hAnsi="宋体" w:cs="PMingLiU" w:hint="eastAsia"/>
          <w:color w:val="000000"/>
          <w:sz w:val="20"/>
        </w:rPr>
        <w:t>……</w:t>
      </w:r>
    </w:p>
    <w:p w:rsidR="00800760" w:rsidRDefault="00235733">
      <w:pPr>
        <w:spacing w:line="360" w:lineRule="auto"/>
        <w:ind w:left="440" w:firstLineChars="0" w:firstLine="0"/>
        <w:rPr>
          <w:rFonts w:ascii="仿宋_GB2312" w:eastAsia="仿宋_GB2312" w:hAnsi="仿宋" w:cs="PMingLiU"/>
          <w:color w:val="000000"/>
          <w:sz w:val="20"/>
        </w:rPr>
      </w:pPr>
      <w:r>
        <w:rPr>
          <w:rFonts w:ascii="宋体" w:hAnsi="宋体" w:cs="PMingLiU" w:hint="eastAsia"/>
          <w:color w:val="000000"/>
          <w:sz w:val="20"/>
        </w:rPr>
        <w:t>……</w:t>
      </w:r>
    </w:p>
    <w:p w:rsidR="00800760" w:rsidRDefault="00235733">
      <w:pPr>
        <w:tabs>
          <w:tab w:val="left" w:leader="underscore" w:pos="6663"/>
        </w:tabs>
        <w:spacing w:line="360" w:lineRule="auto"/>
        <w:ind w:firstLineChars="244" w:firstLine="488"/>
        <w:rPr>
          <w:rFonts w:ascii="仿宋_GB2312" w:eastAsia="仿宋_GB2312" w:hAnsi="仿宋" w:cs="PMingLiU"/>
          <w:color w:val="000000"/>
          <w:sz w:val="20"/>
        </w:rPr>
      </w:pPr>
      <w:r>
        <w:rPr>
          <w:rFonts w:ascii="仿宋_GB2312" w:eastAsia="仿宋_GB2312" w:hAnsi="仿宋" w:cs="PMingLiU" w:hint="eastAsia"/>
          <w:color w:val="000000"/>
          <w:sz w:val="20"/>
        </w:rPr>
        <w:t>综上所述，根据《中华人民共和国专利法》第　　条、《中华人民共和国专利法实施细则》第　　条、</w:t>
      </w:r>
      <w:r>
        <w:rPr>
          <w:rFonts w:ascii="仿宋" w:eastAsia="仿宋_GB2312" w:hAnsi="仿宋"/>
          <w:color w:val="000000"/>
          <w:sz w:val="20"/>
        </w:rPr>
        <w:t>《</w:t>
      </w:r>
      <w:r>
        <w:rPr>
          <w:rFonts w:ascii="仿宋" w:eastAsia="仿宋_GB2312" w:hAnsi="仿宋" w:hint="eastAsia"/>
          <w:color w:val="000000"/>
          <w:sz w:val="20"/>
        </w:rPr>
        <w:t>专利纠纷行政裁决和调解办法</w:t>
      </w:r>
      <w:r>
        <w:rPr>
          <w:rFonts w:ascii="仿宋" w:eastAsia="仿宋_GB2312" w:hAnsi="仿宋"/>
          <w:color w:val="000000"/>
          <w:sz w:val="20"/>
        </w:rPr>
        <w:t>》</w:t>
      </w:r>
      <w:r>
        <w:rPr>
          <w:rFonts w:ascii="仿宋_GB2312" w:eastAsia="仿宋_GB2312" w:hAnsi="仿宋" w:cs="PMingLiU" w:hint="eastAsia"/>
          <w:color w:val="000000"/>
          <w:sz w:val="20"/>
        </w:rPr>
        <w:t>第　　条之规定，本局作出行政裁决如下：</w:t>
      </w:r>
    </w:p>
    <w:p w:rsidR="00800760" w:rsidRDefault="00235733">
      <w:pPr>
        <w:spacing w:line="360" w:lineRule="auto"/>
        <w:ind w:left="440" w:firstLineChars="0" w:firstLine="0"/>
        <w:rPr>
          <w:rFonts w:ascii="仿宋_GB2312" w:eastAsia="仿宋_GB2312" w:hAnsi="仿宋" w:cs="PMingLiU"/>
          <w:color w:val="000000"/>
          <w:sz w:val="20"/>
          <w:lang w:bidi="en-US"/>
        </w:rPr>
      </w:pPr>
      <w:r>
        <w:rPr>
          <w:rFonts w:eastAsia="仿宋_GB2312" w:cs="PMingLiU" w:hint="eastAsia"/>
          <w:color w:val="000000"/>
          <w:sz w:val="20"/>
          <w:lang w:bidi="en-US"/>
        </w:rPr>
        <w:t>1</w:t>
      </w:r>
      <w:r>
        <w:rPr>
          <w:rFonts w:ascii="仿宋_GB2312" w:eastAsia="仿宋_GB2312" w:hAnsi="仿宋" w:cs="PMingLiU" w:hint="eastAsia"/>
          <w:color w:val="000000"/>
          <w:sz w:val="20"/>
          <w:lang w:bidi="en-US"/>
        </w:rPr>
        <w:t>.</w:t>
      </w:r>
      <w:r>
        <w:rPr>
          <w:rFonts w:ascii="宋体" w:hAnsi="宋体" w:cs="PMingLiU" w:hint="eastAsia"/>
          <w:color w:val="000000"/>
          <w:sz w:val="20"/>
        </w:rPr>
        <w:t>……</w:t>
      </w:r>
    </w:p>
    <w:p w:rsidR="00800760" w:rsidRDefault="00235733">
      <w:pPr>
        <w:spacing w:line="360" w:lineRule="auto"/>
        <w:ind w:left="440" w:firstLineChars="0" w:firstLine="0"/>
        <w:rPr>
          <w:rFonts w:ascii="仿宋_GB2312" w:eastAsia="仿宋_GB2312" w:hAnsi="仿宋" w:cs="PMingLiU"/>
          <w:color w:val="000000"/>
          <w:sz w:val="20"/>
          <w:lang w:bidi="en-US"/>
        </w:rPr>
      </w:pPr>
      <w:r>
        <w:rPr>
          <w:rFonts w:eastAsia="仿宋_GB2312" w:cs="PMingLiU" w:hint="eastAsia"/>
          <w:color w:val="000000"/>
          <w:sz w:val="20"/>
          <w:lang w:bidi="en-US"/>
        </w:rPr>
        <w:t>2</w:t>
      </w:r>
      <w:r>
        <w:rPr>
          <w:rFonts w:ascii="仿宋_GB2312" w:eastAsia="仿宋_GB2312" w:hAnsi="仿宋" w:cs="PMingLiU" w:hint="eastAsia"/>
          <w:color w:val="000000"/>
          <w:sz w:val="20"/>
          <w:lang w:bidi="en-US"/>
        </w:rPr>
        <w:t>.</w:t>
      </w:r>
      <w:r>
        <w:rPr>
          <w:rFonts w:ascii="宋体" w:hAnsi="宋体" w:cs="PMingLiU" w:hint="eastAsia"/>
          <w:color w:val="000000"/>
          <w:sz w:val="20"/>
        </w:rPr>
        <w:t>……</w:t>
      </w:r>
    </w:p>
    <w:p w:rsidR="00800760" w:rsidRDefault="00235733">
      <w:pPr>
        <w:spacing w:line="360" w:lineRule="auto"/>
        <w:ind w:left="440" w:firstLineChars="0" w:firstLine="0"/>
        <w:rPr>
          <w:rFonts w:ascii="仿宋_GB2312" w:eastAsia="仿宋_GB2312" w:hAnsi="仿宋" w:cs="PMingLiU"/>
          <w:color w:val="000000"/>
          <w:sz w:val="20"/>
        </w:rPr>
      </w:pPr>
      <w:r>
        <w:rPr>
          <w:rFonts w:ascii="宋体" w:hAnsi="宋体" w:cs="PMingLiU" w:hint="eastAsia"/>
          <w:color w:val="000000"/>
          <w:sz w:val="20"/>
        </w:rPr>
        <w:t>……</w:t>
      </w:r>
    </w:p>
    <w:p w:rsidR="00800760" w:rsidRDefault="00235733">
      <w:pPr>
        <w:spacing w:line="360" w:lineRule="auto"/>
        <w:ind w:firstLine="400"/>
        <w:rPr>
          <w:rFonts w:ascii="仿宋_GB2312" w:eastAsia="仿宋_GB2312" w:hAnsi="仿宋" w:cs="PMingLiU"/>
          <w:color w:val="000000"/>
          <w:sz w:val="20"/>
        </w:rPr>
      </w:pPr>
      <w:r>
        <w:rPr>
          <w:rFonts w:ascii="仿宋_GB2312" w:eastAsia="仿宋_GB2312" w:hAnsi="仿宋" w:cs="PMingLiU" w:hint="eastAsia"/>
          <w:color w:val="000000"/>
          <w:sz w:val="20"/>
        </w:rPr>
        <w:t>当事人如不服本裁决，可自收到裁决书之日起</w:t>
      </w:r>
      <w:r>
        <w:rPr>
          <w:rFonts w:eastAsia="仿宋_GB2312" w:cs="PMingLiU" w:hint="eastAsia"/>
          <w:color w:val="000000"/>
          <w:sz w:val="20"/>
        </w:rPr>
        <w:t>15</w:t>
      </w:r>
      <w:r>
        <w:rPr>
          <w:rFonts w:ascii="仿宋_GB2312" w:eastAsia="仿宋_GB2312" w:hAnsi="仿宋" w:cs="PMingLiU" w:hint="eastAsia"/>
          <w:color w:val="000000"/>
          <w:sz w:val="20"/>
        </w:rPr>
        <w:t>日内，依照《中华人民共和国专利法》第六十五条向人民法院起诉。期满不起诉又不履行行政裁决的，本局将申请人民法院强制执行。</w:t>
      </w:r>
    </w:p>
    <w:p w:rsidR="00800760" w:rsidRDefault="00800760">
      <w:pPr>
        <w:tabs>
          <w:tab w:val="left" w:leader="underscore" w:pos="4022"/>
        </w:tabs>
        <w:spacing w:line="360" w:lineRule="auto"/>
        <w:ind w:firstLineChars="0" w:firstLine="0"/>
        <w:rPr>
          <w:rFonts w:ascii="仿宋_GB2312" w:eastAsia="仿宋_GB2312" w:hAnsi="仿宋" w:cs="PMingLiU"/>
          <w:color w:val="000000"/>
          <w:sz w:val="20"/>
        </w:rPr>
      </w:pPr>
    </w:p>
    <w:p w:rsidR="00800760" w:rsidRDefault="00800760">
      <w:pPr>
        <w:tabs>
          <w:tab w:val="left" w:leader="underscore" w:pos="4022"/>
        </w:tabs>
        <w:spacing w:line="360" w:lineRule="auto"/>
        <w:ind w:firstLineChars="0" w:firstLine="0"/>
        <w:rPr>
          <w:rFonts w:ascii="仿宋_GB2312" w:eastAsia="仿宋_GB2312" w:hAnsi="仿宋" w:cs="PMingLiU"/>
          <w:color w:val="000000"/>
          <w:sz w:val="20"/>
        </w:rPr>
      </w:pPr>
    </w:p>
    <w:p w:rsidR="00800760" w:rsidRDefault="00235733">
      <w:pPr>
        <w:tabs>
          <w:tab w:val="left" w:leader="underscore" w:pos="4022"/>
          <w:tab w:val="right" w:pos="9412"/>
        </w:tabs>
        <w:spacing w:line="360" w:lineRule="auto"/>
        <w:ind w:leftChars="800" w:left="1680" w:firstLineChars="2205" w:firstLine="4410"/>
        <w:rPr>
          <w:rFonts w:ascii="仿宋_GB2312" w:eastAsia="仿宋_GB2312" w:hAnsi="仿宋" w:cs="PMingLiU"/>
          <w:color w:val="000000"/>
          <w:sz w:val="20"/>
        </w:rPr>
      </w:pPr>
      <w:r>
        <w:rPr>
          <w:rFonts w:ascii="仿宋_GB2312" w:eastAsia="仿宋_GB2312" w:hAnsi="仿宋" w:cs="PMingLiU" w:hint="eastAsia"/>
          <w:color w:val="000000"/>
          <w:sz w:val="20"/>
        </w:rPr>
        <w:t>合议组长：</w:t>
      </w:r>
      <w:r>
        <w:rPr>
          <w:rFonts w:ascii="仿宋_GB2312" w:eastAsia="仿宋_GB2312" w:hAnsi="仿宋" w:cs="PMingLiU"/>
          <w:color w:val="000000"/>
          <w:sz w:val="20"/>
          <w:u w:val="single"/>
        </w:rPr>
        <w:tab/>
      </w:r>
    </w:p>
    <w:p w:rsidR="00800760" w:rsidRDefault="00235733">
      <w:pPr>
        <w:tabs>
          <w:tab w:val="left" w:leader="underscore" w:pos="4022"/>
          <w:tab w:val="right" w:pos="9412"/>
        </w:tabs>
        <w:spacing w:line="360" w:lineRule="auto"/>
        <w:ind w:leftChars="800" w:left="1680" w:firstLineChars="2205" w:firstLine="4410"/>
        <w:rPr>
          <w:rFonts w:ascii="仿宋_GB2312" w:eastAsia="仿宋_GB2312" w:hAnsi="仿宋" w:cs="PMingLiU"/>
          <w:color w:val="000000"/>
          <w:sz w:val="20"/>
        </w:rPr>
      </w:pPr>
      <w:r>
        <w:rPr>
          <w:rFonts w:ascii="仿宋_GB2312" w:eastAsia="仿宋_GB2312" w:hAnsi="仿宋" w:cs="PMingLiU" w:hint="eastAsia"/>
          <w:color w:val="000000"/>
          <w:sz w:val="20"/>
        </w:rPr>
        <w:t>审 理 员：</w:t>
      </w:r>
      <w:r>
        <w:rPr>
          <w:rFonts w:ascii="仿宋_GB2312" w:eastAsia="仿宋_GB2312" w:hAnsi="仿宋" w:cs="PMingLiU"/>
          <w:color w:val="000000"/>
          <w:sz w:val="20"/>
          <w:u w:val="single"/>
        </w:rPr>
        <w:tab/>
      </w:r>
    </w:p>
    <w:p w:rsidR="00800760" w:rsidRDefault="00235733">
      <w:pPr>
        <w:tabs>
          <w:tab w:val="left" w:leader="underscore" w:pos="4022"/>
          <w:tab w:val="right" w:pos="9412"/>
        </w:tabs>
        <w:spacing w:line="360" w:lineRule="auto"/>
        <w:ind w:leftChars="800" w:left="1680" w:firstLineChars="2205" w:firstLine="4410"/>
        <w:rPr>
          <w:rFonts w:ascii="仿宋_GB2312" w:eastAsia="仿宋_GB2312" w:hAnsi="仿宋" w:cs="PMingLiU"/>
          <w:color w:val="000000"/>
          <w:sz w:val="20"/>
        </w:rPr>
      </w:pPr>
      <w:r>
        <w:rPr>
          <w:rFonts w:ascii="仿宋_GB2312" w:eastAsia="仿宋_GB2312" w:hAnsi="仿宋" w:cs="PMingLiU" w:hint="eastAsia"/>
          <w:color w:val="000000"/>
          <w:sz w:val="20"/>
        </w:rPr>
        <w:t>审 理 员：</w:t>
      </w:r>
      <w:r>
        <w:rPr>
          <w:rFonts w:ascii="仿宋_GB2312" w:eastAsia="仿宋_GB2312" w:hAnsi="仿宋" w:cs="PMingLiU"/>
          <w:color w:val="000000"/>
          <w:sz w:val="20"/>
          <w:u w:val="single"/>
        </w:rPr>
        <w:tab/>
      </w:r>
    </w:p>
    <w:p w:rsidR="00800760" w:rsidRDefault="00800760">
      <w:pPr>
        <w:spacing w:line="360" w:lineRule="auto"/>
        <w:ind w:firstLineChars="0" w:firstLine="444"/>
        <w:rPr>
          <w:rFonts w:ascii="仿宋_GB2312" w:eastAsia="仿宋_GB2312" w:hAnsi="宋体"/>
          <w:color w:val="000000"/>
          <w:spacing w:val="6"/>
          <w:sz w:val="20"/>
        </w:rPr>
      </w:pP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tabs>
          <w:tab w:val="left" w:leader="underscore" w:pos="4022"/>
        </w:tabs>
        <w:spacing w:line="360" w:lineRule="auto"/>
        <w:ind w:firstLineChars="0" w:firstLine="0"/>
        <w:rPr>
          <w:rFonts w:ascii="仿宋_GB2312" w:eastAsia="仿宋_GB2312" w:hAnsi="仿宋" w:cs="PMingLiU"/>
          <w:color w:val="000000"/>
          <w:sz w:val="20"/>
        </w:rPr>
      </w:pPr>
    </w:p>
    <w:p w:rsidR="00800760" w:rsidRDefault="00235733">
      <w:pPr>
        <w:tabs>
          <w:tab w:val="left" w:leader="underscore" w:pos="4022"/>
          <w:tab w:val="right" w:pos="9412"/>
        </w:tabs>
        <w:spacing w:line="360" w:lineRule="auto"/>
        <w:ind w:leftChars="800" w:left="1680" w:firstLineChars="2205" w:firstLine="4410"/>
        <w:rPr>
          <w:rFonts w:ascii="仿宋_GB2312" w:eastAsia="仿宋_GB2312" w:hAnsi="仿宋" w:cs="PMingLiU"/>
          <w:color w:val="000000"/>
          <w:sz w:val="20"/>
        </w:rPr>
      </w:pPr>
      <w:r>
        <w:rPr>
          <w:rFonts w:ascii="仿宋_GB2312" w:eastAsia="仿宋_GB2312" w:hAnsi="仿宋" w:cs="PMingLiU" w:hint="eastAsia"/>
          <w:color w:val="000000"/>
          <w:sz w:val="20"/>
        </w:rPr>
        <w:t>书记员：</w:t>
      </w:r>
      <w:r>
        <w:rPr>
          <w:rFonts w:ascii="仿宋_GB2312" w:eastAsia="仿宋_GB2312" w:hAnsi="仿宋" w:cs="PMingLiU"/>
          <w:color w:val="000000"/>
          <w:sz w:val="20"/>
          <w:u w:val="single"/>
        </w:rPr>
        <w:tab/>
      </w:r>
    </w:p>
    <w:p w:rsidR="00800760" w:rsidRDefault="00800760">
      <w:pPr>
        <w:spacing w:line="360" w:lineRule="auto"/>
        <w:ind w:left="440" w:firstLineChars="0" w:firstLine="422"/>
        <w:rPr>
          <w:rFonts w:ascii="仿宋_GB2312" w:eastAsia="仿宋_GB2312" w:hAnsi="宋体" w:cs="Microsoft JhengHei"/>
          <w:b/>
          <w:color w:val="000000"/>
          <w:sz w:val="20"/>
        </w:rPr>
      </w:pPr>
    </w:p>
    <w:p w:rsidR="00800760" w:rsidRDefault="00235733">
      <w:pPr>
        <w:spacing w:line="240" w:lineRule="auto"/>
        <w:ind w:firstLineChars="0" w:firstLine="0"/>
        <w:rPr>
          <w:rFonts w:ascii="宋体" w:hAnsi="宋体"/>
          <w:b/>
          <w:color w:val="000000"/>
          <w:sz w:val="20"/>
        </w:rPr>
      </w:pPr>
      <w:r>
        <w:rPr>
          <w:rFonts w:ascii="宋体" w:hAnsi="宋体"/>
          <w:b/>
          <w:color w:val="000000"/>
          <w:sz w:val="20"/>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送达回证</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3"/>
        <w:gridCol w:w="6984"/>
      </w:tblGrid>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送达单位</w:t>
            </w:r>
          </w:p>
        </w:tc>
        <w:tc>
          <w:tcPr>
            <w:tcW w:w="3539" w:type="pct"/>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送达文书及页数</w:t>
            </w:r>
          </w:p>
        </w:tc>
        <w:tc>
          <w:tcPr>
            <w:tcW w:w="3539" w:type="pct"/>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被送达人</w:t>
            </w:r>
          </w:p>
        </w:tc>
        <w:tc>
          <w:tcPr>
            <w:tcW w:w="3539" w:type="pct"/>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委托代理机构及代理人</w:t>
            </w:r>
          </w:p>
        </w:tc>
        <w:tc>
          <w:tcPr>
            <w:tcW w:w="3539" w:type="pct"/>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送达地址</w:t>
            </w:r>
          </w:p>
        </w:tc>
        <w:tc>
          <w:tcPr>
            <w:tcW w:w="3539" w:type="pct"/>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送达方式</w:t>
            </w:r>
          </w:p>
        </w:tc>
        <w:tc>
          <w:tcPr>
            <w:tcW w:w="3539"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s="Microsoft JhengHei"/>
                <w:color w:val="000000"/>
                <w:sz w:val="20"/>
              </w:rPr>
            </w:pPr>
            <w:r>
              <w:rPr>
                <w:rFonts w:ascii="仿宋_GB2312" w:eastAsia="仿宋_GB2312" w:hAnsi="宋体" w:cs="Microsoft JhengHei" w:hint="eastAsia"/>
                <w:color w:val="000000"/>
                <w:sz w:val="20"/>
              </w:rPr>
              <w:t>□邮寄       □直接送达    □留置送达</w:t>
            </w:r>
          </w:p>
        </w:tc>
      </w:tr>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收件人签章</w:t>
            </w:r>
          </w:p>
        </w:tc>
        <w:tc>
          <w:tcPr>
            <w:tcW w:w="3539" w:type="pct"/>
            <w:shd w:val="clear" w:color="auto" w:fill="auto"/>
            <w:tcMar>
              <w:left w:w="57" w:type="dxa"/>
              <w:right w:w="57" w:type="dxa"/>
            </w:tcMar>
          </w:tcPr>
          <w:p w:rsidR="00800760" w:rsidRDefault="00800760">
            <w:pPr>
              <w:spacing w:line="360" w:lineRule="auto"/>
              <w:ind w:firstLineChars="0" w:firstLine="4515"/>
              <w:rPr>
                <w:rFonts w:ascii="仿宋_GB2312" w:eastAsia="仿宋_GB2312" w:hAnsi="宋体" w:cs="Microsoft JhengHei"/>
                <w:color w:val="000000"/>
                <w:sz w:val="20"/>
                <w:u w:val="single"/>
                <w:lang w:eastAsia="en-US"/>
              </w:rPr>
            </w:pPr>
          </w:p>
          <w:p w:rsidR="00800760" w:rsidRDefault="00800760">
            <w:pPr>
              <w:spacing w:line="360" w:lineRule="auto"/>
              <w:ind w:firstLineChars="0" w:firstLine="4515"/>
              <w:rPr>
                <w:rFonts w:ascii="仿宋_GB2312" w:eastAsia="仿宋_GB2312" w:hAnsi="宋体" w:cs="Microsoft JhengHei"/>
                <w:color w:val="000000"/>
                <w:sz w:val="20"/>
                <w:u w:val="single"/>
                <w:lang w:eastAsia="en-US"/>
              </w:rPr>
            </w:pPr>
          </w:p>
          <w:p w:rsidR="00800760" w:rsidRDefault="00235733">
            <w:pPr>
              <w:spacing w:line="360" w:lineRule="auto"/>
              <w:ind w:firstLineChars="0" w:firstLine="444"/>
              <w:jc w:val="right"/>
              <w:rPr>
                <w:rFonts w:ascii="仿宋_GB2312" w:eastAsia="仿宋_GB2312" w:hAnsi="宋体" w:cs="Microsoft JhengHei"/>
                <w:color w:val="000000"/>
                <w:sz w:val="20"/>
                <w:lang w:eastAsia="en-US"/>
              </w:rPr>
            </w:pP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年</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月</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日</w:t>
            </w:r>
            <w:r>
              <w:rPr>
                <w:rFonts w:ascii="仿宋_GB2312" w:eastAsia="仿宋_GB2312" w:hAnsi="宋体" w:cs="Microsoft JhengHei" w:hint="eastAsia"/>
                <w:color w:val="000000"/>
                <w:sz w:val="20"/>
                <w:lang w:eastAsia="en-US"/>
              </w:rPr>
              <w:t xml:space="preserve">  </w:t>
            </w:r>
          </w:p>
        </w:tc>
      </w:tr>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送达人签章</w:t>
            </w:r>
          </w:p>
        </w:tc>
        <w:tc>
          <w:tcPr>
            <w:tcW w:w="3539" w:type="pct"/>
            <w:shd w:val="clear" w:color="auto" w:fill="auto"/>
            <w:tcMar>
              <w:left w:w="57" w:type="dxa"/>
              <w:right w:w="57" w:type="dxa"/>
            </w:tcMar>
          </w:tcPr>
          <w:p w:rsidR="00800760" w:rsidRDefault="00800760">
            <w:pPr>
              <w:spacing w:line="360" w:lineRule="auto"/>
              <w:ind w:firstLineChars="0" w:firstLine="4515"/>
              <w:rPr>
                <w:rFonts w:ascii="仿宋_GB2312" w:eastAsia="仿宋_GB2312" w:hAnsi="宋体" w:cs="Microsoft JhengHei"/>
                <w:color w:val="000000"/>
                <w:sz w:val="20"/>
                <w:u w:val="single"/>
                <w:lang w:eastAsia="en-US"/>
              </w:rPr>
            </w:pPr>
          </w:p>
          <w:p w:rsidR="00800760" w:rsidRDefault="00800760">
            <w:pPr>
              <w:spacing w:line="360" w:lineRule="auto"/>
              <w:ind w:firstLineChars="0" w:firstLine="4515"/>
              <w:rPr>
                <w:rFonts w:ascii="仿宋_GB2312" w:eastAsia="仿宋_GB2312" w:hAnsi="宋体" w:cs="Microsoft JhengHei"/>
                <w:color w:val="000000"/>
                <w:sz w:val="20"/>
                <w:u w:val="single"/>
                <w:lang w:eastAsia="en-US"/>
              </w:rPr>
            </w:pPr>
          </w:p>
          <w:p w:rsidR="00800760" w:rsidRDefault="00800760">
            <w:pPr>
              <w:spacing w:line="360" w:lineRule="auto"/>
              <w:ind w:firstLineChars="0" w:firstLine="4515"/>
              <w:rPr>
                <w:rFonts w:ascii="仿宋_GB2312" w:eastAsia="仿宋_GB2312" w:hAnsi="宋体" w:cs="Microsoft JhengHei"/>
                <w:color w:val="000000"/>
                <w:sz w:val="20"/>
                <w:u w:val="single"/>
                <w:lang w:eastAsia="en-US"/>
              </w:rPr>
            </w:pPr>
          </w:p>
          <w:p w:rsidR="00800760" w:rsidRDefault="00235733">
            <w:pPr>
              <w:spacing w:line="360" w:lineRule="auto"/>
              <w:ind w:firstLineChars="0" w:firstLine="444"/>
              <w:jc w:val="right"/>
              <w:rPr>
                <w:rFonts w:ascii="仿宋_GB2312" w:eastAsia="仿宋_GB2312" w:hAnsi="宋体" w:cs="Microsoft JhengHei"/>
                <w:color w:val="000000"/>
                <w:sz w:val="20"/>
                <w:lang w:eastAsia="en-US"/>
              </w:rPr>
            </w:pP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年</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月</w:t>
            </w:r>
            <w:r>
              <w:rPr>
                <w:rFonts w:ascii="仿宋_GB2312" w:eastAsia="仿宋_GB2312" w:hAnsi="宋体" w:cs="PMingLiU" w:hint="eastAsia"/>
                <w:color w:val="000000"/>
                <w:spacing w:val="6"/>
                <w:sz w:val="20"/>
                <w:u w:val="single"/>
                <w:lang w:eastAsia="en-US"/>
              </w:rPr>
              <w:t xml:space="preserve">    </w:t>
            </w:r>
            <w:r>
              <w:rPr>
                <w:rFonts w:ascii="仿宋_GB2312" w:eastAsia="仿宋_GB2312" w:hAnsi="宋体" w:cs="PMingLiU" w:hint="eastAsia"/>
                <w:color w:val="000000"/>
                <w:spacing w:val="6"/>
                <w:sz w:val="20"/>
                <w:lang w:eastAsia="en-US"/>
              </w:rPr>
              <w:t>日</w:t>
            </w:r>
            <w:r>
              <w:rPr>
                <w:rFonts w:ascii="仿宋_GB2312" w:eastAsia="仿宋_GB2312" w:hAnsi="宋体" w:cs="Microsoft JhengHei" w:hint="eastAsia"/>
                <w:color w:val="000000"/>
                <w:sz w:val="20"/>
                <w:lang w:eastAsia="en-US"/>
              </w:rPr>
              <w:t xml:space="preserve">  </w:t>
            </w:r>
          </w:p>
        </w:tc>
      </w:tr>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备注</w:t>
            </w:r>
          </w:p>
        </w:tc>
        <w:tc>
          <w:tcPr>
            <w:tcW w:w="3539" w:type="pct"/>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461"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填写说明</w:t>
            </w:r>
          </w:p>
        </w:tc>
        <w:tc>
          <w:tcPr>
            <w:tcW w:w="3539" w:type="pct"/>
            <w:shd w:val="clear" w:color="auto" w:fill="auto"/>
            <w:tcMar>
              <w:left w:w="57" w:type="dxa"/>
              <w:right w:w="57" w:type="dxa"/>
            </w:tcMar>
          </w:tcPr>
          <w:p w:rsidR="00800760" w:rsidRDefault="00235733">
            <w:pPr>
              <w:tabs>
                <w:tab w:val="left" w:pos="298"/>
              </w:tabs>
              <w:spacing w:line="360" w:lineRule="auto"/>
              <w:ind w:firstLineChars="0" w:firstLine="0"/>
              <w:rPr>
                <w:rFonts w:ascii="仿宋_GB2312" w:eastAsia="仿宋_GB2312" w:hAnsi="仿宋"/>
                <w:color w:val="000000"/>
                <w:sz w:val="20"/>
              </w:rPr>
            </w:pPr>
            <w:r>
              <w:rPr>
                <w:rFonts w:ascii="仿宋_GB2312" w:eastAsia="仿宋_GB2312" w:hAnsi="PMingLiU" w:cs="PMingLiU" w:hint="eastAsia"/>
                <w:color w:val="000000"/>
                <w:sz w:val="20"/>
                <w:lang w:val="zh-CN" w:bidi="zh-CN"/>
              </w:rPr>
              <w:t>1</w:t>
            </w:r>
            <w:r>
              <w:rPr>
                <w:rFonts w:ascii="仿宋_GB2312" w:eastAsia="仿宋_GB2312" w:hAnsi="仿宋" w:cs="PMingLiU" w:hint="eastAsia"/>
                <w:color w:val="000000"/>
                <w:sz w:val="20"/>
                <w:lang w:val="zh-CN" w:bidi="zh-CN"/>
              </w:rPr>
              <w:t>.代替被送达人收件的，由代收人在收件人栏内签名或者盖章，并在备注栏中注明与被送达人的关系。</w:t>
            </w:r>
          </w:p>
          <w:p w:rsidR="00800760" w:rsidRDefault="00235733">
            <w:pPr>
              <w:tabs>
                <w:tab w:val="left" w:pos="331"/>
              </w:tabs>
              <w:spacing w:line="360" w:lineRule="auto"/>
              <w:ind w:firstLineChars="0" w:firstLine="0"/>
              <w:rPr>
                <w:rFonts w:ascii="仿宋_GB2312" w:eastAsia="仿宋_GB2312" w:hAnsi="仿宋" w:cs="PMingLiU"/>
                <w:color w:val="000000"/>
                <w:sz w:val="20"/>
                <w:lang w:val="zh-CN" w:bidi="zh-CN"/>
              </w:rPr>
            </w:pPr>
            <w:r>
              <w:rPr>
                <w:rFonts w:ascii="仿宋_GB2312" w:eastAsia="仿宋_GB2312" w:hAnsi="PMingLiU" w:cs="PMingLiU" w:hint="eastAsia"/>
                <w:color w:val="000000"/>
                <w:sz w:val="20"/>
                <w:lang w:bidi="zh-CN"/>
              </w:rPr>
              <w:t>2</w:t>
            </w:r>
            <w:r>
              <w:rPr>
                <w:rFonts w:ascii="仿宋_GB2312" w:eastAsia="仿宋_GB2312" w:hAnsi="仿宋" w:cs="PMingLiU" w:hint="eastAsia"/>
                <w:color w:val="000000"/>
                <w:sz w:val="20"/>
                <w:lang w:bidi="zh-CN"/>
              </w:rPr>
              <w:t>.</w:t>
            </w:r>
            <w:r>
              <w:rPr>
                <w:rFonts w:ascii="仿宋_GB2312" w:eastAsia="仿宋_GB2312" w:hAnsi="仿宋" w:cs="PMingLiU" w:hint="eastAsia"/>
                <w:color w:val="000000"/>
                <w:sz w:val="20"/>
                <w:lang w:val="zh-CN" w:bidi="zh-CN"/>
              </w:rPr>
              <w:t>邮寄送达的，被送达人或代理人收到有关文书后，请于</w:t>
            </w:r>
            <w:r>
              <w:rPr>
                <w:rFonts w:ascii="仿宋_GB2312" w:eastAsia="仿宋_GB2312" w:hAnsi="PMingLiU" w:cs="PMingLiU" w:hint="eastAsia"/>
                <w:color w:val="000000"/>
                <w:sz w:val="20"/>
                <w:lang w:val="zh-CN" w:bidi="zh-CN"/>
              </w:rPr>
              <w:t>3</w:t>
            </w:r>
            <w:r>
              <w:rPr>
                <w:rFonts w:ascii="仿宋_GB2312" w:eastAsia="仿宋_GB2312" w:hAnsi="仿宋" w:cs="PMingLiU" w:hint="eastAsia"/>
                <w:color w:val="000000"/>
                <w:sz w:val="20"/>
                <w:lang w:val="zh-CN" w:bidi="zh-CN"/>
              </w:rPr>
              <w:t>日内填写此送达回证并寄回本局。</w:t>
            </w:r>
          </w:p>
          <w:p w:rsidR="00800760" w:rsidRDefault="00235733">
            <w:pPr>
              <w:tabs>
                <w:tab w:val="left" w:pos="331"/>
              </w:tabs>
              <w:spacing w:line="360" w:lineRule="auto"/>
              <w:ind w:firstLineChars="0" w:firstLine="0"/>
              <w:rPr>
                <w:rFonts w:ascii="仿宋_GB2312" w:eastAsia="仿宋_GB2312" w:hAnsi="仿宋" w:cs="PMingLiU"/>
                <w:color w:val="000000"/>
                <w:sz w:val="20"/>
                <w:lang w:val="zh-CN" w:bidi="zh-CN"/>
              </w:rPr>
            </w:pPr>
            <w:r>
              <w:rPr>
                <w:rFonts w:ascii="仿宋_GB2312" w:eastAsia="仿宋_GB2312" w:hAnsi="仿宋" w:cs="PMingLiU" w:hint="eastAsia"/>
                <w:color w:val="000000"/>
                <w:sz w:val="20"/>
                <w:lang w:val="zh-CN" w:bidi="zh-CN"/>
              </w:rPr>
              <w:t>联 系 人：</w:t>
            </w:r>
          </w:p>
          <w:p w:rsidR="00800760" w:rsidRDefault="00235733">
            <w:pPr>
              <w:tabs>
                <w:tab w:val="left" w:pos="331"/>
              </w:tabs>
              <w:spacing w:line="360" w:lineRule="auto"/>
              <w:ind w:firstLineChars="0" w:firstLine="0"/>
              <w:rPr>
                <w:rFonts w:ascii="仿宋_GB2312" w:eastAsia="仿宋_GB2312" w:hAnsi="仿宋" w:cs="PMingLiU"/>
                <w:color w:val="000000"/>
                <w:sz w:val="20"/>
                <w:lang w:val="zh-CN" w:bidi="zh-CN"/>
              </w:rPr>
            </w:pPr>
            <w:r>
              <w:rPr>
                <w:rFonts w:ascii="仿宋_GB2312" w:eastAsia="仿宋_GB2312" w:hAnsi="仿宋" w:cs="PMingLiU" w:hint="eastAsia"/>
                <w:color w:val="000000"/>
                <w:sz w:val="20"/>
                <w:lang w:val="zh-CN" w:bidi="zh-CN"/>
              </w:rPr>
              <w:t>联系电话：</w:t>
            </w:r>
          </w:p>
          <w:p w:rsidR="00800760" w:rsidRDefault="00235733">
            <w:pPr>
              <w:tabs>
                <w:tab w:val="left" w:pos="331"/>
              </w:tabs>
              <w:spacing w:line="360" w:lineRule="auto"/>
              <w:ind w:firstLineChars="0" w:firstLine="0"/>
              <w:rPr>
                <w:rFonts w:ascii="仿宋_GB2312" w:eastAsia="仿宋_GB2312" w:hAnsi="仿宋" w:cs="PMingLiU"/>
                <w:color w:val="000000"/>
                <w:sz w:val="20"/>
                <w:lang w:val="zh-CN" w:bidi="zh-CN"/>
              </w:rPr>
            </w:pPr>
            <w:r>
              <w:rPr>
                <w:rFonts w:ascii="仿宋_GB2312" w:eastAsia="仿宋_GB2312" w:hAnsi="仿宋" w:cs="PMingLiU" w:hint="eastAsia"/>
                <w:color w:val="000000"/>
                <w:sz w:val="20"/>
                <w:lang w:val="zh-CN" w:bidi="zh-CN"/>
              </w:rPr>
              <w:t>本局地址：</w:t>
            </w:r>
          </w:p>
          <w:p w:rsidR="00800760" w:rsidRDefault="00235733">
            <w:pPr>
              <w:tabs>
                <w:tab w:val="left" w:pos="331"/>
              </w:tabs>
              <w:spacing w:line="360" w:lineRule="auto"/>
              <w:ind w:firstLineChars="0" w:firstLine="0"/>
              <w:rPr>
                <w:rFonts w:ascii="仿宋_GB2312" w:eastAsia="仿宋_GB2312" w:hAnsi="宋体" w:cs="Microsoft JhengHei"/>
                <w:color w:val="000000"/>
                <w:sz w:val="20"/>
                <w:lang w:eastAsia="en-US"/>
              </w:rPr>
            </w:pPr>
            <w:r>
              <w:rPr>
                <w:rFonts w:ascii="仿宋_GB2312" w:eastAsia="仿宋_GB2312" w:hAnsi="仿宋" w:cs="PMingLiU" w:hint="eastAsia"/>
                <w:color w:val="000000"/>
                <w:sz w:val="20"/>
                <w:lang w:val="zh-CN" w:eastAsia="en-US" w:bidi="zh-CN"/>
              </w:rPr>
              <w:t>邮政编码：</w:t>
            </w:r>
          </w:p>
        </w:tc>
      </w:tr>
    </w:tbl>
    <w:p w:rsidR="00800760" w:rsidRDefault="00800760">
      <w:pPr>
        <w:spacing w:line="360" w:lineRule="auto"/>
        <w:ind w:left="440" w:firstLineChars="0" w:firstLine="422"/>
        <w:rPr>
          <w:rFonts w:ascii="仿宋_GB2312" w:eastAsia="仿宋_GB2312" w:hAnsi="宋体" w:cs="Microsoft JhengHei"/>
          <w:b/>
          <w:color w:val="000000"/>
          <w:sz w:val="20"/>
          <w:lang w:eastAsia="en-US"/>
        </w:rPr>
      </w:pPr>
    </w:p>
    <w:p w:rsidR="00800760" w:rsidRDefault="00235733" w:rsidP="00C22A7B">
      <w:pPr>
        <w:widowControl w:val="0"/>
        <w:spacing w:beforeLines="50" w:afterLines="50"/>
        <w:ind w:firstLineChars="0" w:firstLine="0"/>
        <w:jc w:val="center"/>
        <w:rPr>
          <w:rFonts w:ascii="宋体" w:hAnsi="宋体" w:cs="PMingLiU"/>
          <w:b/>
          <w:color w:val="000000"/>
          <w:szCs w:val="21"/>
        </w:rPr>
      </w:pPr>
      <w:r>
        <w:rPr>
          <w:rFonts w:ascii="宋体" w:hAnsi="宋体"/>
          <w:b/>
          <w:color w:val="000000"/>
          <w:szCs w:val="21"/>
        </w:rPr>
        <w:br w:type="page"/>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专利侵权纠纷</w:t>
      </w:r>
      <w:r>
        <w:rPr>
          <w:rFonts w:ascii="方正小标宋_GBK" w:eastAsia="方正小标宋_GBK" w:hAnsi="宋体" w:hint="eastAsia"/>
          <w:color w:val="000000"/>
          <w:spacing w:val="6"/>
          <w:sz w:val="36"/>
          <w:szCs w:val="36"/>
        </w:rPr>
        <w:t>行政裁决</w:t>
      </w:r>
      <w:r>
        <w:rPr>
          <w:rFonts w:ascii="方正小标宋_GBK" w:eastAsia="方正小标宋_GBK" w:hAnsi="宋体"/>
          <w:color w:val="000000"/>
          <w:spacing w:val="6"/>
          <w:sz w:val="36"/>
          <w:szCs w:val="36"/>
        </w:rPr>
        <w:t>修改更正通知书</w:t>
      </w:r>
    </w:p>
    <w:p w:rsidR="00800760" w:rsidRDefault="00235733" w:rsidP="00C22A7B">
      <w:pPr>
        <w:widowControl w:val="0"/>
        <w:spacing w:beforeLines="50" w:afterLines="5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p w:rsidR="00800760" w:rsidRDefault="00235733" w:rsidP="00C22A7B">
      <w:pPr>
        <w:tabs>
          <w:tab w:val="left" w:leader="underscore" w:pos="2154"/>
          <w:tab w:val="left" w:leader="underscore" w:pos="2898"/>
          <w:tab w:val="left" w:leader="underscore" w:pos="3508"/>
        </w:tabs>
        <w:spacing w:beforeLines="50" w:afterLines="50"/>
        <w:ind w:firstLineChars="0" w:firstLine="0"/>
        <w:jc w:val="both"/>
        <w:rPr>
          <w:rFonts w:ascii="仿宋_GB2312" w:eastAsia="仿宋_GB2312" w:hAnsi="仿宋" w:cs="PMingLiU"/>
          <w:color w:val="000000"/>
          <w:sz w:val="20"/>
        </w:rPr>
      </w:pPr>
      <w:r>
        <w:rPr>
          <w:rFonts w:ascii="仿宋_GB2312" w:eastAsia="仿宋_GB2312" w:hAnsi="仿宋" w:cs="PMingLiU" w:hint="eastAsia"/>
          <w:color w:val="000000"/>
          <w:sz w:val="20"/>
          <w:u w:val="single"/>
        </w:rPr>
        <w:t xml:space="preserve">                         </w:t>
      </w:r>
      <w:r>
        <w:rPr>
          <w:rFonts w:ascii="仿宋_GB2312" w:eastAsia="仿宋_GB2312" w:hAnsi="仿宋" w:cs="PMingLiU" w:hint="eastAsia"/>
          <w:color w:val="000000"/>
          <w:sz w:val="20"/>
        </w:rPr>
        <w:t>：</w:t>
      </w:r>
    </w:p>
    <w:p w:rsidR="00800760" w:rsidRDefault="00235733" w:rsidP="00C22A7B">
      <w:pPr>
        <w:tabs>
          <w:tab w:val="left" w:leader="underscore" w:pos="2154"/>
          <w:tab w:val="left" w:leader="underscore" w:pos="2898"/>
          <w:tab w:val="left" w:leader="underscore" w:pos="3508"/>
        </w:tabs>
        <w:spacing w:beforeLines="50" w:afterLines="50"/>
        <w:ind w:firstLineChars="255" w:firstLine="510"/>
        <w:jc w:val="both"/>
        <w:rPr>
          <w:rFonts w:ascii="仿宋_GB2312" w:eastAsia="仿宋_GB2312" w:hAnsi="仿宋" w:cs="PMingLiU"/>
          <w:color w:val="000000"/>
          <w:sz w:val="20"/>
          <w:u w:val="single"/>
        </w:rPr>
      </w:pPr>
      <w:r>
        <w:rPr>
          <w:rFonts w:ascii="仿宋_GB2312" w:eastAsia="仿宋_GB2312" w:hAnsi="仿宋" w:cs="PMingLiU" w:hint="eastAsia"/>
          <w:color w:val="000000"/>
          <w:sz w:val="20"/>
        </w:rPr>
        <w:t>对本局于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仿宋" w:cs="PMingLiU" w:hint="eastAsia"/>
          <w:color w:val="000000"/>
          <w:sz w:val="20"/>
        </w:rPr>
        <w:t>作出的专利侵权纠纷行政裁决，现修改其中错误：</w:t>
      </w:r>
      <w:r>
        <w:rPr>
          <w:rFonts w:ascii="仿宋_GB2312" w:eastAsia="仿宋_GB2312" w:hAnsi="仿宋" w:cs="PMingLiU" w:hint="eastAsia"/>
          <w:color w:val="000000"/>
          <w:sz w:val="20"/>
          <w:u w:val="single"/>
        </w:rPr>
        <w:t xml:space="preserve">                                                                   。</w:t>
      </w:r>
    </w:p>
    <w:p w:rsidR="00800760" w:rsidRDefault="00235733" w:rsidP="00C22A7B">
      <w:pPr>
        <w:spacing w:beforeLines="50" w:afterLines="50"/>
        <w:ind w:left="460" w:firstLineChars="0" w:firstLine="0"/>
        <w:jc w:val="both"/>
        <w:rPr>
          <w:rFonts w:ascii="仿宋_GB2312" w:eastAsia="仿宋_GB2312" w:hAnsi="仿宋" w:cs="PMingLiU"/>
          <w:color w:val="000000"/>
          <w:sz w:val="20"/>
        </w:rPr>
      </w:pPr>
      <w:r>
        <w:rPr>
          <w:rFonts w:ascii="仿宋_GB2312" w:eastAsia="仿宋_GB2312" w:hAnsi="仿宋" w:cs="PMingLiU" w:hint="eastAsia"/>
          <w:color w:val="000000"/>
          <w:sz w:val="20"/>
        </w:rPr>
        <w:t>附：专利侵权纠纷行政裁决书修正版副本。</w:t>
      </w:r>
    </w:p>
    <w:p w:rsidR="00800760" w:rsidRDefault="00800760" w:rsidP="00C22A7B">
      <w:pPr>
        <w:spacing w:beforeLines="50" w:afterLines="50"/>
        <w:ind w:left="460" w:firstLineChars="0" w:firstLine="0"/>
        <w:jc w:val="both"/>
        <w:rPr>
          <w:rFonts w:ascii="仿宋_GB2312" w:eastAsia="仿宋_GB2312" w:hAnsi="仿宋" w:cs="PMingLiU"/>
          <w:color w:val="000000"/>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rsidP="00C22A7B">
      <w:pPr>
        <w:spacing w:beforeLines="50" w:afterLines="50"/>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800760">
      <w:pPr>
        <w:ind w:firstLineChars="0" w:firstLine="0"/>
        <w:rPr>
          <w:rFonts w:ascii="仿宋_GB2312" w:eastAsia="仿宋_GB2312" w:hAnsi="仿宋" w:cs="PMingLiU"/>
          <w:iCs/>
          <w:color w:val="000000"/>
          <w:sz w:val="20"/>
        </w:rPr>
      </w:pPr>
    </w:p>
    <w:p w:rsidR="00800760" w:rsidRDefault="00800760">
      <w:pPr>
        <w:ind w:left="420" w:firstLineChars="1937" w:firstLine="3874"/>
        <w:rPr>
          <w:rFonts w:ascii="仿宋_GB2312" w:eastAsia="仿宋_GB2312" w:hAnsi="仿宋" w:cs="PMingLiU"/>
          <w:iCs/>
          <w:color w:val="000000"/>
          <w:sz w:val="20"/>
        </w:rPr>
      </w:pPr>
    </w:p>
    <w:p w:rsidR="00800760" w:rsidRDefault="00235733">
      <w:pPr>
        <w:ind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t>说明：本通知书一式三份，两份分别送达当事人，一份由知识产权局存挡。</w:t>
      </w:r>
    </w:p>
    <w:p w:rsidR="00800760" w:rsidRDefault="00235733">
      <w:pPr>
        <w:spacing w:line="240" w:lineRule="auto"/>
        <w:ind w:firstLineChars="0" w:firstLine="0"/>
        <w:rPr>
          <w:rFonts w:ascii="仿宋_GB2312" w:eastAsia="仿宋_GB2312" w:hAnsi="仿宋" w:cs="PMingLiU"/>
          <w:color w:val="000000"/>
          <w:szCs w:val="21"/>
        </w:rPr>
      </w:pPr>
      <w:r>
        <w:rPr>
          <w:rFonts w:ascii="仿宋_GB2312" w:eastAsia="仿宋_GB2312" w:hAnsi="仿宋" w:cs="PMingLiU"/>
          <w:color w:val="000000"/>
          <w:szCs w:val="21"/>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重大专利侵权纠纷行政裁决修改更正通知书</w:t>
      </w:r>
    </w:p>
    <w:p w:rsidR="00800760" w:rsidRDefault="00235733">
      <w:pPr>
        <w:spacing w:line="360" w:lineRule="auto"/>
        <w:ind w:firstLineChars="0" w:firstLine="0"/>
        <w:jc w:val="right"/>
        <w:rPr>
          <w:rFonts w:ascii="仿宋_GB2312" w:eastAsia="仿宋_GB2312" w:hAnsi="仿宋"/>
          <w:color w:val="000000"/>
          <w:sz w:val="20"/>
          <w:szCs w:val="21"/>
        </w:rPr>
      </w:pPr>
      <w:r>
        <w:rPr>
          <w:rFonts w:ascii="仿宋_GB2312" w:eastAsia="仿宋_GB2312" w:hAnsi="仿宋" w:hint="eastAsia"/>
          <w:color w:val="000000"/>
          <w:sz w:val="20"/>
          <w:szCs w:val="21"/>
        </w:rPr>
        <w:t>案号：____________________</w:t>
      </w:r>
    </w:p>
    <w:p w:rsidR="00800760" w:rsidRDefault="00235733">
      <w:pPr>
        <w:tabs>
          <w:tab w:val="left" w:leader="underscore" w:pos="2154"/>
          <w:tab w:val="left" w:leader="underscore" w:pos="2898"/>
          <w:tab w:val="left" w:leader="underscore" w:pos="3508"/>
        </w:tabs>
        <w:spacing w:line="360" w:lineRule="auto"/>
        <w:ind w:firstLineChars="0" w:firstLine="0"/>
        <w:rPr>
          <w:rFonts w:ascii="仿宋_GB2312" w:eastAsia="仿宋_GB2312" w:hAnsi="仿宋" w:cs="PMingLiU"/>
          <w:color w:val="000000"/>
          <w:sz w:val="20"/>
          <w:szCs w:val="21"/>
        </w:rPr>
      </w:pPr>
      <w:r>
        <w:rPr>
          <w:rFonts w:ascii="仿宋_GB2312" w:eastAsia="仿宋_GB2312" w:hAnsi="仿宋" w:cs="PMingLiU" w:hint="eastAsia"/>
          <w:color w:val="000000"/>
          <w:sz w:val="20"/>
          <w:szCs w:val="21"/>
          <w:u w:val="single"/>
        </w:rPr>
        <w:t xml:space="preserve">                         </w:t>
      </w:r>
      <w:r>
        <w:rPr>
          <w:rFonts w:ascii="仿宋_GB2312" w:eastAsia="仿宋_GB2312" w:hAnsi="仿宋" w:cs="PMingLiU" w:hint="eastAsia"/>
          <w:color w:val="000000"/>
          <w:sz w:val="20"/>
          <w:szCs w:val="21"/>
        </w:rPr>
        <w:t>：</w:t>
      </w:r>
    </w:p>
    <w:p w:rsidR="00800760" w:rsidRDefault="00235733" w:rsidP="00235733">
      <w:pPr>
        <w:tabs>
          <w:tab w:val="left" w:leader="underscore" w:pos="2154"/>
          <w:tab w:val="left" w:leader="underscore" w:pos="2898"/>
          <w:tab w:val="left" w:leader="underscore" w:pos="3508"/>
        </w:tabs>
        <w:spacing w:line="360" w:lineRule="auto"/>
        <w:ind w:firstLineChars="255" w:firstLine="510"/>
        <w:rPr>
          <w:rFonts w:ascii="仿宋_GB2312" w:eastAsia="仿宋_GB2312" w:hAnsi="仿宋" w:cs="PMingLiU"/>
          <w:color w:val="000000"/>
          <w:sz w:val="20"/>
          <w:szCs w:val="21"/>
          <w:u w:val="single"/>
        </w:rPr>
      </w:pPr>
      <w:r>
        <w:rPr>
          <w:rFonts w:ascii="仿宋_GB2312" w:eastAsia="仿宋_GB2312" w:hAnsi="仿宋" w:cs="PMingLiU" w:hint="eastAsia"/>
          <w:color w:val="000000"/>
          <w:sz w:val="20"/>
          <w:szCs w:val="21"/>
        </w:rPr>
        <w:t>对本局于</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_GB2312" w:eastAsia="仿宋_GB2312" w:hAnsi="仿宋" w:cs="PMingLiU" w:hint="eastAsia"/>
          <w:color w:val="000000"/>
          <w:sz w:val="20"/>
          <w:szCs w:val="21"/>
        </w:rPr>
        <w:t>作出的专利侵权纠纷行政裁决，现修改其中错误：</w:t>
      </w:r>
      <w:r>
        <w:rPr>
          <w:rFonts w:ascii="仿宋_GB2312" w:eastAsia="仿宋_GB2312" w:hAnsi="仿宋" w:cs="PMingLiU" w:hint="eastAsia"/>
          <w:color w:val="000000"/>
          <w:sz w:val="20"/>
          <w:szCs w:val="21"/>
          <w:u w:val="single"/>
        </w:rPr>
        <w:t xml:space="preserve">                                                                   。</w:t>
      </w:r>
    </w:p>
    <w:p w:rsidR="00800760" w:rsidRDefault="00235733">
      <w:pPr>
        <w:spacing w:line="360" w:lineRule="auto"/>
        <w:ind w:left="460" w:firstLineChars="0" w:firstLine="0"/>
        <w:rPr>
          <w:rFonts w:ascii="仿宋_GB2312" w:eastAsia="仿宋_GB2312" w:hAnsi="仿宋" w:cs="PMingLiU"/>
          <w:color w:val="000000"/>
          <w:sz w:val="20"/>
          <w:szCs w:val="21"/>
        </w:rPr>
      </w:pPr>
      <w:r>
        <w:rPr>
          <w:rFonts w:ascii="仿宋_GB2312" w:eastAsia="仿宋_GB2312" w:hAnsi="仿宋" w:cs="PMingLiU" w:hint="eastAsia"/>
          <w:color w:val="000000"/>
          <w:sz w:val="20"/>
          <w:szCs w:val="21"/>
        </w:rPr>
        <w:t>附：重大专利侵权纠纷行政裁决书修正版副本。</w:t>
      </w:r>
    </w:p>
    <w:p w:rsidR="00800760" w:rsidRDefault="00800760">
      <w:pPr>
        <w:spacing w:line="360" w:lineRule="auto"/>
        <w:ind w:left="460" w:firstLineChars="0" w:firstLine="0"/>
        <w:rPr>
          <w:rFonts w:ascii="仿宋_GB2312" w:eastAsia="仿宋_GB2312" w:hAnsi="仿宋" w:cs="PMingLiU"/>
          <w:color w:val="000000"/>
          <w:sz w:val="20"/>
          <w:szCs w:val="21"/>
        </w:rPr>
      </w:pP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国家知识产权局（盖章）　　</w:t>
      </w: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left="420" w:firstLineChars="1937" w:firstLine="3874"/>
        <w:rPr>
          <w:rFonts w:ascii="仿宋_GB2312" w:eastAsia="仿宋_GB2312" w:hAnsi="仿宋" w:cs="PMingLiU"/>
          <w:iCs/>
          <w:color w:val="000000"/>
          <w:sz w:val="20"/>
          <w:szCs w:val="21"/>
        </w:rPr>
      </w:pPr>
    </w:p>
    <w:p w:rsidR="00800760" w:rsidRDefault="00800760">
      <w:pPr>
        <w:spacing w:line="360" w:lineRule="auto"/>
        <w:ind w:firstLineChars="0" w:firstLine="0"/>
        <w:rPr>
          <w:rFonts w:ascii="仿宋_GB2312" w:eastAsia="仿宋_GB2312" w:hAnsi="仿宋" w:cs="PMingLiU"/>
          <w:iCs/>
          <w:color w:val="000000"/>
          <w:sz w:val="20"/>
          <w:szCs w:val="21"/>
        </w:rPr>
      </w:pPr>
    </w:p>
    <w:p w:rsidR="00800760" w:rsidRDefault="00800760">
      <w:pPr>
        <w:spacing w:line="360" w:lineRule="auto"/>
        <w:ind w:firstLineChars="0" w:firstLine="0"/>
        <w:rPr>
          <w:rFonts w:ascii="仿宋_GB2312" w:eastAsia="仿宋_GB2312" w:hAnsi="仿宋" w:cs="PMingLiU"/>
          <w:iCs/>
          <w:color w:val="000000"/>
          <w:sz w:val="20"/>
          <w:szCs w:val="21"/>
        </w:rPr>
      </w:pPr>
    </w:p>
    <w:p w:rsidR="00800760" w:rsidRDefault="00235733">
      <w:pPr>
        <w:spacing w:line="360" w:lineRule="auto"/>
        <w:ind w:firstLineChars="0" w:firstLine="0"/>
        <w:rPr>
          <w:rFonts w:ascii="仿宋_GB2312" w:eastAsia="仿宋_GB2312" w:hAnsi="仿宋" w:cs="PMingLiU"/>
          <w:color w:val="000000"/>
          <w:sz w:val="20"/>
          <w:szCs w:val="21"/>
        </w:rPr>
      </w:pPr>
      <w:r>
        <w:rPr>
          <w:rFonts w:ascii="仿宋_GB2312" w:eastAsia="仿宋_GB2312" w:hAnsi="仿宋" w:cs="PMingLiU" w:hint="eastAsia"/>
          <w:color w:val="000000"/>
          <w:sz w:val="20"/>
          <w:szCs w:val="21"/>
        </w:rPr>
        <w:t>说明：本通知书一式三份，两份分别送达当事人，一份由国家知识产权局存挡。</w:t>
      </w:r>
    </w:p>
    <w:p w:rsidR="00800760" w:rsidRDefault="00235733">
      <w:pPr>
        <w:spacing w:line="240" w:lineRule="auto"/>
        <w:ind w:firstLineChars="0" w:firstLine="0"/>
        <w:jc w:val="center"/>
        <w:rPr>
          <w:rFonts w:ascii="方正小标宋_GBK" w:eastAsia="方正小标宋_GBK" w:hAnsi="宋体"/>
          <w:color w:val="000000"/>
          <w:spacing w:val="6"/>
          <w:sz w:val="36"/>
          <w:szCs w:val="36"/>
        </w:rPr>
      </w:pPr>
      <w:r>
        <w:rPr>
          <w:rFonts w:ascii="宋体" w:hAnsi="宋体"/>
          <w:b/>
          <w:color w:val="000000"/>
          <w:sz w:val="20"/>
          <w:szCs w:val="21"/>
        </w:rPr>
        <w:br w:type="page"/>
      </w:r>
      <w:r>
        <w:rPr>
          <w:rFonts w:ascii="方正小标宋_GBK" w:eastAsia="方正小标宋_GBK" w:hAnsi="宋体"/>
          <w:color w:val="000000"/>
          <w:spacing w:val="6"/>
          <w:sz w:val="36"/>
          <w:szCs w:val="36"/>
        </w:rPr>
        <w:t>专利侵权纠纷</w:t>
      </w:r>
      <w:r>
        <w:rPr>
          <w:rFonts w:ascii="方正小标宋_GBK" w:eastAsia="方正小标宋_GBK" w:hAnsi="宋体" w:hint="eastAsia"/>
          <w:color w:val="000000"/>
          <w:spacing w:val="6"/>
          <w:sz w:val="36"/>
          <w:szCs w:val="36"/>
        </w:rPr>
        <w:t>行政裁决</w:t>
      </w:r>
      <w:r>
        <w:rPr>
          <w:rFonts w:ascii="方正小标宋_GBK" w:eastAsia="方正小标宋_GBK" w:hAnsi="宋体"/>
          <w:color w:val="000000"/>
          <w:spacing w:val="6"/>
          <w:sz w:val="36"/>
          <w:szCs w:val="36"/>
        </w:rPr>
        <w:t>强制执行申请书</w:t>
      </w:r>
    </w:p>
    <w:p w:rsidR="00800760" w:rsidRDefault="00800760" w:rsidP="00C22A7B">
      <w:pPr>
        <w:spacing w:beforeLines="50" w:afterLines="50"/>
        <w:ind w:firstLineChars="0" w:firstLine="0"/>
        <w:jc w:val="both"/>
        <w:rPr>
          <w:rFonts w:ascii="仿宋_GB2312" w:eastAsia="仿宋_GB2312" w:hAnsi="仿宋"/>
          <w:color w:val="000000"/>
          <w:szCs w:val="21"/>
          <w:u w:val="single"/>
        </w:rPr>
      </w:pPr>
    </w:p>
    <w:p w:rsidR="00800760" w:rsidRDefault="00235733" w:rsidP="00C22A7B">
      <w:pPr>
        <w:spacing w:beforeLines="50" w:afterLines="50"/>
        <w:ind w:firstLineChars="0" w:firstLine="0"/>
        <w:jc w:val="both"/>
        <w:rPr>
          <w:rFonts w:ascii="仿宋" w:eastAsia="仿宋_GB2312" w:hAnsi="仿宋"/>
          <w:color w:val="000000"/>
          <w:sz w:val="20"/>
        </w:rPr>
      </w:pPr>
      <w:r>
        <w:rPr>
          <w:rFonts w:ascii="仿宋_GB2312" w:eastAsia="仿宋_GB2312" w:hAnsi="仿宋" w:hint="eastAsia"/>
          <w:color w:val="000000"/>
          <w:szCs w:val="21"/>
          <w:u w:val="single"/>
        </w:rPr>
        <w:t xml:space="preserve"> </w:t>
      </w:r>
      <w:r>
        <w:rPr>
          <w:rFonts w:ascii="仿宋_GB2312" w:eastAsia="仿宋_GB2312" w:hAnsi="仿宋" w:hint="eastAsia"/>
          <w:color w:val="000000"/>
          <w:sz w:val="20"/>
          <w:u w:val="single"/>
        </w:rPr>
        <w:t xml:space="preserve">                  </w:t>
      </w:r>
      <w:r>
        <w:rPr>
          <w:rFonts w:ascii="仿宋" w:eastAsia="仿宋_GB2312" w:hAnsi="仿宋"/>
          <w:color w:val="000000"/>
          <w:sz w:val="20"/>
        </w:rPr>
        <w:t>人民法院：</w:t>
      </w:r>
    </w:p>
    <w:p w:rsidR="00800760" w:rsidRDefault="00235733" w:rsidP="00C22A7B">
      <w:pPr>
        <w:tabs>
          <w:tab w:val="left" w:leader="underscore" w:pos="7277"/>
        </w:tabs>
        <w:spacing w:beforeLines="50" w:afterLines="50"/>
        <w:ind w:firstLine="400"/>
        <w:jc w:val="both"/>
        <w:rPr>
          <w:rFonts w:ascii="仿宋" w:eastAsia="仿宋_GB2312" w:hAnsi="仿宋"/>
          <w:color w:val="000000"/>
          <w:sz w:val="20"/>
        </w:rPr>
      </w:pPr>
      <w:r>
        <w:rPr>
          <w:rFonts w:ascii="仿宋" w:eastAsia="仿宋_GB2312" w:hAnsi="仿宋"/>
          <w:color w:val="000000"/>
          <w:sz w:val="20"/>
        </w:rPr>
        <w:t>我局于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 w:eastAsia="仿宋_GB2312" w:hAnsi="仿宋"/>
          <w:color w:val="000000"/>
          <w:sz w:val="20"/>
        </w:rPr>
        <w:t>针对</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号专利侵权纠纷作出</w:t>
      </w:r>
      <w:r>
        <w:rPr>
          <w:rFonts w:ascii="仿宋" w:eastAsia="仿宋_GB2312" w:hAnsi="仿宋" w:hint="eastAsia"/>
          <w:color w:val="000000"/>
          <w:sz w:val="20"/>
        </w:rPr>
        <w:t>行政裁决</w:t>
      </w:r>
      <w:r>
        <w:rPr>
          <w:rFonts w:ascii="仿宋" w:eastAsia="仿宋_GB2312" w:hAnsi="仿宋"/>
          <w:color w:val="000000"/>
          <w:sz w:val="20"/>
        </w:rPr>
        <w:t>，责令被请求人停止侵权行为。处理决定书已于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 w:eastAsia="仿宋_GB2312" w:hAnsi="仿宋"/>
          <w:color w:val="000000"/>
          <w:sz w:val="20"/>
        </w:rPr>
        <w:t>送达被请求人。</w:t>
      </w:r>
    </w:p>
    <w:p w:rsidR="00800760" w:rsidRDefault="00235733" w:rsidP="00C22A7B">
      <w:pPr>
        <w:spacing w:beforeLines="50" w:afterLines="50"/>
        <w:ind w:firstLineChars="0" w:firstLine="460"/>
        <w:jc w:val="both"/>
        <w:rPr>
          <w:rFonts w:ascii="仿宋_GB2312" w:eastAsia="仿宋_GB2312" w:hAnsi="仿宋"/>
          <w:color w:val="000000"/>
          <w:sz w:val="20"/>
        </w:rPr>
      </w:pPr>
      <w:r>
        <w:rPr>
          <w:rFonts w:ascii="仿宋_GB2312" w:eastAsia="仿宋_GB2312" w:hAnsi="仿宋" w:hint="eastAsia"/>
          <w:color w:val="000000"/>
          <w:sz w:val="20"/>
        </w:rPr>
        <w:t>我局发现：被请求人既未在收到行政裁决之日起的</w:t>
      </w:r>
      <w:r>
        <w:rPr>
          <w:rFonts w:eastAsia="仿宋_GB2312" w:hint="eastAsia"/>
          <w:color w:val="000000"/>
          <w:sz w:val="20"/>
        </w:rPr>
        <w:t>15</w:t>
      </w:r>
      <w:r>
        <w:rPr>
          <w:rFonts w:ascii="仿宋_GB2312" w:eastAsia="仿宋_GB2312" w:hAnsi="仿宋" w:hint="eastAsia"/>
          <w:color w:val="000000"/>
          <w:sz w:val="20"/>
        </w:rPr>
        <w:t>日之内向人民法院提起行政诉讼，又未依照行政裁决停止专利侵权行为。根据《中华人民共和国专利法》第六十五条的规定，特向贵单位提出强制执行申请。</w:t>
      </w:r>
    </w:p>
    <w:p w:rsidR="00800760" w:rsidRDefault="00235733" w:rsidP="00C22A7B">
      <w:pPr>
        <w:spacing w:beforeLines="50" w:afterLines="50"/>
        <w:ind w:firstLineChars="0" w:firstLine="460"/>
        <w:jc w:val="both"/>
        <w:rPr>
          <w:rFonts w:ascii="仿宋" w:eastAsia="仿宋_GB2312" w:hAnsi="仿宋"/>
          <w:color w:val="000000"/>
          <w:sz w:val="20"/>
        </w:rPr>
      </w:pPr>
      <w:r>
        <w:rPr>
          <w:rFonts w:ascii="仿宋" w:eastAsia="仿宋_GB2312" w:hAnsi="仿宋" w:hint="eastAsia"/>
          <w:color w:val="000000"/>
          <w:sz w:val="20"/>
        </w:rPr>
        <w:t>附</w:t>
      </w:r>
      <w:r>
        <w:rPr>
          <w:rFonts w:ascii="仿宋" w:eastAsia="仿宋_GB2312" w:hAnsi="仿宋"/>
          <w:color w:val="000000"/>
          <w:sz w:val="20"/>
        </w:rPr>
        <w:t>：</w:t>
      </w:r>
      <w:r>
        <w:rPr>
          <w:rFonts w:ascii="仿宋" w:eastAsia="仿宋_GB2312" w:hAnsi="仿宋" w:hint="eastAsia"/>
          <w:color w:val="000000"/>
          <w:sz w:val="20"/>
        </w:rPr>
        <w:t>《</w:t>
      </w:r>
      <w:r>
        <w:rPr>
          <w:rFonts w:ascii="仿宋" w:eastAsia="仿宋_GB2312" w:hAnsi="仿宋"/>
          <w:color w:val="000000"/>
          <w:sz w:val="20"/>
        </w:rPr>
        <w:t>专利侵权纠纷</w:t>
      </w:r>
      <w:r>
        <w:rPr>
          <w:rFonts w:ascii="仿宋" w:eastAsia="仿宋_GB2312" w:hAnsi="仿宋" w:hint="eastAsia"/>
          <w:color w:val="000000"/>
          <w:sz w:val="20"/>
        </w:rPr>
        <w:t>行政裁决书》（案号</w:t>
      </w:r>
      <w:r>
        <w:rPr>
          <w:rFonts w:ascii="仿宋" w:eastAsia="仿宋_GB2312" w:hAnsi="仿宋"/>
          <w:color w:val="000000"/>
          <w:sz w:val="20"/>
        </w:rPr>
        <w:t>：</w:t>
      </w:r>
      <w:r>
        <w:rPr>
          <w:rFonts w:ascii="仿宋" w:eastAsia="仿宋_GB2312" w:hAnsi="仿宋" w:hint="eastAsia"/>
          <w:color w:val="000000"/>
          <w:sz w:val="20"/>
          <w:u w:val="single"/>
        </w:rPr>
        <w:t xml:space="preserve">                    </w:t>
      </w:r>
      <w:r>
        <w:rPr>
          <w:rFonts w:ascii="仿宋" w:eastAsia="仿宋_GB2312" w:hAnsi="仿宋" w:hint="eastAsia"/>
          <w:color w:val="000000"/>
          <w:sz w:val="20"/>
        </w:rPr>
        <w:t>）</w:t>
      </w:r>
    </w:p>
    <w:p w:rsidR="00800760" w:rsidRDefault="00800760" w:rsidP="00C22A7B">
      <w:pPr>
        <w:spacing w:beforeLines="50" w:afterLines="50"/>
        <w:ind w:firstLineChars="0" w:firstLine="460"/>
        <w:jc w:val="both"/>
        <w:rPr>
          <w:rFonts w:ascii="仿宋" w:eastAsia="仿宋_GB2312" w:hAnsi="仿宋"/>
          <w:color w:val="000000"/>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rsidP="00C22A7B">
      <w:pPr>
        <w:widowControl w:val="0"/>
        <w:spacing w:beforeLines="50" w:afterLines="50"/>
        <w:ind w:left="440" w:firstLine="402"/>
        <w:rPr>
          <w:rFonts w:ascii="宋体" w:hAnsi="宋体" w:cs="Microsoft JhengHei"/>
          <w:b/>
          <w:color w:val="000000"/>
          <w:kern w:val="2"/>
          <w:sz w:val="20"/>
          <w:lang w:val="en-US"/>
        </w:rPr>
      </w:pPr>
    </w:p>
    <w:p w:rsidR="00800760" w:rsidRDefault="00800760" w:rsidP="00C22A7B">
      <w:pPr>
        <w:widowControl w:val="0"/>
        <w:spacing w:beforeLines="50" w:afterLines="50"/>
        <w:ind w:left="440" w:firstLine="402"/>
        <w:rPr>
          <w:rFonts w:ascii="宋体" w:hAnsi="宋体" w:cs="Microsoft JhengHei"/>
          <w:b/>
          <w:color w:val="000000"/>
          <w:kern w:val="2"/>
          <w:sz w:val="20"/>
          <w:lang w:val="en-US"/>
        </w:rPr>
      </w:pPr>
    </w:p>
    <w:p w:rsidR="00800760" w:rsidRDefault="00235733" w:rsidP="00C22A7B">
      <w:pPr>
        <w:spacing w:beforeLines="50" w:afterLines="50"/>
        <w:ind w:firstLineChars="0" w:firstLine="0"/>
        <w:rPr>
          <w:rFonts w:ascii="仿宋" w:eastAsia="仿宋_GB2312" w:hAnsi="仿宋"/>
          <w:color w:val="000000"/>
          <w:sz w:val="20"/>
        </w:rPr>
      </w:pPr>
      <w:r>
        <w:rPr>
          <w:rFonts w:ascii="仿宋" w:eastAsia="仿宋_GB2312" w:hAnsi="仿宋"/>
          <w:color w:val="000000"/>
          <w:sz w:val="20"/>
        </w:rPr>
        <w:t>联</w:t>
      </w:r>
      <w:r>
        <w:rPr>
          <w:rFonts w:ascii="仿宋" w:eastAsia="仿宋_GB2312" w:hAnsi="仿宋" w:hint="eastAsia"/>
          <w:color w:val="000000"/>
          <w:sz w:val="20"/>
        </w:rPr>
        <w:t xml:space="preserve"> </w:t>
      </w:r>
      <w:r>
        <w:rPr>
          <w:rFonts w:ascii="仿宋" w:eastAsia="仿宋_GB2312" w:hAnsi="仿宋"/>
          <w:color w:val="000000"/>
          <w:sz w:val="20"/>
        </w:rPr>
        <w:t>系</w:t>
      </w:r>
      <w:r>
        <w:rPr>
          <w:rFonts w:ascii="仿宋" w:eastAsia="仿宋_GB2312" w:hAnsi="仿宋" w:hint="eastAsia"/>
          <w:color w:val="000000"/>
          <w:sz w:val="20"/>
        </w:rPr>
        <w:t xml:space="preserve"> </w:t>
      </w:r>
      <w:r>
        <w:rPr>
          <w:rFonts w:ascii="仿宋" w:eastAsia="仿宋_GB2312" w:hAnsi="仿宋"/>
          <w:color w:val="000000"/>
          <w:sz w:val="20"/>
        </w:rPr>
        <w:t>人</w:t>
      </w:r>
      <w:r>
        <w:rPr>
          <w:rFonts w:ascii="仿宋" w:eastAsia="仿宋_GB2312" w:hAnsi="仿宋" w:hint="eastAsia"/>
          <w:color w:val="000000"/>
          <w:sz w:val="20"/>
        </w:rPr>
        <w:t>：</w:t>
      </w:r>
    </w:p>
    <w:p w:rsidR="00800760" w:rsidRDefault="00235733" w:rsidP="00C22A7B">
      <w:pPr>
        <w:spacing w:beforeLines="50" w:afterLines="50"/>
        <w:ind w:firstLineChars="0" w:firstLine="0"/>
        <w:rPr>
          <w:rFonts w:ascii="仿宋" w:eastAsia="仿宋_GB2312" w:hAnsi="仿宋"/>
          <w:color w:val="000000"/>
          <w:sz w:val="20"/>
        </w:rPr>
      </w:pPr>
      <w:r>
        <w:rPr>
          <w:rFonts w:ascii="仿宋" w:eastAsia="仿宋_GB2312" w:hAnsi="仿宋"/>
          <w:color w:val="000000"/>
          <w:sz w:val="20"/>
        </w:rPr>
        <w:t>联系电话</w:t>
      </w:r>
      <w:r>
        <w:rPr>
          <w:rFonts w:ascii="仿宋" w:eastAsia="仿宋_GB2312" w:hAnsi="仿宋" w:hint="eastAsia"/>
          <w:color w:val="000000"/>
          <w:sz w:val="20"/>
        </w:rPr>
        <w:t>：</w:t>
      </w:r>
    </w:p>
    <w:p w:rsidR="00800760" w:rsidRDefault="00235733" w:rsidP="00C22A7B">
      <w:pPr>
        <w:spacing w:beforeLines="50" w:afterLines="50"/>
        <w:ind w:firstLineChars="0" w:firstLine="0"/>
        <w:rPr>
          <w:rFonts w:ascii="仿宋" w:eastAsia="仿宋_GB2312" w:hAnsi="仿宋"/>
          <w:color w:val="000000"/>
          <w:sz w:val="20"/>
        </w:rPr>
      </w:pPr>
      <w:r>
        <w:rPr>
          <w:rFonts w:ascii="仿宋" w:eastAsia="仿宋_GB2312" w:hAnsi="仿宋"/>
          <w:color w:val="000000"/>
          <w:sz w:val="20"/>
        </w:rPr>
        <w:t>本局地址</w:t>
      </w:r>
      <w:r>
        <w:rPr>
          <w:rFonts w:ascii="仿宋" w:eastAsia="仿宋_GB2312" w:hAnsi="仿宋" w:hint="eastAsia"/>
          <w:color w:val="000000"/>
          <w:sz w:val="20"/>
        </w:rPr>
        <w:t>：</w:t>
      </w:r>
    </w:p>
    <w:p w:rsidR="00800760" w:rsidRDefault="00235733" w:rsidP="00C22A7B">
      <w:pPr>
        <w:spacing w:beforeLines="50" w:afterLines="50"/>
        <w:ind w:firstLineChars="0" w:firstLine="0"/>
        <w:rPr>
          <w:rFonts w:ascii="仿宋" w:eastAsia="仿宋_GB2312" w:hAnsi="仿宋"/>
          <w:color w:val="000000"/>
          <w:sz w:val="20"/>
        </w:rPr>
      </w:pPr>
      <w:r>
        <w:rPr>
          <w:rFonts w:ascii="仿宋" w:eastAsia="仿宋_GB2312" w:hAnsi="仿宋"/>
          <w:color w:val="000000"/>
          <w:sz w:val="20"/>
        </w:rPr>
        <w:t>邮政编码</w:t>
      </w:r>
      <w:r>
        <w:rPr>
          <w:rFonts w:ascii="仿宋" w:eastAsia="仿宋_GB2312" w:hAnsi="仿宋" w:hint="eastAsia"/>
          <w:color w:val="000000"/>
          <w:sz w:val="20"/>
        </w:rPr>
        <w:t>：</w:t>
      </w:r>
    </w:p>
    <w:p w:rsidR="00800760" w:rsidRDefault="00235733">
      <w:pPr>
        <w:spacing w:line="240" w:lineRule="auto"/>
        <w:ind w:firstLineChars="0" w:firstLine="0"/>
        <w:rPr>
          <w:rFonts w:ascii="仿宋" w:eastAsia="仿宋_GB2312" w:hAnsi="仿宋"/>
          <w:color w:val="000000"/>
          <w:szCs w:val="21"/>
        </w:rPr>
      </w:pPr>
      <w:r>
        <w:rPr>
          <w:rFonts w:ascii="仿宋" w:eastAsia="仿宋_GB2312" w:hAnsi="仿宋"/>
          <w:color w:val="000000"/>
          <w:sz w:val="20"/>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重大专利侵权纠纷行政裁决强制执行申请书</w:t>
      </w:r>
    </w:p>
    <w:p w:rsidR="00800760" w:rsidRDefault="00235733">
      <w:pPr>
        <w:spacing w:line="360" w:lineRule="auto"/>
        <w:ind w:firstLineChars="0" w:firstLine="0"/>
        <w:rPr>
          <w:rFonts w:ascii="仿宋" w:eastAsia="仿宋_GB2312" w:hAnsi="仿宋"/>
          <w:color w:val="000000"/>
          <w:sz w:val="20"/>
        </w:rPr>
      </w:pPr>
      <w:r>
        <w:rPr>
          <w:rFonts w:ascii="仿宋_GB2312" w:eastAsia="仿宋_GB2312" w:hAnsi="仿宋" w:hint="eastAsia"/>
          <w:color w:val="000000"/>
          <w:sz w:val="20"/>
          <w:u w:val="single"/>
        </w:rPr>
        <w:t xml:space="preserve">                   </w:t>
      </w:r>
      <w:r>
        <w:rPr>
          <w:rFonts w:ascii="仿宋" w:eastAsia="仿宋_GB2312" w:hAnsi="仿宋"/>
          <w:color w:val="000000"/>
          <w:sz w:val="20"/>
        </w:rPr>
        <w:t>人民法院：</w:t>
      </w:r>
    </w:p>
    <w:p w:rsidR="00800760" w:rsidRDefault="00235733">
      <w:pPr>
        <w:tabs>
          <w:tab w:val="left" w:leader="underscore" w:pos="7277"/>
        </w:tabs>
        <w:spacing w:line="360" w:lineRule="auto"/>
        <w:ind w:firstLine="400"/>
        <w:rPr>
          <w:rFonts w:ascii="仿宋" w:eastAsia="仿宋_GB2312" w:hAnsi="仿宋"/>
          <w:color w:val="000000"/>
          <w:sz w:val="20"/>
        </w:rPr>
      </w:pPr>
      <w:r>
        <w:rPr>
          <w:rFonts w:ascii="仿宋" w:eastAsia="仿宋_GB2312" w:hAnsi="仿宋"/>
          <w:color w:val="000000"/>
          <w:sz w:val="20"/>
        </w:rPr>
        <w:t>我局于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 w:eastAsia="仿宋_GB2312" w:hAnsi="仿宋"/>
          <w:color w:val="000000"/>
          <w:sz w:val="20"/>
        </w:rPr>
        <w:t>针对</w:t>
      </w:r>
      <w:r>
        <w:rPr>
          <w:rFonts w:ascii="仿宋_GB2312" w:eastAsia="仿宋_GB2312" w:hAnsi="宋体" w:hint="eastAsia"/>
          <w:color w:val="000000"/>
          <w:spacing w:val="6"/>
          <w:sz w:val="20"/>
          <w:u w:val="single"/>
        </w:rPr>
        <w:t xml:space="preserve">        </w:t>
      </w:r>
      <w:r>
        <w:rPr>
          <w:rFonts w:ascii="仿宋" w:eastAsia="仿宋_GB2312" w:hAnsi="仿宋"/>
          <w:color w:val="000000"/>
          <w:sz w:val="20"/>
        </w:rPr>
        <w:t>号专利侵权纠纷作出</w:t>
      </w:r>
      <w:r>
        <w:rPr>
          <w:rFonts w:ascii="仿宋" w:eastAsia="仿宋_GB2312" w:hAnsi="仿宋" w:hint="eastAsia"/>
          <w:color w:val="000000"/>
          <w:sz w:val="20"/>
        </w:rPr>
        <w:t>行政裁决</w:t>
      </w:r>
      <w:r>
        <w:rPr>
          <w:rFonts w:ascii="仿宋" w:eastAsia="仿宋_GB2312" w:hAnsi="仿宋"/>
          <w:color w:val="000000"/>
          <w:sz w:val="20"/>
        </w:rPr>
        <w:t>，责令被请求人停止侵权行为。处理决定书已于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 w:eastAsia="仿宋_GB2312" w:hAnsi="仿宋"/>
          <w:color w:val="000000"/>
          <w:sz w:val="20"/>
        </w:rPr>
        <w:t>送达被请求人。</w:t>
      </w:r>
    </w:p>
    <w:p w:rsidR="00800760" w:rsidRDefault="00235733">
      <w:pPr>
        <w:spacing w:line="360" w:lineRule="auto"/>
        <w:ind w:firstLine="400"/>
        <w:rPr>
          <w:rFonts w:ascii="仿宋_GB2312" w:eastAsia="仿宋_GB2312" w:hAnsi="仿宋"/>
          <w:color w:val="000000"/>
          <w:sz w:val="20"/>
        </w:rPr>
      </w:pPr>
      <w:r>
        <w:rPr>
          <w:rFonts w:ascii="仿宋_GB2312" w:eastAsia="仿宋_GB2312" w:hAnsi="仿宋" w:hint="eastAsia"/>
          <w:color w:val="000000"/>
          <w:sz w:val="20"/>
        </w:rPr>
        <w:t>我局发现：被请求人既未在收到行政裁决之日起的</w:t>
      </w:r>
      <w:r>
        <w:rPr>
          <w:rFonts w:eastAsia="仿宋_GB2312" w:hint="eastAsia"/>
          <w:color w:val="000000"/>
          <w:sz w:val="20"/>
        </w:rPr>
        <w:t>15</w:t>
      </w:r>
      <w:r>
        <w:rPr>
          <w:rFonts w:ascii="仿宋_GB2312" w:eastAsia="仿宋_GB2312" w:hAnsi="仿宋" w:hint="eastAsia"/>
          <w:color w:val="000000"/>
          <w:sz w:val="20"/>
        </w:rPr>
        <w:t>日之内向人民法院提起行政诉讼，又未依照行政裁决停止专利侵权行为。根据《中华人民共和国专利法》第六十五条的规定，特向贵单位提出强制执行申请。</w:t>
      </w:r>
    </w:p>
    <w:p w:rsidR="00800760" w:rsidRDefault="00235733">
      <w:pPr>
        <w:spacing w:line="360" w:lineRule="auto"/>
        <w:ind w:firstLine="400"/>
        <w:rPr>
          <w:rFonts w:ascii="仿宋" w:eastAsia="仿宋_GB2312" w:hAnsi="仿宋"/>
          <w:color w:val="000000"/>
          <w:sz w:val="20"/>
        </w:rPr>
      </w:pPr>
      <w:r>
        <w:rPr>
          <w:rFonts w:ascii="仿宋" w:eastAsia="仿宋_GB2312" w:hAnsi="仿宋" w:hint="eastAsia"/>
          <w:color w:val="000000"/>
          <w:sz w:val="20"/>
        </w:rPr>
        <w:t>附</w:t>
      </w:r>
      <w:r>
        <w:rPr>
          <w:rFonts w:ascii="仿宋" w:eastAsia="仿宋_GB2312" w:hAnsi="仿宋"/>
          <w:color w:val="000000"/>
          <w:sz w:val="20"/>
        </w:rPr>
        <w:t>：</w:t>
      </w:r>
      <w:r>
        <w:rPr>
          <w:rFonts w:ascii="仿宋" w:eastAsia="仿宋_GB2312" w:hAnsi="仿宋" w:hint="eastAsia"/>
          <w:color w:val="000000"/>
          <w:sz w:val="20"/>
        </w:rPr>
        <w:t>《重大</w:t>
      </w:r>
      <w:r>
        <w:rPr>
          <w:rFonts w:ascii="仿宋" w:eastAsia="仿宋_GB2312" w:hAnsi="仿宋"/>
          <w:color w:val="000000"/>
          <w:sz w:val="20"/>
        </w:rPr>
        <w:t>专利侵权纠纷</w:t>
      </w:r>
      <w:r>
        <w:rPr>
          <w:rFonts w:ascii="仿宋" w:eastAsia="仿宋_GB2312" w:hAnsi="仿宋" w:hint="eastAsia"/>
          <w:color w:val="000000"/>
          <w:sz w:val="20"/>
        </w:rPr>
        <w:t>行政裁决书》（案号</w:t>
      </w:r>
      <w:r>
        <w:rPr>
          <w:rFonts w:ascii="仿宋" w:eastAsia="仿宋_GB2312" w:hAnsi="仿宋"/>
          <w:color w:val="000000"/>
          <w:sz w:val="20"/>
        </w:rPr>
        <w:t>：</w:t>
      </w:r>
      <w:r>
        <w:rPr>
          <w:rFonts w:ascii="仿宋" w:eastAsia="仿宋_GB2312" w:hAnsi="仿宋" w:hint="eastAsia"/>
          <w:color w:val="000000"/>
          <w:sz w:val="20"/>
          <w:u w:val="single"/>
        </w:rPr>
        <w:t xml:space="preserve">                    </w:t>
      </w:r>
      <w:r>
        <w:rPr>
          <w:rFonts w:ascii="仿宋" w:eastAsia="仿宋_GB2312" w:hAnsi="仿宋" w:hint="eastAsia"/>
          <w:color w:val="000000"/>
          <w:sz w:val="20"/>
        </w:rPr>
        <w:t>）</w:t>
      </w:r>
    </w:p>
    <w:p w:rsidR="00800760" w:rsidRDefault="00800760">
      <w:pPr>
        <w:spacing w:line="360" w:lineRule="auto"/>
        <w:ind w:firstLineChars="0" w:firstLine="0"/>
        <w:rPr>
          <w:rFonts w:ascii="仿宋" w:eastAsia="仿宋_GB2312" w:hAnsi="仿宋"/>
          <w:color w:val="000000"/>
          <w:sz w:val="20"/>
        </w:rPr>
      </w:pP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国家知识产权局（盖章）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spacing w:line="360" w:lineRule="auto"/>
        <w:ind w:left="440" w:firstLineChars="0" w:firstLine="422"/>
        <w:rPr>
          <w:rFonts w:ascii="宋体" w:hAnsi="宋体" w:cs="Microsoft JhengHei"/>
          <w:b/>
          <w:color w:val="000000"/>
          <w:sz w:val="20"/>
        </w:rPr>
      </w:pPr>
    </w:p>
    <w:p w:rsidR="00800760" w:rsidRDefault="00800760">
      <w:pPr>
        <w:spacing w:line="360" w:lineRule="auto"/>
        <w:ind w:left="440" w:firstLineChars="0" w:firstLine="422"/>
        <w:rPr>
          <w:rFonts w:ascii="宋体" w:hAnsi="宋体" w:cs="Microsoft JhengHei"/>
          <w:b/>
          <w:color w:val="000000"/>
          <w:sz w:val="20"/>
        </w:rPr>
      </w:pPr>
    </w:p>
    <w:p w:rsidR="00800760" w:rsidRDefault="00235733">
      <w:pPr>
        <w:spacing w:line="360" w:lineRule="auto"/>
        <w:ind w:firstLineChars="0" w:firstLine="0"/>
        <w:rPr>
          <w:rFonts w:ascii="仿宋" w:eastAsia="仿宋_GB2312" w:hAnsi="仿宋"/>
          <w:color w:val="000000"/>
          <w:sz w:val="20"/>
        </w:rPr>
      </w:pPr>
      <w:r>
        <w:rPr>
          <w:rFonts w:ascii="仿宋" w:eastAsia="仿宋_GB2312" w:hAnsi="仿宋"/>
          <w:color w:val="000000"/>
          <w:sz w:val="20"/>
        </w:rPr>
        <w:t>联</w:t>
      </w:r>
      <w:r>
        <w:rPr>
          <w:rFonts w:ascii="仿宋" w:eastAsia="仿宋_GB2312" w:hAnsi="仿宋" w:hint="eastAsia"/>
          <w:color w:val="000000"/>
          <w:sz w:val="20"/>
        </w:rPr>
        <w:t xml:space="preserve"> </w:t>
      </w:r>
      <w:r>
        <w:rPr>
          <w:rFonts w:ascii="仿宋" w:eastAsia="仿宋_GB2312" w:hAnsi="仿宋"/>
          <w:color w:val="000000"/>
          <w:sz w:val="20"/>
        </w:rPr>
        <w:t>系</w:t>
      </w:r>
      <w:r>
        <w:rPr>
          <w:rFonts w:ascii="仿宋" w:eastAsia="仿宋_GB2312" w:hAnsi="仿宋" w:hint="eastAsia"/>
          <w:color w:val="000000"/>
          <w:sz w:val="20"/>
        </w:rPr>
        <w:t xml:space="preserve"> </w:t>
      </w:r>
      <w:r>
        <w:rPr>
          <w:rFonts w:ascii="仿宋" w:eastAsia="仿宋_GB2312" w:hAnsi="仿宋"/>
          <w:color w:val="000000"/>
          <w:sz w:val="20"/>
        </w:rPr>
        <w:t>人</w:t>
      </w:r>
      <w:r>
        <w:rPr>
          <w:rFonts w:ascii="仿宋" w:eastAsia="仿宋_GB2312" w:hAnsi="仿宋" w:hint="eastAsia"/>
          <w:color w:val="000000"/>
          <w:sz w:val="20"/>
        </w:rPr>
        <w:t>：</w:t>
      </w:r>
    </w:p>
    <w:p w:rsidR="00800760" w:rsidRDefault="00235733">
      <w:pPr>
        <w:spacing w:line="360" w:lineRule="auto"/>
        <w:ind w:firstLineChars="0" w:firstLine="0"/>
        <w:rPr>
          <w:rFonts w:ascii="仿宋" w:eastAsia="仿宋_GB2312" w:hAnsi="仿宋"/>
          <w:color w:val="000000"/>
          <w:sz w:val="20"/>
        </w:rPr>
      </w:pPr>
      <w:r>
        <w:rPr>
          <w:rFonts w:ascii="仿宋" w:eastAsia="仿宋_GB2312" w:hAnsi="仿宋"/>
          <w:color w:val="000000"/>
          <w:sz w:val="20"/>
        </w:rPr>
        <w:t>联系电话</w:t>
      </w:r>
      <w:r>
        <w:rPr>
          <w:rFonts w:ascii="仿宋" w:eastAsia="仿宋_GB2312" w:hAnsi="仿宋" w:hint="eastAsia"/>
          <w:color w:val="000000"/>
          <w:sz w:val="20"/>
        </w:rPr>
        <w:t>：</w:t>
      </w:r>
    </w:p>
    <w:p w:rsidR="00800760" w:rsidRDefault="00235733">
      <w:pPr>
        <w:spacing w:line="360" w:lineRule="auto"/>
        <w:ind w:firstLineChars="0" w:firstLine="0"/>
        <w:rPr>
          <w:rFonts w:ascii="仿宋" w:eastAsia="仿宋_GB2312" w:hAnsi="仿宋"/>
          <w:color w:val="000000"/>
          <w:sz w:val="20"/>
        </w:rPr>
      </w:pPr>
      <w:r>
        <w:rPr>
          <w:rFonts w:ascii="仿宋" w:eastAsia="仿宋_GB2312" w:hAnsi="仿宋"/>
          <w:color w:val="000000"/>
          <w:sz w:val="20"/>
        </w:rPr>
        <w:t>本局地址</w:t>
      </w:r>
      <w:r>
        <w:rPr>
          <w:rFonts w:ascii="仿宋" w:eastAsia="仿宋_GB2312" w:hAnsi="仿宋" w:hint="eastAsia"/>
          <w:color w:val="000000"/>
          <w:sz w:val="20"/>
        </w:rPr>
        <w:t>：</w:t>
      </w:r>
    </w:p>
    <w:p w:rsidR="00800760" w:rsidRDefault="00235733">
      <w:pPr>
        <w:spacing w:line="360" w:lineRule="auto"/>
        <w:ind w:firstLineChars="0" w:firstLine="0"/>
        <w:rPr>
          <w:rFonts w:ascii="仿宋" w:eastAsia="仿宋_GB2312" w:hAnsi="仿宋"/>
          <w:color w:val="000000"/>
          <w:sz w:val="20"/>
        </w:rPr>
      </w:pPr>
      <w:r>
        <w:rPr>
          <w:rFonts w:ascii="仿宋" w:eastAsia="仿宋_GB2312" w:hAnsi="仿宋"/>
          <w:color w:val="000000"/>
          <w:sz w:val="20"/>
        </w:rPr>
        <w:t>邮政编码</w:t>
      </w:r>
      <w:r>
        <w:rPr>
          <w:rFonts w:ascii="仿宋" w:eastAsia="仿宋_GB2312" w:hAnsi="仿宋" w:hint="eastAsia"/>
          <w:color w:val="000000"/>
          <w:sz w:val="20"/>
        </w:rPr>
        <w:t>：</w:t>
      </w:r>
    </w:p>
    <w:p w:rsidR="00800760" w:rsidRDefault="00800760">
      <w:pPr>
        <w:spacing w:line="360" w:lineRule="auto"/>
        <w:ind w:firstLineChars="0" w:firstLine="422"/>
        <w:jc w:val="center"/>
        <w:rPr>
          <w:rFonts w:ascii="宋体" w:hAnsi="宋体"/>
          <w:b/>
          <w:color w:val="000000"/>
          <w:sz w:val="20"/>
          <w:szCs w:val="21"/>
        </w:rPr>
      </w:pPr>
    </w:p>
    <w:p w:rsidR="00800760" w:rsidRDefault="00800760">
      <w:pPr>
        <w:spacing w:line="360" w:lineRule="auto"/>
        <w:ind w:firstLine="422"/>
        <w:jc w:val="center"/>
        <w:rPr>
          <w:rFonts w:ascii="宋体" w:hAnsi="宋体"/>
          <w:b/>
          <w:color w:val="000000"/>
          <w:szCs w:val="21"/>
        </w:rPr>
        <w:sectPr w:rsidR="00800760" w:rsidSect="00545851">
          <w:footerReference w:type="default" r:id="rId93"/>
          <w:pgSz w:w="11907" w:h="16840" w:code="9"/>
          <w:pgMar w:top="714" w:right="1077" w:bottom="1230" w:left="1077" w:header="431" w:footer="970" w:gutter="0"/>
          <w:cols w:space="720"/>
          <w:titlePg/>
          <w:docGrid w:type="linesAndChars" w:linePitch="312"/>
        </w:sectPr>
      </w:pP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专利侵权纠纷行政裁决案件信息公开表</w:t>
      </w:r>
    </w:p>
    <w:tbl>
      <w:tblPr>
        <w:tblW w:w="15166"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571"/>
        <w:gridCol w:w="1466"/>
        <w:gridCol w:w="1615"/>
        <w:gridCol w:w="1497"/>
        <w:gridCol w:w="1414"/>
        <w:gridCol w:w="1441"/>
        <w:gridCol w:w="1386"/>
        <w:gridCol w:w="1422"/>
        <w:gridCol w:w="1622"/>
        <w:gridCol w:w="1622"/>
        <w:gridCol w:w="1110"/>
      </w:tblGrid>
      <w:tr w:rsidR="00800760">
        <w:trPr>
          <w:trHeight w:val="1208"/>
        </w:trPr>
        <w:tc>
          <w:tcPr>
            <w:tcW w:w="571" w:type="dxa"/>
            <w:textDirection w:val="tbRlV"/>
          </w:tcPr>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序 号</w:t>
            </w:r>
          </w:p>
        </w:tc>
        <w:tc>
          <w:tcPr>
            <w:tcW w:w="1466" w:type="dxa"/>
          </w:tcPr>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 xml:space="preserve">行政裁决书 </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文 号</w:t>
            </w:r>
          </w:p>
        </w:tc>
        <w:tc>
          <w:tcPr>
            <w:tcW w:w="1615" w:type="dxa"/>
          </w:tcPr>
          <w:p w:rsidR="00800760" w:rsidRDefault="00800760">
            <w:pPr>
              <w:widowControl w:val="0"/>
              <w:ind w:firstLineChars="0" w:firstLine="0"/>
              <w:jc w:val="center"/>
              <w:rPr>
                <w:rFonts w:ascii="宋体" w:hAnsi="宋体"/>
                <w:b/>
                <w:color w:val="000000"/>
                <w:szCs w:val="21"/>
              </w:rPr>
            </w:pP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案件名称</w:t>
            </w:r>
          </w:p>
        </w:tc>
        <w:tc>
          <w:tcPr>
            <w:tcW w:w="1497" w:type="dxa"/>
          </w:tcPr>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 xml:space="preserve">违法企业  </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名称或违法</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 xml:space="preserve"> 自然人姓名</w:t>
            </w:r>
          </w:p>
        </w:tc>
        <w:tc>
          <w:tcPr>
            <w:tcW w:w="1414" w:type="dxa"/>
          </w:tcPr>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违法企业</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组 织</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机构代码</w:t>
            </w:r>
          </w:p>
        </w:tc>
        <w:tc>
          <w:tcPr>
            <w:tcW w:w="1441" w:type="dxa"/>
          </w:tcPr>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 xml:space="preserve">法定代表人 </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姓 名</w:t>
            </w:r>
          </w:p>
        </w:tc>
        <w:tc>
          <w:tcPr>
            <w:tcW w:w="1386" w:type="dxa"/>
          </w:tcPr>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 xml:space="preserve">主要违法 </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事 实</w:t>
            </w:r>
          </w:p>
        </w:tc>
        <w:tc>
          <w:tcPr>
            <w:tcW w:w="1422" w:type="dxa"/>
          </w:tcPr>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 xml:space="preserve">行政裁决  </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的履行方式</w:t>
            </w:r>
          </w:p>
        </w:tc>
        <w:tc>
          <w:tcPr>
            <w:tcW w:w="1622" w:type="dxa"/>
          </w:tcPr>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 xml:space="preserve">行政裁决  </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的履行方式</w:t>
            </w:r>
          </w:p>
        </w:tc>
        <w:tc>
          <w:tcPr>
            <w:tcW w:w="1622" w:type="dxa"/>
          </w:tcPr>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 xml:space="preserve">作出行政裁决 </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机关的</w:t>
            </w: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名称和日期</w:t>
            </w:r>
          </w:p>
        </w:tc>
        <w:tc>
          <w:tcPr>
            <w:tcW w:w="1110" w:type="dxa"/>
          </w:tcPr>
          <w:p w:rsidR="00800760" w:rsidRDefault="00800760">
            <w:pPr>
              <w:widowControl w:val="0"/>
              <w:ind w:firstLineChars="0" w:firstLine="0"/>
              <w:jc w:val="center"/>
              <w:rPr>
                <w:rFonts w:ascii="宋体" w:hAnsi="宋体"/>
                <w:b/>
                <w:color w:val="000000"/>
                <w:szCs w:val="21"/>
              </w:rPr>
            </w:pPr>
          </w:p>
          <w:p w:rsidR="00800760" w:rsidRDefault="00235733">
            <w:pPr>
              <w:widowControl w:val="0"/>
              <w:ind w:firstLineChars="0" w:firstLine="0"/>
              <w:jc w:val="center"/>
              <w:rPr>
                <w:rFonts w:ascii="宋体" w:hAnsi="宋体"/>
                <w:b/>
                <w:color w:val="000000"/>
                <w:szCs w:val="21"/>
              </w:rPr>
            </w:pPr>
            <w:r>
              <w:rPr>
                <w:rFonts w:ascii="宋体" w:hAnsi="宋体" w:hint="eastAsia"/>
                <w:b/>
                <w:color w:val="000000"/>
                <w:szCs w:val="21"/>
              </w:rPr>
              <w:t>备 注</w:t>
            </w:r>
          </w:p>
        </w:tc>
      </w:tr>
      <w:tr w:rsidR="00800760">
        <w:trPr>
          <w:trHeight w:val="4406"/>
        </w:trPr>
        <w:tc>
          <w:tcPr>
            <w:tcW w:w="571" w:type="dxa"/>
            <w:shd w:val="clear" w:color="auto" w:fill="auto"/>
          </w:tcPr>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1</w:t>
            </w:r>
          </w:p>
        </w:tc>
        <w:tc>
          <w:tcPr>
            <w:tcW w:w="1466" w:type="dxa"/>
            <w:shd w:val="clear" w:color="auto" w:fill="auto"/>
          </w:tcPr>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tc>
        <w:tc>
          <w:tcPr>
            <w:tcW w:w="1615" w:type="dxa"/>
            <w:shd w:val="clear" w:color="auto" w:fill="auto"/>
          </w:tcPr>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XX 公司诉 XX 公</w:t>
            </w: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司侵犯该公司</w:t>
            </w: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专利名称为</w:t>
            </w: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“XX ”、专利号</w:t>
            </w: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为 ZLXX 专利侵</w:t>
            </w: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权纠纷案</w:t>
            </w:r>
          </w:p>
        </w:tc>
        <w:tc>
          <w:tcPr>
            <w:tcW w:w="1497" w:type="dxa"/>
            <w:shd w:val="clear" w:color="auto" w:fill="auto"/>
          </w:tcPr>
          <w:p w:rsidR="00800760" w:rsidRDefault="00800760">
            <w:pPr>
              <w:widowControl w:val="0"/>
              <w:ind w:firstLineChars="0" w:firstLine="0"/>
              <w:rPr>
                <w:rFonts w:ascii="仿宋_GB2312" w:eastAsia="仿宋_GB2312" w:hAnsi="宋体"/>
                <w:color w:val="000000"/>
                <w:szCs w:val="21"/>
              </w:rPr>
            </w:pPr>
          </w:p>
        </w:tc>
        <w:tc>
          <w:tcPr>
            <w:tcW w:w="1414" w:type="dxa"/>
            <w:shd w:val="clear" w:color="auto" w:fill="auto"/>
          </w:tcPr>
          <w:p w:rsidR="00800760" w:rsidRDefault="00800760">
            <w:pPr>
              <w:widowControl w:val="0"/>
              <w:ind w:firstLineChars="0" w:firstLine="0"/>
              <w:rPr>
                <w:rFonts w:ascii="仿宋_GB2312" w:eastAsia="仿宋_GB2312" w:hAnsi="宋体"/>
                <w:color w:val="000000"/>
                <w:szCs w:val="21"/>
              </w:rPr>
            </w:pPr>
          </w:p>
        </w:tc>
        <w:tc>
          <w:tcPr>
            <w:tcW w:w="1441" w:type="dxa"/>
            <w:shd w:val="clear" w:color="auto" w:fill="auto"/>
          </w:tcPr>
          <w:p w:rsidR="00800760" w:rsidRDefault="00800760">
            <w:pPr>
              <w:widowControl w:val="0"/>
              <w:ind w:firstLineChars="0" w:firstLine="0"/>
              <w:jc w:val="center"/>
              <w:rPr>
                <w:rFonts w:ascii="仿宋_GB2312" w:eastAsia="仿宋_GB2312" w:hAnsi="宋体"/>
                <w:color w:val="000000"/>
                <w:szCs w:val="21"/>
              </w:rPr>
            </w:pPr>
          </w:p>
        </w:tc>
        <w:tc>
          <w:tcPr>
            <w:tcW w:w="1386" w:type="dxa"/>
            <w:shd w:val="clear" w:color="auto" w:fill="auto"/>
          </w:tcPr>
          <w:p w:rsidR="00800760" w:rsidRDefault="00800760">
            <w:pPr>
              <w:widowControl w:val="0"/>
              <w:ind w:firstLineChars="0" w:firstLine="0"/>
              <w:jc w:val="center"/>
              <w:rPr>
                <w:rFonts w:ascii="仿宋_GB2312" w:eastAsia="仿宋_GB2312" w:hAnsi="宋体"/>
                <w:color w:val="000000"/>
                <w:szCs w:val="21"/>
              </w:rPr>
            </w:pP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例：</w:t>
            </w: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 xml:space="preserve">被控侵权产  品技术特征  落入专利权  的保护范围， 侵权事实成  立/不成立。 </w:t>
            </w:r>
          </w:p>
        </w:tc>
        <w:tc>
          <w:tcPr>
            <w:tcW w:w="1422" w:type="dxa"/>
          </w:tcPr>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依据《专利法》 第十一条、六  十四条、六十  五条、《专利纠  纷行政裁决和  调解办法》三  十一条，责令  停止 XX、XX  侵权行为...</w:t>
            </w: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（下达裁决的 法律依据）</w:t>
            </w: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both"/>
              <w:rPr>
                <w:rFonts w:ascii="仿宋_GB2312" w:eastAsia="仿宋_GB2312" w:hAnsi="宋体"/>
                <w:color w:val="000000"/>
                <w:szCs w:val="21"/>
              </w:rPr>
            </w:pPr>
          </w:p>
        </w:tc>
        <w:tc>
          <w:tcPr>
            <w:tcW w:w="1622" w:type="dxa"/>
          </w:tcPr>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zCs w:val="21"/>
              </w:rPr>
              <w:t>裁决内容</w:t>
            </w:r>
          </w:p>
        </w:tc>
        <w:tc>
          <w:tcPr>
            <w:tcW w:w="1622" w:type="dxa"/>
          </w:tcPr>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p w:rsidR="00800760" w:rsidRDefault="00235733">
            <w:pPr>
              <w:widowControl w:val="0"/>
              <w:ind w:firstLineChars="0" w:firstLine="0"/>
              <w:jc w:val="center"/>
              <w:rPr>
                <w:rFonts w:ascii="仿宋_GB2312" w:eastAsia="仿宋_GB2312" w:hAnsi="宋体"/>
                <w:color w:val="000000"/>
                <w:szCs w:val="21"/>
              </w:rPr>
            </w:pPr>
            <w:r>
              <w:rPr>
                <w:rFonts w:ascii="仿宋_GB2312" w:eastAsia="仿宋_GB2312" w:hAnsi="宋体" w:hint="eastAsia"/>
                <w:color w:val="000000"/>
                <w:spacing w:val="6"/>
                <w:szCs w:val="21"/>
                <w:u w:val="single"/>
              </w:rPr>
              <w:t xml:space="preserve">  　　    </w:t>
            </w:r>
            <w:r>
              <w:rPr>
                <w:rFonts w:ascii="仿宋_GB2312" w:eastAsia="仿宋_GB2312" w:hAnsi="宋体" w:hint="eastAsia"/>
                <w:color w:val="000000"/>
                <w:spacing w:val="6"/>
                <w:szCs w:val="21"/>
              </w:rPr>
              <w:t>知识产权局</w:t>
            </w:r>
          </w:p>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仿宋_GB2312" w:eastAsia="仿宋_GB2312" w:hAnsi="宋体"/>
                <w:color w:val="000000"/>
                <w:szCs w:val="21"/>
              </w:rPr>
            </w:pPr>
          </w:p>
        </w:tc>
        <w:tc>
          <w:tcPr>
            <w:tcW w:w="1110" w:type="dxa"/>
          </w:tcPr>
          <w:p w:rsidR="00800760" w:rsidRDefault="00800760">
            <w:pPr>
              <w:widowControl w:val="0"/>
              <w:ind w:firstLineChars="0" w:firstLine="0"/>
              <w:jc w:val="center"/>
              <w:rPr>
                <w:rFonts w:ascii="宋体" w:hAnsi="宋体"/>
                <w:b/>
                <w:color w:val="000000"/>
                <w:szCs w:val="21"/>
              </w:rPr>
            </w:pPr>
          </w:p>
        </w:tc>
      </w:tr>
    </w:tbl>
    <w:p w:rsidR="00800760" w:rsidRDefault="00800760">
      <w:pPr>
        <w:widowControl w:val="0"/>
        <w:ind w:firstLineChars="0" w:firstLine="0"/>
        <w:jc w:val="center"/>
        <w:rPr>
          <w:rFonts w:ascii="仿宋_GB2312" w:eastAsia="仿宋_GB2312" w:hAnsi="宋体"/>
          <w:color w:val="000000"/>
          <w:szCs w:val="21"/>
        </w:rPr>
      </w:pPr>
    </w:p>
    <w:p w:rsidR="00800760" w:rsidRDefault="00800760">
      <w:pPr>
        <w:widowControl w:val="0"/>
        <w:ind w:firstLineChars="0" w:firstLine="0"/>
        <w:jc w:val="center"/>
        <w:rPr>
          <w:rFonts w:ascii="宋体" w:hAnsi="宋体"/>
          <w:b/>
          <w:color w:val="000000"/>
          <w:szCs w:val="21"/>
        </w:rPr>
      </w:pPr>
    </w:p>
    <w:p w:rsidR="00800760" w:rsidRDefault="00800760">
      <w:pPr>
        <w:widowControl w:val="0"/>
        <w:ind w:firstLineChars="0" w:firstLine="0"/>
        <w:jc w:val="center"/>
        <w:rPr>
          <w:rFonts w:ascii="宋体" w:hAnsi="宋体"/>
          <w:b/>
          <w:color w:val="000000"/>
          <w:szCs w:val="21"/>
        </w:rPr>
      </w:pPr>
    </w:p>
    <w:p w:rsidR="00800760" w:rsidRDefault="00800760" w:rsidP="00235733">
      <w:pPr>
        <w:widowControl w:val="0"/>
        <w:ind w:firstLine="422"/>
        <w:jc w:val="center"/>
        <w:rPr>
          <w:rFonts w:ascii="宋体" w:hAnsi="宋体"/>
          <w:b/>
          <w:color w:val="000000"/>
          <w:szCs w:val="21"/>
        </w:rPr>
        <w:sectPr w:rsidR="00800760" w:rsidSect="008175D7">
          <w:pgSz w:w="16840" w:h="12077" w:orient="landscape"/>
          <w:pgMar w:top="1418" w:right="1701" w:bottom="1418" w:left="1134" w:header="431" w:footer="969" w:gutter="0"/>
          <w:cols w:space="720"/>
          <w:titlePg/>
          <w:docGrid w:type="linesAndChars" w:linePitch="312"/>
        </w:sectPr>
      </w:pPr>
    </w:p>
    <w:p w:rsidR="00800760" w:rsidRDefault="00800760">
      <w:pPr>
        <w:pStyle w:val="a5"/>
        <w:spacing w:after="0" w:line="280" w:lineRule="auto"/>
        <w:ind w:firstLineChars="0" w:firstLine="0"/>
        <w:rPr>
          <w:sz w:val="20"/>
        </w:rPr>
      </w:pPr>
    </w:p>
    <w:p w:rsidR="00800760" w:rsidRDefault="00235733">
      <w:pPr>
        <w:spacing w:before="111" w:line="219" w:lineRule="auto"/>
        <w:ind w:firstLineChars="0" w:firstLine="0"/>
        <w:jc w:val="center"/>
        <w:outlineLvl w:val="3"/>
        <w:rPr>
          <w:rFonts w:ascii="宋体" w:hAnsi="宋体" w:cs="宋体"/>
          <w:sz w:val="34"/>
          <w:szCs w:val="34"/>
        </w:rPr>
      </w:pPr>
      <w:bookmarkStart w:id="9322" w:name="bookmark148"/>
      <w:bookmarkStart w:id="9323" w:name="bookmark231"/>
      <w:bookmarkEnd w:id="9322"/>
      <w:bookmarkEnd w:id="9323"/>
      <w:r>
        <w:rPr>
          <w:rFonts w:ascii="方正小标宋_GBK" w:eastAsia="方正小标宋_GBK" w:hAnsi="宋体"/>
          <w:color w:val="000000"/>
          <w:spacing w:val="6"/>
          <w:sz w:val="36"/>
          <w:szCs w:val="36"/>
        </w:rPr>
        <w:t>专利纠纷行政调解意见陈述通知书</w:t>
      </w:r>
    </w:p>
    <w:p w:rsidR="00800760" w:rsidRDefault="00800760">
      <w:pPr>
        <w:pStyle w:val="a5"/>
        <w:spacing w:after="0" w:line="360" w:lineRule="auto"/>
        <w:ind w:firstLineChars="0" w:firstLine="0"/>
        <w:rPr>
          <w:sz w:val="20"/>
        </w:rPr>
      </w:pPr>
    </w:p>
    <w:p w:rsidR="00800760" w:rsidRDefault="00235733">
      <w:pPr>
        <w:spacing w:line="360" w:lineRule="auto"/>
        <w:ind w:firstLineChars="0" w:firstLine="0"/>
        <w:jc w:val="right"/>
        <w:rPr>
          <w:sz w:val="20"/>
          <w:lang w:eastAsia="en-US"/>
        </w:rPr>
      </w:pPr>
      <w:r>
        <w:rPr>
          <w:rFonts w:ascii="仿宋" w:eastAsia="仿宋_GB2312" w:hAnsi="仿宋"/>
          <w:color w:val="000000"/>
          <w:sz w:val="20"/>
        </w:rPr>
        <w:t>案号：</w:t>
      </w:r>
      <w:r>
        <w:rPr>
          <w:rFonts w:ascii="仿宋" w:eastAsia="仿宋_GB2312" w:hAnsi="仿宋" w:hint="eastAsia"/>
          <w:color w:val="000000"/>
          <w:sz w:val="20"/>
        </w:rPr>
        <w:t>____________________</w:t>
      </w:r>
    </w:p>
    <w:tbl>
      <w:tblPr>
        <w:tblStyle w:val="TableNormal"/>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41"/>
        <w:gridCol w:w="4779"/>
      </w:tblGrid>
      <w:tr w:rsidR="00800760">
        <w:trPr>
          <w:trHeight w:val="410"/>
        </w:trPr>
        <w:tc>
          <w:tcPr>
            <w:tcW w:w="3141" w:type="dxa"/>
            <w:vAlign w:val="center"/>
          </w:tcPr>
          <w:p w:rsidR="00800760" w:rsidRDefault="00235733">
            <w:pPr>
              <w:widowControl w:val="0"/>
              <w:spacing w:line="360" w:lineRule="auto"/>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专利号/专利申请号</w:t>
            </w:r>
          </w:p>
        </w:tc>
        <w:tc>
          <w:tcPr>
            <w:tcW w:w="4779" w:type="dxa"/>
          </w:tcPr>
          <w:p w:rsidR="00800760" w:rsidRDefault="00800760">
            <w:pPr>
              <w:spacing w:line="360" w:lineRule="auto"/>
              <w:ind w:firstLineChars="0" w:firstLine="0"/>
              <w:rPr>
                <w:rFonts w:ascii="仿宋_GB2312" w:eastAsia="仿宋_GB2312" w:hAnsi="宋体"/>
                <w:color w:val="000000"/>
                <w:sz w:val="20"/>
              </w:rPr>
            </w:pPr>
          </w:p>
        </w:tc>
      </w:tr>
      <w:tr w:rsidR="00800760">
        <w:trPr>
          <w:trHeight w:val="410"/>
        </w:trPr>
        <w:tc>
          <w:tcPr>
            <w:tcW w:w="3141" w:type="dxa"/>
            <w:vAlign w:val="center"/>
          </w:tcPr>
          <w:p w:rsidR="00800760" w:rsidRDefault="00235733">
            <w:pPr>
              <w:widowControl w:val="0"/>
              <w:spacing w:line="360" w:lineRule="auto"/>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发明创造名称</w:t>
            </w:r>
          </w:p>
        </w:tc>
        <w:tc>
          <w:tcPr>
            <w:tcW w:w="4779" w:type="dxa"/>
          </w:tcPr>
          <w:p w:rsidR="00800760" w:rsidRDefault="00800760">
            <w:pPr>
              <w:spacing w:line="360" w:lineRule="auto"/>
              <w:ind w:firstLineChars="0" w:firstLine="0"/>
              <w:rPr>
                <w:rFonts w:ascii="仿宋_GB2312" w:eastAsia="仿宋_GB2312" w:hAnsi="宋体"/>
                <w:color w:val="000000"/>
                <w:sz w:val="20"/>
              </w:rPr>
            </w:pPr>
          </w:p>
        </w:tc>
      </w:tr>
      <w:tr w:rsidR="00800760">
        <w:trPr>
          <w:trHeight w:val="410"/>
        </w:trPr>
        <w:tc>
          <w:tcPr>
            <w:tcW w:w="3141" w:type="dxa"/>
            <w:vAlign w:val="center"/>
          </w:tcPr>
          <w:p w:rsidR="00800760" w:rsidRDefault="00235733">
            <w:pPr>
              <w:widowControl w:val="0"/>
              <w:spacing w:line="360" w:lineRule="auto"/>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专利权人/专利申请人</w:t>
            </w:r>
          </w:p>
        </w:tc>
        <w:tc>
          <w:tcPr>
            <w:tcW w:w="4779" w:type="dxa"/>
          </w:tcPr>
          <w:p w:rsidR="00800760" w:rsidRDefault="00800760">
            <w:pPr>
              <w:spacing w:line="360" w:lineRule="auto"/>
              <w:ind w:firstLineChars="0" w:firstLine="0"/>
              <w:rPr>
                <w:rFonts w:ascii="仿宋_GB2312" w:eastAsia="仿宋_GB2312" w:hAnsi="宋体"/>
                <w:color w:val="000000"/>
                <w:sz w:val="20"/>
              </w:rPr>
            </w:pPr>
          </w:p>
        </w:tc>
      </w:tr>
      <w:tr w:rsidR="00800760">
        <w:trPr>
          <w:trHeight w:val="410"/>
        </w:trPr>
        <w:tc>
          <w:tcPr>
            <w:tcW w:w="3141" w:type="dxa"/>
            <w:vAlign w:val="center"/>
          </w:tcPr>
          <w:p w:rsidR="00800760" w:rsidRDefault="00235733">
            <w:pPr>
              <w:widowControl w:val="0"/>
              <w:spacing w:line="360" w:lineRule="auto"/>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请求人</w:t>
            </w:r>
          </w:p>
        </w:tc>
        <w:tc>
          <w:tcPr>
            <w:tcW w:w="4779" w:type="dxa"/>
          </w:tcPr>
          <w:p w:rsidR="00800760" w:rsidRDefault="00800760">
            <w:pPr>
              <w:spacing w:line="360" w:lineRule="auto"/>
              <w:ind w:firstLineChars="0" w:firstLine="0"/>
              <w:rPr>
                <w:rFonts w:ascii="仿宋_GB2312" w:eastAsia="仿宋_GB2312" w:hAnsi="宋体"/>
                <w:color w:val="000000"/>
                <w:sz w:val="20"/>
              </w:rPr>
            </w:pPr>
          </w:p>
        </w:tc>
      </w:tr>
      <w:tr w:rsidR="00800760">
        <w:trPr>
          <w:trHeight w:val="410"/>
        </w:trPr>
        <w:tc>
          <w:tcPr>
            <w:tcW w:w="3141" w:type="dxa"/>
            <w:vAlign w:val="center"/>
          </w:tcPr>
          <w:p w:rsidR="00800760" w:rsidRDefault="00235733">
            <w:pPr>
              <w:widowControl w:val="0"/>
              <w:spacing w:line="360" w:lineRule="auto"/>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被请求人</w:t>
            </w:r>
          </w:p>
        </w:tc>
        <w:tc>
          <w:tcPr>
            <w:tcW w:w="4779" w:type="dxa"/>
          </w:tcPr>
          <w:p w:rsidR="00800760" w:rsidRDefault="00800760">
            <w:pPr>
              <w:spacing w:line="360" w:lineRule="auto"/>
              <w:ind w:firstLineChars="0" w:firstLine="0"/>
              <w:rPr>
                <w:rFonts w:ascii="仿宋_GB2312" w:eastAsia="仿宋_GB2312" w:hAnsi="宋体"/>
                <w:color w:val="000000"/>
                <w:sz w:val="20"/>
              </w:rPr>
            </w:pPr>
          </w:p>
        </w:tc>
      </w:tr>
      <w:tr w:rsidR="00800760">
        <w:trPr>
          <w:trHeight w:val="410"/>
        </w:trPr>
        <w:tc>
          <w:tcPr>
            <w:tcW w:w="3141" w:type="dxa"/>
            <w:vAlign w:val="center"/>
          </w:tcPr>
          <w:p w:rsidR="00800760" w:rsidRDefault="00235733">
            <w:pPr>
              <w:widowControl w:val="0"/>
              <w:spacing w:line="360" w:lineRule="auto"/>
              <w:ind w:firstLineChars="0" w:firstLine="0"/>
              <w:jc w:val="center"/>
              <w:rPr>
                <w:rStyle w:val="MSGENFONTSTYLENAMETEMPLATEROLENUMBERMSGENFONTSTYLENAMEBYROLETEXT2MSGENFONTSTYLEMODIFERNAMEPMingLiU"/>
                <w:rFonts w:ascii="仿宋_GB2312" w:eastAsia="仿宋_GB2312" w:hAnsi="仿宋"/>
                <w:sz w:val="20"/>
                <w:szCs w:val="20"/>
                <w:lang w:eastAsia="en-US"/>
              </w:rPr>
            </w:pPr>
            <w:r>
              <w:rPr>
                <w:rStyle w:val="MSGENFONTSTYLENAMETEMPLATEROLENUMBERMSGENFONTSTYLENAMEBYROLETEXT2MSGENFONTSTYLEMODIFERNAMEPMingLiU"/>
                <w:rFonts w:ascii="仿宋_GB2312" w:eastAsia="仿宋_GB2312" w:hAnsi="仿宋" w:hint="eastAsia"/>
                <w:sz w:val="20"/>
                <w:szCs w:val="20"/>
              </w:rPr>
              <w:t>案由</w:t>
            </w:r>
          </w:p>
        </w:tc>
        <w:tc>
          <w:tcPr>
            <w:tcW w:w="4779" w:type="dxa"/>
          </w:tcPr>
          <w:p w:rsidR="00800760" w:rsidRDefault="00800760">
            <w:pPr>
              <w:spacing w:line="360" w:lineRule="auto"/>
              <w:ind w:firstLineChars="0" w:firstLine="0"/>
              <w:rPr>
                <w:rFonts w:ascii="仿宋_GB2312" w:eastAsia="仿宋_GB2312" w:hAnsi="宋体"/>
                <w:color w:val="000000"/>
                <w:sz w:val="20"/>
              </w:rPr>
            </w:pPr>
          </w:p>
        </w:tc>
      </w:tr>
    </w:tbl>
    <w:p w:rsidR="00800760" w:rsidRDefault="00800760">
      <w:pPr>
        <w:pStyle w:val="a5"/>
        <w:spacing w:after="0" w:line="324" w:lineRule="auto"/>
        <w:ind w:firstLineChars="0" w:firstLine="0"/>
        <w:rPr>
          <w:rFonts w:ascii="仿宋_GB2312" w:eastAsia="仿宋_GB2312" w:hAnsi="宋体"/>
          <w:color w:val="000000"/>
          <w:sz w:val="20"/>
        </w:rPr>
      </w:pPr>
    </w:p>
    <w:p w:rsidR="00800760" w:rsidRDefault="00235733">
      <w:pPr>
        <w:pStyle w:val="a5"/>
        <w:tabs>
          <w:tab w:val="left" w:pos="1764"/>
        </w:tabs>
        <w:spacing w:after="0" w:line="325" w:lineRule="auto"/>
        <w:ind w:firstLineChars="0" w:firstLine="0"/>
        <w:rPr>
          <w:rFonts w:ascii="仿宋_GB2312" w:eastAsia="仿宋_GB2312" w:hAnsi="宋体"/>
          <w:color w:val="000000"/>
          <w:sz w:val="20"/>
        </w:rPr>
      </w:pPr>
      <w:r>
        <w:rPr>
          <w:rFonts w:ascii="仿宋_GB2312" w:eastAsia="仿宋_GB2312" w:hAnsi="宋体" w:hint="eastAsia"/>
          <w:noProof/>
          <w:color w:val="000000"/>
          <w:sz w:val="20"/>
          <w:lang w:val="en-US"/>
        </w:rPr>
        <w:drawing>
          <wp:anchor distT="0" distB="0" distL="0" distR="0" simplePos="0" relativeHeight="251662336" behindDoc="0" locked="0" layoutInCell="1" allowOverlap="1">
            <wp:simplePos x="0" y="0"/>
            <wp:positionH relativeFrom="column">
              <wp:posOffset>0</wp:posOffset>
            </wp:positionH>
            <wp:positionV relativeFrom="paragraph">
              <wp:posOffset>146050</wp:posOffset>
            </wp:positionV>
            <wp:extent cx="1117600" cy="6350"/>
            <wp:effectExtent l="0" t="0" r="0" b="0"/>
            <wp:wrapNone/>
            <wp:docPr id="12" name="IM 186"/>
            <wp:cNvGraphicFramePr/>
            <a:graphic xmlns:a="http://schemas.openxmlformats.org/drawingml/2006/main">
              <a:graphicData uri="http://schemas.openxmlformats.org/drawingml/2006/picture">
                <pic:pic xmlns:pic="http://schemas.openxmlformats.org/drawingml/2006/picture">
                  <pic:nvPicPr>
                    <pic:cNvPr id="12" name="IM 186"/>
                    <pic:cNvPicPr>
                      <a:picLocks noChangeArrowheads="1"/>
                    </pic:cNvPicPr>
                  </pic:nvPicPr>
                  <pic:blipFill>
                    <a:blip r:embed="rId94" cstate="print"/>
                    <a:srcRect/>
                    <a:stretch>
                      <a:fillRect/>
                    </a:stretch>
                  </pic:blipFill>
                  <pic:spPr>
                    <a:xfrm>
                      <a:off x="0" y="0"/>
                      <a:ext cx="1117600" cy="6350"/>
                    </a:xfrm>
                    <a:prstGeom prst="rect">
                      <a:avLst/>
                    </a:prstGeom>
                    <a:noFill/>
                    <a:ln w="9525">
                      <a:noFill/>
                      <a:miter lim="800000"/>
                      <a:headEnd/>
                      <a:tailEnd/>
                    </a:ln>
                  </pic:spPr>
                </pic:pic>
              </a:graphicData>
            </a:graphic>
          </wp:anchor>
        </w:drawing>
      </w:r>
      <w:r>
        <w:rPr>
          <w:rFonts w:ascii="仿宋_GB2312" w:eastAsia="仿宋_GB2312" w:hAnsi="宋体" w:hint="eastAsia"/>
          <w:color w:val="000000"/>
          <w:sz w:val="20"/>
        </w:rPr>
        <w:tab/>
        <w:t>：</w:t>
      </w:r>
    </w:p>
    <w:p w:rsidR="00800760" w:rsidRDefault="00235733" w:rsidP="00C22A7B">
      <w:pPr>
        <w:tabs>
          <w:tab w:val="left" w:leader="underscore" w:pos="7277"/>
        </w:tabs>
        <w:spacing w:beforeLines="50" w:afterLines="50"/>
        <w:ind w:firstLine="400"/>
        <w:jc w:val="both"/>
        <w:rPr>
          <w:rFonts w:ascii="仿宋" w:eastAsia="仿宋_GB2312" w:hAnsi="仿宋"/>
          <w:color w:val="000000"/>
          <w:sz w:val="20"/>
        </w:rPr>
      </w:pPr>
      <w:r>
        <w:rPr>
          <w:rFonts w:ascii="仿宋" w:eastAsia="仿宋_GB2312" w:hAnsi="仿宋" w:hint="eastAsia"/>
          <w:color w:val="000000"/>
          <w:sz w:val="20"/>
        </w:rPr>
        <w:t>依据《中华人民共和国专利法实施细则》第一百零二条及《专利纠纷行政裁决和调解办法》第六十五条、第六十六条的规定，上述请求人向本局提出调解专利纠纷的请求，现将请求书副本发送给你</w:t>
      </w:r>
      <w:r>
        <w:rPr>
          <w:rFonts w:ascii="仿宋" w:eastAsia="仿宋_GB2312" w:hAnsi="仿宋" w:hint="eastAsia"/>
          <w:color w:val="000000"/>
          <w:sz w:val="20"/>
        </w:rPr>
        <w:t>(</w:t>
      </w:r>
      <w:r>
        <w:rPr>
          <w:rFonts w:ascii="仿宋" w:eastAsia="仿宋_GB2312" w:hAnsi="仿宋" w:hint="eastAsia"/>
          <w:color w:val="000000"/>
          <w:sz w:val="20"/>
        </w:rPr>
        <w:t>单位</w:t>
      </w:r>
      <w:r>
        <w:rPr>
          <w:rFonts w:ascii="仿宋" w:eastAsia="仿宋_GB2312" w:hAnsi="仿宋" w:hint="eastAsia"/>
          <w:color w:val="000000"/>
          <w:sz w:val="20"/>
        </w:rPr>
        <w:t>)</w:t>
      </w:r>
      <w:r>
        <w:rPr>
          <w:rFonts w:ascii="仿宋" w:eastAsia="仿宋_GB2312" w:hAnsi="仿宋" w:hint="eastAsia"/>
          <w:color w:val="000000"/>
          <w:sz w:val="20"/>
        </w:rPr>
        <w:t>。请在收到请求书副本之日起</w:t>
      </w:r>
      <w:r>
        <w:rPr>
          <w:rFonts w:ascii="仿宋" w:eastAsia="仿宋_GB2312" w:hAnsi="仿宋" w:hint="eastAsia"/>
          <w:color w:val="000000"/>
          <w:sz w:val="20"/>
        </w:rPr>
        <w:t>15</w:t>
      </w:r>
      <w:r>
        <w:rPr>
          <w:rFonts w:ascii="仿宋" w:eastAsia="仿宋_GB2312" w:hAnsi="仿宋" w:hint="eastAsia"/>
          <w:color w:val="000000"/>
          <w:sz w:val="20"/>
        </w:rPr>
        <w:t>日内向本局提交意见陈述书一份，并按照被请求人的人数提交副本。</w:t>
      </w:r>
    </w:p>
    <w:p w:rsidR="00800760" w:rsidRDefault="00235733" w:rsidP="00C22A7B">
      <w:pPr>
        <w:tabs>
          <w:tab w:val="left" w:leader="underscore" w:pos="7277"/>
        </w:tabs>
        <w:spacing w:beforeLines="50" w:afterLines="50"/>
        <w:ind w:firstLine="400"/>
        <w:jc w:val="both"/>
        <w:rPr>
          <w:rFonts w:ascii="仿宋" w:eastAsia="仿宋_GB2312" w:hAnsi="仿宋"/>
          <w:color w:val="000000"/>
          <w:sz w:val="20"/>
        </w:rPr>
      </w:pPr>
      <w:r>
        <w:rPr>
          <w:rFonts w:ascii="仿宋" w:eastAsia="仿宋_GB2312" w:hAnsi="仿宋" w:hint="eastAsia"/>
          <w:color w:val="000000"/>
          <w:sz w:val="20"/>
        </w:rPr>
        <w:t>被请求人应当在意见陈述书中表明是否同意由本局进行调解。逾期不提交意见陈述书，或者在意见陈述书中表明不接受调解的，本局将不予受理该专利纠纷调解请求。</w:t>
      </w:r>
    </w:p>
    <w:p w:rsidR="00800760" w:rsidRDefault="00235733" w:rsidP="00C22A7B">
      <w:pPr>
        <w:tabs>
          <w:tab w:val="left" w:leader="underscore" w:pos="7277"/>
        </w:tabs>
        <w:spacing w:beforeLines="50" w:afterLines="50"/>
        <w:ind w:firstLine="400"/>
        <w:jc w:val="both"/>
        <w:rPr>
          <w:rFonts w:ascii="仿宋" w:eastAsia="仿宋_GB2312" w:hAnsi="仿宋"/>
          <w:color w:val="000000"/>
          <w:sz w:val="20"/>
        </w:rPr>
      </w:pPr>
      <w:r>
        <w:rPr>
          <w:rFonts w:ascii="仿宋" w:eastAsia="仿宋_GB2312" w:hAnsi="仿宋" w:hint="eastAsia"/>
          <w:color w:val="000000"/>
          <w:sz w:val="20"/>
        </w:rPr>
        <w:t>特此通知。</w:t>
      </w:r>
    </w:p>
    <w:p w:rsidR="00800760" w:rsidRDefault="00800760">
      <w:pPr>
        <w:pStyle w:val="a5"/>
        <w:spacing w:after="0" w:line="399" w:lineRule="auto"/>
        <w:ind w:firstLineChars="0" w:firstLine="0"/>
        <w:rPr>
          <w:rFonts w:ascii="仿宋_GB2312" w:eastAsia="仿宋_GB2312" w:hAnsi="宋体"/>
          <w:color w:val="000000"/>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235733">
      <w:pPr>
        <w:spacing w:before="70" w:line="342" w:lineRule="auto"/>
        <w:ind w:right="6565" w:firstLineChars="0" w:firstLine="0"/>
        <w:jc w:val="both"/>
        <w:rPr>
          <w:rStyle w:val="MSGENFONTSTYLENAMETEMPLATEROLENUMBERMSGENFONTSTYLENAMEBYROLETEXT2MSGENFONTSTYLEMODIFERNAMEPMingLiU"/>
          <w:rFonts w:ascii="仿宋_GB2312" w:eastAsia="仿宋_GB2312" w:hAnsi="仿宋"/>
          <w:sz w:val="20"/>
          <w:szCs w:val="20"/>
        </w:rPr>
      </w:pPr>
      <w:r>
        <w:rPr>
          <w:rStyle w:val="MSGENFONTSTYLENAMETEMPLATEROLENUMBERMSGENFONTSTYLENAMEBYROLETEXT2MSGENFONTSTYLEMODIFERNAMEPMingLiU"/>
          <w:rFonts w:ascii="仿宋_GB2312" w:eastAsia="仿宋_GB2312" w:hAnsi="仿宋" w:hint="eastAsia"/>
          <w:sz w:val="20"/>
          <w:szCs w:val="20"/>
        </w:rPr>
        <w:t xml:space="preserve">联 系 人 ： </w:t>
      </w:r>
    </w:p>
    <w:p w:rsidR="00800760" w:rsidRDefault="00235733">
      <w:pPr>
        <w:spacing w:before="70" w:line="342" w:lineRule="auto"/>
        <w:ind w:right="6565" w:firstLineChars="0" w:firstLine="0"/>
        <w:jc w:val="both"/>
        <w:rPr>
          <w:rStyle w:val="MSGENFONTSTYLENAMETEMPLATEROLENUMBERMSGENFONTSTYLENAMEBYROLETEXT2MSGENFONTSTYLEMODIFERNAMEPMingLiU"/>
          <w:rFonts w:ascii="仿宋_GB2312" w:eastAsia="仿宋_GB2312" w:hAnsi="仿宋"/>
          <w:sz w:val="20"/>
          <w:szCs w:val="20"/>
        </w:rPr>
      </w:pPr>
      <w:r>
        <w:rPr>
          <w:rStyle w:val="MSGENFONTSTYLENAMETEMPLATEROLENUMBERMSGENFONTSTYLENAMEBYROLETEXT2MSGENFONTSTYLEMODIFERNAMEPMingLiU"/>
          <w:rFonts w:ascii="仿宋_GB2312" w:eastAsia="仿宋_GB2312" w:hAnsi="仿宋" w:hint="eastAsia"/>
          <w:sz w:val="20"/>
          <w:szCs w:val="20"/>
        </w:rPr>
        <w:t>联系电话：</w:t>
      </w:r>
    </w:p>
    <w:p w:rsidR="00800760" w:rsidRDefault="00235733">
      <w:pPr>
        <w:spacing w:before="70" w:line="342" w:lineRule="auto"/>
        <w:ind w:right="6565" w:firstLineChars="0" w:firstLine="0"/>
        <w:jc w:val="both"/>
        <w:rPr>
          <w:rStyle w:val="MSGENFONTSTYLENAMETEMPLATEROLENUMBERMSGENFONTSTYLENAMEBYROLETEXT2MSGENFONTSTYLEMODIFERNAMEPMingLiU"/>
          <w:rFonts w:ascii="仿宋_GB2312" w:eastAsia="仿宋_GB2312" w:hAnsi="仿宋"/>
          <w:sz w:val="20"/>
          <w:szCs w:val="20"/>
        </w:rPr>
      </w:pPr>
      <w:r>
        <w:rPr>
          <w:rStyle w:val="MSGENFONTSTYLENAMETEMPLATEROLENUMBERMSGENFONTSTYLENAMEBYROLETEXT2MSGENFONTSTYLEMODIFERNAMEPMingLiU"/>
          <w:rFonts w:ascii="仿宋_GB2312" w:eastAsia="仿宋_GB2312" w:hAnsi="仿宋" w:hint="eastAsia"/>
          <w:sz w:val="20"/>
          <w:szCs w:val="20"/>
        </w:rPr>
        <w:t>本局地址：</w:t>
      </w:r>
    </w:p>
    <w:p w:rsidR="00800760" w:rsidRDefault="00235733">
      <w:pPr>
        <w:spacing w:before="70" w:line="342" w:lineRule="auto"/>
        <w:ind w:right="6565" w:firstLineChars="0" w:firstLine="0"/>
        <w:jc w:val="both"/>
        <w:rPr>
          <w:rStyle w:val="MSGENFONTSTYLENAMETEMPLATEROLENUMBERMSGENFONTSTYLENAMEBYROLETEXT2MSGENFONTSTYLEMODIFERNAMEPMingLiU"/>
          <w:rFonts w:ascii="仿宋_GB2312" w:eastAsia="仿宋_GB2312" w:hAnsi="仿宋"/>
          <w:sz w:val="20"/>
          <w:szCs w:val="20"/>
        </w:rPr>
      </w:pPr>
      <w:r>
        <w:rPr>
          <w:rStyle w:val="MSGENFONTSTYLENAMETEMPLATEROLENUMBERMSGENFONTSTYLENAMEBYROLETEXT2MSGENFONTSTYLEMODIFERNAMEPMingLiU"/>
          <w:rFonts w:ascii="仿宋_GB2312" w:eastAsia="仿宋_GB2312" w:hAnsi="仿宋" w:hint="eastAsia"/>
          <w:sz w:val="20"/>
          <w:szCs w:val="20"/>
        </w:rPr>
        <w:t>邮政编码:</w:t>
      </w:r>
    </w:p>
    <w:p w:rsidR="00800760" w:rsidRDefault="00800760">
      <w:pPr>
        <w:pStyle w:val="a5"/>
        <w:spacing w:after="0" w:line="352" w:lineRule="auto"/>
        <w:ind w:firstLineChars="0" w:firstLine="0"/>
        <w:rPr>
          <w:rStyle w:val="MSGENFONTSTYLENAMETEMPLATEROLENUMBERMSGENFONTSTYLENAMEBYROLETEXT2MSGENFONTSTYLEMODIFERNAMEPMingLiU"/>
          <w:rFonts w:ascii="仿宋_GB2312" w:eastAsia="仿宋_GB2312" w:hAnsi="仿宋"/>
          <w:sz w:val="20"/>
          <w:szCs w:val="20"/>
          <w:lang w:val="en-GB"/>
        </w:rPr>
      </w:pPr>
    </w:p>
    <w:p w:rsidR="00800760" w:rsidRDefault="00235733" w:rsidP="00235733">
      <w:pPr>
        <w:spacing w:before="58" w:line="219" w:lineRule="auto"/>
        <w:ind w:firstLine="400"/>
        <w:rPr>
          <w:rFonts w:ascii="仿宋" w:eastAsia="仿宋" w:hAnsi="仿宋" w:cs="仿宋"/>
          <w:sz w:val="18"/>
          <w:szCs w:val="18"/>
        </w:rPr>
        <w:sectPr w:rsidR="00800760" w:rsidSect="008175D7">
          <w:footerReference w:type="default" r:id="rId95"/>
          <w:pgSz w:w="10830" w:h="15080"/>
          <w:pgMar w:top="1371" w:right="1269" w:bottom="1335" w:left="1559" w:header="431" w:footer="969" w:gutter="0"/>
          <w:cols w:space="720"/>
          <w:docGrid w:linePitch="286"/>
        </w:sectPr>
      </w:pPr>
      <w:r>
        <w:rPr>
          <w:rStyle w:val="MSGENFONTSTYLENAMETEMPLATEROLENUMBERMSGENFONTSTYLENAMEBYROLETEXT2MSGENFONTSTYLEMODIFERNAMEPMingLiU"/>
          <w:rFonts w:ascii="仿宋_GB2312" w:eastAsia="仿宋_GB2312" w:hAnsi="仿宋" w:hint="eastAsia"/>
          <w:sz w:val="20"/>
          <w:szCs w:val="20"/>
        </w:rPr>
        <w:t>说明：本通知书一式两份，一份送达当事人，一份由知识产权局存档。</w:t>
      </w:r>
    </w:p>
    <w:p w:rsidR="00800760" w:rsidRDefault="00235733">
      <w:pPr>
        <w:spacing w:before="111" w:line="219" w:lineRule="auto"/>
        <w:ind w:left="1484" w:firstLineChars="0" w:firstLine="0"/>
        <w:outlineLvl w:val="3"/>
        <w:rPr>
          <w:rFonts w:ascii="方正小标宋_GBK" w:eastAsia="方正小标宋_GBK" w:hAnsi="宋体"/>
          <w:color w:val="000000"/>
          <w:spacing w:val="6"/>
          <w:sz w:val="36"/>
          <w:szCs w:val="36"/>
        </w:rPr>
      </w:pPr>
      <w:bookmarkStart w:id="9324" w:name="bookmark149"/>
      <w:bookmarkStart w:id="9325" w:name="bookmark232"/>
      <w:bookmarkEnd w:id="9324"/>
      <w:bookmarkEnd w:id="9325"/>
      <w:r>
        <w:rPr>
          <w:rFonts w:ascii="方正小标宋_GBK" w:eastAsia="方正小标宋_GBK" w:hAnsi="宋体"/>
          <w:color w:val="000000"/>
          <w:spacing w:val="6"/>
          <w:sz w:val="36"/>
          <w:szCs w:val="36"/>
        </w:rPr>
        <w:t>专利纠纷行政调解立案通知书</w:t>
      </w:r>
    </w:p>
    <w:p w:rsidR="00800760" w:rsidRDefault="00800760">
      <w:pPr>
        <w:pStyle w:val="a5"/>
        <w:spacing w:after="0" w:line="240" w:lineRule="auto"/>
        <w:ind w:firstLineChars="0" w:firstLine="0"/>
        <w:rPr>
          <w:sz w:val="20"/>
        </w:rPr>
      </w:pPr>
    </w:p>
    <w:p w:rsidR="00800760" w:rsidRDefault="00800760">
      <w:pPr>
        <w:pStyle w:val="a5"/>
        <w:spacing w:after="0" w:line="240" w:lineRule="auto"/>
        <w:ind w:firstLineChars="0" w:firstLine="0"/>
        <w:rPr>
          <w:sz w:val="20"/>
        </w:rPr>
      </w:pPr>
    </w:p>
    <w:p w:rsidR="00800760" w:rsidRDefault="00235733">
      <w:pPr>
        <w:spacing w:line="480" w:lineRule="auto"/>
        <w:ind w:firstLineChars="0" w:firstLine="0"/>
        <w:jc w:val="right"/>
        <w:rPr>
          <w:sz w:val="20"/>
          <w:lang w:eastAsia="en-US"/>
        </w:rPr>
      </w:pPr>
      <w:r>
        <w:rPr>
          <w:rFonts w:ascii="仿宋" w:eastAsia="仿宋_GB2312" w:hAnsi="仿宋"/>
          <w:color w:val="000000"/>
          <w:sz w:val="20"/>
        </w:rPr>
        <w:t>案号：</w:t>
      </w:r>
      <w:r>
        <w:rPr>
          <w:rFonts w:ascii="仿宋" w:eastAsia="仿宋_GB2312" w:hAnsi="仿宋" w:hint="eastAsia"/>
          <w:color w:val="000000"/>
          <w:sz w:val="20"/>
        </w:rPr>
        <w:t>____________________</w:t>
      </w:r>
    </w:p>
    <w:tbl>
      <w:tblPr>
        <w:tblStyle w:val="TableNormal"/>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41"/>
        <w:gridCol w:w="4788"/>
      </w:tblGrid>
      <w:tr w:rsidR="00800760">
        <w:trPr>
          <w:trHeight w:val="413"/>
        </w:trPr>
        <w:tc>
          <w:tcPr>
            <w:tcW w:w="3141" w:type="dxa"/>
          </w:tcPr>
          <w:p w:rsidR="00800760" w:rsidRDefault="00235733">
            <w:pPr>
              <w:pStyle w:val="TableText"/>
              <w:kinsoku/>
              <w:autoSpaceDE/>
              <w:autoSpaceDN/>
              <w:adjustRightInd/>
              <w:snapToGrid/>
              <w:spacing w:before="103" w:line="219" w:lineRule="auto"/>
              <w:ind w:left="66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2"/>
                <w:sz w:val="20"/>
                <w:szCs w:val="20"/>
                <w:lang w:eastAsia="en-US"/>
              </w:rPr>
              <w:t>专利号/专利申请号</w:t>
            </w:r>
          </w:p>
        </w:tc>
        <w:tc>
          <w:tcPr>
            <w:tcW w:w="4788" w:type="dxa"/>
          </w:tcPr>
          <w:p w:rsidR="00800760" w:rsidRDefault="00800760">
            <w:pPr>
              <w:spacing w:line="240" w:lineRule="auto"/>
              <w:ind w:firstLineChars="0" w:firstLine="0"/>
              <w:rPr>
                <w:sz w:val="20"/>
                <w:lang w:eastAsia="en-US"/>
              </w:rPr>
            </w:pPr>
          </w:p>
        </w:tc>
      </w:tr>
      <w:tr w:rsidR="00800760">
        <w:trPr>
          <w:trHeight w:val="409"/>
        </w:trPr>
        <w:tc>
          <w:tcPr>
            <w:tcW w:w="3141" w:type="dxa"/>
          </w:tcPr>
          <w:p w:rsidR="00800760" w:rsidRDefault="00235733">
            <w:pPr>
              <w:pStyle w:val="TableText"/>
              <w:kinsoku/>
              <w:autoSpaceDE/>
              <w:autoSpaceDN/>
              <w:adjustRightInd/>
              <w:snapToGrid/>
              <w:spacing w:before="100" w:line="219" w:lineRule="auto"/>
              <w:ind w:left="93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1"/>
                <w:sz w:val="20"/>
                <w:szCs w:val="20"/>
                <w:lang w:eastAsia="en-US"/>
              </w:rPr>
              <w:t>发明创造名称</w:t>
            </w:r>
          </w:p>
        </w:tc>
        <w:tc>
          <w:tcPr>
            <w:tcW w:w="4788" w:type="dxa"/>
          </w:tcPr>
          <w:p w:rsidR="00800760" w:rsidRDefault="00800760">
            <w:pPr>
              <w:spacing w:line="240" w:lineRule="auto"/>
              <w:ind w:firstLineChars="0" w:firstLine="0"/>
              <w:rPr>
                <w:sz w:val="20"/>
                <w:lang w:eastAsia="en-US"/>
              </w:rPr>
            </w:pPr>
          </w:p>
        </w:tc>
      </w:tr>
      <w:tr w:rsidR="00800760">
        <w:trPr>
          <w:trHeight w:val="408"/>
        </w:trPr>
        <w:tc>
          <w:tcPr>
            <w:tcW w:w="3141" w:type="dxa"/>
          </w:tcPr>
          <w:p w:rsidR="00800760" w:rsidRDefault="00235733">
            <w:pPr>
              <w:pStyle w:val="TableText"/>
              <w:kinsoku/>
              <w:autoSpaceDE/>
              <w:autoSpaceDN/>
              <w:adjustRightInd/>
              <w:snapToGrid/>
              <w:spacing w:before="101" w:line="219" w:lineRule="auto"/>
              <w:ind w:left="56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1"/>
                <w:sz w:val="20"/>
                <w:szCs w:val="20"/>
                <w:lang w:eastAsia="en-US"/>
              </w:rPr>
              <w:t>专利权人/专利申请人</w:t>
            </w:r>
          </w:p>
        </w:tc>
        <w:tc>
          <w:tcPr>
            <w:tcW w:w="4788" w:type="dxa"/>
          </w:tcPr>
          <w:p w:rsidR="00800760" w:rsidRDefault="00800760">
            <w:pPr>
              <w:spacing w:line="240" w:lineRule="auto"/>
              <w:ind w:firstLineChars="0" w:firstLine="0"/>
              <w:rPr>
                <w:sz w:val="20"/>
                <w:lang w:eastAsia="en-US"/>
              </w:rPr>
            </w:pPr>
          </w:p>
        </w:tc>
      </w:tr>
      <w:tr w:rsidR="00800760">
        <w:trPr>
          <w:trHeight w:val="408"/>
        </w:trPr>
        <w:tc>
          <w:tcPr>
            <w:tcW w:w="3141" w:type="dxa"/>
          </w:tcPr>
          <w:p w:rsidR="00800760" w:rsidRDefault="00235733">
            <w:pPr>
              <w:pStyle w:val="TableText"/>
              <w:kinsoku/>
              <w:autoSpaceDE/>
              <w:autoSpaceDN/>
              <w:adjustRightInd/>
              <w:snapToGrid/>
              <w:spacing w:before="104" w:line="220" w:lineRule="auto"/>
              <w:ind w:left="124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2"/>
                <w:sz w:val="20"/>
                <w:szCs w:val="20"/>
                <w:lang w:eastAsia="en-US"/>
              </w:rPr>
              <w:t>请求人</w:t>
            </w:r>
          </w:p>
        </w:tc>
        <w:tc>
          <w:tcPr>
            <w:tcW w:w="4788" w:type="dxa"/>
          </w:tcPr>
          <w:p w:rsidR="00800760" w:rsidRDefault="00800760">
            <w:pPr>
              <w:spacing w:line="240" w:lineRule="auto"/>
              <w:ind w:firstLineChars="0" w:firstLine="0"/>
              <w:rPr>
                <w:sz w:val="20"/>
                <w:lang w:eastAsia="en-US"/>
              </w:rPr>
            </w:pPr>
          </w:p>
        </w:tc>
      </w:tr>
      <w:tr w:rsidR="00800760">
        <w:trPr>
          <w:trHeight w:val="399"/>
        </w:trPr>
        <w:tc>
          <w:tcPr>
            <w:tcW w:w="3141" w:type="dxa"/>
          </w:tcPr>
          <w:p w:rsidR="00800760" w:rsidRDefault="00235733">
            <w:pPr>
              <w:pStyle w:val="TableText"/>
              <w:kinsoku/>
              <w:autoSpaceDE/>
              <w:autoSpaceDN/>
              <w:adjustRightInd/>
              <w:snapToGrid/>
              <w:spacing w:before="105" w:line="219" w:lineRule="auto"/>
              <w:ind w:left="114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2"/>
                <w:sz w:val="20"/>
                <w:szCs w:val="20"/>
                <w:lang w:eastAsia="en-US"/>
              </w:rPr>
              <w:t>被请求人</w:t>
            </w:r>
          </w:p>
        </w:tc>
        <w:tc>
          <w:tcPr>
            <w:tcW w:w="4788" w:type="dxa"/>
          </w:tcPr>
          <w:p w:rsidR="00800760" w:rsidRDefault="00800760">
            <w:pPr>
              <w:spacing w:line="240" w:lineRule="auto"/>
              <w:ind w:firstLineChars="0" w:firstLine="0"/>
              <w:rPr>
                <w:sz w:val="20"/>
                <w:lang w:eastAsia="en-US"/>
              </w:rPr>
            </w:pPr>
          </w:p>
        </w:tc>
      </w:tr>
      <w:tr w:rsidR="00800760">
        <w:trPr>
          <w:trHeight w:val="413"/>
        </w:trPr>
        <w:tc>
          <w:tcPr>
            <w:tcW w:w="3141" w:type="dxa"/>
          </w:tcPr>
          <w:p w:rsidR="00800760" w:rsidRDefault="00235733">
            <w:pPr>
              <w:pStyle w:val="TableText"/>
              <w:kinsoku/>
              <w:autoSpaceDE/>
              <w:autoSpaceDN/>
              <w:adjustRightInd/>
              <w:snapToGrid/>
              <w:spacing w:before="107" w:line="220" w:lineRule="auto"/>
              <w:ind w:left="135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12"/>
                <w:sz w:val="20"/>
                <w:szCs w:val="20"/>
                <w:lang w:eastAsia="en-US"/>
              </w:rPr>
              <w:t>案由</w:t>
            </w:r>
          </w:p>
        </w:tc>
        <w:tc>
          <w:tcPr>
            <w:tcW w:w="4788" w:type="dxa"/>
          </w:tcPr>
          <w:p w:rsidR="00800760" w:rsidRDefault="00800760">
            <w:pPr>
              <w:spacing w:line="240" w:lineRule="auto"/>
              <w:ind w:firstLineChars="0" w:firstLine="0"/>
              <w:rPr>
                <w:sz w:val="20"/>
                <w:lang w:eastAsia="en-US"/>
              </w:rPr>
            </w:pPr>
          </w:p>
        </w:tc>
      </w:tr>
    </w:tbl>
    <w:p w:rsidR="00800760" w:rsidRDefault="00800760" w:rsidP="00C22A7B">
      <w:pPr>
        <w:tabs>
          <w:tab w:val="left" w:leader="underscore" w:pos="7277"/>
        </w:tabs>
        <w:spacing w:beforeLines="50" w:afterLines="50"/>
        <w:ind w:firstLine="400"/>
        <w:jc w:val="both"/>
        <w:rPr>
          <w:rFonts w:ascii="仿宋" w:eastAsia="仿宋_GB2312" w:hAnsi="仿宋"/>
          <w:color w:val="000000"/>
          <w:sz w:val="20"/>
        </w:rPr>
      </w:pPr>
    </w:p>
    <w:p w:rsidR="00800760" w:rsidRDefault="00235733" w:rsidP="00C22A7B">
      <w:pPr>
        <w:tabs>
          <w:tab w:val="left" w:leader="underscore" w:pos="7277"/>
        </w:tabs>
        <w:spacing w:beforeLines="50" w:afterLines="50"/>
        <w:ind w:firstLine="400"/>
        <w:jc w:val="both"/>
        <w:rPr>
          <w:rFonts w:ascii="仿宋" w:eastAsia="仿宋_GB2312" w:hAnsi="仿宋"/>
          <w:color w:val="000000"/>
          <w:sz w:val="20"/>
        </w:rPr>
      </w:pPr>
      <w:r>
        <w:rPr>
          <w:rFonts w:ascii="仿宋" w:eastAsia="仿宋_GB2312" w:hAnsi="仿宋" w:hint="eastAsia"/>
          <w:color w:val="000000"/>
          <w:sz w:val="20"/>
        </w:rPr>
        <w:t>对请求人</w:t>
      </w:r>
      <w:r>
        <w:rPr>
          <w:rFonts w:ascii="仿宋" w:eastAsia="仿宋_GB2312" w:hAnsi="仿宋" w:hint="eastAsia"/>
          <w:color w:val="000000"/>
          <w:sz w:val="20"/>
        </w:rPr>
        <w:t xml:space="preserve">       </w:t>
      </w:r>
      <w:r>
        <w:rPr>
          <w:rFonts w:ascii="仿宋" w:eastAsia="仿宋_GB2312" w:hAnsi="仿宋" w:hint="eastAsia"/>
          <w:color w:val="000000"/>
          <w:sz w:val="20"/>
        </w:rPr>
        <w:t>年</w:t>
      </w:r>
      <w:r>
        <w:rPr>
          <w:rFonts w:ascii="仿宋" w:eastAsia="仿宋_GB2312" w:hAnsi="仿宋" w:hint="eastAsia"/>
          <w:color w:val="000000"/>
          <w:sz w:val="20"/>
        </w:rPr>
        <w:t xml:space="preserve">    </w:t>
      </w:r>
      <w:r>
        <w:rPr>
          <w:rFonts w:ascii="仿宋" w:eastAsia="仿宋_GB2312" w:hAnsi="仿宋" w:hint="eastAsia"/>
          <w:color w:val="000000"/>
          <w:sz w:val="20"/>
        </w:rPr>
        <w:t>月</w:t>
      </w:r>
      <w:r>
        <w:rPr>
          <w:rFonts w:ascii="仿宋" w:eastAsia="仿宋_GB2312" w:hAnsi="仿宋" w:hint="eastAsia"/>
          <w:color w:val="000000"/>
          <w:sz w:val="20"/>
        </w:rPr>
        <w:t xml:space="preserve">    </w:t>
      </w:r>
      <w:r>
        <w:rPr>
          <w:rFonts w:ascii="仿宋" w:eastAsia="仿宋_GB2312" w:hAnsi="仿宋" w:hint="eastAsia"/>
          <w:color w:val="000000"/>
          <w:sz w:val="20"/>
        </w:rPr>
        <w:t>日提交的专利纠纷调解请求，根据《专利纠纷行政裁决和调解办法》第六十六条的规定，本局予以立案。</w:t>
      </w:r>
    </w:p>
    <w:p w:rsidR="00800760" w:rsidRDefault="00235733" w:rsidP="00C22A7B">
      <w:pPr>
        <w:tabs>
          <w:tab w:val="left" w:leader="underscore" w:pos="7277"/>
        </w:tabs>
        <w:spacing w:beforeLines="50" w:afterLines="50"/>
        <w:ind w:firstLine="400"/>
        <w:jc w:val="both"/>
        <w:rPr>
          <w:rFonts w:ascii="仿宋" w:eastAsia="仿宋_GB2312" w:hAnsi="仿宋"/>
          <w:color w:val="000000"/>
          <w:sz w:val="20"/>
        </w:rPr>
      </w:pPr>
      <w:r>
        <w:rPr>
          <w:rFonts w:ascii="仿宋" w:eastAsia="仿宋_GB2312" w:hAnsi="仿宋" w:hint="eastAsia"/>
          <w:color w:val="000000"/>
          <w:sz w:val="20"/>
        </w:rPr>
        <w:t>因专利申请权或者专利权的归属纠纷请求调解的，可以持本通知书请求国家知识产权局中止该专利申请或者专利权有关程序。</w:t>
      </w:r>
    </w:p>
    <w:p w:rsidR="00800760" w:rsidRDefault="00235733" w:rsidP="00C22A7B">
      <w:pPr>
        <w:tabs>
          <w:tab w:val="left" w:leader="underscore" w:pos="7277"/>
        </w:tabs>
        <w:spacing w:beforeLines="50" w:afterLines="50"/>
        <w:ind w:firstLine="400"/>
        <w:jc w:val="both"/>
        <w:rPr>
          <w:rFonts w:ascii="仿宋" w:eastAsia="仿宋_GB2312" w:hAnsi="仿宋"/>
          <w:color w:val="000000"/>
          <w:sz w:val="20"/>
        </w:rPr>
      </w:pPr>
      <w:r>
        <w:rPr>
          <w:rFonts w:ascii="仿宋" w:eastAsia="仿宋_GB2312" w:hAnsi="仿宋" w:hint="eastAsia"/>
          <w:color w:val="000000"/>
          <w:sz w:val="20"/>
        </w:rPr>
        <w:t>特此通知。</w:t>
      </w:r>
    </w:p>
    <w:p w:rsidR="00800760" w:rsidRDefault="00800760" w:rsidP="00C22A7B">
      <w:pPr>
        <w:tabs>
          <w:tab w:val="left" w:leader="underscore" w:pos="7277"/>
        </w:tabs>
        <w:spacing w:beforeLines="50" w:afterLines="50"/>
        <w:ind w:firstLine="400"/>
        <w:jc w:val="both"/>
        <w:rPr>
          <w:rFonts w:ascii="仿宋" w:eastAsia="仿宋_GB2312" w:hAnsi="仿宋"/>
          <w:color w:val="000000"/>
          <w:sz w:val="20"/>
        </w:rPr>
      </w:pPr>
    </w:p>
    <w:p w:rsidR="00800760" w:rsidRDefault="00235733" w:rsidP="00C22A7B">
      <w:pPr>
        <w:tabs>
          <w:tab w:val="left" w:leader="underscore" w:pos="7277"/>
        </w:tabs>
        <w:spacing w:beforeLines="50" w:afterLines="50"/>
        <w:ind w:firstLine="400"/>
        <w:jc w:val="both"/>
        <w:rPr>
          <w:rFonts w:ascii="仿宋" w:eastAsia="仿宋_GB2312" w:hAnsi="仿宋"/>
          <w:color w:val="000000"/>
          <w:sz w:val="20"/>
        </w:rPr>
      </w:pPr>
      <w:r>
        <w:rPr>
          <w:rFonts w:ascii="仿宋" w:eastAsia="仿宋_GB2312" w:hAnsi="仿宋" w:hint="eastAsia"/>
          <w:color w:val="000000"/>
          <w:sz w:val="20"/>
        </w:rPr>
        <w:t>承办人：</w:t>
      </w:r>
      <w:r>
        <w:rPr>
          <w:rFonts w:ascii="仿宋" w:eastAsia="仿宋_GB2312" w:hAnsi="仿宋" w:hint="eastAsia"/>
          <w:color w:val="000000"/>
          <w:sz w:val="20"/>
        </w:rPr>
        <w:t xml:space="preserve">                  </w:t>
      </w:r>
    </w:p>
    <w:p w:rsidR="00800760" w:rsidRDefault="00800760" w:rsidP="00C22A7B">
      <w:pPr>
        <w:tabs>
          <w:tab w:val="left" w:leader="underscore" w:pos="7277"/>
        </w:tabs>
        <w:spacing w:beforeLines="50" w:afterLines="50"/>
        <w:ind w:firstLineChars="0" w:firstLine="0"/>
        <w:jc w:val="both"/>
        <w:rPr>
          <w:rFonts w:ascii="仿宋" w:eastAsia="仿宋_GB2312" w:hAnsi="仿宋"/>
          <w:color w:val="000000"/>
          <w:sz w:val="20"/>
        </w:rPr>
      </w:pPr>
    </w:p>
    <w:p w:rsidR="00800760" w:rsidRDefault="00800760" w:rsidP="00C22A7B">
      <w:pPr>
        <w:tabs>
          <w:tab w:val="left" w:leader="underscore" w:pos="7277"/>
        </w:tabs>
        <w:spacing w:beforeLines="50" w:afterLines="50"/>
        <w:ind w:firstLineChars="0" w:firstLine="0"/>
        <w:jc w:val="both"/>
        <w:rPr>
          <w:rFonts w:ascii="仿宋" w:eastAsia="仿宋_GB2312" w:hAnsi="仿宋"/>
          <w:color w:val="000000"/>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pStyle w:val="a5"/>
        <w:spacing w:after="0" w:line="242" w:lineRule="auto"/>
        <w:ind w:firstLineChars="0" w:firstLine="0"/>
        <w:rPr>
          <w:sz w:val="20"/>
        </w:rPr>
      </w:pPr>
    </w:p>
    <w:p w:rsidR="00800760" w:rsidRDefault="00800760">
      <w:pPr>
        <w:pStyle w:val="a5"/>
        <w:spacing w:after="0" w:line="242" w:lineRule="auto"/>
        <w:ind w:firstLineChars="0" w:firstLine="0"/>
        <w:rPr>
          <w:sz w:val="20"/>
        </w:rPr>
      </w:pPr>
    </w:p>
    <w:p w:rsidR="00800760" w:rsidRDefault="00800760">
      <w:pPr>
        <w:pStyle w:val="a5"/>
        <w:spacing w:after="0" w:line="242" w:lineRule="auto"/>
        <w:ind w:firstLineChars="0" w:firstLine="0"/>
        <w:rPr>
          <w:rFonts w:ascii="仿宋_GB2312" w:eastAsia="仿宋_GB2312" w:hAnsi="宋体"/>
          <w:color w:val="000000"/>
          <w:sz w:val="20"/>
        </w:rPr>
      </w:pPr>
    </w:p>
    <w:p w:rsidR="00800760" w:rsidRDefault="00800760">
      <w:pPr>
        <w:pStyle w:val="a5"/>
        <w:spacing w:after="0" w:line="243" w:lineRule="auto"/>
        <w:ind w:firstLineChars="0" w:firstLine="0"/>
        <w:rPr>
          <w:rFonts w:ascii="仿宋_GB2312" w:eastAsia="仿宋_GB2312" w:hAnsi="宋体"/>
          <w:color w:val="000000"/>
          <w:sz w:val="20"/>
        </w:rPr>
      </w:pPr>
    </w:p>
    <w:p w:rsidR="00800760" w:rsidRDefault="00800760">
      <w:pPr>
        <w:pStyle w:val="a5"/>
        <w:spacing w:after="0" w:line="243" w:lineRule="auto"/>
        <w:ind w:firstLineChars="0" w:firstLine="0"/>
        <w:rPr>
          <w:rFonts w:ascii="仿宋_GB2312" w:eastAsia="仿宋_GB2312" w:hAnsi="宋体"/>
          <w:color w:val="000000"/>
          <w:sz w:val="20"/>
        </w:rPr>
      </w:pPr>
    </w:p>
    <w:p w:rsidR="00800760" w:rsidRDefault="00235733" w:rsidP="00235733">
      <w:pPr>
        <w:spacing w:before="69" w:line="219" w:lineRule="auto"/>
        <w:ind w:firstLine="400"/>
        <w:rPr>
          <w:rFonts w:ascii="仿宋_GB2312" w:eastAsia="仿宋_GB2312" w:hAnsi="宋体"/>
          <w:color w:val="000000"/>
          <w:szCs w:val="21"/>
        </w:rPr>
        <w:sectPr w:rsidR="00800760" w:rsidSect="008175D7">
          <w:footerReference w:type="default" r:id="rId96"/>
          <w:pgSz w:w="10830" w:h="15080"/>
          <w:pgMar w:top="1373" w:right="1579" w:bottom="1358" w:left="1270" w:header="431" w:footer="969" w:gutter="0"/>
          <w:cols w:space="720"/>
          <w:docGrid w:linePitch="286"/>
        </w:sectPr>
      </w:pPr>
      <w:r>
        <w:rPr>
          <w:rFonts w:ascii="仿宋_GB2312" w:eastAsia="仿宋_GB2312" w:hAnsi="宋体" w:hint="eastAsia"/>
          <w:color w:val="000000"/>
          <w:sz w:val="20"/>
        </w:rPr>
        <w:t>说明：本通知书一式两份，一份送达当事人，一份由知识产权局存档。</w:t>
      </w:r>
    </w:p>
    <w:p w:rsidR="00800760" w:rsidRDefault="00235733">
      <w:pPr>
        <w:spacing w:before="111" w:line="219" w:lineRule="auto"/>
        <w:ind w:firstLineChars="0" w:firstLine="0"/>
        <w:jc w:val="center"/>
        <w:outlineLvl w:val="3"/>
        <w:rPr>
          <w:rFonts w:ascii="方正小标宋_GBK" w:eastAsia="方正小标宋_GBK" w:hAnsi="宋体"/>
          <w:color w:val="000000"/>
          <w:spacing w:val="6"/>
          <w:sz w:val="36"/>
          <w:szCs w:val="36"/>
        </w:rPr>
      </w:pPr>
      <w:bookmarkStart w:id="9326" w:name="bookmark150"/>
      <w:bookmarkStart w:id="9327" w:name="bookmark233"/>
      <w:bookmarkEnd w:id="9326"/>
      <w:bookmarkEnd w:id="9327"/>
      <w:r>
        <w:rPr>
          <w:rFonts w:ascii="方正小标宋_GBK" w:eastAsia="方正小标宋_GBK" w:hAnsi="宋体"/>
          <w:color w:val="000000"/>
          <w:spacing w:val="6"/>
          <w:sz w:val="36"/>
          <w:szCs w:val="36"/>
        </w:rPr>
        <w:t>专利纠纷行政调解请求不予立案通知书</w:t>
      </w:r>
    </w:p>
    <w:p w:rsidR="00800760" w:rsidRDefault="00800760">
      <w:pPr>
        <w:pStyle w:val="a5"/>
        <w:spacing w:after="0" w:line="360" w:lineRule="auto"/>
        <w:ind w:firstLineChars="0" w:firstLine="0"/>
        <w:jc w:val="right"/>
        <w:rPr>
          <w:sz w:val="20"/>
        </w:rPr>
      </w:pPr>
    </w:p>
    <w:p w:rsidR="00800760" w:rsidRDefault="00235733">
      <w:pPr>
        <w:spacing w:line="360" w:lineRule="auto"/>
        <w:ind w:firstLineChars="0" w:firstLine="0"/>
        <w:jc w:val="right"/>
        <w:rPr>
          <w:sz w:val="20"/>
          <w:lang w:eastAsia="en-US"/>
        </w:rPr>
      </w:pPr>
      <w:r>
        <w:rPr>
          <w:rFonts w:ascii="仿宋" w:eastAsia="仿宋_GB2312" w:hAnsi="仿宋"/>
          <w:color w:val="000000"/>
          <w:sz w:val="20"/>
        </w:rPr>
        <w:t>案号：</w:t>
      </w:r>
      <w:r>
        <w:rPr>
          <w:rFonts w:ascii="仿宋" w:eastAsia="仿宋_GB2312" w:hAnsi="仿宋" w:hint="eastAsia"/>
          <w:color w:val="000000"/>
          <w:sz w:val="20"/>
        </w:rPr>
        <w:t>____________________</w:t>
      </w:r>
    </w:p>
    <w:tbl>
      <w:tblPr>
        <w:tblStyle w:val="TableNormal"/>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41"/>
        <w:gridCol w:w="4789"/>
      </w:tblGrid>
      <w:tr w:rsidR="00800760">
        <w:trPr>
          <w:trHeight w:val="413"/>
        </w:trPr>
        <w:tc>
          <w:tcPr>
            <w:tcW w:w="3141" w:type="dxa"/>
          </w:tcPr>
          <w:p w:rsidR="00800760" w:rsidRDefault="00235733">
            <w:pPr>
              <w:pStyle w:val="TableText"/>
              <w:kinsoku/>
              <w:autoSpaceDE/>
              <w:autoSpaceDN/>
              <w:adjustRightInd/>
              <w:snapToGrid/>
              <w:spacing w:before="103" w:line="360" w:lineRule="auto"/>
              <w:ind w:left="66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2"/>
                <w:sz w:val="20"/>
                <w:szCs w:val="20"/>
                <w:lang w:eastAsia="en-US"/>
              </w:rPr>
              <w:t>专利号/专利申请号</w:t>
            </w:r>
          </w:p>
        </w:tc>
        <w:tc>
          <w:tcPr>
            <w:tcW w:w="4789" w:type="dxa"/>
          </w:tcPr>
          <w:p w:rsidR="00800760" w:rsidRDefault="00800760">
            <w:pPr>
              <w:spacing w:line="360" w:lineRule="auto"/>
              <w:ind w:firstLineChars="0" w:firstLine="0"/>
              <w:rPr>
                <w:sz w:val="20"/>
                <w:lang w:eastAsia="en-US"/>
              </w:rPr>
            </w:pPr>
          </w:p>
        </w:tc>
      </w:tr>
      <w:tr w:rsidR="00800760">
        <w:trPr>
          <w:trHeight w:val="409"/>
        </w:trPr>
        <w:tc>
          <w:tcPr>
            <w:tcW w:w="3141" w:type="dxa"/>
          </w:tcPr>
          <w:p w:rsidR="00800760" w:rsidRDefault="00235733">
            <w:pPr>
              <w:pStyle w:val="TableText"/>
              <w:kinsoku/>
              <w:autoSpaceDE/>
              <w:autoSpaceDN/>
              <w:adjustRightInd/>
              <w:snapToGrid/>
              <w:spacing w:before="100" w:line="360" w:lineRule="auto"/>
              <w:ind w:left="93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1"/>
                <w:sz w:val="20"/>
                <w:szCs w:val="20"/>
                <w:lang w:eastAsia="en-US"/>
              </w:rPr>
              <w:t>发明创造名称</w:t>
            </w:r>
          </w:p>
        </w:tc>
        <w:tc>
          <w:tcPr>
            <w:tcW w:w="4789" w:type="dxa"/>
          </w:tcPr>
          <w:p w:rsidR="00800760" w:rsidRDefault="00800760">
            <w:pPr>
              <w:spacing w:line="360" w:lineRule="auto"/>
              <w:ind w:firstLineChars="0" w:firstLine="0"/>
              <w:rPr>
                <w:sz w:val="20"/>
                <w:lang w:eastAsia="en-US"/>
              </w:rPr>
            </w:pPr>
          </w:p>
        </w:tc>
      </w:tr>
      <w:tr w:rsidR="00800760">
        <w:trPr>
          <w:trHeight w:val="408"/>
        </w:trPr>
        <w:tc>
          <w:tcPr>
            <w:tcW w:w="3141" w:type="dxa"/>
          </w:tcPr>
          <w:p w:rsidR="00800760" w:rsidRDefault="00235733">
            <w:pPr>
              <w:pStyle w:val="TableText"/>
              <w:kinsoku/>
              <w:autoSpaceDE/>
              <w:autoSpaceDN/>
              <w:adjustRightInd/>
              <w:snapToGrid/>
              <w:spacing w:before="101" w:line="360" w:lineRule="auto"/>
              <w:ind w:left="56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1"/>
                <w:sz w:val="20"/>
                <w:szCs w:val="20"/>
                <w:lang w:eastAsia="en-US"/>
              </w:rPr>
              <w:t>专利权人/专利申请人</w:t>
            </w:r>
          </w:p>
        </w:tc>
        <w:tc>
          <w:tcPr>
            <w:tcW w:w="4789" w:type="dxa"/>
          </w:tcPr>
          <w:p w:rsidR="00800760" w:rsidRDefault="00800760">
            <w:pPr>
              <w:spacing w:line="360" w:lineRule="auto"/>
              <w:ind w:firstLineChars="0" w:firstLine="0"/>
              <w:rPr>
                <w:sz w:val="20"/>
                <w:lang w:eastAsia="en-US"/>
              </w:rPr>
            </w:pPr>
          </w:p>
        </w:tc>
      </w:tr>
      <w:tr w:rsidR="00800760">
        <w:trPr>
          <w:trHeight w:val="408"/>
        </w:trPr>
        <w:tc>
          <w:tcPr>
            <w:tcW w:w="3141" w:type="dxa"/>
          </w:tcPr>
          <w:p w:rsidR="00800760" w:rsidRDefault="00235733">
            <w:pPr>
              <w:pStyle w:val="TableText"/>
              <w:kinsoku/>
              <w:autoSpaceDE/>
              <w:autoSpaceDN/>
              <w:adjustRightInd/>
              <w:snapToGrid/>
              <w:spacing w:before="104" w:line="360" w:lineRule="auto"/>
              <w:ind w:left="124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2"/>
                <w:sz w:val="20"/>
                <w:szCs w:val="20"/>
                <w:lang w:eastAsia="en-US"/>
              </w:rPr>
              <w:t>请求人</w:t>
            </w:r>
          </w:p>
        </w:tc>
        <w:tc>
          <w:tcPr>
            <w:tcW w:w="4789" w:type="dxa"/>
          </w:tcPr>
          <w:p w:rsidR="00800760" w:rsidRDefault="00800760">
            <w:pPr>
              <w:spacing w:line="360" w:lineRule="auto"/>
              <w:ind w:firstLineChars="0" w:firstLine="0"/>
              <w:rPr>
                <w:sz w:val="20"/>
                <w:lang w:eastAsia="en-US"/>
              </w:rPr>
            </w:pPr>
          </w:p>
        </w:tc>
      </w:tr>
      <w:tr w:rsidR="00800760">
        <w:trPr>
          <w:trHeight w:val="399"/>
        </w:trPr>
        <w:tc>
          <w:tcPr>
            <w:tcW w:w="3141" w:type="dxa"/>
          </w:tcPr>
          <w:p w:rsidR="00800760" w:rsidRDefault="00235733">
            <w:pPr>
              <w:pStyle w:val="TableText"/>
              <w:kinsoku/>
              <w:autoSpaceDE/>
              <w:autoSpaceDN/>
              <w:adjustRightInd/>
              <w:snapToGrid/>
              <w:spacing w:before="105" w:line="360" w:lineRule="auto"/>
              <w:ind w:left="114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2"/>
                <w:sz w:val="20"/>
                <w:szCs w:val="20"/>
                <w:lang w:eastAsia="en-US"/>
              </w:rPr>
              <w:t>被请求人</w:t>
            </w:r>
          </w:p>
        </w:tc>
        <w:tc>
          <w:tcPr>
            <w:tcW w:w="4789" w:type="dxa"/>
          </w:tcPr>
          <w:p w:rsidR="00800760" w:rsidRDefault="00800760">
            <w:pPr>
              <w:spacing w:line="360" w:lineRule="auto"/>
              <w:ind w:firstLineChars="0" w:firstLine="0"/>
              <w:rPr>
                <w:sz w:val="20"/>
                <w:lang w:eastAsia="en-US"/>
              </w:rPr>
            </w:pPr>
          </w:p>
        </w:tc>
      </w:tr>
      <w:tr w:rsidR="00800760">
        <w:trPr>
          <w:trHeight w:val="413"/>
        </w:trPr>
        <w:tc>
          <w:tcPr>
            <w:tcW w:w="3141" w:type="dxa"/>
          </w:tcPr>
          <w:p w:rsidR="00800760" w:rsidRDefault="00235733">
            <w:pPr>
              <w:pStyle w:val="TableText"/>
              <w:kinsoku/>
              <w:autoSpaceDE/>
              <w:autoSpaceDN/>
              <w:adjustRightInd/>
              <w:snapToGrid/>
              <w:spacing w:before="107" w:line="360" w:lineRule="auto"/>
              <w:ind w:left="135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12"/>
                <w:sz w:val="20"/>
                <w:szCs w:val="20"/>
                <w:lang w:eastAsia="en-US"/>
              </w:rPr>
              <w:t>案由</w:t>
            </w:r>
          </w:p>
        </w:tc>
        <w:tc>
          <w:tcPr>
            <w:tcW w:w="4789" w:type="dxa"/>
          </w:tcPr>
          <w:p w:rsidR="00800760" w:rsidRDefault="00800760">
            <w:pPr>
              <w:spacing w:line="360" w:lineRule="auto"/>
              <w:ind w:firstLineChars="0" w:firstLine="0"/>
              <w:rPr>
                <w:sz w:val="20"/>
                <w:lang w:eastAsia="en-US"/>
              </w:rPr>
            </w:pPr>
          </w:p>
        </w:tc>
      </w:tr>
    </w:tbl>
    <w:p w:rsidR="00800760" w:rsidRDefault="00800760">
      <w:pPr>
        <w:pStyle w:val="a5"/>
        <w:spacing w:after="0" w:line="360" w:lineRule="auto"/>
        <w:ind w:firstLineChars="0" w:firstLine="0"/>
        <w:rPr>
          <w:sz w:val="20"/>
          <w:lang w:eastAsia="en-US"/>
        </w:rPr>
      </w:pPr>
    </w:p>
    <w:p w:rsidR="00800760" w:rsidRDefault="00235733">
      <w:pPr>
        <w:pStyle w:val="a5"/>
        <w:tabs>
          <w:tab w:val="left" w:pos="1716"/>
        </w:tabs>
        <w:spacing w:after="0" w:line="333" w:lineRule="auto"/>
        <w:ind w:firstLineChars="0" w:firstLine="0"/>
        <w:rPr>
          <w:rFonts w:eastAsiaTheme="minorEastAsia"/>
          <w:sz w:val="20"/>
        </w:rPr>
      </w:pPr>
      <w:r>
        <w:rPr>
          <w:noProof/>
          <w:sz w:val="20"/>
          <w:lang w:val="en-US"/>
        </w:rPr>
        <w:drawing>
          <wp:anchor distT="0" distB="0" distL="0" distR="0" simplePos="0" relativeHeight="251663360" behindDoc="0" locked="0" layoutInCell="1" allowOverlap="1">
            <wp:simplePos x="0" y="0"/>
            <wp:positionH relativeFrom="column">
              <wp:posOffset>0</wp:posOffset>
            </wp:positionH>
            <wp:positionV relativeFrom="paragraph">
              <wp:posOffset>138430</wp:posOffset>
            </wp:positionV>
            <wp:extent cx="1123950" cy="6350"/>
            <wp:effectExtent l="0" t="0" r="0" b="0"/>
            <wp:wrapNone/>
            <wp:docPr id="4" name="IM 194"/>
            <wp:cNvGraphicFramePr/>
            <a:graphic xmlns:a="http://schemas.openxmlformats.org/drawingml/2006/main">
              <a:graphicData uri="http://schemas.openxmlformats.org/drawingml/2006/picture">
                <pic:pic xmlns:pic="http://schemas.openxmlformats.org/drawingml/2006/picture">
                  <pic:nvPicPr>
                    <pic:cNvPr id="4" name="IM 194"/>
                    <pic:cNvPicPr>
                      <a:picLocks noChangeArrowheads="1"/>
                    </pic:cNvPicPr>
                  </pic:nvPicPr>
                  <pic:blipFill>
                    <a:blip r:embed="rId97" cstate="print"/>
                    <a:srcRect/>
                    <a:stretch>
                      <a:fillRect/>
                    </a:stretch>
                  </pic:blipFill>
                  <pic:spPr>
                    <a:xfrm>
                      <a:off x="0" y="0"/>
                      <a:ext cx="1123950" cy="6350"/>
                    </a:xfrm>
                    <a:prstGeom prst="rect">
                      <a:avLst/>
                    </a:prstGeom>
                    <a:noFill/>
                    <a:ln w="9525">
                      <a:noFill/>
                      <a:miter lim="800000"/>
                      <a:headEnd/>
                      <a:tailEnd/>
                    </a:ln>
                  </pic:spPr>
                </pic:pic>
              </a:graphicData>
            </a:graphic>
          </wp:anchor>
        </w:drawing>
      </w:r>
      <w:r>
        <w:rPr>
          <w:sz w:val="20"/>
          <w:lang w:eastAsia="en-US"/>
        </w:rPr>
        <w:tab/>
      </w:r>
      <w:r>
        <w:rPr>
          <w:rFonts w:eastAsiaTheme="minorEastAsia" w:hint="eastAsia"/>
          <w:sz w:val="20"/>
        </w:rPr>
        <w:t>：</w:t>
      </w:r>
    </w:p>
    <w:p w:rsidR="00800760" w:rsidRDefault="00235733">
      <w:pPr>
        <w:spacing w:before="68" w:line="360" w:lineRule="auto"/>
        <w:ind w:left="50" w:right="13" w:firstLineChars="0" w:firstLine="389"/>
        <w:rPr>
          <w:rFonts w:ascii="仿宋_GB2312" w:eastAsia="仿宋_GB2312" w:hAnsi="仿宋" w:cs="仿宋"/>
          <w:sz w:val="20"/>
        </w:rPr>
      </w:pPr>
      <w:r>
        <w:rPr>
          <w:rFonts w:ascii="仿宋_GB2312" w:eastAsia="仿宋_GB2312" w:hAnsi="仿宋" w:cs="仿宋" w:hint="eastAsia"/>
          <w:spacing w:val="11"/>
          <w:sz w:val="20"/>
        </w:rPr>
        <w:t>对请求人</w:t>
      </w:r>
      <w:r>
        <w:rPr>
          <w:rFonts w:ascii="仿宋_GB2312" w:eastAsia="仿宋_GB2312" w:hAnsi="仿宋" w:cs="仿宋" w:hint="eastAsia"/>
          <w:spacing w:val="14"/>
          <w:sz w:val="20"/>
          <w:u w:val="single"/>
        </w:rPr>
        <w:t xml:space="preserve">       </w:t>
      </w:r>
      <w:r>
        <w:rPr>
          <w:rFonts w:ascii="仿宋_GB2312" w:eastAsia="仿宋_GB2312" w:hAnsi="仿宋" w:cs="仿宋" w:hint="eastAsia"/>
          <w:spacing w:val="11"/>
          <w:sz w:val="20"/>
        </w:rPr>
        <w:t>年</w:t>
      </w:r>
      <w:r>
        <w:rPr>
          <w:rFonts w:ascii="仿宋_GB2312" w:eastAsia="仿宋_GB2312" w:hAnsi="仿宋" w:cs="仿宋" w:hint="eastAsia"/>
          <w:spacing w:val="11"/>
          <w:sz w:val="20"/>
          <w:u w:val="single"/>
        </w:rPr>
        <w:t xml:space="preserve">    </w:t>
      </w:r>
      <w:r>
        <w:rPr>
          <w:rFonts w:ascii="仿宋_GB2312" w:eastAsia="仿宋_GB2312" w:hAnsi="仿宋" w:cs="仿宋" w:hint="eastAsia"/>
          <w:spacing w:val="11"/>
          <w:sz w:val="20"/>
        </w:rPr>
        <w:t>月</w:t>
      </w:r>
      <w:r>
        <w:rPr>
          <w:rFonts w:ascii="仿宋_GB2312" w:eastAsia="仿宋_GB2312" w:hAnsi="仿宋" w:cs="仿宋" w:hint="eastAsia"/>
          <w:spacing w:val="11"/>
          <w:sz w:val="20"/>
          <w:u w:val="single"/>
        </w:rPr>
        <w:t xml:space="preserve">    </w:t>
      </w:r>
      <w:r>
        <w:rPr>
          <w:rFonts w:ascii="仿宋_GB2312" w:eastAsia="仿宋_GB2312" w:hAnsi="仿宋" w:cs="仿宋" w:hint="eastAsia"/>
          <w:spacing w:val="-91"/>
          <w:sz w:val="20"/>
        </w:rPr>
        <w:t xml:space="preserve"> </w:t>
      </w:r>
      <w:r>
        <w:rPr>
          <w:rFonts w:ascii="仿宋_GB2312" w:eastAsia="仿宋_GB2312" w:hAnsi="仿宋" w:cs="仿宋" w:hint="eastAsia"/>
          <w:spacing w:val="11"/>
          <w:sz w:val="20"/>
        </w:rPr>
        <w:t>日提交的专利纠纷处理请求，根</w:t>
      </w:r>
      <w:r>
        <w:rPr>
          <w:rFonts w:ascii="仿宋_GB2312" w:eastAsia="仿宋_GB2312" w:hAnsi="仿宋" w:cs="仿宋" w:hint="eastAsia"/>
          <w:spacing w:val="10"/>
          <w:sz w:val="20"/>
        </w:rPr>
        <w:t>据《</w:t>
      </w:r>
      <w:r>
        <w:rPr>
          <w:rFonts w:ascii="仿宋_GB2312" w:eastAsia="仿宋_GB2312" w:hAnsi="仿宋" w:cs="仿宋" w:hint="eastAsia"/>
          <w:spacing w:val="4"/>
          <w:sz w:val="20"/>
        </w:rPr>
        <w:t>专利纠纷行政裁决和调解办法</w:t>
      </w:r>
      <w:r>
        <w:rPr>
          <w:rFonts w:ascii="仿宋_GB2312" w:eastAsia="仿宋_GB2312" w:hAnsi="仿宋" w:cs="仿宋" w:hint="eastAsia"/>
          <w:spacing w:val="-2"/>
          <w:sz w:val="20"/>
        </w:rPr>
        <w:t>》第六十六条的规定，本局不予立案，具体理由是：</w:t>
      </w:r>
    </w:p>
    <w:p w:rsidR="00800760" w:rsidRDefault="00235733">
      <w:pPr>
        <w:spacing w:before="58" w:line="360" w:lineRule="auto"/>
        <w:ind w:left="449" w:firstLineChars="0" w:firstLine="0"/>
        <w:rPr>
          <w:rFonts w:ascii="仿宋_GB2312" w:eastAsia="仿宋_GB2312" w:hAnsi="仿宋" w:cs="仿宋"/>
          <w:sz w:val="20"/>
        </w:rPr>
      </w:pPr>
      <w:r>
        <w:rPr>
          <w:rFonts w:ascii="仿宋_GB2312" w:eastAsia="仿宋_GB2312" w:hAnsi="仿宋" w:cs="仿宋" w:hint="eastAsia"/>
          <w:spacing w:val="-1"/>
          <w:sz w:val="20"/>
        </w:rPr>
        <w:t>□被请求人逾期未提交意见陈述书。</w:t>
      </w:r>
    </w:p>
    <w:p w:rsidR="00800760" w:rsidRDefault="00235733">
      <w:pPr>
        <w:spacing w:before="81" w:line="360" w:lineRule="auto"/>
        <w:ind w:left="449" w:right="4824" w:firstLineChars="0" w:firstLine="0"/>
        <w:rPr>
          <w:rFonts w:ascii="仿宋_GB2312" w:eastAsia="仿宋_GB2312" w:hAnsi="仿宋" w:cs="仿宋"/>
          <w:sz w:val="20"/>
        </w:rPr>
      </w:pPr>
      <w:r>
        <w:rPr>
          <w:rFonts w:ascii="仿宋_GB2312" w:eastAsia="仿宋_GB2312" w:hAnsi="仿宋" w:cs="仿宋" w:hint="eastAsia"/>
          <w:spacing w:val="-2"/>
          <w:sz w:val="20"/>
        </w:rPr>
        <w:t>□被请求人表示不接受调解。</w:t>
      </w:r>
      <w:r>
        <w:rPr>
          <w:rFonts w:ascii="仿宋_GB2312" w:eastAsia="仿宋_GB2312" w:hAnsi="仿宋" w:cs="仿宋" w:hint="eastAsia"/>
          <w:sz w:val="20"/>
        </w:rPr>
        <w:t xml:space="preserve"> </w:t>
      </w:r>
      <w:r>
        <w:rPr>
          <w:rFonts w:ascii="仿宋_GB2312" w:eastAsia="仿宋_GB2312" w:hAnsi="仿宋" w:cs="仿宋" w:hint="eastAsia"/>
          <w:spacing w:val="-1"/>
          <w:sz w:val="20"/>
        </w:rPr>
        <w:t>特此通知。</w:t>
      </w:r>
    </w:p>
    <w:p w:rsidR="00800760" w:rsidRDefault="00800760">
      <w:pPr>
        <w:pStyle w:val="a5"/>
        <w:spacing w:after="0" w:line="257" w:lineRule="auto"/>
        <w:ind w:firstLineChars="0" w:firstLine="0"/>
        <w:rPr>
          <w:sz w:val="20"/>
        </w:rPr>
      </w:pPr>
    </w:p>
    <w:p w:rsidR="00800760" w:rsidRDefault="00800760">
      <w:pPr>
        <w:pStyle w:val="a5"/>
        <w:spacing w:after="0" w:line="258" w:lineRule="auto"/>
        <w:ind w:firstLineChars="0" w:firstLine="0"/>
        <w:rPr>
          <w:sz w:val="20"/>
        </w:rPr>
      </w:pPr>
    </w:p>
    <w:p w:rsidR="00800760" w:rsidRDefault="00800760">
      <w:pPr>
        <w:pStyle w:val="a5"/>
        <w:spacing w:after="0" w:line="258" w:lineRule="auto"/>
        <w:ind w:firstLineChars="0" w:firstLine="0"/>
        <w:rPr>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pStyle w:val="a5"/>
        <w:spacing w:after="0" w:line="244" w:lineRule="auto"/>
        <w:ind w:firstLineChars="0" w:firstLine="0"/>
        <w:rPr>
          <w:sz w:val="20"/>
        </w:rPr>
      </w:pPr>
    </w:p>
    <w:p w:rsidR="00800760" w:rsidRDefault="00800760">
      <w:pPr>
        <w:pStyle w:val="a5"/>
        <w:spacing w:after="0" w:line="244" w:lineRule="auto"/>
        <w:ind w:firstLineChars="0" w:firstLine="0"/>
        <w:rPr>
          <w:sz w:val="20"/>
        </w:rPr>
      </w:pPr>
    </w:p>
    <w:p w:rsidR="00800760" w:rsidRDefault="00800760">
      <w:pPr>
        <w:pStyle w:val="a5"/>
        <w:spacing w:after="0" w:line="244" w:lineRule="auto"/>
        <w:ind w:firstLineChars="0" w:firstLine="0"/>
        <w:rPr>
          <w:sz w:val="20"/>
        </w:rPr>
      </w:pPr>
    </w:p>
    <w:p w:rsidR="00800760" w:rsidRDefault="00800760">
      <w:pPr>
        <w:pStyle w:val="a5"/>
        <w:spacing w:after="0" w:line="244" w:lineRule="auto"/>
        <w:ind w:firstLineChars="0" w:firstLine="0"/>
        <w:rPr>
          <w:sz w:val="20"/>
        </w:rPr>
      </w:pPr>
    </w:p>
    <w:p w:rsidR="00800760" w:rsidRDefault="00800760">
      <w:pPr>
        <w:pStyle w:val="a5"/>
        <w:spacing w:after="0" w:line="244" w:lineRule="auto"/>
        <w:ind w:firstLineChars="0" w:firstLine="0"/>
        <w:rPr>
          <w:sz w:val="20"/>
        </w:rPr>
      </w:pPr>
    </w:p>
    <w:p w:rsidR="00800760" w:rsidRDefault="00800760">
      <w:pPr>
        <w:pStyle w:val="a5"/>
        <w:spacing w:after="0" w:line="244" w:lineRule="auto"/>
        <w:ind w:firstLineChars="0" w:firstLine="0"/>
        <w:rPr>
          <w:sz w:val="20"/>
        </w:rPr>
      </w:pPr>
    </w:p>
    <w:p w:rsidR="00800760" w:rsidRDefault="00800760">
      <w:pPr>
        <w:pStyle w:val="a5"/>
        <w:spacing w:after="0" w:line="245" w:lineRule="auto"/>
        <w:ind w:firstLineChars="0" w:firstLine="0"/>
        <w:rPr>
          <w:sz w:val="20"/>
        </w:rPr>
      </w:pPr>
    </w:p>
    <w:p w:rsidR="00800760" w:rsidRDefault="00800760">
      <w:pPr>
        <w:pStyle w:val="a5"/>
        <w:spacing w:after="0" w:line="245" w:lineRule="auto"/>
        <w:ind w:firstLineChars="0" w:firstLine="0"/>
        <w:rPr>
          <w:sz w:val="20"/>
        </w:rPr>
      </w:pPr>
    </w:p>
    <w:p w:rsidR="00800760" w:rsidRDefault="00800760">
      <w:pPr>
        <w:pStyle w:val="a5"/>
        <w:spacing w:after="0" w:line="245" w:lineRule="auto"/>
        <w:ind w:firstLineChars="0" w:firstLine="0"/>
        <w:rPr>
          <w:sz w:val="20"/>
        </w:rPr>
      </w:pPr>
    </w:p>
    <w:p w:rsidR="00800760" w:rsidRDefault="00235733" w:rsidP="00235733">
      <w:pPr>
        <w:spacing w:before="69" w:line="219" w:lineRule="auto"/>
        <w:ind w:firstLine="396"/>
        <w:rPr>
          <w:rFonts w:ascii="仿宋" w:eastAsia="仿宋" w:hAnsi="仿宋" w:cs="仿宋"/>
        </w:rPr>
        <w:sectPr w:rsidR="00800760" w:rsidSect="008175D7">
          <w:footerReference w:type="default" r:id="rId98"/>
          <w:pgSz w:w="10830" w:h="15080"/>
          <w:pgMar w:top="1373" w:right="1300" w:bottom="1358" w:left="1549" w:header="431" w:footer="969" w:gutter="0"/>
          <w:cols w:space="720"/>
          <w:docGrid w:linePitch="286"/>
        </w:sectPr>
      </w:pPr>
      <w:r>
        <w:rPr>
          <w:rFonts w:ascii="仿宋" w:eastAsia="仿宋" w:hAnsi="仿宋" w:cs="仿宋"/>
          <w:spacing w:val="-1"/>
          <w:sz w:val="20"/>
        </w:rPr>
        <w:t>说明：本通知书一式两份，一份送达当事人，一</w:t>
      </w:r>
      <w:r>
        <w:rPr>
          <w:rFonts w:ascii="仿宋" w:eastAsia="仿宋" w:hAnsi="仿宋" w:cs="仿宋"/>
          <w:spacing w:val="-2"/>
          <w:sz w:val="20"/>
        </w:rPr>
        <w:t>份由知识产权局存档。</w:t>
      </w:r>
    </w:p>
    <w:p w:rsidR="00800760" w:rsidRDefault="00800760">
      <w:pPr>
        <w:pStyle w:val="a5"/>
        <w:spacing w:after="0" w:line="278" w:lineRule="auto"/>
        <w:ind w:firstLineChars="0" w:firstLine="0"/>
        <w:jc w:val="center"/>
        <w:rPr>
          <w:sz w:val="20"/>
        </w:rPr>
      </w:pPr>
    </w:p>
    <w:p w:rsidR="00800760" w:rsidRDefault="00235733">
      <w:pPr>
        <w:spacing w:before="111" w:line="219" w:lineRule="auto"/>
        <w:ind w:firstLineChars="0" w:firstLine="0"/>
        <w:jc w:val="center"/>
        <w:outlineLvl w:val="3"/>
        <w:rPr>
          <w:rFonts w:ascii="方正小标宋_GBK" w:eastAsia="方正小标宋_GBK" w:hAnsi="宋体"/>
          <w:color w:val="000000"/>
          <w:spacing w:val="6"/>
          <w:sz w:val="36"/>
          <w:szCs w:val="36"/>
        </w:rPr>
      </w:pPr>
      <w:bookmarkStart w:id="9328" w:name="bookmark234"/>
      <w:bookmarkStart w:id="9329" w:name="bookmark151"/>
      <w:bookmarkEnd w:id="9328"/>
      <w:bookmarkEnd w:id="9329"/>
      <w:r>
        <w:rPr>
          <w:rFonts w:ascii="方正小标宋_GBK" w:eastAsia="方正小标宋_GBK" w:hAnsi="宋体"/>
          <w:color w:val="000000"/>
          <w:spacing w:val="6"/>
          <w:sz w:val="36"/>
          <w:szCs w:val="36"/>
        </w:rPr>
        <w:t>接收当事人提交证据材料清单</w:t>
      </w:r>
    </w:p>
    <w:p w:rsidR="00800760" w:rsidRDefault="00800760">
      <w:pPr>
        <w:pStyle w:val="a5"/>
        <w:spacing w:after="0" w:line="478" w:lineRule="auto"/>
        <w:ind w:firstLineChars="0" w:firstLine="0"/>
        <w:rPr>
          <w:sz w:val="20"/>
        </w:rPr>
      </w:pPr>
    </w:p>
    <w:p w:rsidR="00800760" w:rsidRDefault="00235733">
      <w:pPr>
        <w:spacing w:before="72" w:line="275" w:lineRule="auto"/>
        <w:ind w:left="20" w:right="4280" w:firstLineChars="0" w:firstLine="19"/>
        <w:rPr>
          <w:rFonts w:ascii="仿宋" w:eastAsia="仿宋" w:hAnsi="仿宋" w:cs="仿宋"/>
          <w:spacing w:val="17"/>
          <w:sz w:val="20"/>
        </w:rPr>
      </w:pPr>
      <w:r>
        <w:rPr>
          <w:rFonts w:ascii="仿宋_GB2312" w:eastAsia="仿宋_GB2312" w:hAnsi="仿宋_GB2312" w:cs="仿宋_GB2312"/>
          <w:spacing w:val="-2"/>
          <w:sz w:val="20"/>
          <w:lang w:val="en-US"/>
        </w:rPr>
        <w:t>专利号/专利申请号</w:t>
      </w:r>
      <w:r>
        <w:rPr>
          <w:rFonts w:ascii="仿宋" w:eastAsia="仿宋" w:hAnsi="仿宋" w:cs="仿宋"/>
          <w:spacing w:val="-8"/>
          <w:sz w:val="20"/>
        </w:rPr>
        <w:t>：</w:t>
      </w:r>
      <w:r>
        <w:rPr>
          <w:rFonts w:ascii="仿宋" w:eastAsia="仿宋" w:hAnsi="仿宋" w:cs="仿宋"/>
          <w:spacing w:val="-8"/>
          <w:sz w:val="20"/>
          <w:u w:val="single"/>
        </w:rPr>
        <w:t xml:space="preserve">                </w:t>
      </w:r>
      <w:r>
        <w:rPr>
          <w:rFonts w:ascii="仿宋" w:eastAsia="仿宋" w:hAnsi="仿宋" w:cs="仿宋"/>
          <w:spacing w:val="17"/>
          <w:sz w:val="20"/>
        </w:rPr>
        <w:t xml:space="preserve"> </w:t>
      </w:r>
    </w:p>
    <w:p w:rsidR="00800760" w:rsidRDefault="00235733">
      <w:pPr>
        <w:spacing w:before="72" w:line="275" w:lineRule="auto"/>
        <w:ind w:left="20" w:right="4280" w:firstLineChars="0" w:firstLine="19"/>
        <w:rPr>
          <w:rFonts w:ascii="仿宋" w:eastAsia="仿宋" w:hAnsi="仿宋" w:cs="仿宋"/>
          <w:sz w:val="20"/>
        </w:rPr>
      </w:pPr>
      <w:r>
        <w:rPr>
          <w:rFonts w:ascii="仿宋_GB2312" w:eastAsia="仿宋_GB2312" w:hAnsi="仿宋_GB2312" w:cs="仿宋_GB2312"/>
          <w:spacing w:val="-2"/>
          <w:sz w:val="20"/>
          <w:lang w:val="en-US"/>
        </w:rPr>
        <w:t>递交人(签章)</w:t>
      </w:r>
      <w:r>
        <w:rPr>
          <w:rFonts w:ascii="仿宋" w:eastAsia="仿宋" w:hAnsi="仿宋" w:cs="仿宋"/>
          <w:spacing w:val="16"/>
          <w:sz w:val="20"/>
        </w:rPr>
        <w:t>:</w:t>
      </w:r>
      <w:r>
        <w:rPr>
          <w:rFonts w:ascii="仿宋" w:eastAsia="仿宋" w:hAnsi="仿宋" w:cs="仿宋"/>
          <w:spacing w:val="-8"/>
          <w:sz w:val="20"/>
          <w:u w:val="single"/>
        </w:rPr>
        <w:t xml:space="preserve">                </w:t>
      </w:r>
    </w:p>
    <w:p w:rsidR="00800760" w:rsidRDefault="00800760">
      <w:pPr>
        <w:spacing w:line="25" w:lineRule="exact"/>
        <w:ind w:firstLineChars="0" w:firstLine="0"/>
        <w:rPr>
          <w:sz w:val="20"/>
        </w:rPr>
      </w:pPr>
    </w:p>
    <w:tbl>
      <w:tblPr>
        <w:tblStyle w:val="TableNormal"/>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34"/>
        <w:gridCol w:w="2107"/>
        <w:gridCol w:w="2087"/>
        <w:gridCol w:w="1248"/>
        <w:gridCol w:w="1453"/>
      </w:tblGrid>
      <w:tr w:rsidR="00800760">
        <w:trPr>
          <w:trHeight w:val="414"/>
        </w:trPr>
        <w:tc>
          <w:tcPr>
            <w:tcW w:w="1034" w:type="dxa"/>
          </w:tcPr>
          <w:p w:rsidR="00800760" w:rsidRDefault="00235733">
            <w:pPr>
              <w:pStyle w:val="TableText"/>
              <w:kinsoku/>
              <w:autoSpaceDE/>
              <w:autoSpaceDN/>
              <w:adjustRightInd/>
              <w:snapToGrid/>
              <w:spacing w:before="104" w:line="221" w:lineRule="auto"/>
              <w:ind w:left="30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6"/>
                <w:sz w:val="20"/>
                <w:szCs w:val="20"/>
                <w:lang w:eastAsia="en-US"/>
              </w:rPr>
              <w:t>序号</w:t>
            </w:r>
          </w:p>
        </w:tc>
        <w:tc>
          <w:tcPr>
            <w:tcW w:w="2107" w:type="dxa"/>
          </w:tcPr>
          <w:p w:rsidR="00800760" w:rsidRDefault="00235733">
            <w:pPr>
              <w:pStyle w:val="TableText"/>
              <w:kinsoku/>
              <w:autoSpaceDE/>
              <w:autoSpaceDN/>
              <w:adjustRightInd/>
              <w:snapToGrid/>
              <w:spacing w:before="102" w:line="219" w:lineRule="auto"/>
              <w:ind w:left="440"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2"/>
                <w:sz w:val="20"/>
                <w:szCs w:val="20"/>
                <w:lang w:eastAsia="en-US"/>
              </w:rPr>
              <w:t>证据材料名称</w:t>
            </w:r>
          </w:p>
        </w:tc>
        <w:tc>
          <w:tcPr>
            <w:tcW w:w="2087" w:type="dxa"/>
          </w:tcPr>
          <w:p w:rsidR="00800760" w:rsidRDefault="00235733">
            <w:pPr>
              <w:pStyle w:val="TableText"/>
              <w:kinsoku/>
              <w:autoSpaceDE/>
              <w:autoSpaceDN/>
              <w:adjustRightInd/>
              <w:snapToGrid/>
              <w:spacing w:before="103" w:line="219" w:lineRule="auto"/>
              <w:ind w:left="313"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2"/>
                <w:sz w:val="20"/>
                <w:szCs w:val="20"/>
                <w:lang w:eastAsia="en-US"/>
              </w:rPr>
              <w:t>所要说明的事实</w:t>
            </w:r>
          </w:p>
        </w:tc>
        <w:tc>
          <w:tcPr>
            <w:tcW w:w="1248" w:type="dxa"/>
          </w:tcPr>
          <w:p w:rsidR="00800760" w:rsidRDefault="00235733">
            <w:pPr>
              <w:pStyle w:val="TableText"/>
              <w:kinsoku/>
              <w:autoSpaceDE/>
              <w:autoSpaceDN/>
              <w:adjustRightInd/>
              <w:snapToGrid/>
              <w:spacing w:before="103" w:line="219" w:lineRule="auto"/>
              <w:ind w:left="426"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4"/>
                <w:sz w:val="20"/>
                <w:szCs w:val="20"/>
                <w:lang w:eastAsia="en-US"/>
              </w:rPr>
              <w:t>页数</w:t>
            </w:r>
          </w:p>
        </w:tc>
        <w:tc>
          <w:tcPr>
            <w:tcW w:w="1453" w:type="dxa"/>
          </w:tcPr>
          <w:p w:rsidR="00800760" w:rsidRDefault="00235733">
            <w:pPr>
              <w:pStyle w:val="TableText"/>
              <w:kinsoku/>
              <w:autoSpaceDE/>
              <w:autoSpaceDN/>
              <w:adjustRightInd/>
              <w:snapToGrid/>
              <w:spacing w:before="104" w:line="221" w:lineRule="auto"/>
              <w:ind w:left="528"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snapToGrid/>
                <w:spacing w:val="5"/>
                <w:sz w:val="20"/>
                <w:szCs w:val="20"/>
                <w:lang w:eastAsia="en-US"/>
              </w:rPr>
              <w:t>备注</w:t>
            </w:r>
          </w:p>
        </w:tc>
      </w:tr>
      <w:tr w:rsidR="00800760">
        <w:trPr>
          <w:trHeight w:val="410"/>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10"/>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0"/>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9"/>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9"/>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9"/>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9"/>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9"/>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9"/>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10"/>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10"/>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0"/>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9"/>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09"/>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r w:rsidR="00800760">
        <w:trPr>
          <w:trHeight w:val="414"/>
        </w:trPr>
        <w:tc>
          <w:tcPr>
            <w:tcW w:w="1034" w:type="dxa"/>
          </w:tcPr>
          <w:p w:rsidR="00800760" w:rsidRDefault="00800760">
            <w:pPr>
              <w:spacing w:line="240" w:lineRule="auto"/>
              <w:ind w:firstLineChars="0" w:firstLine="0"/>
              <w:rPr>
                <w:sz w:val="20"/>
                <w:lang w:eastAsia="en-US"/>
              </w:rPr>
            </w:pPr>
          </w:p>
        </w:tc>
        <w:tc>
          <w:tcPr>
            <w:tcW w:w="2107" w:type="dxa"/>
          </w:tcPr>
          <w:p w:rsidR="00800760" w:rsidRDefault="00800760">
            <w:pPr>
              <w:spacing w:line="240" w:lineRule="auto"/>
              <w:ind w:firstLineChars="0" w:firstLine="0"/>
              <w:rPr>
                <w:sz w:val="20"/>
                <w:lang w:eastAsia="en-US"/>
              </w:rPr>
            </w:pPr>
          </w:p>
        </w:tc>
        <w:tc>
          <w:tcPr>
            <w:tcW w:w="2087" w:type="dxa"/>
          </w:tcPr>
          <w:p w:rsidR="00800760" w:rsidRDefault="00800760">
            <w:pPr>
              <w:spacing w:line="240" w:lineRule="auto"/>
              <w:ind w:firstLineChars="0" w:firstLine="0"/>
              <w:rPr>
                <w:sz w:val="20"/>
                <w:lang w:eastAsia="en-US"/>
              </w:rPr>
            </w:pPr>
          </w:p>
        </w:tc>
        <w:tc>
          <w:tcPr>
            <w:tcW w:w="1248" w:type="dxa"/>
          </w:tcPr>
          <w:p w:rsidR="00800760" w:rsidRDefault="00800760">
            <w:pPr>
              <w:spacing w:line="240" w:lineRule="auto"/>
              <w:ind w:firstLineChars="0" w:firstLine="0"/>
              <w:rPr>
                <w:sz w:val="20"/>
                <w:lang w:eastAsia="en-US"/>
              </w:rPr>
            </w:pPr>
          </w:p>
        </w:tc>
        <w:tc>
          <w:tcPr>
            <w:tcW w:w="1453" w:type="dxa"/>
          </w:tcPr>
          <w:p w:rsidR="00800760" w:rsidRDefault="00800760">
            <w:pPr>
              <w:spacing w:line="240" w:lineRule="auto"/>
              <w:ind w:firstLineChars="0" w:firstLine="0"/>
              <w:rPr>
                <w:sz w:val="20"/>
                <w:lang w:eastAsia="en-US"/>
              </w:rPr>
            </w:pPr>
          </w:p>
        </w:tc>
      </w:tr>
    </w:tbl>
    <w:p w:rsidR="00800760" w:rsidRDefault="00800760">
      <w:pPr>
        <w:pStyle w:val="a5"/>
        <w:spacing w:after="0" w:line="286" w:lineRule="auto"/>
        <w:ind w:firstLineChars="0" w:firstLine="0"/>
        <w:rPr>
          <w:sz w:val="20"/>
          <w:lang w:eastAsia="en-US"/>
        </w:rPr>
      </w:pPr>
    </w:p>
    <w:p w:rsidR="00800760" w:rsidRDefault="00235733">
      <w:pPr>
        <w:spacing w:before="74" w:line="480" w:lineRule="auto"/>
        <w:ind w:left="4632" w:right="17" w:firstLineChars="0" w:firstLine="91"/>
        <w:rPr>
          <w:rFonts w:ascii="仿宋_GB2312" w:eastAsia="仿宋_GB2312" w:hAnsi="仿宋" w:cs="仿宋"/>
          <w:spacing w:val="13"/>
          <w:sz w:val="20"/>
        </w:rPr>
      </w:pPr>
      <w:r>
        <w:rPr>
          <w:rFonts w:ascii="仿宋_GB2312" w:eastAsia="仿宋_GB2312" w:hAnsi="仿宋" w:cs="仿宋" w:hint="eastAsia"/>
          <w:spacing w:val="8"/>
          <w:sz w:val="20"/>
        </w:rPr>
        <w:t>接收人(签章)</w:t>
      </w:r>
      <w:r>
        <w:rPr>
          <w:rFonts w:ascii="仿宋_GB2312" w:eastAsia="仿宋_GB2312" w:hAnsi="仿宋" w:cs="仿宋" w:hint="eastAsia"/>
          <w:spacing w:val="-58"/>
          <w:sz w:val="20"/>
        </w:rPr>
        <w:t xml:space="preserve"> </w:t>
      </w:r>
      <w:r>
        <w:rPr>
          <w:rFonts w:ascii="仿宋_GB2312" w:eastAsia="仿宋_GB2312" w:hAnsi="仿宋" w:cs="仿宋" w:hint="eastAsia"/>
          <w:spacing w:val="8"/>
          <w:sz w:val="20"/>
        </w:rPr>
        <w:t>:</w:t>
      </w:r>
      <w:r>
        <w:rPr>
          <w:rFonts w:ascii="仿宋_GB2312" w:eastAsia="仿宋_GB2312" w:hAnsi="仿宋" w:cs="仿宋" w:hint="eastAsia"/>
          <w:sz w:val="20"/>
          <w:u w:val="single"/>
        </w:rPr>
        <w:t xml:space="preserve">              </w:t>
      </w:r>
      <w:r>
        <w:rPr>
          <w:rFonts w:ascii="仿宋_GB2312" w:eastAsia="仿宋_GB2312" w:hAnsi="仿宋" w:cs="仿宋" w:hint="eastAsia"/>
          <w:spacing w:val="13"/>
          <w:sz w:val="20"/>
        </w:rPr>
        <w:t xml:space="preserve"> </w:t>
      </w:r>
    </w:p>
    <w:p w:rsidR="00800760" w:rsidRDefault="00235733">
      <w:pPr>
        <w:spacing w:before="74" w:line="480" w:lineRule="auto"/>
        <w:ind w:left="4632" w:right="17" w:firstLineChars="0" w:firstLine="91"/>
        <w:rPr>
          <w:rFonts w:ascii="仿宋_GB2312" w:eastAsia="仿宋_GB2312" w:hAnsi="仿宋" w:cs="仿宋"/>
          <w:sz w:val="20"/>
        </w:rPr>
      </w:pPr>
      <w:r>
        <w:rPr>
          <w:rFonts w:ascii="仿宋_GB2312" w:eastAsia="仿宋_GB2312" w:hAnsi="仿宋" w:cs="仿宋" w:hint="eastAsia"/>
          <w:spacing w:val="-17"/>
          <w:sz w:val="20"/>
        </w:rPr>
        <w:t>接收日期：</w:t>
      </w:r>
      <w:r>
        <w:rPr>
          <w:rFonts w:ascii="仿宋_GB2312" w:eastAsia="仿宋_GB2312" w:hAnsi="仿宋" w:cs="仿宋" w:hint="eastAsia"/>
          <w:spacing w:val="10"/>
          <w:sz w:val="20"/>
          <w:u w:val="single"/>
        </w:rPr>
        <w:t xml:space="preserve">     </w:t>
      </w:r>
      <w:r>
        <w:rPr>
          <w:rFonts w:ascii="仿宋_GB2312" w:eastAsia="仿宋_GB2312" w:hAnsi="仿宋" w:cs="仿宋" w:hint="eastAsia"/>
          <w:spacing w:val="-17"/>
          <w:sz w:val="20"/>
        </w:rPr>
        <w:t xml:space="preserve">年 </w:t>
      </w:r>
      <w:r>
        <w:rPr>
          <w:rFonts w:ascii="仿宋_GB2312" w:eastAsia="仿宋_GB2312" w:hAnsi="仿宋" w:cs="仿宋" w:hint="eastAsia"/>
          <w:spacing w:val="3"/>
          <w:sz w:val="20"/>
          <w:u w:val="single"/>
        </w:rPr>
        <w:t xml:space="preserve">     </w:t>
      </w:r>
      <w:r>
        <w:rPr>
          <w:rFonts w:ascii="仿宋_GB2312" w:eastAsia="仿宋_GB2312" w:hAnsi="仿宋" w:cs="仿宋" w:hint="eastAsia"/>
          <w:spacing w:val="-17"/>
          <w:sz w:val="20"/>
        </w:rPr>
        <w:t>月</w:t>
      </w:r>
      <w:r>
        <w:rPr>
          <w:rFonts w:ascii="仿宋_GB2312" w:eastAsia="仿宋_GB2312" w:hAnsi="仿宋" w:cs="仿宋" w:hint="eastAsia"/>
          <w:spacing w:val="-17"/>
          <w:sz w:val="20"/>
          <w:u w:val="single"/>
        </w:rPr>
        <w:t xml:space="preserve">       </w:t>
      </w:r>
      <w:r>
        <w:rPr>
          <w:rFonts w:ascii="仿宋_GB2312" w:eastAsia="仿宋_GB2312" w:hAnsi="仿宋" w:cs="仿宋" w:hint="eastAsia"/>
          <w:spacing w:val="-17"/>
          <w:sz w:val="20"/>
        </w:rPr>
        <w:t>日</w:t>
      </w:r>
    </w:p>
    <w:p w:rsidR="00800760" w:rsidRDefault="00800760">
      <w:pPr>
        <w:pStyle w:val="a5"/>
        <w:spacing w:after="0" w:line="306" w:lineRule="auto"/>
        <w:ind w:firstLineChars="0" w:firstLine="0"/>
        <w:rPr>
          <w:sz w:val="20"/>
        </w:rPr>
      </w:pPr>
    </w:p>
    <w:p w:rsidR="00800760" w:rsidRDefault="00800760">
      <w:pPr>
        <w:pStyle w:val="a5"/>
        <w:spacing w:after="0" w:line="306" w:lineRule="auto"/>
        <w:ind w:firstLineChars="0" w:firstLine="0"/>
        <w:rPr>
          <w:sz w:val="20"/>
        </w:rPr>
      </w:pPr>
    </w:p>
    <w:p w:rsidR="00800760" w:rsidRDefault="00800760">
      <w:pPr>
        <w:spacing w:before="72" w:line="219" w:lineRule="auto"/>
        <w:ind w:firstLineChars="0" w:firstLine="0"/>
        <w:rPr>
          <w:rFonts w:ascii="仿宋" w:eastAsia="仿宋" w:hAnsi="仿宋" w:cs="仿宋"/>
          <w:spacing w:val="-12"/>
          <w:sz w:val="20"/>
        </w:rPr>
      </w:pPr>
    </w:p>
    <w:p w:rsidR="00800760" w:rsidRDefault="00800760">
      <w:pPr>
        <w:spacing w:before="72" w:line="219" w:lineRule="auto"/>
        <w:ind w:firstLineChars="0" w:firstLine="0"/>
        <w:rPr>
          <w:rFonts w:ascii="仿宋" w:eastAsia="仿宋" w:hAnsi="仿宋" w:cs="仿宋"/>
          <w:spacing w:val="-12"/>
          <w:sz w:val="20"/>
        </w:rPr>
      </w:pPr>
    </w:p>
    <w:p w:rsidR="00800760" w:rsidRDefault="00235733">
      <w:pPr>
        <w:spacing w:before="72" w:line="219" w:lineRule="auto"/>
        <w:ind w:firstLineChars="0" w:firstLine="0"/>
        <w:rPr>
          <w:rFonts w:ascii="仿宋_GB2312" w:eastAsia="仿宋_GB2312" w:hAnsi="仿宋" w:cs="仿宋"/>
          <w:spacing w:val="-12"/>
          <w:sz w:val="22"/>
          <w:szCs w:val="22"/>
        </w:rPr>
      </w:pPr>
      <w:r>
        <w:rPr>
          <w:rFonts w:ascii="仿宋" w:eastAsia="仿宋" w:hAnsi="仿宋" w:cs="仿宋"/>
          <w:spacing w:val="-12"/>
          <w:sz w:val="20"/>
        </w:rPr>
        <w:t>注</w:t>
      </w:r>
      <w:r>
        <w:rPr>
          <w:rFonts w:ascii="仿宋_GB2312" w:eastAsia="仿宋_GB2312" w:hAnsi="仿宋" w:cs="仿宋" w:hint="eastAsia"/>
          <w:spacing w:val="-12"/>
          <w:sz w:val="20"/>
        </w:rPr>
        <w:t>：本清单一式两份，一份递交知识产权局，一份</w:t>
      </w:r>
      <w:r>
        <w:rPr>
          <w:rFonts w:ascii="仿宋_GB2312" w:eastAsia="仿宋_GB2312" w:hAnsi="仿宋" w:cs="仿宋" w:hint="eastAsia"/>
          <w:spacing w:val="-8"/>
          <w:sz w:val="20"/>
        </w:rPr>
        <w:t>由递交人留存。</w:t>
      </w:r>
    </w:p>
    <w:p w:rsidR="00800760" w:rsidRDefault="00235733">
      <w:pPr>
        <w:spacing w:line="240" w:lineRule="auto"/>
        <w:ind w:firstLineChars="0" w:firstLine="0"/>
        <w:jc w:val="center"/>
        <w:rPr>
          <w:rFonts w:ascii="方正小标宋_GBK" w:eastAsia="方正小标宋_GBK" w:hAnsi="宋体"/>
          <w:color w:val="000000"/>
          <w:spacing w:val="6"/>
          <w:sz w:val="36"/>
          <w:szCs w:val="36"/>
        </w:rPr>
      </w:pPr>
      <w:r>
        <w:rPr>
          <w:rFonts w:ascii="仿宋" w:eastAsia="仿宋" w:hAnsi="仿宋" w:cs="仿宋"/>
          <w:spacing w:val="-12"/>
          <w:sz w:val="22"/>
          <w:szCs w:val="22"/>
        </w:rPr>
        <w:br w:type="page"/>
      </w:r>
      <w:bookmarkStart w:id="9330" w:name="bookmark152"/>
      <w:bookmarkStart w:id="9331" w:name="bookmark235"/>
      <w:bookmarkEnd w:id="9330"/>
      <w:bookmarkEnd w:id="9331"/>
      <w:r>
        <w:rPr>
          <w:rFonts w:ascii="方正小标宋_GBK" w:eastAsia="方正小标宋_GBK" w:hAnsi="宋体"/>
          <w:color w:val="000000"/>
          <w:spacing w:val="6"/>
          <w:sz w:val="36"/>
          <w:szCs w:val="36"/>
        </w:rPr>
        <w:t>专利纠纷行政调解通知书</w:t>
      </w:r>
    </w:p>
    <w:p w:rsidR="00800760" w:rsidRDefault="00800760">
      <w:pPr>
        <w:pStyle w:val="a5"/>
        <w:spacing w:after="0" w:line="279" w:lineRule="auto"/>
        <w:ind w:firstLineChars="0" w:firstLine="0"/>
        <w:rPr>
          <w:sz w:val="20"/>
        </w:rPr>
      </w:pPr>
    </w:p>
    <w:p w:rsidR="00800760" w:rsidRDefault="00800760">
      <w:pPr>
        <w:pStyle w:val="a5"/>
        <w:spacing w:after="0" w:line="480" w:lineRule="auto"/>
        <w:ind w:firstLineChars="0" w:firstLine="0"/>
        <w:jc w:val="right"/>
        <w:rPr>
          <w:sz w:val="20"/>
        </w:rPr>
      </w:pPr>
    </w:p>
    <w:p w:rsidR="00800760" w:rsidRDefault="00235733">
      <w:pPr>
        <w:spacing w:line="480" w:lineRule="auto"/>
        <w:ind w:firstLineChars="0" w:firstLine="0"/>
        <w:jc w:val="right"/>
        <w:rPr>
          <w:rFonts w:ascii="仿宋_GB2312" w:eastAsia="仿宋_GB2312"/>
          <w:sz w:val="20"/>
          <w:lang w:eastAsia="en-US"/>
        </w:rPr>
      </w:pPr>
      <w:r>
        <w:rPr>
          <w:rFonts w:ascii="仿宋_GB2312" w:eastAsia="仿宋_GB2312" w:hAnsi="仿宋" w:hint="eastAsia"/>
          <w:color w:val="000000"/>
          <w:sz w:val="20"/>
        </w:rPr>
        <w:t>案号：____________________</w:t>
      </w:r>
    </w:p>
    <w:p w:rsidR="00800760" w:rsidRDefault="00800760">
      <w:pPr>
        <w:spacing w:line="63" w:lineRule="exact"/>
        <w:ind w:firstLineChars="0" w:firstLine="0"/>
        <w:rPr>
          <w:rFonts w:ascii="仿宋_GB2312" w:eastAsia="仿宋_GB2312"/>
          <w:sz w:val="20"/>
          <w:lang w:eastAsia="en-US"/>
        </w:rPr>
      </w:pPr>
    </w:p>
    <w:tbl>
      <w:tblPr>
        <w:tblStyle w:val="TableNormal"/>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41"/>
        <w:gridCol w:w="4779"/>
      </w:tblGrid>
      <w:tr w:rsidR="00800760">
        <w:trPr>
          <w:trHeight w:val="413"/>
        </w:trPr>
        <w:tc>
          <w:tcPr>
            <w:tcW w:w="3141" w:type="dxa"/>
          </w:tcPr>
          <w:p w:rsidR="00800760" w:rsidRDefault="00235733">
            <w:pPr>
              <w:pStyle w:val="TableText"/>
              <w:kinsoku/>
              <w:autoSpaceDE/>
              <w:autoSpaceDN/>
              <w:adjustRightInd/>
              <w:snapToGrid/>
              <w:spacing w:before="103" w:line="219" w:lineRule="auto"/>
              <w:ind w:left="87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申请号/专利号</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3141" w:type="dxa"/>
          </w:tcPr>
          <w:p w:rsidR="00800760" w:rsidRDefault="00235733">
            <w:pPr>
              <w:pStyle w:val="TableText"/>
              <w:kinsoku/>
              <w:autoSpaceDE/>
              <w:autoSpaceDN/>
              <w:adjustRightInd/>
              <w:snapToGrid/>
              <w:spacing w:before="100" w:line="219" w:lineRule="auto"/>
              <w:ind w:left="93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发明创造名称</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408"/>
        </w:trPr>
        <w:tc>
          <w:tcPr>
            <w:tcW w:w="3141" w:type="dxa"/>
          </w:tcPr>
          <w:p w:rsidR="00800760" w:rsidRDefault="00235733">
            <w:pPr>
              <w:pStyle w:val="TableText"/>
              <w:kinsoku/>
              <w:autoSpaceDE/>
              <w:autoSpaceDN/>
              <w:adjustRightInd/>
              <w:snapToGrid/>
              <w:spacing w:before="101" w:line="219" w:lineRule="auto"/>
              <w:ind w:left="56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专利权人/专利申请人</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408"/>
        </w:trPr>
        <w:tc>
          <w:tcPr>
            <w:tcW w:w="3141" w:type="dxa"/>
          </w:tcPr>
          <w:p w:rsidR="00800760" w:rsidRDefault="00235733">
            <w:pPr>
              <w:pStyle w:val="TableText"/>
              <w:kinsoku/>
              <w:autoSpaceDE/>
              <w:autoSpaceDN/>
              <w:adjustRightInd/>
              <w:snapToGrid/>
              <w:spacing w:before="104" w:line="220" w:lineRule="auto"/>
              <w:ind w:left="124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请求人</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399"/>
        </w:trPr>
        <w:tc>
          <w:tcPr>
            <w:tcW w:w="3141" w:type="dxa"/>
          </w:tcPr>
          <w:p w:rsidR="00800760" w:rsidRDefault="00235733">
            <w:pPr>
              <w:pStyle w:val="TableText"/>
              <w:kinsoku/>
              <w:autoSpaceDE/>
              <w:autoSpaceDN/>
              <w:adjustRightInd/>
              <w:snapToGrid/>
              <w:spacing w:before="105" w:line="219" w:lineRule="auto"/>
              <w:ind w:left="114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被请求人</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413"/>
        </w:trPr>
        <w:tc>
          <w:tcPr>
            <w:tcW w:w="3141" w:type="dxa"/>
          </w:tcPr>
          <w:p w:rsidR="00800760" w:rsidRDefault="00235733">
            <w:pPr>
              <w:pStyle w:val="TableText"/>
              <w:kinsoku/>
              <w:autoSpaceDE/>
              <w:autoSpaceDN/>
              <w:adjustRightInd/>
              <w:snapToGrid/>
              <w:spacing w:before="107" w:line="220" w:lineRule="auto"/>
              <w:ind w:left="135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2"/>
                <w:sz w:val="20"/>
                <w:szCs w:val="20"/>
                <w:lang w:eastAsia="en-US"/>
              </w:rPr>
              <w:t>案由</w:t>
            </w:r>
          </w:p>
        </w:tc>
        <w:tc>
          <w:tcPr>
            <w:tcW w:w="4779" w:type="dxa"/>
          </w:tcPr>
          <w:p w:rsidR="00800760" w:rsidRDefault="00800760">
            <w:pPr>
              <w:spacing w:line="240" w:lineRule="auto"/>
              <w:ind w:firstLineChars="0" w:firstLine="0"/>
              <w:rPr>
                <w:rFonts w:ascii="仿宋_GB2312" w:eastAsia="仿宋_GB2312"/>
                <w:sz w:val="20"/>
                <w:lang w:eastAsia="en-US"/>
              </w:rPr>
            </w:pPr>
          </w:p>
        </w:tc>
      </w:tr>
    </w:tbl>
    <w:p w:rsidR="00800760" w:rsidRDefault="00800760">
      <w:pPr>
        <w:pStyle w:val="a5"/>
        <w:spacing w:after="0" w:line="323" w:lineRule="auto"/>
        <w:ind w:firstLineChars="0" w:firstLine="0"/>
        <w:rPr>
          <w:rFonts w:ascii="仿宋_GB2312" w:eastAsia="仿宋_GB2312"/>
          <w:sz w:val="20"/>
          <w:lang w:eastAsia="en-US"/>
        </w:rPr>
      </w:pPr>
    </w:p>
    <w:p w:rsidR="00800760" w:rsidRDefault="00235733">
      <w:pPr>
        <w:pStyle w:val="a5"/>
        <w:tabs>
          <w:tab w:val="left" w:pos="1800"/>
        </w:tabs>
        <w:spacing w:after="0" w:line="323" w:lineRule="auto"/>
        <w:ind w:firstLineChars="0" w:firstLine="0"/>
        <w:rPr>
          <w:rFonts w:ascii="仿宋_GB2312" w:eastAsia="仿宋_GB2312"/>
          <w:sz w:val="20"/>
        </w:rPr>
      </w:pPr>
      <w:r>
        <w:rPr>
          <w:rFonts w:ascii="仿宋_GB2312" w:eastAsia="仿宋_GB2312" w:hint="eastAsia"/>
          <w:noProof/>
          <w:sz w:val="20"/>
          <w:lang w:val="en-US"/>
        </w:rPr>
        <w:drawing>
          <wp:anchor distT="0" distB="0" distL="0" distR="0" simplePos="0" relativeHeight="251664384" behindDoc="0" locked="0" layoutInCell="1" allowOverlap="1">
            <wp:simplePos x="0" y="0"/>
            <wp:positionH relativeFrom="column">
              <wp:posOffset>0</wp:posOffset>
            </wp:positionH>
            <wp:positionV relativeFrom="paragraph">
              <wp:posOffset>145415</wp:posOffset>
            </wp:positionV>
            <wp:extent cx="1117600" cy="6350"/>
            <wp:effectExtent l="0" t="0" r="0" b="0"/>
            <wp:wrapNone/>
            <wp:docPr id="19" name="IM 200"/>
            <wp:cNvGraphicFramePr/>
            <a:graphic xmlns:a="http://schemas.openxmlformats.org/drawingml/2006/main">
              <a:graphicData uri="http://schemas.openxmlformats.org/drawingml/2006/picture">
                <pic:pic xmlns:pic="http://schemas.openxmlformats.org/drawingml/2006/picture">
                  <pic:nvPicPr>
                    <pic:cNvPr id="19" name="IM 200"/>
                    <pic:cNvPicPr>
                      <a:picLocks noChangeArrowheads="1"/>
                    </pic:cNvPicPr>
                  </pic:nvPicPr>
                  <pic:blipFill>
                    <a:blip r:embed="rId94" cstate="print"/>
                    <a:srcRect/>
                    <a:stretch>
                      <a:fillRect/>
                    </a:stretch>
                  </pic:blipFill>
                  <pic:spPr>
                    <a:xfrm>
                      <a:off x="0" y="0"/>
                      <a:ext cx="1117600" cy="6350"/>
                    </a:xfrm>
                    <a:prstGeom prst="rect">
                      <a:avLst/>
                    </a:prstGeom>
                    <a:noFill/>
                    <a:ln w="9525">
                      <a:noFill/>
                      <a:miter lim="800000"/>
                      <a:headEnd/>
                      <a:tailEnd/>
                    </a:ln>
                  </pic:spPr>
                </pic:pic>
              </a:graphicData>
            </a:graphic>
          </wp:anchor>
        </w:drawing>
      </w:r>
      <w:r>
        <w:rPr>
          <w:rFonts w:ascii="仿宋_GB2312" w:eastAsia="仿宋_GB2312" w:hint="eastAsia"/>
          <w:sz w:val="20"/>
          <w:lang w:eastAsia="en-US"/>
        </w:rPr>
        <w:tab/>
      </w:r>
      <w:r>
        <w:rPr>
          <w:rFonts w:ascii="仿宋_GB2312" w:eastAsia="仿宋_GB2312" w:hint="eastAsia"/>
          <w:sz w:val="20"/>
        </w:rPr>
        <w:t>：</w:t>
      </w:r>
    </w:p>
    <w:p w:rsidR="00800760" w:rsidRDefault="00235733">
      <w:pPr>
        <w:spacing w:before="68" w:line="360" w:lineRule="auto"/>
        <w:ind w:left="20" w:firstLineChars="0" w:firstLine="400"/>
        <w:rPr>
          <w:rFonts w:ascii="仿宋_GB2312" w:eastAsia="仿宋_GB2312" w:hAnsi="仿宋" w:cs="仿宋"/>
          <w:sz w:val="20"/>
        </w:rPr>
      </w:pPr>
      <w:r>
        <w:rPr>
          <w:rFonts w:ascii="仿宋_GB2312" w:eastAsia="仿宋_GB2312" w:hAnsi="仿宋" w:cs="仿宋" w:hint="eastAsia"/>
          <w:spacing w:val="-3"/>
          <w:sz w:val="20"/>
        </w:rPr>
        <w:t>本局决定于</w:t>
      </w:r>
      <w:r>
        <w:rPr>
          <w:rFonts w:ascii="仿宋_GB2312" w:eastAsia="仿宋_GB2312" w:hAnsi="仿宋" w:cs="仿宋" w:hint="eastAsia"/>
          <w:spacing w:val="-47"/>
          <w:sz w:val="20"/>
        </w:rPr>
        <w:t xml:space="preserve"> </w:t>
      </w:r>
      <w:r>
        <w:rPr>
          <w:rFonts w:ascii="仿宋_GB2312" w:eastAsia="仿宋_GB2312" w:hAnsi="仿宋" w:cs="仿宋" w:hint="eastAsia"/>
          <w:spacing w:val="15"/>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3"/>
          <w:sz w:val="20"/>
        </w:rPr>
        <w:t>年</w:t>
      </w:r>
      <w:r>
        <w:rPr>
          <w:rFonts w:ascii="仿宋_GB2312" w:eastAsia="仿宋_GB2312" w:hAnsi="仿宋" w:cs="仿宋" w:hint="eastAsia"/>
          <w:spacing w:val="-97"/>
          <w:sz w:val="20"/>
        </w:rPr>
        <w:t xml:space="preserve"> </w:t>
      </w:r>
      <w:r>
        <w:rPr>
          <w:rFonts w:ascii="仿宋_GB2312" w:eastAsia="仿宋_GB2312" w:hAnsi="仿宋" w:cs="仿宋" w:hint="eastAsia"/>
          <w:spacing w:val="15"/>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3"/>
          <w:sz w:val="20"/>
        </w:rPr>
        <w:t>月</w:t>
      </w:r>
      <w:r>
        <w:rPr>
          <w:rFonts w:ascii="仿宋_GB2312" w:eastAsia="仿宋_GB2312" w:hAnsi="仿宋" w:cs="仿宋" w:hint="eastAsia"/>
          <w:spacing w:val="8"/>
          <w:sz w:val="20"/>
          <w:u w:val="single"/>
        </w:rPr>
        <w:t xml:space="preserve">    </w:t>
      </w:r>
      <w:r>
        <w:rPr>
          <w:rFonts w:ascii="仿宋_GB2312" w:eastAsia="仿宋_GB2312" w:hAnsi="仿宋" w:cs="仿宋" w:hint="eastAsia"/>
          <w:spacing w:val="-83"/>
          <w:sz w:val="20"/>
        </w:rPr>
        <w:t xml:space="preserve"> </w:t>
      </w:r>
      <w:r>
        <w:rPr>
          <w:rFonts w:ascii="仿宋_GB2312" w:eastAsia="仿宋_GB2312" w:hAnsi="仿宋" w:cs="仿宋" w:hint="eastAsia"/>
          <w:spacing w:val="-3"/>
          <w:sz w:val="20"/>
        </w:rPr>
        <w:t>日</w:t>
      </w:r>
      <w:r>
        <w:rPr>
          <w:rFonts w:ascii="仿宋_GB2312" w:eastAsia="仿宋_GB2312" w:hAnsi="仿宋" w:cs="仿宋" w:hint="eastAsia"/>
          <w:spacing w:val="-87"/>
          <w:sz w:val="20"/>
        </w:rPr>
        <w:t xml:space="preserve"> </w:t>
      </w:r>
      <w:r>
        <w:rPr>
          <w:rFonts w:ascii="仿宋_GB2312" w:eastAsia="仿宋_GB2312" w:hAnsi="仿宋" w:cs="仿宋" w:hint="eastAsia"/>
          <w:spacing w:val="17"/>
          <w:sz w:val="20"/>
          <w:u w:val="single"/>
        </w:rPr>
        <w:t xml:space="preserve">    </w:t>
      </w:r>
      <w:r>
        <w:rPr>
          <w:rFonts w:ascii="仿宋_GB2312" w:eastAsia="仿宋_GB2312" w:hAnsi="仿宋" w:cs="仿宋" w:hint="eastAsia"/>
          <w:spacing w:val="-83"/>
          <w:sz w:val="20"/>
        </w:rPr>
        <w:t xml:space="preserve"> </w:t>
      </w:r>
      <w:r>
        <w:rPr>
          <w:rFonts w:ascii="仿宋_GB2312" w:eastAsia="仿宋_GB2312" w:hAnsi="仿宋" w:cs="仿宋" w:hint="eastAsia"/>
          <w:spacing w:val="-3"/>
          <w:sz w:val="20"/>
        </w:rPr>
        <w:t>时在</w:t>
      </w:r>
      <w:r>
        <w:rPr>
          <w:rFonts w:ascii="仿宋_GB2312" w:eastAsia="仿宋_GB2312" w:hAnsi="仿宋" w:cs="仿宋" w:hint="eastAsia"/>
          <w:spacing w:val="-3"/>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3"/>
          <w:sz w:val="20"/>
        </w:rPr>
        <w:t>对本专利纠纷进</w:t>
      </w:r>
      <w:r>
        <w:rPr>
          <w:rFonts w:ascii="仿宋_GB2312" w:eastAsia="仿宋_GB2312" w:hAnsi="仿宋" w:cs="仿宋" w:hint="eastAsia"/>
          <w:sz w:val="20"/>
        </w:rPr>
        <w:t xml:space="preserve"> </w:t>
      </w:r>
      <w:r>
        <w:rPr>
          <w:rFonts w:ascii="仿宋_GB2312" w:eastAsia="仿宋_GB2312" w:hAnsi="仿宋" w:cs="仿宋" w:hint="eastAsia"/>
          <w:spacing w:val="-3"/>
          <w:sz w:val="20"/>
        </w:rPr>
        <w:t>行行政调解，要求双方当事人届时参加。</w:t>
      </w:r>
    </w:p>
    <w:p w:rsidR="00800760" w:rsidRDefault="00235733">
      <w:pPr>
        <w:spacing w:before="62" w:line="360" w:lineRule="auto"/>
        <w:ind w:left="20" w:right="304" w:firstLineChars="0" w:firstLine="400"/>
        <w:rPr>
          <w:rFonts w:ascii="仿宋_GB2312" w:eastAsia="仿宋_GB2312" w:hAnsi="仿宋" w:cs="仿宋"/>
          <w:sz w:val="20"/>
        </w:rPr>
      </w:pPr>
      <w:r>
        <w:rPr>
          <w:rFonts w:ascii="仿宋_GB2312" w:eastAsia="仿宋_GB2312" w:hAnsi="仿宋" w:cs="仿宋" w:hint="eastAsia"/>
          <w:spacing w:val="7"/>
          <w:sz w:val="20"/>
        </w:rPr>
        <w:t>双方当事人应当在收到本通知之日起3日内将参加调解回执送交本局。当事人因</w:t>
      </w:r>
      <w:r>
        <w:rPr>
          <w:rFonts w:ascii="仿宋_GB2312" w:eastAsia="仿宋_GB2312" w:hAnsi="仿宋" w:cs="仿宋" w:hint="eastAsia"/>
          <w:spacing w:val="8"/>
          <w:sz w:val="20"/>
        </w:rPr>
        <w:t xml:space="preserve"> </w:t>
      </w:r>
      <w:r>
        <w:rPr>
          <w:rFonts w:ascii="仿宋_GB2312" w:eastAsia="仿宋_GB2312" w:hAnsi="仿宋" w:cs="仿宋" w:hint="eastAsia"/>
          <w:spacing w:val="2"/>
          <w:sz w:val="20"/>
        </w:rPr>
        <w:t>正当理由不能参加的，应提前3日向本局提出，申请改期。</w:t>
      </w:r>
    </w:p>
    <w:p w:rsidR="00800760" w:rsidRDefault="00235733">
      <w:pPr>
        <w:spacing w:before="26" w:line="360" w:lineRule="auto"/>
        <w:ind w:left="420" w:firstLineChars="0" w:firstLine="0"/>
        <w:rPr>
          <w:rFonts w:ascii="仿宋_GB2312" w:eastAsia="仿宋_GB2312" w:hAnsi="仿宋" w:cs="仿宋"/>
          <w:sz w:val="20"/>
        </w:rPr>
      </w:pPr>
      <w:r>
        <w:rPr>
          <w:rFonts w:ascii="仿宋_GB2312" w:eastAsia="仿宋_GB2312" w:hAnsi="仿宋" w:cs="仿宋" w:hint="eastAsia"/>
          <w:spacing w:val="-4"/>
          <w:sz w:val="20"/>
        </w:rPr>
        <w:t>参加调解的人员，应当携带以下材料：</w:t>
      </w:r>
    </w:p>
    <w:p w:rsidR="00800760" w:rsidRDefault="00235733">
      <w:pPr>
        <w:spacing w:before="89" w:line="360" w:lineRule="auto"/>
        <w:ind w:left="20" w:right="310" w:firstLineChars="0" w:firstLine="400"/>
        <w:rPr>
          <w:rFonts w:ascii="仿宋_GB2312" w:eastAsia="仿宋_GB2312" w:hAnsi="仿宋" w:cs="仿宋"/>
          <w:sz w:val="20"/>
        </w:rPr>
      </w:pPr>
      <w:r>
        <w:rPr>
          <w:rFonts w:ascii="仿宋_GB2312" w:eastAsia="仿宋_GB2312" w:hAnsi="仿宋" w:cs="仿宋" w:hint="eastAsia"/>
          <w:spacing w:val="6"/>
          <w:sz w:val="20"/>
        </w:rPr>
        <w:t>1.</w:t>
      </w:r>
      <w:r>
        <w:rPr>
          <w:rFonts w:ascii="仿宋_GB2312" w:eastAsia="仿宋_GB2312" w:hAnsi="仿宋" w:cs="仿宋" w:hint="eastAsia"/>
          <w:spacing w:val="-61"/>
          <w:sz w:val="20"/>
        </w:rPr>
        <w:t xml:space="preserve"> </w:t>
      </w:r>
      <w:r>
        <w:rPr>
          <w:rFonts w:ascii="仿宋_GB2312" w:eastAsia="仿宋_GB2312" w:hAnsi="仿宋" w:cs="仿宋" w:hint="eastAsia"/>
          <w:spacing w:val="6"/>
          <w:sz w:val="20"/>
        </w:rPr>
        <w:t>当事人的主体资格证明(如：企业营业执照副本复</w:t>
      </w:r>
      <w:r>
        <w:rPr>
          <w:rFonts w:ascii="仿宋_GB2312" w:eastAsia="仿宋_GB2312" w:hAnsi="仿宋" w:cs="仿宋" w:hint="eastAsia"/>
          <w:spacing w:val="5"/>
          <w:sz w:val="20"/>
        </w:rPr>
        <w:t>印件并加盖公章；自然人身</w:t>
      </w:r>
      <w:r>
        <w:rPr>
          <w:rFonts w:ascii="仿宋_GB2312" w:eastAsia="仿宋_GB2312" w:hAnsi="仿宋" w:cs="仿宋" w:hint="eastAsia"/>
          <w:sz w:val="20"/>
        </w:rPr>
        <w:t xml:space="preserve"> 份证件正反面复印件)。</w:t>
      </w:r>
    </w:p>
    <w:p w:rsidR="00800760" w:rsidRDefault="00235733">
      <w:pPr>
        <w:spacing w:line="360" w:lineRule="auto"/>
        <w:ind w:left="20" w:right="266" w:firstLineChars="0" w:firstLine="400"/>
        <w:rPr>
          <w:rFonts w:ascii="仿宋_GB2312" w:eastAsia="仿宋_GB2312" w:hAnsi="仿宋" w:cs="仿宋"/>
          <w:sz w:val="20"/>
        </w:rPr>
      </w:pPr>
      <w:r>
        <w:rPr>
          <w:rFonts w:ascii="仿宋_GB2312" w:eastAsia="仿宋_GB2312" w:hAnsi="宋体" w:cs="宋体" w:hint="eastAsia"/>
          <w:spacing w:val="12"/>
          <w:sz w:val="20"/>
        </w:rPr>
        <w:t>2.</w:t>
      </w:r>
      <w:r>
        <w:rPr>
          <w:rFonts w:ascii="仿宋_GB2312" w:eastAsia="仿宋_GB2312" w:hAnsi="宋体" w:cs="宋体" w:hint="eastAsia"/>
          <w:spacing w:val="-44"/>
          <w:sz w:val="20"/>
        </w:rPr>
        <w:t xml:space="preserve"> </w:t>
      </w:r>
      <w:r>
        <w:rPr>
          <w:rFonts w:ascii="仿宋_GB2312" w:eastAsia="仿宋_GB2312" w:hAnsi="仿宋" w:cs="仿宋" w:hint="eastAsia"/>
          <w:spacing w:val="12"/>
          <w:sz w:val="20"/>
        </w:rPr>
        <w:t>委托代理人(1~2人)出席的，应当提交授权委托书及委托代理人的身</w:t>
      </w:r>
      <w:r>
        <w:rPr>
          <w:rFonts w:ascii="仿宋_GB2312" w:eastAsia="仿宋_GB2312" w:hAnsi="仿宋" w:cs="仿宋" w:hint="eastAsia"/>
          <w:spacing w:val="11"/>
          <w:sz w:val="20"/>
        </w:rPr>
        <w:t>份证明</w:t>
      </w:r>
      <w:r>
        <w:rPr>
          <w:rFonts w:ascii="仿宋_GB2312" w:eastAsia="仿宋_GB2312" w:hAnsi="仿宋" w:cs="仿宋" w:hint="eastAsia"/>
          <w:sz w:val="20"/>
        </w:rPr>
        <w:t xml:space="preserve"> </w:t>
      </w:r>
      <w:r>
        <w:rPr>
          <w:rFonts w:ascii="仿宋_GB2312" w:eastAsia="仿宋_GB2312" w:hAnsi="仿宋" w:cs="仿宋" w:hint="eastAsia"/>
          <w:spacing w:val="-1"/>
          <w:sz w:val="20"/>
        </w:rPr>
        <w:t>(身份证件正反面复印件)。</w:t>
      </w:r>
    </w:p>
    <w:p w:rsidR="00800760" w:rsidRDefault="00235733">
      <w:pPr>
        <w:spacing w:before="44" w:line="360" w:lineRule="auto"/>
        <w:ind w:left="420" w:firstLineChars="0" w:firstLine="0"/>
        <w:rPr>
          <w:rFonts w:ascii="仿宋_GB2312" w:eastAsia="仿宋_GB2312" w:hAnsi="仿宋" w:cs="仿宋"/>
          <w:sz w:val="20"/>
        </w:rPr>
      </w:pPr>
      <w:r>
        <w:rPr>
          <w:rFonts w:ascii="仿宋_GB2312" w:eastAsia="仿宋_GB2312" w:hAnsi="仿宋" w:cs="仿宋" w:hint="eastAsia"/>
          <w:spacing w:val="6"/>
          <w:sz w:val="20"/>
        </w:rPr>
        <w:t>3.有关证据材料。</w:t>
      </w:r>
    </w:p>
    <w:p w:rsidR="00800760" w:rsidRDefault="00800760">
      <w:pPr>
        <w:pStyle w:val="a5"/>
        <w:spacing w:after="0" w:line="249" w:lineRule="auto"/>
        <w:ind w:firstLineChars="0" w:firstLine="0"/>
        <w:rPr>
          <w:rFonts w:ascii="仿宋_GB2312" w:eastAsia="仿宋_GB2312"/>
          <w:sz w:val="20"/>
        </w:rPr>
      </w:pPr>
    </w:p>
    <w:p w:rsidR="00800760" w:rsidRDefault="00800760">
      <w:pPr>
        <w:pStyle w:val="a5"/>
        <w:spacing w:after="0" w:line="250" w:lineRule="auto"/>
        <w:ind w:firstLineChars="0" w:firstLine="0"/>
        <w:rPr>
          <w:rFonts w:ascii="仿宋_GB2312" w:eastAsia="仿宋_GB2312"/>
          <w:sz w:val="20"/>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pPr>
        <w:tabs>
          <w:tab w:val="left" w:pos="6430"/>
        </w:tabs>
        <w:spacing w:before="97" w:line="222" w:lineRule="auto"/>
        <w:ind w:left="5670" w:firstLineChars="0" w:firstLine="0"/>
        <w:rPr>
          <w:rFonts w:ascii="仿宋_GB2312" w:eastAsia="仿宋_GB2312" w:hAnsi="仿宋" w:cs="仿宋"/>
          <w:sz w:val="20"/>
        </w:rPr>
      </w:pPr>
    </w:p>
    <w:p w:rsidR="00800760" w:rsidRDefault="00800760">
      <w:pPr>
        <w:pStyle w:val="a5"/>
        <w:spacing w:after="0" w:line="244" w:lineRule="auto"/>
        <w:ind w:firstLineChars="0" w:firstLine="0"/>
        <w:rPr>
          <w:rFonts w:ascii="仿宋_GB2312" w:eastAsia="仿宋_GB2312"/>
          <w:sz w:val="20"/>
        </w:rPr>
      </w:pPr>
    </w:p>
    <w:p w:rsidR="00800760" w:rsidRDefault="00800760">
      <w:pPr>
        <w:spacing w:before="69" w:line="219" w:lineRule="auto"/>
        <w:ind w:firstLineChars="0" w:firstLine="0"/>
        <w:rPr>
          <w:rFonts w:ascii="仿宋_GB2312" w:eastAsia="仿宋_GB2312" w:hAnsi="仿宋" w:cs="仿宋"/>
          <w:spacing w:val="-1"/>
          <w:sz w:val="20"/>
        </w:rPr>
      </w:pPr>
    </w:p>
    <w:p w:rsidR="00800760" w:rsidRDefault="00235733">
      <w:pPr>
        <w:spacing w:before="69" w:line="219" w:lineRule="auto"/>
        <w:ind w:firstLineChars="0" w:firstLine="0"/>
        <w:rPr>
          <w:rFonts w:ascii="仿宋_GB2312" w:eastAsia="仿宋_GB2312" w:hAnsi="仿宋" w:cs="仿宋"/>
          <w:sz w:val="20"/>
        </w:rPr>
      </w:pPr>
      <w:r>
        <w:rPr>
          <w:rFonts w:ascii="仿宋_GB2312" w:eastAsia="仿宋_GB2312" w:hAnsi="仿宋" w:cs="仿宋" w:hint="eastAsia"/>
          <w:spacing w:val="-1"/>
          <w:sz w:val="20"/>
        </w:rPr>
        <w:t>说明：</w:t>
      </w:r>
      <w:r>
        <w:rPr>
          <w:rFonts w:ascii="仿宋_GB2312" w:eastAsia="仿宋_GB2312" w:hAnsi="仿宋" w:cs="仿宋" w:hint="eastAsia"/>
          <w:spacing w:val="2"/>
          <w:sz w:val="20"/>
        </w:rPr>
        <w:t>本通</w:t>
      </w:r>
      <w:r>
        <w:rPr>
          <w:rFonts w:ascii="仿宋_GB2312" w:eastAsia="仿宋_GB2312" w:hAnsi="仿宋" w:cs="仿宋" w:hint="eastAsia"/>
          <w:spacing w:val="-1"/>
          <w:sz w:val="20"/>
        </w:rPr>
        <w:t>知书一式两份，一份送达当事人，一</w:t>
      </w:r>
      <w:r>
        <w:rPr>
          <w:rFonts w:ascii="仿宋_GB2312" w:eastAsia="仿宋_GB2312" w:hAnsi="仿宋" w:cs="仿宋" w:hint="eastAsia"/>
          <w:spacing w:val="-2"/>
          <w:sz w:val="20"/>
        </w:rPr>
        <w:t>份由知识产权局存档。</w:t>
      </w:r>
    </w:p>
    <w:p w:rsidR="00800760" w:rsidRDefault="00800760">
      <w:pPr>
        <w:spacing w:line="219" w:lineRule="auto"/>
        <w:rPr>
          <w:rFonts w:ascii="仿宋" w:eastAsia="仿宋" w:hAnsi="仿宋" w:cs="仿宋"/>
        </w:rPr>
        <w:sectPr w:rsidR="00800760" w:rsidSect="008175D7">
          <w:footerReference w:type="default" r:id="rId99"/>
          <w:pgSz w:w="10830" w:h="15080"/>
          <w:pgMar w:top="1373" w:right="1045" w:bottom="1314" w:left="1559" w:header="431" w:footer="969" w:gutter="0"/>
          <w:cols w:space="720"/>
          <w:docGrid w:linePitch="286"/>
        </w:sectPr>
      </w:pPr>
    </w:p>
    <w:p w:rsidR="00800760" w:rsidRDefault="00800760">
      <w:pPr>
        <w:pStyle w:val="a5"/>
        <w:spacing w:after="0" w:line="283" w:lineRule="auto"/>
        <w:ind w:firstLineChars="0" w:firstLine="0"/>
        <w:rPr>
          <w:sz w:val="20"/>
        </w:rPr>
      </w:pPr>
      <w:bookmarkStart w:id="9332" w:name="bookmark153"/>
      <w:bookmarkEnd w:id="9332"/>
    </w:p>
    <w:p w:rsidR="00800760" w:rsidRDefault="00235733">
      <w:pPr>
        <w:pStyle w:val="a5"/>
        <w:spacing w:after="0" w:line="283" w:lineRule="auto"/>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专利纠纷行政调解回执</w:t>
      </w:r>
    </w:p>
    <w:p w:rsidR="00800760" w:rsidRDefault="00800760">
      <w:pPr>
        <w:pStyle w:val="a5"/>
        <w:spacing w:after="0" w:line="278" w:lineRule="auto"/>
        <w:ind w:firstLineChars="0" w:firstLine="0"/>
        <w:rPr>
          <w:sz w:val="20"/>
        </w:rPr>
      </w:pPr>
    </w:p>
    <w:p w:rsidR="00800760" w:rsidRDefault="00800760">
      <w:pPr>
        <w:pStyle w:val="a5"/>
        <w:spacing w:after="0" w:line="279" w:lineRule="auto"/>
        <w:ind w:firstLineChars="0" w:firstLine="0"/>
        <w:rPr>
          <w:rFonts w:ascii="仿宋_GB2312" w:eastAsia="仿宋_GB2312"/>
          <w:sz w:val="20"/>
        </w:rPr>
      </w:pPr>
    </w:p>
    <w:p w:rsidR="00800760" w:rsidRDefault="00235733">
      <w:pPr>
        <w:spacing w:line="480" w:lineRule="auto"/>
        <w:ind w:firstLineChars="0" w:firstLine="0"/>
        <w:jc w:val="right"/>
        <w:rPr>
          <w:rFonts w:ascii="仿宋_GB2312" w:eastAsia="仿宋_GB2312"/>
          <w:sz w:val="20"/>
        </w:rPr>
      </w:pPr>
      <w:r>
        <w:rPr>
          <w:rFonts w:ascii="仿宋_GB2312" w:eastAsia="仿宋_GB2312" w:hAnsi="仿宋" w:hint="eastAsia"/>
          <w:color w:val="000000"/>
          <w:sz w:val="20"/>
        </w:rPr>
        <w:t>案号：____________________</w:t>
      </w:r>
    </w:p>
    <w:p w:rsidR="00800760" w:rsidRDefault="00235733">
      <w:pPr>
        <w:spacing w:before="62" w:line="301" w:lineRule="auto"/>
        <w:ind w:right="304" w:firstLineChars="0" w:firstLine="0"/>
        <w:rPr>
          <w:rFonts w:ascii="仿宋_GB2312" w:eastAsia="仿宋_GB2312" w:hAnsi="仿宋" w:cs="仿宋"/>
          <w:spacing w:val="2"/>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w:t>
      </w:r>
    </w:p>
    <w:p w:rsidR="00800760" w:rsidRDefault="00235733">
      <w:pPr>
        <w:spacing w:before="62" w:line="301"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□我方参加        年    月    日      时举行的专利纠纷行政调解。</w:t>
      </w:r>
    </w:p>
    <w:p w:rsidR="00800760" w:rsidRDefault="00235733">
      <w:pPr>
        <w:spacing w:before="62" w:line="301"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□我方不参加         年      月     日      时举行的专利纠纷行政调解，其原因 是：                                                        。</w:t>
      </w:r>
    </w:p>
    <w:p w:rsidR="00800760" w:rsidRDefault="00235733">
      <w:pPr>
        <w:spacing w:before="62" w:line="301"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□我方是本案的请求人，参加专利纠纷行政调解的人员如下：</w:t>
      </w:r>
    </w:p>
    <w:p w:rsidR="00800760" w:rsidRDefault="00235733">
      <w:pPr>
        <w:spacing w:before="62" w:line="301"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□我方是本案的被请求人，参加专利纠纷行政调解的人员如下：</w:t>
      </w:r>
    </w:p>
    <w:p w:rsidR="00800760" w:rsidRDefault="00800760">
      <w:pPr>
        <w:spacing w:before="62" w:line="301" w:lineRule="auto"/>
        <w:ind w:left="20" w:right="304" w:firstLineChars="0" w:firstLine="400"/>
        <w:rPr>
          <w:rFonts w:ascii="仿宋_GB2312" w:eastAsia="仿宋_GB2312" w:hAnsi="仿宋" w:cs="仿宋"/>
          <w:spacing w:val="2"/>
          <w:sz w:val="20"/>
        </w:rPr>
      </w:pPr>
    </w:p>
    <w:tbl>
      <w:tblPr>
        <w:tblStyle w:val="TableNormal"/>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53"/>
        <w:gridCol w:w="1578"/>
        <w:gridCol w:w="1568"/>
        <w:gridCol w:w="1568"/>
        <w:gridCol w:w="1762"/>
      </w:tblGrid>
      <w:tr w:rsidR="00800760">
        <w:trPr>
          <w:trHeight w:val="413"/>
        </w:trPr>
        <w:tc>
          <w:tcPr>
            <w:tcW w:w="1453" w:type="dxa"/>
          </w:tcPr>
          <w:p w:rsidR="00800760" w:rsidRDefault="00235733">
            <w:pPr>
              <w:spacing w:before="62" w:line="301"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姓名</w:t>
            </w:r>
          </w:p>
        </w:tc>
        <w:tc>
          <w:tcPr>
            <w:tcW w:w="1578" w:type="dxa"/>
          </w:tcPr>
          <w:p w:rsidR="00800760" w:rsidRDefault="00235733">
            <w:pPr>
              <w:spacing w:before="62" w:line="301"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单位</w:t>
            </w:r>
          </w:p>
        </w:tc>
        <w:tc>
          <w:tcPr>
            <w:tcW w:w="1568" w:type="dxa"/>
          </w:tcPr>
          <w:p w:rsidR="00800760" w:rsidRDefault="00235733">
            <w:pPr>
              <w:spacing w:before="62" w:line="301"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职务</w:t>
            </w:r>
          </w:p>
        </w:tc>
        <w:tc>
          <w:tcPr>
            <w:tcW w:w="1568" w:type="dxa"/>
          </w:tcPr>
          <w:p w:rsidR="00800760" w:rsidRDefault="00235733">
            <w:pPr>
              <w:spacing w:before="62" w:line="301"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移动电话</w:t>
            </w:r>
          </w:p>
        </w:tc>
        <w:tc>
          <w:tcPr>
            <w:tcW w:w="1762" w:type="dxa"/>
          </w:tcPr>
          <w:p w:rsidR="00800760" w:rsidRDefault="00235733">
            <w:pPr>
              <w:spacing w:before="62" w:line="301"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固定电话</w:t>
            </w:r>
          </w:p>
        </w:tc>
      </w:tr>
      <w:tr w:rsidR="00800760">
        <w:trPr>
          <w:trHeight w:val="409"/>
        </w:trPr>
        <w:tc>
          <w:tcPr>
            <w:tcW w:w="1453"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7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762"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r>
      <w:tr w:rsidR="00800760">
        <w:trPr>
          <w:trHeight w:val="398"/>
        </w:trPr>
        <w:tc>
          <w:tcPr>
            <w:tcW w:w="1453"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7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762"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r>
      <w:tr w:rsidR="00800760">
        <w:trPr>
          <w:trHeight w:val="409"/>
        </w:trPr>
        <w:tc>
          <w:tcPr>
            <w:tcW w:w="1453"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7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762"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r>
      <w:tr w:rsidR="00800760">
        <w:trPr>
          <w:trHeight w:val="408"/>
        </w:trPr>
        <w:tc>
          <w:tcPr>
            <w:tcW w:w="1453"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7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762"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r>
      <w:tr w:rsidR="00800760">
        <w:trPr>
          <w:trHeight w:val="413"/>
        </w:trPr>
        <w:tc>
          <w:tcPr>
            <w:tcW w:w="1453"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7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568"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c>
          <w:tcPr>
            <w:tcW w:w="1762" w:type="dxa"/>
          </w:tcPr>
          <w:p w:rsidR="00800760" w:rsidRDefault="00800760">
            <w:pPr>
              <w:spacing w:before="62" w:line="301" w:lineRule="auto"/>
              <w:ind w:left="20" w:right="304" w:firstLineChars="0" w:firstLine="400"/>
              <w:rPr>
                <w:rFonts w:ascii="仿宋_GB2312" w:eastAsia="仿宋_GB2312" w:hAnsi="仿宋" w:cs="仿宋"/>
                <w:spacing w:val="2"/>
                <w:sz w:val="20"/>
              </w:rPr>
            </w:pPr>
          </w:p>
        </w:tc>
      </w:tr>
    </w:tbl>
    <w:p w:rsidR="00800760" w:rsidRDefault="00800760">
      <w:pPr>
        <w:spacing w:before="62" w:line="301" w:lineRule="auto"/>
        <w:ind w:left="20" w:right="304" w:firstLineChars="0" w:firstLine="400"/>
        <w:rPr>
          <w:rFonts w:ascii="仿宋_GB2312" w:eastAsia="仿宋_GB2312" w:hAnsi="仿宋" w:cs="仿宋"/>
          <w:spacing w:val="2"/>
          <w:sz w:val="20"/>
        </w:rPr>
      </w:pPr>
    </w:p>
    <w:p w:rsidR="00800760" w:rsidRDefault="00800760">
      <w:pPr>
        <w:spacing w:before="62" w:line="301" w:lineRule="auto"/>
        <w:ind w:left="20" w:right="304" w:firstLineChars="0" w:firstLine="400"/>
        <w:rPr>
          <w:rFonts w:ascii="仿宋_GB2312" w:eastAsia="仿宋_GB2312" w:hAnsi="仿宋" w:cs="仿宋"/>
          <w:spacing w:val="2"/>
          <w:sz w:val="20"/>
        </w:rPr>
      </w:pPr>
    </w:p>
    <w:p w:rsidR="00800760" w:rsidRDefault="00800760">
      <w:pPr>
        <w:spacing w:before="62" w:line="301" w:lineRule="auto"/>
        <w:ind w:left="20" w:right="304" w:firstLineChars="0" w:firstLine="400"/>
        <w:rPr>
          <w:rFonts w:ascii="仿宋_GB2312" w:eastAsia="仿宋_GB2312" w:hAnsi="仿宋" w:cs="仿宋"/>
          <w:spacing w:val="2"/>
          <w:sz w:val="20"/>
        </w:rPr>
      </w:pPr>
    </w:p>
    <w:p w:rsidR="00800760" w:rsidRDefault="00800760">
      <w:pPr>
        <w:pStyle w:val="a5"/>
        <w:spacing w:after="0" w:line="267" w:lineRule="auto"/>
        <w:ind w:firstLineChars="0" w:firstLine="0"/>
        <w:rPr>
          <w:rFonts w:ascii="仿宋_GB2312" w:eastAsia="仿宋_GB2312"/>
          <w:sz w:val="20"/>
          <w:lang w:eastAsia="en-US"/>
        </w:rPr>
      </w:pPr>
    </w:p>
    <w:p w:rsidR="00800760" w:rsidRDefault="00800760">
      <w:pPr>
        <w:pStyle w:val="a5"/>
        <w:spacing w:after="0" w:line="267" w:lineRule="auto"/>
        <w:ind w:firstLineChars="0" w:firstLine="0"/>
        <w:rPr>
          <w:rFonts w:ascii="仿宋_GB2312" w:eastAsia="仿宋_GB2312"/>
          <w:sz w:val="20"/>
          <w:lang w:eastAsia="en-US"/>
        </w:rPr>
      </w:pP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知识产权局（盖章）</w:t>
      </w:r>
    </w:p>
    <w:p w:rsidR="00800760" w:rsidRDefault="00235733" w:rsidP="00C22A7B">
      <w:pPr>
        <w:widowControl w:val="0"/>
        <w:wordWrap w:val="0"/>
        <w:spacing w:beforeLines="50" w:afterLines="5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800760">
      <w:pPr>
        <w:pStyle w:val="a5"/>
        <w:spacing w:after="0" w:line="284" w:lineRule="auto"/>
        <w:ind w:firstLineChars="0" w:firstLine="0"/>
        <w:rPr>
          <w:rFonts w:ascii="仿宋_GB2312" w:eastAsia="仿宋_GB2312"/>
          <w:sz w:val="20"/>
        </w:rPr>
      </w:pPr>
    </w:p>
    <w:p w:rsidR="00800760" w:rsidRDefault="00800760">
      <w:pPr>
        <w:pStyle w:val="a5"/>
        <w:spacing w:after="0" w:line="284" w:lineRule="auto"/>
        <w:ind w:firstLineChars="0" w:firstLine="0"/>
        <w:rPr>
          <w:rFonts w:ascii="仿宋_GB2312" w:eastAsia="仿宋_GB2312"/>
          <w:sz w:val="20"/>
        </w:rPr>
      </w:pPr>
    </w:p>
    <w:p w:rsidR="00800760" w:rsidRDefault="00800760">
      <w:pPr>
        <w:pStyle w:val="a5"/>
        <w:spacing w:after="0" w:line="284" w:lineRule="auto"/>
        <w:ind w:firstLineChars="0" w:firstLine="0"/>
        <w:rPr>
          <w:rFonts w:ascii="仿宋_GB2312" w:eastAsia="仿宋_GB2312"/>
          <w:sz w:val="20"/>
        </w:rPr>
      </w:pPr>
    </w:p>
    <w:p w:rsidR="00800760" w:rsidRDefault="00800760">
      <w:pPr>
        <w:pStyle w:val="a5"/>
        <w:spacing w:after="0" w:line="284" w:lineRule="auto"/>
        <w:ind w:firstLineChars="0" w:firstLine="0"/>
        <w:rPr>
          <w:rFonts w:ascii="仿宋_GB2312" w:eastAsia="仿宋_GB2312"/>
          <w:sz w:val="20"/>
        </w:rPr>
      </w:pPr>
    </w:p>
    <w:p w:rsidR="00800760" w:rsidRDefault="00800760">
      <w:pPr>
        <w:pStyle w:val="a5"/>
        <w:spacing w:after="0" w:line="284" w:lineRule="auto"/>
        <w:ind w:firstLineChars="0" w:firstLine="0"/>
        <w:rPr>
          <w:rFonts w:ascii="仿宋_GB2312" w:eastAsia="仿宋_GB2312"/>
          <w:sz w:val="20"/>
        </w:rPr>
      </w:pPr>
    </w:p>
    <w:p w:rsidR="00800760" w:rsidRDefault="00800760">
      <w:pPr>
        <w:pStyle w:val="a5"/>
        <w:spacing w:after="0" w:line="284" w:lineRule="auto"/>
        <w:ind w:firstLineChars="0" w:firstLine="0"/>
        <w:rPr>
          <w:sz w:val="20"/>
        </w:rPr>
      </w:pPr>
    </w:p>
    <w:p w:rsidR="00800760" w:rsidRDefault="00800760">
      <w:pPr>
        <w:pStyle w:val="a5"/>
        <w:spacing w:after="0" w:line="284" w:lineRule="auto"/>
        <w:ind w:firstLineChars="0" w:firstLine="0"/>
        <w:rPr>
          <w:sz w:val="20"/>
        </w:rPr>
      </w:pPr>
    </w:p>
    <w:p w:rsidR="00800760" w:rsidRDefault="00235733">
      <w:pPr>
        <w:spacing w:line="660" w:lineRule="exact"/>
        <w:ind w:firstLineChars="0" w:firstLine="0"/>
        <w:jc w:val="center"/>
        <w:rPr>
          <w:rFonts w:ascii="方正小标宋_GBK" w:eastAsia="方正小标宋_GBK" w:hAnsi="宋体"/>
          <w:color w:val="000000"/>
          <w:spacing w:val="6"/>
          <w:sz w:val="36"/>
          <w:szCs w:val="36"/>
        </w:rPr>
      </w:pPr>
      <w:bookmarkStart w:id="9333" w:name="bookmark236"/>
      <w:bookmarkStart w:id="9334" w:name="bookmark154"/>
      <w:bookmarkEnd w:id="9333"/>
      <w:bookmarkEnd w:id="9334"/>
      <w:r>
        <w:rPr>
          <w:rFonts w:ascii="方正小标宋_GBK" w:eastAsia="方正小标宋_GBK" w:hAnsi="宋体"/>
          <w:color w:val="000000"/>
          <w:spacing w:val="6"/>
          <w:sz w:val="36"/>
          <w:szCs w:val="36"/>
        </w:rPr>
        <w:t>专利纠纷行政调解回避申请决定</w:t>
      </w:r>
    </w:p>
    <w:p w:rsidR="00800760" w:rsidRDefault="00800760">
      <w:pPr>
        <w:pStyle w:val="a5"/>
        <w:spacing w:after="0" w:line="660" w:lineRule="exact"/>
        <w:ind w:firstLineChars="0" w:firstLine="0"/>
        <w:rPr>
          <w:sz w:val="20"/>
        </w:rPr>
      </w:pPr>
    </w:p>
    <w:p w:rsidR="00800760" w:rsidRDefault="00235733">
      <w:pPr>
        <w:spacing w:before="55" w:line="360" w:lineRule="auto"/>
        <w:ind w:left="4930" w:firstLineChars="300" w:firstLine="552"/>
        <w:rPr>
          <w:rFonts w:ascii="仿宋_GB2312" w:eastAsia="仿宋_GB2312" w:hAnsi="仿宋" w:cs="仿宋"/>
          <w:sz w:val="20"/>
          <w:u w:val="single"/>
        </w:rPr>
      </w:pPr>
      <w:r>
        <w:rPr>
          <w:rFonts w:ascii="仿宋_GB2312" w:eastAsia="仿宋_GB2312" w:hAnsi="仿宋" w:cs="仿宋" w:hint="eastAsia"/>
          <w:spacing w:val="-8"/>
          <w:sz w:val="20"/>
          <w:lang w:eastAsia="en-US"/>
        </w:rPr>
        <w:t>案 号</w:t>
      </w:r>
      <w:r>
        <w:rPr>
          <w:rFonts w:ascii="仿宋_GB2312" w:eastAsia="仿宋_GB2312" w:hAnsi="仿宋" w:cs="仿宋" w:hint="eastAsia"/>
          <w:spacing w:val="-17"/>
          <w:sz w:val="20"/>
          <w:lang w:eastAsia="en-US"/>
        </w:rPr>
        <w:t xml:space="preserve"> </w:t>
      </w:r>
      <w:r>
        <w:rPr>
          <w:rFonts w:ascii="仿宋_GB2312" w:eastAsia="仿宋_GB2312" w:hAnsi="仿宋" w:cs="仿宋" w:hint="eastAsia"/>
          <w:spacing w:val="-8"/>
          <w:sz w:val="20"/>
          <w:lang w:eastAsia="en-US"/>
        </w:rPr>
        <w:t>：</w:t>
      </w:r>
      <w:r>
        <w:rPr>
          <w:rFonts w:ascii="仿宋_GB2312" w:eastAsia="仿宋_GB2312" w:hAnsi="仿宋" w:cs="仿宋" w:hint="eastAsia"/>
          <w:spacing w:val="-8"/>
          <w:sz w:val="20"/>
          <w:u w:val="single"/>
        </w:rPr>
        <w:t xml:space="preserve">                    </w:t>
      </w:r>
    </w:p>
    <w:tbl>
      <w:tblPr>
        <w:tblStyle w:val="TableNormal"/>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41"/>
        <w:gridCol w:w="1678"/>
        <w:gridCol w:w="1668"/>
        <w:gridCol w:w="1443"/>
      </w:tblGrid>
      <w:tr w:rsidR="00800760">
        <w:trPr>
          <w:trHeight w:val="413"/>
        </w:trPr>
        <w:tc>
          <w:tcPr>
            <w:tcW w:w="3141" w:type="dxa"/>
          </w:tcPr>
          <w:p w:rsidR="00800760" w:rsidRDefault="00235733">
            <w:pPr>
              <w:pStyle w:val="TableText"/>
              <w:kinsoku/>
              <w:autoSpaceDE/>
              <w:autoSpaceDN/>
              <w:adjustRightInd/>
              <w:snapToGrid/>
              <w:spacing w:before="104" w:line="360" w:lineRule="auto"/>
              <w:ind w:left="135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2"/>
                <w:sz w:val="20"/>
                <w:szCs w:val="20"/>
                <w:lang w:eastAsia="en-US"/>
              </w:rPr>
              <w:t>案由</w:t>
            </w:r>
          </w:p>
        </w:tc>
        <w:tc>
          <w:tcPr>
            <w:tcW w:w="4789" w:type="dxa"/>
            <w:gridSpan w:val="3"/>
          </w:tcPr>
          <w:p w:rsidR="00800760" w:rsidRDefault="00800760">
            <w:pPr>
              <w:spacing w:line="360" w:lineRule="auto"/>
              <w:ind w:firstLineChars="0" w:firstLine="0"/>
              <w:rPr>
                <w:rFonts w:ascii="仿宋_GB2312" w:eastAsia="仿宋_GB2312"/>
                <w:sz w:val="20"/>
                <w:lang w:eastAsia="en-US"/>
              </w:rPr>
            </w:pPr>
          </w:p>
        </w:tc>
      </w:tr>
      <w:tr w:rsidR="00800760">
        <w:trPr>
          <w:trHeight w:val="418"/>
        </w:trPr>
        <w:tc>
          <w:tcPr>
            <w:tcW w:w="3141" w:type="dxa"/>
          </w:tcPr>
          <w:p w:rsidR="00800760" w:rsidRDefault="00235733">
            <w:pPr>
              <w:pStyle w:val="TableText"/>
              <w:kinsoku/>
              <w:autoSpaceDE/>
              <w:autoSpaceDN/>
              <w:adjustRightInd/>
              <w:snapToGrid/>
              <w:spacing w:before="110" w:line="360" w:lineRule="auto"/>
              <w:ind w:left="103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回避申请人</w:t>
            </w:r>
          </w:p>
        </w:tc>
        <w:tc>
          <w:tcPr>
            <w:tcW w:w="4789" w:type="dxa"/>
            <w:gridSpan w:val="3"/>
          </w:tcPr>
          <w:p w:rsidR="00800760" w:rsidRDefault="00800760">
            <w:pPr>
              <w:spacing w:line="360" w:lineRule="auto"/>
              <w:ind w:firstLineChars="0" w:firstLine="0"/>
              <w:rPr>
                <w:rFonts w:ascii="仿宋_GB2312" w:eastAsia="仿宋_GB2312"/>
                <w:sz w:val="20"/>
                <w:lang w:eastAsia="en-US"/>
              </w:rPr>
            </w:pPr>
          </w:p>
        </w:tc>
      </w:tr>
      <w:tr w:rsidR="00800760">
        <w:trPr>
          <w:trHeight w:val="408"/>
        </w:trPr>
        <w:tc>
          <w:tcPr>
            <w:tcW w:w="3141" w:type="dxa"/>
          </w:tcPr>
          <w:p w:rsidR="00800760" w:rsidRDefault="00235733">
            <w:pPr>
              <w:pStyle w:val="TableText"/>
              <w:kinsoku/>
              <w:autoSpaceDE/>
              <w:autoSpaceDN/>
              <w:adjustRightInd/>
              <w:snapToGrid/>
              <w:spacing w:before="102" w:line="360" w:lineRule="auto"/>
              <w:ind w:left="61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4"/>
                <w:sz w:val="20"/>
                <w:szCs w:val="20"/>
                <w:lang w:eastAsia="en-US"/>
              </w:rPr>
              <w:t>法定代表人(负责人)</w:t>
            </w:r>
          </w:p>
        </w:tc>
        <w:tc>
          <w:tcPr>
            <w:tcW w:w="4789" w:type="dxa"/>
            <w:gridSpan w:val="3"/>
          </w:tcPr>
          <w:p w:rsidR="00800760" w:rsidRDefault="00800760">
            <w:pPr>
              <w:spacing w:line="360" w:lineRule="auto"/>
              <w:ind w:firstLineChars="0" w:firstLine="0"/>
              <w:rPr>
                <w:rFonts w:ascii="仿宋_GB2312" w:eastAsia="仿宋_GB2312"/>
                <w:sz w:val="20"/>
                <w:lang w:eastAsia="en-US"/>
              </w:rPr>
            </w:pPr>
          </w:p>
        </w:tc>
      </w:tr>
      <w:tr w:rsidR="00800760">
        <w:trPr>
          <w:trHeight w:val="408"/>
        </w:trPr>
        <w:tc>
          <w:tcPr>
            <w:tcW w:w="3141" w:type="dxa"/>
          </w:tcPr>
          <w:p w:rsidR="00800760" w:rsidRDefault="00235733">
            <w:pPr>
              <w:pStyle w:val="TableText"/>
              <w:kinsoku/>
              <w:autoSpaceDE/>
              <w:autoSpaceDN/>
              <w:adjustRightInd/>
              <w:snapToGrid/>
              <w:spacing w:before="105" w:line="360" w:lineRule="auto"/>
              <w:ind w:left="135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住所</w:t>
            </w:r>
          </w:p>
        </w:tc>
        <w:tc>
          <w:tcPr>
            <w:tcW w:w="4789" w:type="dxa"/>
            <w:gridSpan w:val="3"/>
          </w:tcPr>
          <w:p w:rsidR="00800760" w:rsidRDefault="00800760">
            <w:pPr>
              <w:spacing w:line="360" w:lineRule="auto"/>
              <w:ind w:firstLineChars="0" w:firstLine="0"/>
              <w:rPr>
                <w:rFonts w:ascii="仿宋_GB2312" w:eastAsia="仿宋_GB2312"/>
                <w:sz w:val="20"/>
                <w:lang w:eastAsia="en-US"/>
              </w:rPr>
            </w:pPr>
          </w:p>
        </w:tc>
      </w:tr>
      <w:tr w:rsidR="00800760">
        <w:trPr>
          <w:trHeight w:val="403"/>
        </w:trPr>
        <w:tc>
          <w:tcPr>
            <w:tcW w:w="3141" w:type="dxa"/>
          </w:tcPr>
          <w:p w:rsidR="00800760" w:rsidRDefault="00235733">
            <w:pPr>
              <w:pStyle w:val="TableText"/>
              <w:kinsoku/>
              <w:autoSpaceDE/>
              <w:autoSpaceDN/>
              <w:adjustRightInd/>
              <w:snapToGrid/>
              <w:spacing w:before="106" w:line="360" w:lineRule="auto"/>
              <w:ind w:left="114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邮政编码</w:t>
            </w:r>
          </w:p>
        </w:tc>
        <w:tc>
          <w:tcPr>
            <w:tcW w:w="1678" w:type="dxa"/>
          </w:tcPr>
          <w:p w:rsidR="00800760" w:rsidRDefault="00800760">
            <w:pPr>
              <w:spacing w:line="360" w:lineRule="auto"/>
              <w:ind w:firstLineChars="0" w:firstLine="0"/>
              <w:rPr>
                <w:rFonts w:ascii="仿宋_GB2312" w:eastAsia="仿宋_GB2312"/>
                <w:sz w:val="20"/>
                <w:lang w:eastAsia="en-US"/>
              </w:rPr>
            </w:pPr>
          </w:p>
        </w:tc>
        <w:tc>
          <w:tcPr>
            <w:tcW w:w="1668" w:type="dxa"/>
          </w:tcPr>
          <w:p w:rsidR="00800760" w:rsidRDefault="00235733">
            <w:pPr>
              <w:pStyle w:val="TableText"/>
              <w:kinsoku/>
              <w:autoSpaceDE/>
              <w:autoSpaceDN/>
              <w:adjustRightInd/>
              <w:snapToGrid/>
              <w:spacing w:before="109" w:line="360" w:lineRule="auto"/>
              <w:ind w:left="646"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4"/>
                <w:sz w:val="20"/>
                <w:szCs w:val="20"/>
                <w:lang w:eastAsia="en-US"/>
              </w:rPr>
              <w:t>电话</w:t>
            </w:r>
          </w:p>
        </w:tc>
        <w:tc>
          <w:tcPr>
            <w:tcW w:w="1443" w:type="dxa"/>
          </w:tcPr>
          <w:p w:rsidR="00800760" w:rsidRDefault="00800760">
            <w:pPr>
              <w:spacing w:line="360" w:lineRule="auto"/>
              <w:ind w:firstLineChars="0" w:firstLine="0"/>
              <w:rPr>
                <w:rFonts w:ascii="仿宋_GB2312" w:eastAsia="仿宋_GB2312"/>
                <w:sz w:val="20"/>
                <w:lang w:eastAsia="en-US"/>
              </w:rPr>
            </w:pPr>
          </w:p>
        </w:tc>
      </w:tr>
    </w:tbl>
    <w:p w:rsidR="00800760" w:rsidRDefault="00800760">
      <w:pPr>
        <w:pStyle w:val="a5"/>
        <w:spacing w:after="0" w:line="360" w:lineRule="auto"/>
        <w:ind w:firstLineChars="0" w:firstLine="0"/>
        <w:rPr>
          <w:rFonts w:ascii="仿宋_GB2312" w:eastAsia="仿宋_GB2312"/>
          <w:sz w:val="20"/>
          <w:lang w:eastAsia="en-US"/>
        </w:rPr>
      </w:pPr>
    </w:p>
    <w:p w:rsidR="00800760" w:rsidRDefault="00235733">
      <w:pPr>
        <w:pStyle w:val="a5"/>
        <w:tabs>
          <w:tab w:val="left" w:pos="1788"/>
        </w:tabs>
        <w:spacing w:after="0" w:line="360" w:lineRule="auto"/>
        <w:ind w:firstLineChars="0" w:firstLine="0"/>
        <w:rPr>
          <w:rFonts w:ascii="仿宋_GB2312" w:eastAsia="仿宋_GB2312"/>
          <w:sz w:val="20"/>
        </w:rPr>
      </w:pPr>
      <w:r>
        <w:rPr>
          <w:rFonts w:ascii="仿宋_GB2312" w:eastAsia="仿宋_GB2312" w:hint="eastAsia"/>
          <w:noProof/>
          <w:sz w:val="20"/>
          <w:lang w:val="en-US"/>
        </w:rPr>
        <w:drawing>
          <wp:anchor distT="0" distB="0" distL="0" distR="0" simplePos="0" relativeHeight="251666432" behindDoc="0" locked="0" layoutInCell="1" allowOverlap="1">
            <wp:simplePos x="0" y="0"/>
            <wp:positionH relativeFrom="column">
              <wp:posOffset>0</wp:posOffset>
            </wp:positionH>
            <wp:positionV relativeFrom="paragraph">
              <wp:posOffset>150495</wp:posOffset>
            </wp:positionV>
            <wp:extent cx="1123950" cy="6350"/>
            <wp:effectExtent l="0" t="0" r="0" b="0"/>
            <wp:wrapNone/>
            <wp:docPr id="20" name="IM 206"/>
            <wp:cNvGraphicFramePr/>
            <a:graphic xmlns:a="http://schemas.openxmlformats.org/drawingml/2006/main">
              <a:graphicData uri="http://schemas.openxmlformats.org/drawingml/2006/picture">
                <pic:pic xmlns:pic="http://schemas.openxmlformats.org/drawingml/2006/picture">
                  <pic:nvPicPr>
                    <pic:cNvPr id="20" name="IM 206"/>
                    <pic:cNvPicPr>
                      <a:picLocks noChangeArrowheads="1"/>
                    </pic:cNvPicPr>
                  </pic:nvPicPr>
                  <pic:blipFill>
                    <a:blip r:embed="rId100" cstate="print"/>
                    <a:srcRect/>
                    <a:stretch>
                      <a:fillRect/>
                    </a:stretch>
                  </pic:blipFill>
                  <pic:spPr>
                    <a:xfrm>
                      <a:off x="0" y="0"/>
                      <a:ext cx="1123950" cy="6350"/>
                    </a:xfrm>
                    <a:prstGeom prst="rect">
                      <a:avLst/>
                    </a:prstGeom>
                    <a:noFill/>
                    <a:ln w="9525">
                      <a:noFill/>
                      <a:miter lim="800000"/>
                      <a:headEnd/>
                      <a:tailEnd/>
                    </a:ln>
                  </pic:spPr>
                </pic:pic>
              </a:graphicData>
            </a:graphic>
          </wp:anchor>
        </w:drawing>
      </w:r>
      <w:r>
        <w:rPr>
          <w:rFonts w:ascii="仿宋_GB2312" w:eastAsia="仿宋_GB2312" w:hint="eastAsia"/>
          <w:sz w:val="20"/>
          <w:lang w:eastAsia="en-US"/>
        </w:rPr>
        <w:tab/>
      </w:r>
      <w:r>
        <w:rPr>
          <w:rFonts w:ascii="仿宋_GB2312" w:eastAsia="仿宋_GB2312" w:hint="eastAsia"/>
          <w:sz w:val="20"/>
        </w:rPr>
        <w:t>：</w:t>
      </w:r>
    </w:p>
    <w:p w:rsidR="00800760" w:rsidRDefault="00235733">
      <w:pPr>
        <w:spacing w:before="74" w:line="360" w:lineRule="auto"/>
        <w:ind w:left="50" w:right="9" w:firstLineChars="0" w:firstLine="389"/>
        <w:rPr>
          <w:rFonts w:ascii="仿宋_GB2312" w:eastAsia="仿宋_GB2312" w:hAnsi="仿宋" w:cs="仿宋"/>
          <w:sz w:val="20"/>
        </w:rPr>
      </w:pPr>
      <w:r>
        <w:rPr>
          <w:rFonts w:ascii="仿宋_GB2312" w:eastAsia="仿宋_GB2312" w:hAnsi="仿宋" w:cs="仿宋" w:hint="eastAsia"/>
          <w:spacing w:val="-2"/>
          <w:sz w:val="20"/>
        </w:rPr>
        <w:t>你(单位)于</w:t>
      </w:r>
      <w:r>
        <w:rPr>
          <w:rFonts w:ascii="仿宋_GB2312" w:eastAsia="仿宋_GB2312" w:hAnsi="仿宋" w:cs="仿宋" w:hint="eastAsia"/>
          <w:spacing w:val="-95"/>
          <w:sz w:val="20"/>
        </w:rPr>
        <w:t xml:space="preserve"> </w:t>
      </w:r>
      <w:r>
        <w:rPr>
          <w:rFonts w:ascii="仿宋_GB2312" w:eastAsia="仿宋_GB2312" w:hAnsi="仿宋" w:cs="仿宋" w:hint="eastAsia"/>
          <w:spacing w:val="4"/>
          <w:sz w:val="20"/>
          <w:u w:val="single"/>
        </w:rPr>
        <w:t xml:space="preserve">       </w:t>
      </w:r>
      <w:r>
        <w:rPr>
          <w:rFonts w:ascii="仿宋_GB2312" w:eastAsia="仿宋_GB2312" w:hAnsi="仿宋" w:cs="仿宋" w:hint="eastAsia"/>
          <w:spacing w:val="-109"/>
          <w:sz w:val="20"/>
        </w:rPr>
        <w:t xml:space="preserve"> </w:t>
      </w:r>
      <w:r>
        <w:rPr>
          <w:rFonts w:ascii="仿宋_GB2312" w:eastAsia="仿宋_GB2312" w:hAnsi="仿宋" w:cs="仿宋" w:hint="eastAsia"/>
          <w:spacing w:val="-2"/>
          <w:sz w:val="20"/>
        </w:rPr>
        <w:t>年</w:t>
      </w:r>
      <w:r>
        <w:rPr>
          <w:rFonts w:ascii="仿宋_GB2312" w:eastAsia="仿宋_GB2312" w:hAnsi="仿宋" w:cs="仿宋" w:hint="eastAsia"/>
          <w:spacing w:val="-2"/>
          <w:sz w:val="20"/>
          <w:u w:val="single"/>
        </w:rPr>
        <w:t xml:space="preserve">    </w:t>
      </w:r>
      <w:r>
        <w:rPr>
          <w:rFonts w:ascii="仿宋_GB2312" w:eastAsia="仿宋_GB2312" w:hAnsi="仿宋" w:cs="仿宋" w:hint="eastAsia"/>
          <w:spacing w:val="-2"/>
          <w:sz w:val="20"/>
        </w:rPr>
        <w:t>月</w:t>
      </w:r>
      <w:r>
        <w:rPr>
          <w:rFonts w:ascii="仿宋_GB2312" w:eastAsia="仿宋_GB2312" w:hAnsi="仿宋" w:cs="仿宋" w:hint="eastAsia"/>
          <w:spacing w:val="23"/>
          <w:sz w:val="20"/>
          <w:u w:val="single"/>
        </w:rPr>
        <w:t xml:space="preserve">   </w:t>
      </w:r>
      <w:r>
        <w:rPr>
          <w:rFonts w:ascii="仿宋_GB2312" w:eastAsia="仿宋_GB2312" w:hAnsi="仿宋" w:cs="仿宋" w:hint="eastAsia"/>
          <w:spacing w:val="-103"/>
          <w:sz w:val="20"/>
        </w:rPr>
        <w:t xml:space="preserve"> </w:t>
      </w:r>
      <w:r>
        <w:rPr>
          <w:rFonts w:ascii="仿宋_GB2312" w:eastAsia="仿宋_GB2312" w:hAnsi="仿宋" w:cs="仿宋" w:hint="eastAsia"/>
          <w:spacing w:val="-2"/>
          <w:sz w:val="20"/>
        </w:rPr>
        <w:t>日向本局提出的申请承办人员</w:t>
      </w:r>
      <w:r>
        <w:rPr>
          <w:rFonts w:ascii="仿宋_GB2312" w:eastAsia="仿宋_GB2312" w:hAnsi="仿宋" w:cs="仿宋" w:hint="eastAsia"/>
          <w:spacing w:val="-2"/>
          <w:sz w:val="20"/>
          <w:u w:val="single"/>
        </w:rPr>
        <w:t xml:space="preserve">           </w:t>
      </w:r>
      <w:r>
        <w:rPr>
          <w:rFonts w:ascii="仿宋_GB2312" w:eastAsia="仿宋_GB2312" w:hAnsi="仿宋" w:cs="仿宋" w:hint="eastAsia"/>
          <w:sz w:val="20"/>
        </w:rPr>
        <w:t xml:space="preserve"> </w:t>
      </w:r>
      <w:r>
        <w:rPr>
          <w:rFonts w:ascii="仿宋_GB2312" w:eastAsia="仿宋_GB2312" w:hAnsi="仿宋" w:cs="仿宋" w:hint="eastAsia"/>
          <w:spacing w:val="-13"/>
          <w:sz w:val="20"/>
        </w:rPr>
        <w:t>回避的请求，经调查核实，本局认为：</w:t>
      </w:r>
    </w:p>
    <w:p w:rsidR="00800760" w:rsidRDefault="00235733">
      <w:pPr>
        <w:spacing w:before="41" w:line="360" w:lineRule="auto"/>
        <w:ind w:left="29" w:right="9" w:firstLineChars="0" w:firstLine="410"/>
        <w:rPr>
          <w:rFonts w:ascii="仿宋_GB2312" w:eastAsia="仿宋_GB2312" w:hAnsi="仿宋" w:cs="仿宋"/>
          <w:sz w:val="20"/>
        </w:rPr>
      </w:pPr>
      <w:r>
        <w:rPr>
          <w:rFonts w:ascii="仿宋_GB2312" w:eastAsia="仿宋_GB2312" w:hAnsi="仿宋" w:cs="仿宋" w:hint="eastAsia"/>
          <w:spacing w:val="5"/>
          <w:sz w:val="20"/>
        </w:rPr>
        <w:t>□申请回避理由成立，批准你(单位)的回避请求申请，并</w:t>
      </w:r>
      <w:r>
        <w:rPr>
          <w:rFonts w:ascii="仿宋_GB2312" w:eastAsia="仿宋_GB2312" w:hAnsi="仿宋" w:cs="仿宋" w:hint="eastAsia"/>
          <w:spacing w:val="4"/>
          <w:sz w:val="20"/>
        </w:rPr>
        <w:t>决定由</w:t>
      </w:r>
      <w:r>
        <w:rPr>
          <w:rFonts w:ascii="仿宋_GB2312" w:eastAsia="仿宋_GB2312" w:hAnsi="仿宋" w:cs="仿宋" w:hint="eastAsia"/>
          <w:spacing w:val="2"/>
          <w:sz w:val="20"/>
          <w:u w:val="single"/>
        </w:rPr>
        <w:t xml:space="preserve">           </w:t>
      </w:r>
      <w:r>
        <w:rPr>
          <w:rFonts w:ascii="仿宋_GB2312" w:eastAsia="仿宋_GB2312" w:hAnsi="仿宋" w:cs="仿宋" w:hint="eastAsia"/>
          <w:spacing w:val="4"/>
          <w:sz w:val="20"/>
        </w:rPr>
        <w:t xml:space="preserve"> </w:t>
      </w:r>
      <w:r>
        <w:rPr>
          <w:rFonts w:ascii="仿宋_GB2312" w:eastAsia="仿宋_GB2312" w:hAnsi="仿宋" w:cs="仿宋" w:hint="eastAsia"/>
          <w:spacing w:val="-12"/>
          <w:sz w:val="20"/>
        </w:rPr>
        <w:t>担任本案的承办人员。</w:t>
      </w:r>
    </w:p>
    <w:p w:rsidR="00800760" w:rsidRDefault="00235733">
      <w:pPr>
        <w:spacing w:before="83" w:line="360" w:lineRule="auto"/>
        <w:ind w:left="440" w:firstLineChars="0" w:firstLine="0"/>
        <w:rPr>
          <w:rFonts w:ascii="仿宋_GB2312" w:eastAsia="仿宋_GB2312" w:hAnsi="仿宋" w:cs="仿宋"/>
          <w:sz w:val="20"/>
        </w:rPr>
      </w:pPr>
      <w:r>
        <w:rPr>
          <w:rFonts w:ascii="仿宋_GB2312" w:eastAsia="仿宋_GB2312" w:hAnsi="仿宋" w:cs="仿宋" w:hint="eastAsia"/>
          <w:spacing w:val="-1"/>
          <w:sz w:val="20"/>
        </w:rPr>
        <w:t>□申请回避理由不成立，不批准你(单位)的回避请求申请。</w:t>
      </w: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235733">
      <w:pPr>
        <w:tabs>
          <w:tab w:val="left" w:pos="5945"/>
        </w:tabs>
        <w:spacing w:before="72" w:line="360" w:lineRule="auto"/>
        <w:ind w:left="5329" w:firstLineChars="0" w:firstLine="0"/>
        <w:rPr>
          <w:rFonts w:ascii="仿宋_GB2312" w:eastAsia="仿宋_GB2312" w:hAnsi="仿宋" w:cs="仿宋"/>
          <w:sz w:val="20"/>
        </w:rPr>
      </w:pPr>
      <w:r>
        <w:rPr>
          <w:rFonts w:ascii="仿宋_GB2312" w:eastAsia="仿宋_GB2312" w:hAnsi="仿宋" w:cs="仿宋" w:hint="eastAsia"/>
          <w:sz w:val="20"/>
          <w:u w:val="single"/>
        </w:rPr>
        <w:tab/>
      </w:r>
      <w:r>
        <w:rPr>
          <w:rFonts w:ascii="仿宋_GB2312" w:eastAsia="仿宋_GB2312" w:hAnsi="仿宋" w:cs="仿宋" w:hint="eastAsia"/>
          <w:spacing w:val="4"/>
          <w:sz w:val="20"/>
        </w:rPr>
        <w:t>知识产权局(盖章)</w:t>
      </w:r>
    </w:p>
    <w:p w:rsidR="00800760" w:rsidRDefault="00235733">
      <w:pPr>
        <w:tabs>
          <w:tab w:val="left" w:pos="6549"/>
        </w:tabs>
        <w:spacing w:before="95" w:line="360" w:lineRule="auto"/>
        <w:ind w:left="5680" w:firstLineChars="0" w:firstLine="0"/>
        <w:rPr>
          <w:rFonts w:ascii="仿宋_GB2312" w:eastAsia="仿宋_GB2312" w:hAnsi="仿宋" w:cs="仿宋"/>
          <w:sz w:val="20"/>
        </w:rPr>
      </w:pPr>
      <w:r>
        <w:rPr>
          <w:rFonts w:ascii="仿宋_GB2312" w:eastAsia="仿宋_GB2312" w:hAnsi="仿宋" w:cs="仿宋" w:hint="eastAsia"/>
          <w:color w:val="100711"/>
          <w:sz w:val="20"/>
          <w:u w:val="single"/>
        </w:rPr>
        <w:tab/>
      </w:r>
      <w:r>
        <w:rPr>
          <w:rFonts w:ascii="仿宋_GB2312" w:eastAsia="仿宋_GB2312" w:hAnsi="仿宋" w:cs="仿宋" w:hint="eastAsia"/>
          <w:color w:val="100711"/>
          <w:spacing w:val="-35"/>
          <w:sz w:val="20"/>
        </w:rPr>
        <w:t>年</w:t>
      </w:r>
      <w:r>
        <w:rPr>
          <w:rFonts w:ascii="仿宋_GB2312" w:eastAsia="仿宋_GB2312" w:hAnsi="仿宋" w:cs="仿宋" w:hint="eastAsia"/>
          <w:color w:val="100711"/>
          <w:spacing w:val="-101"/>
          <w:sz w:val="20"/>
        </w:rPr>
        <w:t xml:space="preserve"> </w:t>
      </w:r>
      <w:r>
        <w:rPr>
          <w:rFonts w:ascii="仿宋_GB2312" w:eastAsia="仿宋_GB2312" w:hAnsi="仿宋" w:cs="仿宋" w:hint="eastAsia"/>
          <w:color w:val="100711"/>
          <w:spacing w:val="5"/>
          <w:sz w:val="20"/>
          <w:u w:val="single" w:color="000000"/>
        </w:rPr>
        <w:t xml:space="preserve">    </w:t>
      </w:r>
      <w:r>
        <w:rPr>
          <w:rFonts w:ascii="仿宋_GB2312" w:eastAsia="仿宋_GB2312" w:hAnsi="仿宋" w:cs="仿宋" w:hint="eastAsia"/>
          <w:color w:val="100711"/>
          <w:spacing w:val="-110"/>
          <w:sz w:val="20"/>
        </w:rPr>
        <w:t xml:space="preserve"> </w:t>
      </w:r>
      <w:r>
        <w:rPr>
          <w:rFonts w:ascii="仿宋_GB2312" w:eastAsia="仿宋_GB2312" w:hAnsi="仿宋" w:cs="仿宋" w:hint="eastAsia"/>
          <w:color w:val="100711"/>
          <w:spacing w:val="-35"/>
          <w:sz w:val="20"/>
        </w:rPr>
        <w:t>月</w:t>
      </w:r>
      <w:r>
        <w:rPr>
          <w:rFonts w:ascii="仿宋_GB2312" w:eastAsia="仿宋_GB2312" w:hAnsi="仿宋" w:cs="仿宋" w:hint="eastAsia"/>
          <w:color w:val="100711"/>
          <w:spacing w:val="-35"/>
          <w:sz w:val="20"/>
          <w:u w:val="single" w:color="000000"/>
        </w:rPr>
        <w:t xml:space="preserve">    </w:t>
      </w:r>
      <w:r>
        <w:rPr>
          <w:rFonts w:ascii="仿宋_GB2312" w:eastAsia="仿宋_GB2312" w:hAnsi="仿宋" w:cs="仿宋" w:hint="eastAsia"/>
          <w:color w:val="100711"/>
          <w:spacing w:val="-35"/>
          <w:sz w:val="20"/>
          <w:u w:val="single" w:color="000000"/>
          <w:lang w:val="en-US"/>
        </w:rPr>
        <w:t xml:space="preserve">           </w:t>
      </w:r>
      <w:r>
        <w:rPr>
          <w:rFonts w:ascii="仿宋_GB2312" w:eastAsia="仿宋_GB2312" w:hAnsi="仿宋" w:cs="仿宋" w:hint="eastAsia"/>
          <w:color w:val="100711"/>
          <w:spacing w:val="-35"/>
          <w:sz w:val="20"/>
          <w:u w:val="single" w:color="000000"/>
        </w:rPr>
        <w:t xml:space="preserve"> </w:t>
      </w:r>
      <w:r>
        <w:rPr>
          <w:rFonts w:ascii="仿宋_GB2312" w:eastAsia="仿宋_GB2312" w:hAnsi="仿宋" w:cs="仿宋" w:hint="eastAsia"/>
          <w:color w:val="100711"/>
          <w:spacing w:val="-90"/>
          <w:sz w:val="20"/>
        </w:rPr>
        <w:t xml:space="preserve"> </w:t>
      </w:r>
      <w:r>
        <w:rPr>
          <w:rFonts w:ascii="仿宋_GB2312" w:eastAsia="仿宋_GB2312" w:hAnsi="仿宋" w:cs="仿宋" w:hint="eastAsia"/>
          <w:color w:val="100711"/>
          <w:spacing w:val="-35"/>
          <w:sz w:val="20"/>
        </w:rPr>
        <w:t>日</w:t>
      </w: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235733" w:rsidP="00235733">
      <w:pPr>
        <w:spacing w:before="69" w:line="360" w:lineRule="auto"/>
        <w:ind w:firstLine="356"/>
        <w:rPr>
          <w:rFonts w:ascii="仿宋" w:eastAsia="仿宋" w:hAnsi="仿宋" w:cs="仿宋"/>
          <w:spacing w:val="-1"/>
        </w:rPr>
        <w:sectPr w:rsidR="00800760" w:rsidSect="008175D7">
          <w:footerReference w:type="default" r:id="rId101"/>
          <w:pgSz w:w="10830" w:h="15080"/>
          <w:pgMar w:top="1374" w:right="1290" w:bottom="1314" w:left="1549" w:header="431" w:footer="969" w:gutter="0"/>
          <w:cols w:space="720"/>
          <w:docGrid w:linePitch="286"/>
        </w:sectPr>
      </w:pPr>
      <w:r>
        <w:rPr>
          <w:rFonts w:ascii="仿宋_GB2312" w:eastAsia="仿宋_GB2312" w:hAnsi="仿宋" w:cs="仿宋" w:hint="eastAsia"/>
          <w:spacing w:val="-11"/>
          <w:sz w:val="20"/>
        </w:rPr>
        <w:t>说明：本决定书一式两份，一份送达当事人，一份由知识产权局存档。</w:t>
      </w:r>
    </w:p>
    <w:p w:rsidR="00800760" w:rsidRDefault="00235733">
      <w:pPr>
        <w:spacing w:before="107" w:line="221" w:lineRule="auto"/>
        <w:ind w:left="2484" w:firstLineChars="0" w:firstLine="0"/>
        <w:outlineLvl w:val="3"/>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专利纠纷行政调解书</w:t>
      </w:r>
    </w:p>
    <w:p w:rsidR="00800760" w:rsidRDefault="00800760">
      <w:pPr>
        <w:spacing w:line="480" w:lineRule="auto"/>
        <w:ind w:firstLineChars="0" w:firstLine="0"/>
        <w:jc w:val="right"/>
        <w:rPr>
          <w:rFonts w:ascii="仿宋_GB2312" w:eastAsia="仿宋_GB2312" w:hAnsi="仿宋"/>
          <w:color w:val="000000"/>
          <w:sz w:val="20"/>
        </w:rPr>
      </w:pPr>
    </w:p>
    <w:p w:rsidR="00800760" w:rsidRDefault="00235733">
      <w:pPr>
        <w:spacing w:line="480" w:lineRule="auto"/>
        <w:ind w:firstLineChars="0" w:firstLine="0"/>
        <w:jc w:val="right"/>
        <w:rPr>
          <w:rFonts w:ascii="仿宋_GB2312" w:eastAsia="仿宋_GB2312"/>
          <w:sz w:val="20"/>
        </w:rPr>
      </w:pPr>
      <w:r>
        <w:rPr>
          <w:rFonts w:ascii="仿宋_GB2312" w:eastAsia="仿宋_GB2312" w:hAnsi="仿宋" w:hint="eastAsia"/>
          <w:color w:val="000000"/>
          <w:sz w:val="20"/>
        </w:rPr>
        <w:t xml:space="preserve"> 案号：____________________</w:t>
      </w:r>
    </w:p>
    <w:p w:rsidR="00800760" w:rsidRDefault="00235733">
      <w:pPr>
        <w:spacing w:before="93" w:line="360" w:lineRule="auto"/>
        <w:ind w:left="419" w:firstLineChars="0" w:firstLine="0"/>
        <w:rPr>
          <w:rFonts w:ascii="仿宋_GB2312" w:eastAsia="仿宋_GB2312" w:hAnsi="仿宋" w:cs="仿宋"/>
          <w:sz w:val="20"/>
        </w:rPr>
      </w:pPr>
      <w:r>
        <w:rPr>
          <w:rFonts w:ascii="仿宋_GB2312" w:eastAsia="仿宋_GB2312" w:hAnsi="仿宋" w:cs="仿宋" w:hint="eastAsia"/>
          <w:spacing w:val="-3"/>
          <w:sz w:val="20"/>
        </w:rPr>
        <w:t>请求人：</w:t>
      </w:r>
    </w:p>
    <w:p w:rsidR="00800760" w:rsidRDefault="00235733">
      <w:pPr>
        <w:spacing w:before="102" w:line="360" w:lineRule="auto"/>
        <w:ind w:left="419" w:right="5494" w:firstLineChars="0" w:firstLine="0"/>
        <w:rPr>
          <w:rFonts w:ascii="仿宋_GB2312" w:eastAsia="仿宋_GB2312" w:hAnsi="仿宋" w:cs="仿宋"/>
          <w:sz w:val="20"/>
        </w:rPr>
      </w:pPr>
      <w:r>
        <w:rPr>
          <w:rFonts w:ascii="仿宋_GB2312" w:eastAsia="仿宋_GB2312" w:hAnsi="仿宋" w:cs="仿宋" w:hint="eastAsia"/>
          <w:spacing w:val="13"/>
          <w:sz w:val="20"/>
        </w:rPr>
        <w:t>法定代表人(负责人):</w:t>
      </w:r>
      <w:r>
        <w:rPr>
          <w:rFonts w:ascii="仿宋_GB2312" w:eastAsia="仿宋_GB2312" w:hAnsi="仿宋" w:cs="仿宋" w:hint="eastAsia"/>
          <w:spacing w:val="3"/>
          <w:sz w:val="20"/>
        </w:rPr>
        <w:t xml:space="preserve"> </w:t>
      </w:r>
      <w:r>
        <w:rPr>
          <w:rFonts w:ascii="仿宋_GB2312" w:eastAsia="仿宋_GB2312" w:hAnsi="仿宋" w:cs="仿宋" w:hint="eastAsia"/>
          <w:spacing w:val="-10"/>
          <w:sz w:val="20"/>
        </w:rPr>
        <w:t>住</w:t>
      </w:r>
      <w:r>
        <w:rPr>
          <w:rFonts w:ascii="仿宋_GB2312" w:eastAsia="仿宋_GB2312" w:hAnsi="仿宋" w:cs="仿宋" w:hint="eastAsia"/>
          <w:spacing w:val="33"/>
          <w:sz w:val="20"/>
        </w:rPr>
        <w:t xml:space="preserve">   </w:t>
      </w:r>
      <w:r>
        <w:rPr>
          <w:rFonts w:ascii="仿宋_GB2312" w:eastAsia="仿宋_GB2312" w:hAnsi="仿宋" w:cs="仿宋" w:hint="eastAsia"/>
          <w:spacing w:val="-10"/>
          <w:sz w:val="20"/>
        </w:rPr>
        <w:t>所</w:t>
      </w:r>
      <w:r>
        <w:rPr>
          <w:rFonts w:ascii="仿宋_GB2312" w:eastAsia="仿宋_GB2312" w:hAnsi="仿宋" w:cs="仿宋" w:hint="eastAsia"/>
          <w:spacing w:val="-49"/>
          <w:sz w:val="20"/>
        </w:rPr>
        <w:t xml:space="preserve"> </w:t>
      </w:r>
      <w:r>
        <w:rPr>
          <w:rFonts w:ascii="仿宋_GB2312" w:eastAsia="仿宋_GB2312" w:hAnsi="仿宋" w:cs="仿宋" w:hint="eastAsia"/>
          <w:spacing w:val="-10"/>
          <w:sz w:val="20"/>
        </w:rPr>
        <w:t>：</w:t>
      </w:r>
    </w:p>
    <w:p w:rsidR="00800760" w:rsidRDefault="00235733">
      <w:pPr>
        <w:spacing w:before="27" w:line="360" w:lineRule="auto"/>
        <w:ind w:left="419" w:firstLineChars="0" w:firstLine="0"/>
        <w:rPr>
          <w:rFonts w:ascii="仿宋_GB2312" w:eastAsia="仿宋_GB2312"/>
          <w:sz w:val="20"/>
        </w:rPr>
      </w:pPr>
      <w:r>
        <w:rPr>
          <w:rFonts w:ascii="仿宋_GB2312" w:eastAsia="仿宋_GB2312" w:hAnsi="仿宋" w:cs="仿宋" w:hint="eastAsia"/>
          <w:spacing w:val="-6"/>
          <w:sz w:val="20"/>
        </w:rPr>
        <w:t>委托代理机构及代理人：</w:t>
      </w:r>
    </w:p>
    <w:p w:rsidR="00800760" w:rsidRDefault="00235733">
      <w:pPr>
        <w:spacing w:before="68" w:line="360" w:lineRule="auto"/>
        <w:ind w:left="419" w:firstLineChars="0" w:firstLine="0"/>
        <w:rPr>
          <w:rFonts w:ascii="仿宋_GB2312" w:eastAsia="仿宋_GB2312" w:hAnsi="仿宋" w:cs="仿宋"/>
          <w:sz w:val="20"/>
        </w:rPr>
      </w:pPr>
      <w:r>
        <w:rPr>
          <w:rFonts w:ascii="仿宋_GB2312" w:eastAsia="仿宋_GB2312" w:hAnsi="仿宋" w:cs="仿宋" w:hint="eastAsia"/>
          <w:spacing w:val="-5"/>
          <w:sz w:val="20"/>
        </w:rPr>
        <w:t>被请求人：</w:t>
      </w:r>
    </w:p>
    <w:p w:rsidR="00800760" w:rsidRDefault="00235733">
      <w:pPr>
        <w:spacing w:before="93" w:line="360" w:lineRule="auto"/>
        <w:ind w:left="419" w:right="5494" w:firstLineChars="0" w:firstLine="0"/>
        <w:rPr>
          <w:rFonts w:ascii="仿宋_GB2312" w:eastAsia="仿宋_GB2312" w:hAnsi="仿宋" w:cs="仿宋"/>
          <w:sz w:val="20"/>
        </w:rPr>
      </w:pPr>
      <w:r>
        <w:rPr>
          <w:rFonts w:ascii="仿宋_GB2312" w:eastAsia="仿宋_GB2312" w:hAnsi="仿宋" w:cs="仿宋" w:hint="eastAsia"/>
          <w:spacing w:val="13"/>
          <w:sz w:val="20"/>
        </w:rPr>
        <w:t>法定代表人(负责人):</w:t>
      </w:r>
      <w:r>
        <w:rPr>
          <w:rFonts w:ascii="仿宋_GB2312" w:eastAsia="仿宋_GB2312" w:hAnsi="仿宋" w:cs="仿宋" w:hint="eastAsia"/>
          <w:spacing w:val="3"/>
          <w:sz w:val="20"/>
        </w:rPr>
        <w:t xml:space="preserve"> </w:t>
      </w:r>
      <w:r>
        <w:rPr>
          <w:rFonts w:ascii="仿宋_GB2312" w:eastAsia="仿宋_GB2312" w:hAnsi="仿宋" w:cs="仿宋" w:hint="eastAsia"/>
          <w:spacing w:val="-10"/>
          <w:sz w:val="20"/>
        </w:rPr>
        <w:t>住</w:t>
      </w:r>
      <w:r>
        <w:rPr>
          <w:rFonts w:ascii="仿宋_GB2312" w:eastAsia="仿宋_GB2312" w:hAnsi="仿宋" w:cs="仿宋" w:hint="eastAsia"/>
          <w:spacing w:val="26"/>
          <w:sz w:val="20"/>
        </w:rPr>
        <w:t xml:space="preserve">   </w:t>
      </w:r>
      <w:r>
        <w:rPr>
          <w:rFonts w:ascii="仿宋_GB2312" w:eastAsia="仿宋_GB2312" w:hAnsi="仿宋" w:cs="仿宋" w:hint="eastAsia"/>
          <w:spacing w:val="-10"/>
          <w:sz w:val="20"/>
        </w:rPr>
        <w:t>所</w:t>
      </w:r>
      <w:r>
        <w:rPr>
          <w:rFonts w:ascii="仿宋_GB2312" w:eastAsia="仿宋_GB2312" w:hAnsi="仿宋" w:cs="仿宋" w:hint="eastAsia"/>
          <w:spacing w:val="-28"/>
          <w:sz w:val="20"/>
        </w:rPr>
        <w:t xml:space="preserve"> </w:t>
      </w:r>
      <w:r>
        <w:rPr>
          <w:rFonts w:ascii="仿宋_GB2312" w:eastAsia="仿宋_GB2312" w:hAnsi="仿宋" w:cs="仿宋" w:hint="eastAsia"/>
          <w:spacing w:val="-10"/>
          <w:sz w:val="20"/>
        </w:rPr>
        <w:t>：</w:t>
      </w:r>
    </w:p>
    <w:p w:rsidR="00800760" w:rsidRDefault="00235733">
      <w:pPr>
        <w:spacing w:before="38" w:line="360" w:lineRule="auto"/>
        <w:ind w:left="419" w:firstLineChars="0" w:firstLine="0"/>
        <w:rPr>
          <w:rFonts w:ascii="仿宋_GB2312" w:eastAsia="仿宋_GB2312" w:hAnsi="仿宋" w:cs="仿宋"/>
          <w:sz w:val="20"/>
        </w:rPr>
      </w:pPr>
      <w:r>
        <w:rPr>
          <w:rFonts w:ascii="仿宋_GB2312" w:eastAsia="仿宋_GB2312" w:hAnsi="仿宋" w:cs="仿宋" w:hint="eastAsia"/>
          <w:spacing w:val="-6"/>
          <w:sz w:val="20"/>
        </w:rPr>
        <w:t>委托代理机构及代理人：</w:t>
      </w:r>
    </w:p>
    <w:p w:rsidR="00800760" w:rsidRDefault="00235733">
      <w:pPr>
        <w:spacing w:before="115" w:line="360" w:lineRule="auto"/>
        <w:ind w:left="419" w:firstLineChars="0" w:firstLine="0"/>
        <w:rPr>
          <w:rFonts w:ascii="仿宋_GB2312" w:eastAsia="仿宋_GB2312" w:hAnsi="仿宋" w:cs="仿宋"/>
          <w:sz w:val="20"/>
        </w:rPr>
      </w:pPr>
      <w:r>
        <w:rPr>
          <w:rFonts w:ascii="仿宋_GB2312" w:eastAsia="仿宋_GB2312" w:hAnsi="仿宋" w:cs="仿宋" w:hint="eastAsia"/>
          <w:spacing w:val="-6"/>
          <w:sz w:val="20"/>
        </w:rPr>
        <w:t>案由：“</w:t>
      </w:r>
      <w:r>
        <w:rPr>
          <w:rFonts w:ascii="仿宋_GB2312" w:eastAsia="仿宋_GB2312" w:hAnsi="仿宋" w:cs="仿宋" w:hint="eastAsia"/>
          <w:spacing w:val="6"/>
          <w:sz w:val="20"/>
          <w:u w:val="single"/>
        </w:rPr>
        <w:t xml:space="preserve">               </w:t>
      </w:r>
      <w:r>
        <w:rPr>
          <w:rFonts w:ascii="仿宋_GB2312" w:eastAsia="仿宋_GB2312" w:hAnsi="仿宋" w:cs="仿宋" w:hint="eastAsia"/>
          <w:spacing w:val="-90"/>
          <w:sz w:val="20"/>
        </w:rPr>
        <w:t xml:space="preserve"> </w:t>
      </w:r>
      <w:r>
        <w:rPr>
          <w:rFonts w:ascii="仿宋_GB2312" w:eastAsia="仿宋_GB2312" w:hAnsi="仿宋" w:cs="仿宋" w:hint="eastAsia"/>
          <w:spacing w:val="-6"/>
          <w:sz w:val="20"/>
        </w:rPr>
        <w:t>”(</w:t>
      </w:r>
      <w:r>
        <w:rPr>
          <w:rFonts w:ascii="仿宋_GB2312" w:eastAsia="仿宋_GB2312" w:hAnsi="仿宋" w:cs="仿宋" w:hint="eastAsia"/>
          <w:spacing w:val="-22"/>
          <w:sz w:val="20"/>
        </w:rPr>
        <w:t xml:space="preserve"> </w:t>
      </w:r>
      <w:r>
        <w:rPr>
          <w:rFonts w:ascii="仿宋_GB2312" w:eastAsia="仿宋_GB2312" w:hAnsi="仿宋" w:cs="仿宋" w:hint="eastAsia"/>
          <w:spacing w:val="-6"/>
          <w:sz w:val="20"/>
        </w:rPr>
        <w:t>专利号 ：</w:t>
      </w:r>
      <w:r>
        <w:rPr>
          <w:rFonts w:ascii="仿宋_GB2312" w:eastAsia="仿宋_GB2312" w:hAnsi="仿宋" w:cs="仿宋" w:hint="eastAsia"/>
          <w:spacing w:val="-6"/>
          <w:sz w:val="20"/>
          <w:u w:val="single"/>
        </w:rPr>
        <w:t xml:space="preserve">            </w:t>
      </w:r>
      <w:r>
        <w:rPr>
          <w:rFonts w:ascii="仿宋_GB2312" w:eastAsia="仿宋_GB2312" w:hAnsi="仿宋" w:cs="仿宋" w:hint="eastAsia"/>
          <w:spacing w:val="-7"/>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7"/>
          <w:sz w:val="20"/>
        </w:rPr>
        <w:t>)专利纠纷</w:t>
      </w:r>
    </w:p>
    <w:p w:rsidR="00800760" w:rsidRDefault="00235733">
      <w:pPr>
        <w:tabs>
          <w:tab w:val="left" w:pos="1690"/>
        </w:tabs>
        <w:spacing w:before="117" w:line="360" w:lineRule="auto"/>
        <w:ind w:left="9" w:firstLineChars="0" w:firstLine="410"/>
        <w:rPr>
          <w:rFonts w:ascii="仿宋_GB2312" w:eastAsia="仿宋_GB2312" w:hAnsi="仿宋" w:cs="仿宋"/>
          <w:sz w:val="20"/>
        </w:rPr>
      </w:pPr>
      <w:r>
        <w:rPr>
          <w:rFonts w:ascii="仿宋_GB2312" w:eastAsia="仿宋_GB2312" w:hAnsi="仿宋" w:cs="仿宋" w:hint="eastAsia"/>
          <w:spacing w:val="-14"/>
          <w:sz w:val="20"/>
        </w:rPr>
        <w:t>请求人</w:t>
      </w:r>
      <w:r>
        <w:rPr>
          <w:rFonts w:ascii="仿宋_GB2312" w:eastAsia="仿宋_GB2312" w:hAnsi="仿宋" w:cs="仿宋" w:hint="eastAsia"/>
          <w:spacing w:val="-48"/>
          <w:sz w:val="20"/>
        </w:rPr>
        <w:t xml:space="preserve"> </w:t>
      </w:r>
      <w:r>
        <w:rPr>
          <w:rFonts w:ascii="仿宋_GB2312" w:eastAsia="仿宋_GB2312" w:hAnsi="仿宋" w:cs="仿宋" w:hint="eastAsia"/>
          <w:sz w:val="20"/>
          <w:u w:val="single"/>
        </w:rPr>
        <w:t xml:space="preserve">                 </w:t>
      </w:r>
      <w:r>
        <w:rPr>
          <w:rFonts w:ascii="仿宋_GB2312" w:eastAsia="仿宋_GB2312" w:hAnsi="仿宋" w:cs="仿宋" w:hint="eastAsia"/>
          <w:spacing w:val="-14"/>
          <w:sz w:val="20"/>
        </w:rPr>
        <w:t xml:space="preserve"> 就其“</w:t>
      </w:r>
      <w:r>
        <w:rPr>
          <w:rFonts w:ascii="仿宋_GB2312" w:eastAsia="仿宋_GB2312" w:hAnsi="仿宋" w:cs="仿宋" w:hint="eastAsia"/>
          <w:spacing w:val="-53"/>
          <w:sz w:val="20"/>
        </w:rPr>
        <w:t xml:space="preserve"> </w:t>
      </w:r>
      <w:r>
        <w:rPr>
          <w:rFonts w:ascii="仿宋_GB2312" w:eastAsia="仿宋_GB2312" w:hAnsi="仿宋" w:cs="仿宋" w:hint="eastAsia"/>
          <w:spacing w:val="6"/>
          <w:sz w:val="20"/>
          <w:u w:val="single"/>
        </w:rPr>
        <w:t xml:space="preserve">               </w:t>
      </w:r>
      <w:r>
        <w:rPr>
          <w:rFonts w:ascii="仿宋_GB2312" w:eastAsia="仿宋_GB2312" w:hAnsi="仿宋" w:cs="仿宋" w:hint="eastAsia"/>
          <w:spacing w:val="-99"/>
          <w:sz w:val="20"/>
        </w:rPr>
        <w:t xml:space="preserve"> </w:t>
      </w:r>
      <w:r>
        <w:rPr>
          <w:rFonts w:ascii="仿宋_GB2312" w:eastAsia="仿宋_GB2312" w:hAnsi="仿宋" w:cs="仿宋" w:hint="eastAsia"/>
          <w:spacing w:val="-14"/>
          <w:sz w:val="20"/>
        </w:rPr>
        <w:t>”专利(专利号：</w:t>
      </w:r>
      <w:r>
        <w:rPr>
          <w:rFonts w:ascii="仿宋_GB2312" w:eastAsia="仿宋_GB2312" w:hAnsi="仿宋" w:cs="仿宋" w:hint="eastAsia"/>
          <w:sz w:val="20"/>
        </w:rPr>
        <w:t xml:space="preserve"> </w:t>
      </w:r>
      <w:r>
        <w:rPr>
          <w:rFonts w:ascii="仿宋_GB2312" w:eastAsia="仿宋_GB2312" w:hAnsi="仿宋" w:cs="仿宋" w:hint="eastAsia"/>
          <w:sz w:val="20"/>
          <w:u w:val="single"/>
        </w:rPr>
        <w:tab/>
      </w:r>
      <w:r>
        <w:rPr>
          <w:rFonts w:ascii="仿宋_GB2312" w:eastAsia="仿宋_GB2312" w:hAnsi="仿宋" w:cs="仿宋" w:hint="eastAsia"/>
          <w:spacing w:val="-83"/>
          <w:sz w:val="20"/>
        </w:rPr>
        <w:t xml:space="preserve"> </w:t>
      </w:r>
      <w:r>
        <w:rPr>
          <w:rFonts w:ascii="仿宋_GB2312" w:eastAsia="仿宋_GB2312" w:hAnsi="仿宋" w:cs="仿宋" w:hint="eastAsia"/>
          <w:spacing w:val="19"/>
          <w:sz w:val="20"/>
        </w:rPr>
        <w:t>)与被请求人</w:t>
      </w:r>
      <w:r>
        <w:rPr>
          <w:rFonts w:ascii="仿宋_GB2312" w:eastAsia="仿宋_GB2312" w:hAnsi="仿宋" w:cs="仿宋" w:hint="eastAsia"/>
          <w:spacing w:val="-98"/>
          <w:sz w:val="20"/>
        </w:rPr>
        <w:t xml:space="preserve"> </w:t>
      </w:r>
      <w:r>
        <w:rPr>
          <w:rFonts w:ascii="仿宋_GB2312" w:eastAsia="仿宋_GB2312" w:hAnsi="仿宋" w:cs="仿宋" w:hint="eastAsia"/>
          <w:spacing w:val="7"/>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19"/>
          <w:sz w:val="20"/>
        </w:rPr>
        <w:t>的专利</w:t>
      </w:r>
      <w:r>
        <w:rPr>
          <w:rFonts w:ascii="仿宋_GB2312" w:eastAsia="仿宋_GB2312" w:hAnsi="仿宋" w:cs="仿宋" w:hint="eastAsia"/>
          <w:spacing w:val="19"/>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19"/>
          <w:sz w:val="20"/>
        </w:rPr>
        <w:t>纠纷，</w:t>
      </w:r>
      <w:r>
        <w:rPr>
          <w:rFonts w:ascii="仿宋_GB2312" w:eastAsia="仿宋_GB2312" w:hAnsi="仿宋" w:cs="仿宋" w:hint="eastAsia"/>
          <w:spacing w:val="3"/>
          <w:sz w:val="20"/>
        </w:rPr>
        <w:t>本局提出行政调解请求。本局于</w:t>
      </w:r>
      <w:r>
        <w:rPr>
          <w:rFonts w:ascii="仿宋_GB2312" w:eastAsia="仿宋_GB2312" w:hAnsi="仿宋" w:cs="仿宋" w:hint="eastAsia"/>
          <w:spacing w:val="-89"/>
          <w:sz w:val="20"/>
        </w:rPr>
        <w:t xml:space="preserve"> </w:t>
      </w:r>
      <w:r>
        <w:rPr>
          <w:rFonts w:ascii="仿宋_GB2312" w:eastAsia="仿宋_GB2312" w:hAnsi="仿宋" w:cs="仿宋" w:hint="eastAsia"/>
          <w:spacing w:val="15"/>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3"/>
          <w:sz w:val="20"/>
        </w:rPr>
        <w:t>年</w:t>
      </w:r>
      <w:r>
        <w:rPr>
          <w:rFonts w:ascii="仿宋_GB2312" w:eastAsia="仿宋_GB2312" w:hAnsi="仿宋" w:cs="仿宋" w:hint="eastAsia"/>
          <w:spacing w:val="-87"/>
          <w:sz w:val="20"/>
        </w:rPr>
        <w:t xml:space="preserve"> </w:t>
      </w:r>
      <w:r>
        <w:rPr>
          <w:rFonts w:ascii="仿宋_GB2312" w:eastAsia="仿宋_GB2312" w:hAnsi="仿宋" w:cs="仿宋" w:hint="eastAsia"/>
          <w:spacing w:val="12"/>
          <w:sz w:val="20"/>
          <w:u w:val="single"/>
        </w:rPr>
        <w:t xml:space="preserve">    </w:t>
      </w:r>
      <w:r>
        <w:rPr>
          <w:rFonts w:ascii="仿宋_GB2312" w:eastAsia="仿宋_GB2312" w:hAnsi="仿宋" w:cs="仿宋" w:hint="eastAsia"/>
          <w:spacing w:val="-83"/>
          <w:sz w:val="20"/>
        </w:rPr>
        <w:t xml:space="preserve"> </w:t>
      </w:r>
      <w:r>
        <w:rPr>
          <w:rFonts w:ascii="仿宋_GB2312" w:eastAsia="仿宋_GB2312" w:hAnsi="仿宋" w:cs="仿宋" w:hint="eastAsia"/>
          <w:spacing w:val="3"/>
          <w:sz w:val="20"/>
        </w:rPr>
        <w:t>月</w:t>
      </w:r>
      <w:r>
        <w:rPr>
          <w:rFonts w:ascii="仿宋_GB2312" w:eastAsia="仿宋_GB2312" w:hAnsi="仿宋" w:cs="仿宋" w:hint="eastAsia"/>
          <w:spacing w:val="-101"/>
          <w:sz w:val="20"/>
        </w:rPr>
        <w:t xml:space="preserve"> </w:t>
      </w:r>
      <w:r>
        <w:rPr>
          <w:rFonts w:ascii="仿宋_GB2312" w:eastAsia="仿宋_GB2312" w:hAnsi="仿宋" w:cs="仿宋" w:hint="eastAsia"/>
          <w:spacing w:val="10"/>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3"/>
          <w:sz w:val="20"/>
        </w:rPr>
        <w:t>日立案，在本局主持下，请求</w:t>
      </w:r>
      <w:r>
        <w:rPr>
          <w:rFonts w:ascii="仿宋_GB2312" w:eastAsia="仿宋_GB2312" w:hAnsi="仿宋" w:cs="仿宋" w:hint="eastAsia"/>
          <w:spacing w:val="-4"/>
          <w:sz w:val="20"/>
        </w:rPr>
        <w:t>人与被请求人达成调解协议如下：</w:t>
      </w:r>
    </w:p>
    <w:p w:rsidR="00800760" w:rsidRDefault="00235733">
      <w:pPr>
        <w:spacing w:before="95" w:line="360" w:lineRule="auto"/>
        <w:ind w:left="419" w:right="7017" w:firstLineChars="0" w:firstLine="0"/>
        <w:rPr>
          <w:rFonts w:ascii="仿宋_GB2312" w:eastAsia="仿宋_GB2312" w:hAnsi="宋体" w:cs="宋体"/>
          <w:sz w:val="20"/>
        </w:rPr>
      </w:pPr>
      <w:r>
        <w:rPr>
          <w:rFonts w:ascii="仿宋_GB2312" w:eastAsia="仿宋_GB2312" w:hAnsi="宋体" w:cs="宋体" w:hint="eastAsia"/>
          <w:spacing w:val="-6"/>
          <w:sz w:val="20"/>
        </w:rPr>
        <w:t>1.……</w:t>
      </w:r>
      <w:r>
        <w:rPr>
          <w:rFonts w:ascii="仿宋_GB2312" w:eastAsia="仿宋_GB2312" w:hAnsi="宋体" w:cs="宋体" w:hint="eastAsia"/>
          <w:sz w:val="20"/>
        </w:rPr>
        <w:t xml:space="preserve"> </w:t>
      </w:r>
      <w:r>
        <w:rPr>
          <w:rFonts w:ascii="仿宋_GB2312" w:eastAsia="仿宋_GB2312" w:hAnsi="宋体" w:cs="宋体" w:hint="eastAsia"/>
          <w:spacing w:val="-3"/>
          <w:sz w:val="20"/>
        </w:rPr>
        <w:t>2.……</w:t>
      </w:r>
    </w:p>
    <w:p w:rsidR="00800760" w:rsidRDefault="00235733">
      <w:pPr>
        <w:spacing w:before="2" w:line="360" w:lineRule="auto"/>
        <w:ind w:left="9" w:right="140" w:firstLineChars="0" w:firstLine="410"/>
        <w:rPr>
          <w:rFonts w:ascii="仿宋_GB2312" w:eastAsia="仿宋_GB2312" w:hAnsi="仿宋" w:cs="仿宋"/>
          <w:sz w:val="20"/>
        </w:rPr>
      </w:pPr>
      <w:r>
        <w:rPr>
          <w:rFonts w:ascii="仿宋_GB2312" w:eastAsia="仿宋_GB2312" w:hAnsi="仿宋" w:cs="仿宋" w:hint="eastAsia"/>
          <w:spacing w:val="4"/>
          <w:sz w:val="20"/>
        </w:rPr>
        <w:t>本调解书自请求人与被请求人签章之日起生效，共一式</w:t>
      </w:r>
      <w:r>
        <w:rPr>
          <w:rFonts w:ascii="仿宋_GB2312" w:eastAsia="仿宋_GB2312" w:hAnsi="仿宋" w:cs="仿宋" w:hint="eastAsia"/>
          <w:spacing w:val="15"/>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4"/>
          <w:sz w:val="20"/>
        </w:rPr>
        <w:t>份，请求人与被</w:t>
      </w:r>
      <w:r>
        <w:rPr>
          <w:rFonts w:ascii="仿宋_GB2312" w:eastAsia="仿宋_GB2312" w:hAnsi="仿宋" w:cs="仿宋" w:hint="eastAsia"/>
          <w:sz w:val="20"/>
        </w:rPr>
        <w:t xml:space="preserve"> </w:t>
      </w:r>
      <w:r>
        <w:rPr>
          <w:rFonts w:ascii="仿宋_GB2312" w:eastAsia="仿宋_GB2312" w:hAnsi="仿宋" w:cs="仿宋" w:hint="eastAsia"/>
          <w:spacing w:val="-2"/>
          <w:sz w:val="20"/>
        </w:rPr>
        <w:t>请求人各执一份，本局留存一份。</w:t>
      </w:r>
    </w:p>
    <w:p w:rsidR="00800760" w:rsidRDefault="00800760">
      <w:pPr>
        <w:spacing w:line="360" w:lineRule="auto"/>
        <w:rPr>
          <w:rFonts w:ascii="仿宋_GB2312" w:eastAsia="仿宋_GB2312"/>
        </w:rPr>
        <w:sectPr w:rsidR="00800760" w:rsidSect="008175D7">
          <w:footerReference w:type="default" r:id="rId102"/>
          <w:pgSz w:w="10830" w:h="15080"/>
          <w:pgMar w:top="1373" w:right="1493" w:bottom="1314" w:left="1279" w:header="431" w:footer="969" w:gutter="0"/>
          <w:cols w:space="720"/>
          <w:docGrid w:linePitch="286"/>
        </w:sectPr>
      </w:pPr>
    </w:p>
    <w:p w:rsidR="00800760" w:rsidRDefault="00235733">
      <w:pPr>
        <w:tabs>
          <w:tab w:val="left" w:pos="1249"/>
        </w:tabs>
        <w:spacing w:before="69" w:line="360" w:lineRule="auto"/>
        <w:ind w:left="419" w:right="1920" w:firstLineChars="0" w:hanging="410"/>
        <w:rPr>
          <w:rFonts w:ascii="仿宋_GB2312" w:eastAsia="仿宋_GB2312"/>
          <w:sz w:val="20"/>
        </w:rPr>
      </w:pPr>
      <w:r>
        <w:rPr>
          <w:rFonts w:ascii="仿宋_GB2312" w:eastAsia="仿宋_GB2312" w:hAnsi="仿宋" w:cs="仿宋" w:hint="eastAsia"/>
          <w:sz w:val="20"/>
        </w:rPr>
        <w:t>请求人(签章) :</w:t>
      </w:r>
      <w:r>
        <w:rPr>
          <w:rFonts w:ascii="仿宋_GB2312" w:eastAsia="仿宋_GB2312" w:hAnsi="仿宋" w:cs="仿宋" w:hint="eastAsia"/>
          <w:sz w:val="20"/>
          <w:u w:val="single"/>
        </w:rPr>
        <w:t xml:space="preserve">           </w:t>
      </w:r>
      <w:r>
        <w:rPr>
          <w:rFonts w:ascii="仿宋_GB2312" w:eastAsia="仿宋_GB2312" w:hAnsi="仿宋" w:cs="仿宋" w:hint="eastAsia"/>
          <w:spacing w:val="4"/>
          <w:sz w:val="20"/>
        </w:rPr>
        <w:t xml:space="preserve"> </w:t>
      </w:r>
      <w:r>
        <w:rPr>
          <w:rFonts w:ascii="仿宋_GB2312" w:eastAsia="仿宋_GB2312" w:hAnsi="仿宋" w:cs="仿宋" w:hint="eastAsia"/>
          <w:sz w:val="20"/>
          <w:u w:val="single"/>
        </w:rPr>
        <w:tab/>
      </w:r>
      <w:r>
        <w:rPr>
          <w:rFonts w:ascii="仿宋_GB2312" w:eastAsia="仿宋_GB2312" w:hAnsi="仿宋" w:cs="仿宋" w:hint="eastAsia"/>
          <w:sz w:val="20"/>
          <w:u w:val="single"/>
        </w:rPr>
        <w:tab/>
      </w:r>
      <w:r>
        <w:rPr>
          <w:rFonts w:ascii="仿宋_GB2312" w:eastAsia="仿宋_GB2312" w:hAnsi="仿宋" w:cs="仿宋" w:hint="eastAsia"/>
          <w:spacing w:val="-84"/>
          <w:sz w:val="20"/>
        </w:rPr>
        <w:t xml:space="preserve"> </w:t>
      </w:r>
      <w:r>
        <w:rPr>
          <w:rFonts w:ascii="仿宋_GB2312" w:eastAsia="仿宋_GB2312" w:hAnsi="仿宋" w:cs="仿宋" w:hint="eastAsia"/>
          <w:spacing w:val="-23"/>
          <w:sz w:val="20"/>
        </w:rPr>
        <w:t>年</w:t>
      </w:r>
      <w:r>
        <w:rPr>
          <w:rFonts w:ascii="仿宋_GB2312" w:eastAsia="仿宋_GB2312" w:hAnsi="仿宋" w:cs="仿宋" w:hint="eastAsia"/>
          <w:spacing w:val="-87"/>
          <w:sz w:val="20"/>
        </w:rPr>
        <w:t xml:space="preserve"> </w:t>
      </w:r>
      <w:r>
        <w:rPr>
          <w:rFonts w:ascii="仿宋_GB2312" w:eastAsia="仿宋_GB2312" w:hAnsi="仿宋" w:cs="仿宋" w:hint="eastAsia"/>
          <w:spacing w:val="12"/>
          <w:sz w:val="20"/>
          <w:u w:val="single"/>
        </w:rPr>
        <w:t xml:space="preserve">    </w:t>
      </w:r>
      <w:r>
        <w:rPr>
          <w:rFonts w:ascii="仿宋_GB2312" w:eastAsia="仿宋_GB2312" w:hAnsi="仿宋" w:cs="仿宋" w:hint="eastAsia"/>
          <w:spacing w:val="-83"/>
          <w:sz w:val="20"/>
        </w:rPr>
        <w:t xml:space="preserve"> </w:t>
      </w:r>
      <w:r>
        <w:rPr>
          <w:rFonts w:ascii="仿宋_GB2312" w:eastAsia="仿宋_GB2312" w:hAnsi="仿宋" w:cs="仿宋" w:hint="eastAsia"/>
          <w:spacing w:val="-23"/>
          <w:sz w:val="20"/>
        </w:rPr>
        <w:t>月</w:t>
      </w:r>
      <w:r>
        <w:rPr>
          <w:rFonts w:ascii="仿宋_GB2312" w:eastAsia="仿宋_GB2312" w:hAnsi="仿宋" w:cs="仿宋" w:hint="eastAsia"/>
          <w:spacing w:val="-23"/>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23"/>
          <w:sz w:val="20"/>
        </w:rPr>
        <w:t>日</w:t>
      </w:r>
      <w:r>
        <w:rPr>
          <w:rFonts w:ascii="仿宋_GB2312" w:eastAsia="仿宋_GB2312" w:hint="eastAsia"/>
          <w:sz w:val="20"/>
        </w:rPr>
        <w:br w:type="column"/>
      </w:r>
    </w:p>
    <w:p w:rsidR="00800760" w:rsidRDefault="00235733">
      <w:pPr>
        <w:spacing w:before="48" w:line="360" w:lineRule="auto"/>
        <w:ind w:right="63" w:firstLineChars="0" w:firstLine="0"/>
        <w:rPr>
          <w:rFonts w:ascii="仿宋_GB2312" w:eastAsia="仿宋_GB2312" w:hAnsi="仿宋" w:cs="仿宋"/>
          <w:spacing w:val="1"/>
          <w:sz w:val="20"/>
        </w:rPr>
      </w:pPr>
      <w:r>
        <w:rPr>
          <w:rFonts w:ascii="仿宋_GB2312" w:eastAsia="仿宋_GB2312" w:hAnsi="仿宋" w:cs="仿宋" w:hint="eastAsia"/>
          <w:sz w:val="20"/>
        </w:rPr>
        <w:t xml:space="preserve">被请求人(签章): </w:t>
      </w:r>
      <w:r>
        <w:rPr>
          <w:rFonts w:ascii="仿宋_GB2312" w:eastAsia="仿宋_GB2312" w:hAnsi="仿宋" w:cs="仿宋" w:hint="eastAsia"/>
          <w:sz w:val="20"/>
          <w:u w:val="single"/>
        </w:rPr>
        <w:tab/>
        <w:t xml:space="preserve">            </w:t>
      </w:r>
      <w:r>
        <w:rPr>
          <w:rFonts w:ascii="仿宋_GB2312" w:eastAsia="仿宋_GB2312" w:hAnsi="仿宋" w:cs="仿宋" w:hint="eastAsia"/>
          <w:sz w:val="20"/>
        </w:rPr>
        <w:t xml:space="preserve">   </w:t>
      </w:r>
      <w:r>
        <w:rPr>
          <w:rFonts w:ascii="仿宋_GB2312" w:eastAsia="仿宋_GB2312" w:hAnsi="仿宋" w:cs="仿宋" w:hint="eastAsia"/>
          <w:spacing w:val="1"/>
          <w:sz w:val="20"/>
        </w:rPr>
        <w:t xml:space="preserve">    </w:t>
      </w:r>
    </w:p>
    <w:p w:rsidR="00800760" w:rsidRDefault="00235733" w:rsidP="00235733">
      <w:pPr>
        <w:tabs>
          <w:tab w:val="left" w:pos="1620"/>
        </w:tabs>
        <w:spacing w:before="48" w:line="360" w:lineRule="auto"/>
        <w:ind w:left="780" w:right="63" w:firstLine="400"/>
        <w:rPr>
          <w:rFonts w:ascii="仿宋_GB2312" w:eastAsia="仿宋_GB2312" w:hAnsi="仿宋" w:cs="仿宋"/>
        </w:rPr>
        <w:sectPr w:rsidR="00800760">
          <w:type w:val="continuous"/>
          <w:pgSz w:w="10830" w:h="15080"/>
          <w:pgMar w:top="1373" w:right="1493" w:bottom="1314" w:left="1279" w:header="1049" w:footer="1179" w:gutter="0"/>
          <w:cols w:num="2" w:space="720" w:equalWidth="0">
            <w:col w:w="4790" w:space="100"/>
            <w:col w:w="3167"/>
          </w:cols>
        </w:sectPr>
      </w:pPr>
      <w:r>
        <w:rPr>
          <w:rFonts w:ascii="仿宋_GB2312" w:eastAsia="仿宋_GB2312" w:hAnsi="仿宋" w:cs="仿宋" w:hint="eastAsia"/>
          <w:sz w:val="20"/>
          <w:u w:val="single"/>
        </w:rPr>
        <w:tab/>
      </w:r>
      <w:r>
        <w:rPr>
          <w:rFonts w:ascii="仿宋_GB2312" w:eastAsia="仿宋_GB2312" w:hAnsi="仿宋" w:cs="仿宋" w:hint="eastAsia"/>
          <w:sz w:val="20"/>
          <w:u w:val="single"/>
        </w:rPr>
        <w:tab/>
      </w:r>
      <w:r>
        <w:rPr>
          <w:rFonts w:ascii="仿宋_GB2312" w:eastAsia="仿宋_GB2312" w:hAnsi="仿宋" w:cs="仿宋" w:hint="eastAsia"/>
          <w:spacing w:val="-84"/>
          <w:sz w:val="20"/>
        </w:rPr>
        <w:t xml:space="preserve"> </w:t>
      </w:r>
      <w:r>
        <w:rPr>
          <w:rFonts w:ascii="仿宋_GB2312" w:eastAsia="仿宋_GB2312" w:hAnsi="仿宋" w:cs="仿宋" w:hint="eastAsia"/>
          <w:spacing w:val="-23"/>
          <w:sz w:val="20"/>
        </w:rPr>
        <w:t>年</w:t>
      </w:r>
      <w:r>
        <w:rPr>
          <w:rFonts w:ascii="仿宋_GB2312" w:eastAsia="仿宋_GB2312" w:hAnsi="仿宋" w:cs="仿宋" w:hint="eastAsia"/>
          <w:spacing w:val="-87"/>
          <w:sz w:val="20"/>
        </w:rPr>
        <w:t xml:space="preserve"> </w:t>
      </w:r>
      <w:r>
        <w:rPr>
          <w:rFonts w:ascii="仿宋_GB2312" w:eastAsia="仿宋_GB2312" w:hAnsi="仿宋" w:cs="仿宋" w:hint="eastAsia"/>
          <w:spacing w:val="12"/>
          <w:sz w:val="20"/>
          <w:u w:val="single"/>
        </w:rPr>
        <w:t xml:space="preserve">    </w:t>
      </w:r>
      <w:r>
        <w:rPr>
          <w:rFonts w:ascii="仿宋_GB2312" w:eastAsia="仿宋_GB2312" w:hAnsi="仿宋" w:cs="仿宋" w:hint="eastAsia"/>
          <w:spacing w:val="-83"/>
          <w:sz w:val="20"/>
        </w:rPr>
        <w:t xml:space="preserve"> </w:t>
      </w:r>
      <w:r>
        <w:rPr>
          <w:rFonts w:ascii="仿宋_GB2312" w:eastAsia="仿宋_GB2312" w:hAnsi="仿宋" w:cs="仿宋" w:hint="eastAsia"/>
          <w:spacing w:val="-23"/>
          <w:sz w:val="20"/>
        </w:rPr>
        <w:t>月</w:t>
      </w:r>
      <w:r>
        <w:rPr>
          <w:rFonts w:ascii="仿宋_GB2312" w:eastAsia="仿宋_GB2312" w:hAnsi="仿宋" w:cs="仿宋" w:hint="eastAsia"/>
          <w:spacing w:val="-23"/>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23"/>
          <w:sz w:val="20"/>
        </w:rPr>
        <w:t>日</w:t>
      </w:r>
    </w:p>
    <w:p w:rsidR="00800760" w:rsidRDefault="00800760">
      <w:pPr>
        <w:pStyle w:val="a5"/>
        <w:spacing w:after="0" w:line="360" w:lineRule="auto"/>
        <w:ind w:firstLineChars="0" w:firstLine="0"/>
        <w:rPr>
          <w:rFonts w:ascii="仿宋_GB2312" w:eastAsia="仿宋_GB2312"/>
          <w:sz w:val="20"/>
        </w:rPr>
      </w:pPr>
    </w:p>
    <w:p w:rsidR="00800760" w:rsidRDefault="00235733">
      <w:pPr>
        <w:tabs>
          <w:tab w:val="left" w:pos="6150"/>
          <w:tab w:val="left" w:pos="6510"/>
        </w:tabs>
        <w:spacing w:before="69" w:line="360" w:lineRule="auto"/>
        <w:ind w:left="5669" w:right="24" w:firstLineChars="0" w:hanging="360"/>
        <w:rPr>
          <w:rFonts w:ascii="仿宋_GB2312" w:eastAsia="仿宋_GB2312"/>
          <w:sz w:val="20"/>
        </w:rPr>
      </w:pPr>
      <w:r>
        <w:rPr>
          <w:rFonts w:ascii="仿宋_GB2312" w:eastAsia="仿宋_GB2312" w:hAnsi="仿宋" w:cs="仿宋" w:hint="eastAsia"/>
          <w:sz w:val="20"/>
          <w:u w:val="single"/>
        </w:rPr>
        <w:tab/>
      </w:r>
      <w:r>
        <w:rPr>
          <w:rFonts w:ascii="仿宋_GB2312" w:eastAsia="仿宋_GB2312" w:hAnsi="仿宋" w:cs="仿宋" w:hint="eastAsia"/>
          <w:sz w:val="20"/>
          <w:u w:val="single"/>
        </w:rPr>
        <w:tab/>
      </w:r>
      <w:r>
        <w:rPr>
          <w:rFonts w:ascii="仿宋_GB2312" w:eastAsia="仿宋_GB2312" w:hAnsi="仿宋" w:cs="仿宋" w:hint="eastAsia"/>
          <w:spacing w:val="11"/>
          <w:sz w:val="20"/>
        </w:rPr>
        <w:t>知识产权局(盖章)</w:t>
      </w:r>
      <w:r>
        <w:rPr>
          <w:rFonts w:ascii="仿宋_GB2312" w:eastAsia="仿宋_GB2312" w:hAnsi="仿宋" w:cs="仿宋" w:hint="eastAsia"/>
          <w:spacing w:val="3"/>
          <w:sz w:val="20"/>
        </w:rPr>
        <w:t xml:space="preserve">  </w:t>
      </w:r>
      <w:r>
        <w:rPr>
          <w:rFonts w:ascii="仿宋_GB2312" w:eastAsia="仿宋_GB2312" w:hAnsi="仿宋" w:cs="仿宋" w:hint="eastAsia"/>
          <w:sz w:val="20"/>
          <w:u w:val="single"/>
        </w:rPr>
        <w:tab/>
      </w:r>
      <w:r>
        <w:rPr>
          <w:rFonts w:ascii="仿宋_GB2312" w:eastAsia="仿宋_GB2312" w:hAnsi="仿宋" w:cs="仿宋" w:hint="eastAsia"/>
          <w:sz w:val="20"/>
          <w:u w:val="single"/>
        </w:rPr>
        <w:tab/>
      </w:r>
      <w:r>
        <w:rPr>
          <w:rFonts w:ascii="仿宋_GB2312" w:eastAsia="仿宋_GB2312" w:hAnsi="仿宋" w:cs="仿宋" w:hint="eastAsia"/>
          <w:spacing w:val="-84"/>
          <w:sz w:val="20"/>
        </w:rPr>
        <w:t xml:space="preserve"> </w:t>
      </w:r>
      <w:r>
        <w:rPr>
          <w:rFonts w:ascii="仿宋_GB2312" w:eastAsia="仿宋_GB2312" w:hAnsi="仿宋" w:cs="仿宋" w:hint="eastAsia"/>
          <w:spacing w:val="-23"/>
          <w:sz w:val="20"/>
        </w:rPr>
        <w:t>年</w:t>
      </w:r>
      <w:r>
        <w:rPr>
          <w:rFonts w:ascii="仿宋_GB2312" w:eastAsia="仿宋_GB2312" w:hAnsi="仿宋" w:cs="仿宋" w:hint="eastAsia"/>
          <w:spacing w:val="-87"/>
          <w:sz w:val="20"/>
        </w:rPr>
        <w:t xml:space="preserve"> </w:t>
      </w:r>
      <w:r>
        <w:rPr>
          <w:rFonts w:ascii="仿宋_GB2312" w:eastAsia="仿宋_GB2312" w:hAnsi="仿宋" w:cs="仿宋" w:hint="eastAsia"/>
          <w:spacing w:val="12"/>
          <w:sz w:val="20"/>
          <w:u w:val="single"/>
        </w:rPr>
        <w:t xml:space="preserve">    </w:t>
      </w:r>
      <w:r>
        <w:rPr>
          <w:rFonts w:ascii="仿宋_GB2312" w:eastAsia="仿宋_GB2312" w:hAnsi="仿宋" w:cs="仿宋" w:hint="eastAsia"/>
          <w:spacing w:val="-83"/>
          <w:sz w:val="20"/>
        </w:rPr>
        <w:t xml:space="preserve"> </w:t>
      </w:r>
      <w:r>
        <w:rPr>
          <w:rFonts w:ascii="仿宋_GB2312" w:eastAsia="仿宋_GB2312" w:hAnsi="仿宋" w:cs="仿宋" w:hint="eastAsia"/>
          <w:spacing w:val="-23"/>
          <w:sz w:val="20"/>
        </w:rPr>
        <w:t>月</w:t>
      </w:r>
      <w:r>
        <w:rPr>
          <w:rFonts w:ascii="仿宋_GB2312" w:eastAsia="仿宋_GB2312" w:hAnsi="仿宋" w:cs="仿宋" w:hint="eastAsia"/>
          <w:spacing w:val="-23"/>
          <w:sz w:val="20"/>
          <w:u w:val="single"/>
        </w:rPr>
        <w:t xml:space="preserve">     </w:t>
      </w:r>
      <w:r>
        <w:rPr>
          <w:rFonts w:ascii="仿宋_GB2312" w:eastAsia="仿宋_GB2312" w:hAnsi="仿宋" w:cs="仿宋" w:hint="eastAsia"/>
          <w:spacing w:val="-85"/>
          <w:sz w:val="20"/>
        </w:rPr>
        <w:t xml:space="preserve"> </w:t>
      </w:r>
      <w:r>
        <w:rPr>
          <w:rFonts w:ascii="仿宋_GB2312" w:eastAsia="仿宋_GB2312" w:hAnsi="仿宋" w:cs="仿宋" w:hint="eastAsia"/>
          <w:spacing w:val="-23"/>
          <w:sz w:val="20"/>
        </w:rPr>
        <w:t>日</w:t>
      </w:r>
    </w:p>
    <w:p w:rsidR="00800760" w:rsidRDefault="00800760">
      <w:pPr>
        <w:pStyle w:val="a5"/>
        <w:spacing w:after="0" w:line="360" w:lineRule="auto"/>
        <w:ind w:firstLineChars="0" w:firstLine="0"/>
        <w:rPr>
          <w:rFonts w:ascii="仿宋_GB2312" w:eastAsia="仿宋_GB2312"/>
          <w:sz w:val="20"/>
        </w:rPr>
      </w:pPr>
    </w:p>
    <w:p w:rsidR="00800760" w:rsidRDefault="00235733">
      <w:pPr>
        <w:spacing w:before="69" w:line="360" w:lineRule="auto"/>
        <w:ind w:left="9" w:firstLineChars="0" w:firstLine="0"/>
        <w:rPr>
          <w:rFonts w:ascii="仿宋_GB2312" w:eastAsia="仿宋_GB2312" w:hAnsi="仿宋" w:cs="仿宋"/>
          <w:sz w:val="20"/>
        </w:rPr>
      </w:pPr>
      <w:r>
        <w:rPr>
          <w:rFonts w:ascii="仿宋_GB2312" w:eastAsia="仿宋_GB2312" w:hAnsi="仿宋" w:cs="仿宋" w:hint="eastAsia"/>
          <w:spacing w:val="-9"/>
          <w:sz w:val="20"/>
        </w:rPr>
        <w:t>承办人</w:t>
      </w:r>
      <w:r>
        <w:rPr>
          <w:rFonts w:ascii="仿宋_GB2312" w:eastAsia="仿宋_GB2312" w:hAnsi="仿宋" w:cs="仿宋" w:hint="eastAsia"/>
          <w:spacing w:val="-50"/>
          <w:sz w:val="20"/>
        </w:rPr>
        <w:t xml:space="preserve"> </w:t>
      </w:r>
      <w:r>
        <w:rPr>
          <w:rFonts w:ascii="仿宋_GB2312" w:eastAsia="仿宋_GB2312" w:hAnsi="仿宋" w:cs="仿宋" w:hint="eastAsia"/>
          <w:spacing w:val="-9"/>
          <w:sz w:val="20"/>
        </w:rPr>
        <w:t>：</w:t>
      </w:r>
      <w:r>
        <w:rPr>
          <w:rFonts w:ascii="仿宋_GB2312" w:eastAsia="仿宋_GB2312" w:hAnsi="仿宋" w:cs="仿宋" w:hint="eastAsia"/>
          <w:sz w:val="20"/>
          <w:u w:val="single"/>
        </w:rPr>
        <w:t xml:space="preserve">             </w:t>
      </w:r>
    </w:p>
    <w:p w:rsidR="00800760" w:rsidRDefault="00800760">
      <w:pPr>
        <w:spacing w:line="360" w:lineRule="auto"/>
        <w:rPr>
          <w:rFonts w:ascii="仿宋" w:eastAsia="仿宋" w:hAnsi="仿宋" w:cs="仿宋"/>
        </w:rPr>
        <w:sectPr w:rsidR="00800760">
          <w:type w:val="continuous"/>
          <w:pgSz w:w="10830" w:h="15080"/>
          <w:pgMar w:top="1373" w:right="1493" w:bottom="1314" w:left="1279" w:header="1049" w:footer="1179" w:gutter="0"/>
          <w:cols w:space="720"/>
        </w:sectPr>
      </w:pPr>
    </w:p>
    <w:p w:rsidR="00800760" w:rsidRDefault="00800760">
      <w:pPr>
        <w:pStyle w:val="a5"/>
        <w:spacing w:after="0" w:line="285" w:lineRule="auto"/>
        <w:ind w:firstLineChars="0" w:firstLine="0"/>
        <w:rPr>
          <w:sz w:val="20"/>
        </w:rPr>
      </w:pPr>
    </w:p>
    <w:p w:rsidR="00800760" w:rsidRDefault="00235733">
      <w:pPr>
        <w:spacing w:before="107" w:line="219" w:lineRule="auto"/>
        <w:ind w:left="1130" w:firstLineChars="0" w:firstLine="0"/>
        <w:outlineLvl w:val="3"/>
        <w:rPr>
          <w:rFonts w:ascii="宋体" w:hAnsi="宋体" w:cs="宋体"/>
          <w:sz w:val="33"/>
          <w:szCs w:val="33"/>
        </w:rPr>
      </w:pPr>
      <w:bookmarkStart w:id="9335" w:name="bookmark237"/>
      <w:bookmarkStart w:id="9336" w:name="bookmark156"/>
      <w:bookmarkEnd w:id="9335"/>
      <w:bookmarkEnd w:id="9336"/>
      <w:r>
        <w:rPr>
          <w:rFonts w:ascii="方正小标宋_GBK" w:eastAsia="方正小标宋_GBK" w:hAnsi="宋体"/>
          <w:color w:val="000000"/>
          <w:spacing w:val="6"/>
          <w:sz w:val="36"/>
          <w:szCs w:val="36"/>
        </w:rPr>
        <w:t>专利纠纷行政调解案件终止调解通知书</w:t>
      </w:r>
    </w:p>
    <w:p w:rsidR="00800760" w:rsidRDefault="00800760">
      <w:pPr>
        <w:pStyle w:val="a5"/>
        <w:spacing w:after="0" w:line="240" w:lineRule="auto"/>
        <w:ind w:firstLineChars="0" w:firstLine="0"/>
        <w:rPr>
          <w:sz w:val="20"/>
        </w:rPr>
      </w:pPr>
    </w:p>
    <w:p w:rsidR="00800760" w:rsidRDefault="00235733">
      <w:pPr>
        <w:spacing w:line="480" w:lineRule="auto"/>
        <w:ind w:firstLineChars="0" w:firstLine="0"/>
        <w:jc w:val="right"/>
        <w:rPr>
          <w:rFonts w:ascii="仿宋_GB2312" w:eastAsia="仿宋_GB2312"/>
          <w:sz w:val="20"/>
          <w:lang w:eastAsia="en-US"/>
        </w:rPr>
      </w:pPr>
      <w:r>
        <w:rPr>
          <w:rFonts w:ascii="仿宋_GB2312" w:eastAsia="仿宋_GB2312" w:hAnsi="仿宋" w:hint="eastAsia"/>
          <w:color w:val="000000"/>
          <w:sz w:val="20"/>
        </w:rPr>
        <w:t>案号：____________________</w:t>
      </w:r>
    </w:p>
    <w:p w:rsidR="00800760" w:rsidRDefault="00800760">
      <w:pPr>
        <w:spacing w:line="60" w:lineRule="exact"/>
        <w:ind w:firstLineChars="0" w:firstLine="0"/>
        <w:rPr>
          <w:rFonts w:ascii="仿宋_GB2312" w:eastAsia="仿宋_GB2312"/>
          <w:sz w:val="20"/>
          <w:lang w:eastAsia="en-US"/>
        </w:rPr>
      </w:pPr>
    </w:p>
    <w:tbl>
      <w:tblPr>
        <w:tblStyle w:val="TableNormal"/>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41"/>
        <w:gridCol w:w="4779"/>
      </w:tblGrid>
      <w:tr w:rsidR="00800760">
        <w:trPr>
          <w:trHeight w:val="413"/>
        </w:trPr>
        <w:tc>
          <w:tcPr>
            <w:tcW w:w="3141" w:type="dxa"/>
          </w:tcPr>
          <w:p w:rsidR="00800760" w:rsidRDefault="00235733">
            <w:pPr>
              <w:spacing w:before="62" w:line="301"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专利号/专利申请号</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3141" w:type="dxa"/>
          </w:tcPr>
          <w:p w:rsidR="00800760" w:rsidRDefault="00235733">
            <w:pPr>
              <w:spacing w:before="62" w:line="301"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发明创造名称</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408"/>
        </w:trPr>
        <w:tc>
          <w:tcPr>
            <w:tcW w:w="3141" w:type="dxa"/>
          </w:tcPr>
          <w:p w:rsidR="00800760" w:rsidRDefault="00235733">
            <w:pPr>
              <w:spacing w:before="62" w:line="301"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专利权人/专利申请人</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408"/>
        </w:trPr>
        <w:tc>
          <w:tcPr>
            <w:tcW w:w="3141" w:type="dxa"/>
          </w:tcPr>
          <w:p w:rsidR="00800760" w:rsidRDefault="00235733">
            <w:pPr>
              <w:spacing w:before="62" w:line="301"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请求人</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399"/>
        </w:trPr>
        <w:tc>
          <w:tcPr>
            <w:tcW w:w="3141" w:type="dxa"/>
          </w:tcPr>
          <w:p w:rsidR="00800760" w:rsidRDefault="00235733">
            <w:pPr>
              <w:spacing w:before="62" w:line="301"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被请求人</w:t>
            </w:r>
          </w:p>
        </w:tc>
        <w:tc>
          <w:tcPr>
            <w:tcW w:w="4779" w:type="dxa"/>
          </w:tcPr>
          <w:p w:rsidR="00800760" w:rsidRDefault="00800760">
            <w:pPr>
              <w:spacing w:line="240" w:lineRule="auto"/>
              <w:ind w:firstLineChars="0" w:firstLine="0"/>
              <w:rPr>
                <w:rFonts w:ascii="仿宋_GB2312" w:eastAsia="仿宋_GB2312"/>
                <w:sz w:val="20"/>
                <w:lang w:eastAsia="en-US"/>
              </w:rPr>
            </w:pPr>
          </w:p>
        </w:tc>
      </w:tr>
      <w:tr w:rsidR="00800760">
        <w:trPr>
          <w:trHeight w:val="413"/>
        </w:trPr>
        <w:tc>
          <w:tcPr>
            <w:tcW w:w="3141" w:type="dxa"/>
          </w:tcPr>
          <w:p w:rsidR="00800760" w:rsidRDefault="00235733">
            <w:pPr>
              <w:spacing w:before="62" w:line="301"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案由</w:t>
            </w:r>
          </w:p>
        </w:tc>
        <w:tc>
          <w:tcPr>
            <w:tcW w:w="4779" w:type="dxa"/>
          </w:tcPr>
          <w:p w:rsidR="00800760" w:rsidRDefault="00800760">
            <w:pPr>
              <w:spacing w:line="240" w:lineRule="auto"/>
              <w:ind w:firstLineChars="0" w:firstLine="0"/>
              <w:rPr>
                <w:rFonts w:ascii="仿宋_GB2312" w:eastAsia="仿宋_GB2312"/>
                <w:sz w:val="20"/>
                <w:lang w:eastAsia="en-US"/>
              </w:rPr>
            </w:pPr>
          </w:p>
        </w:tc>
      </w:tr>
    </w:tbl>
    <w:p w:rsidR="00800760" w:rsidRDefault="00800760">
      <w:pPr>
        <w:pStyle w:val="a5"/>
        <w:spacing w:after="0" w:line="327" w:lineRule="auto"/>
        <w:ind w:firstLineChars="0" w:firstLine="0"/>
        <w:rPr>
          <w:rFonts w:ascii="仿宋_GB2312" w:eastAsia="仿宋_GB2312"/>
          <w:sz w:val="20"/>
          <w:lang w:eastAsia="en-US"/>
        </w:rPr>
      </w:pPr>
    </w:p>
    <w:p w:rsidR="00800760" w:rsidRDefault="00235733">
      <w:pPr>
        <w:pStyle w:val="a5"/>
        <w:tabs>
          <w:tab w:val="left" w:pos="1800"/>
        </w:tabs>
        <w:spacing w:after="0" w:line="360" w:lineRule="auto"/>
        <w:ind w:firstLineChars="0" w:firstLine="0"/>
        <w:rPr>
          <w:rFonts w:ascii="仿宋_GB2312" w:eastAsia="仿宋_GB2312"/>
          <w:sz w:val="20"/>
        </w:rPr>
      </w:pPr>
      <w:r>
        <w:rPr>
          <w:rFonts w:ascii="仿宋_GB2312" w:eastAsia="仿宋_GB2312" w:hint="eastAsia"/>
          <w:noProof/>
          <w:sz w:val="20"/>
          <w:lang w:val="en-US"/>
        </w:rPr>
        <w:drawing>
          <wp:anchor distT="0" distB="0" distL="0" distR="0" simplePos="0" relativeHeight="251665408" behindDoc="0" locked="0" layoutInCell="1" allowOverlap="1">
            <wp:simplePos x="0" y="0"/>
            <wp:positionH relativeFrom="column">
              <wp:posOffset>0</wp:posOffset>
            </wp:positionH>
            <wp:positionV relativeFrom="paragraph">
              <wp:posOffset>143510</wp:posOffset>
            </wp:positionV>
            <wp:extent cx="1117600" cy="6350"/>
            <wp:effectExtent l="0" t="0" r="0" b="0"/>
            <wp:wrapNone/>
            <wp:docPr id="21" name="IM 212"/>
            <wp:cNvGraphicFramePr/>
            <a:graphic xmlns:a="http://schemas.openxmlformats.org/drawingml/2006/main">
              <a:graphicData uri="http://schemas.openxmlformats.org/drawingml/2006/picture">
                <pic:pic xmlns:pic="http://schemas.openxmlformats.org/drawingml/2006/picture">
                  <pic:nvPicPr>
                    <pic:cNvPr id="21" name="IM 212"/>
                    <pic:cNvPicPr>
                      <a:picLocks noChangeArrowheads="1"/>
                    </pic:cNvPicPr>
                  </pic:nvPicPr>
                  <pic:blipFill>
                    <a:blip r:embed="rId94" cstate="print"/>
                    <a:srcRect/>
                    <a:stretch>
                      <a:fillRect/>
                    </a:stretch>
                  </pic:blipFill>
                  <pic:spPr>
                    <a:xfrm>
                      <a:off x="0" y="0"/>
                      <a:ext cx="1117600" cy="6350"/>
                    </a:xfrm>
                    <a:prstGeom prst="rect">
                      <a:avLst/>
                    </a:prstGeom>
                    <a:noFill/>
                    <a:ln w="9525">
                      <a:noFill/>
                      <a:miter lim="800000"/>
                      <a:headEnd/>
                      <a:tailEnd/>
                    </a:ln>
                  </pic:spPr>
                </pic:pic>
              </a:graphicData>
            </a:graphic>
          </wp:anchor>
        </w:drawing>
      </w:r>
      <w:r>
        <w:rPr>
          <w:rFonts w:ascii="仿宋_GB2312" w:eastAsia="仿宋_GB2312" w:hint="eastAsia"/>
          <w:sz w:val="20"/>
        </w:rPr>
        <w:tab/>
        <w:t>：</w:t>
      </w:r>
    </w:p>
    <w:p w:rsidR="00800760" w:rsidRDefault="00235733">
      <w:pPr>
        <w:spacing w:before="72" w:line="360" w:lineRule="auto"/>
        <w:ind w:left="440" w:firstLineChars="0" w:firstLine="0"/>
        <w:rPr>
          <w:rFonts w:ascii="仿宋_GB2312" w:eastAsia="仿宋_GB2312" w:hAnsi="仿宋" w:cs="仿宋"/>
          <w:sz w:val="20"/>
        </w:rPr>
      </w:pPr>
      <w:r>
        <w:rPr>
          <w:rFonts w:ascii="仿宋_GB2312" w:eastAsia="仿宋_GB2312" w:hAnsi="仿宋" w:cs="仿宋" w:hint="eastAsia"/>
          <w:spacing w:val="-11"/>
          <w:sz w:val="20"/>
        </w:rPr>
        <w:t>本局受理的专利纠纷行政调解请求，由于下述原因，现决定终止调解案件：</w:t>
      </w:r>
    </w:p>
    <w:p w:rsidR="00800760" w:rsidRDefault="00235733">
      <w:pPr>
        <w:spacing w:before="67" w:line="360" w:lineRule="auto"/>
        <w:ind w:left="440" w:firstLineChars="0" w:firstLine="0"/>
        <w:rPr>
          <w:rFonts w:ascii="仿宋_GB2312" w:eastAsia="仿宋_GB2312" w:hAnsi="仿宋" w:cs="仿宋"/>
          <w:sz w:val="20"/>
        </w:rPr>
      </w:pPr>
      <w:r>
        <w:rPr>
          <w:rFonts w:ascii="仿宋_GB2312" w:eastAsia="仿宋_GB2312" w:hAnsi="仿宋" w:cs="仿宋" w:hint="eastAsia"/>
          <w:spacing w:val="-11"/>
          <w:sz w:val="20"/>
        </w:rPr>
        <w:t>□请求人撤回调解请求。</w:t>
      </w:r>
    </w:p>
    <w:p w:rsidR="00800760" w:rsidRDefault="00235733">
      <w:pPr>
        <w:spacing w:before="101" w:line="360" w:lineRule="auto"/>
        <w:ind w:left="430" w:firstLineChars="0" w:firstLine="0"/>
        <w:rPr>
          <w:rFonts w:ascii="仿宋_GB2312" w:eastAsia="仿宋_GB2312" w:hAnsi="仿宋" w:cs="仿宋"/>
          <w:sz w:val="20"/>
        </w:rPr>
      </w:pPr>
      <w:r>
        <w:rPr>
          <w:rFonts w:ascii="仿宋_GB2312" w:eastAsia="仿宋_GB2312" w:hAnsi="仿宋" w:cs="仿宋" w:hint="eastAsia"/>
          <w:spacing w:val="-11"/>
          <w:sz w:val="20"/>
        </w:rPr>
        <w:t>□经调解当事人之间未达成一致。</w:t>
      </w:r>
    </w:p>
    <w:p w:rsidR="00800760" w:rsidRDefault="00235733">
      <w:pPr>
        <w:spacing w:before="83" w:line="360" w:lineRule="auto"/>
        <w:ind w:left="440" w:right="4830" w:firstLineChars="0" w:firstLine="0"/>
        <w:rPr>
          <w:rFonts w:ascii="仿宋_GB2312" w:eastAsia="仿宋_GB2312" w:hAnsi="仿宋" w:cs="仿宋"/>
          <w:sz w:val="20"/>
        </w:rPr>
      </w:pPr>
      <w:r>
        <w:rPr>
          <w:rFonts w:ascii="仿宋_GB2312" w:eastAsia="仿宋_GB2312" w:hAnsi="仿宋" w:cs="仿宋" w:hint="eastAsia"/>
          <w:spacing w:val="-13"/>
          <w:sz w:val="20"/>
        </w:rPr>
        <w:t>□被请求人不同意继续调解。</w:t>
      </w:r>
      <w:r>
        <w:rPr>
          <w:rFonts w:ascii="仿宋_GB2312" w:eastAsia="仿宋_GB2312" w:hAnsi="仿宋" w:cs="仿宋" w:hint="eastAsia"/>
          <w:spacing w:val="7"/>
          <w:sz w:val="20"/>
        </w:rPr>
        <w:t xml:space="preserve"> </w:t>
      </w:r>
      <w:r>
        <w:rPr>
          <w:rFonts w:ascii="仿宋_GB2312" w:eastAsia="仿宋_GB2312" w:hAnsi="仿宋" w:cs="仿宋" w:hint="eastAsia"/>
          <w:spacing w:val="-7"/>
          <w:sz w:val="20"/>
        </w:rPr>
        <w:t>特此通知。</w:t>
      </w: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235733" w:rsidP="00C22A7B">
      <w:pPr>
        <w:widowControl w:val="0"/>
        <w:wordWrap w:val="0"/>
        <w:spacing w:beforeLines="50" w:afterLines="50" w:line="360"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rsidP="00C22A7B">
      <w:pPr>
        <w:widowControl w:val="0"/>
        <w:wordWrap w:val="0"/>
        <w:spacing w:beforeLines="50" w:afterLines="50" w:line="360" w:lineRule="auto"/>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235733">
      <w:pPr>
        <w:spacing w:before="72" w:line="360" w:lineRule="auto"/>
        <w:ind w:right="11" w:firstLineChars="0" w:firstLine="0"/>
        <w:rPr>
          <w:rFonts w:ascii="仿宋_GB2312" w:eastAsia="仿宋_GB2312" w:hAnsi="仿宋" w:cs="仿宋"/>
          <w:sz w:val="20"/>
        </w:rPr>
      </w:pPr>
      <w:r>
        <w:rPr>
          <w:rFonts w:ascii="仿宋_GB2312" w:eastAsia="仿宋_GB2312" w:hAnsi="仿宋" w:cs="仿宋" w:hint="eastAsia"/>
          <w:spacing w:val="-2"/>
          <w:sz w:val="20"/>
        </w:rPr>
        <w:t>说明：本通知书一式</w:t>
      </w:r>
      <w:r>
        <w:rPr>
          <w:rFonts w:ascii="仿宋_GB2312" w:eastAsia="仿宋_GB2312" w:hAnsi="仿宋" w:cs="仿宋" w:hint="eastAsia"/>
          <w:spacing w:val="-2"/>
          <w:sz w:val="20"/>
          <w:u w:val="single"/>
        </w:rPr>
        <w:t xml:space="preserve">       </w:t>
      </w:r>
      <w:r>
        <w:rPr>
          <w:rFonts w:ascii="仿宋_GB2312" w:eastAsia="仿宋_GB2312" w:hAnsi="仿宋" w:cs="仿宋" w:hint="eastAsia"/>
          <w:spacing w:val="-2"/>
          <w:sz w:val="20"/>
        </w:rPr>
        <w:t>份</w:t>
      </w:r>
      <w:r>
        <w:rPr>
          <w:rFonts w:ascii="仿宋_GB2312" w:eastAsia="仿宋_GB2312" w:hAnsi="仿宋" w:cs="仿宋" w:hint="eastAsia"/>
          <w:spacing w:val="70"/>
          <w:sz w:val="20"/>
        </w:rPr>
        <w:t xml:space="preserve"> </w:t>
      </w:r>
      <w:r>
        <w:rPr>
          <w:rFonts w:ascii="仿宋_GB2312" w:eastAsia="仿宋_GB2312" w:hAnsi="仿宋" w:cs="仿宋" w:hint="eastAsia"/>
          <w:spacing w:val="-2"/>
          <w:sz w:val="20"/>
        </w:rPr>
        <w:t>，</w:t>
      </w:r>
      <w:r>
        <w:rPr>
          <w:rFonts w:ascii="仿宋_GB2312" w:eastAsia="仿宋_GB2312" w:hAnsi="仿宋" w:cs="仿宋" w:hint="eastAsia"/>
          <w:spacing w:val="-2"/>
          <w:sz w:val="20"/>
          <w:u w:val="single"/>
        </w:rPr>
        <w:t xml:space="preserve">        </w:t>
      </w:r>
      <w:r>
        <w:rPr>
          <w:rFonts w:ascii="仿宋_GB2312" w:eastAsia="仿宋_GB2312" w:hAnsi="仿宋" w:cs="仿宋" w:hint="eastAsia"/>
          <w:spacing w:val="-2"/>
          <w:sz w:val="20"/>
        </w:rPr>
        <w:t>份送达当事人，</w:t>
      </w:r>
      <w:r>
        <w:rPr>
          <w:rFonts w:ascii="仿宋_GB2312" w:eastAsia="仿宋_GB2312" w:hAnsi="仿宋" w:cs="仿宋" w:hint="eastAsia"/>
          <w:spacing w:val="-55"/>
          <w:sz w:val="20"/>
        </w:rPr>
        <w:t xml:space="preserve"> </w:t>
      </w:r>
      <w:r>
        <w:rPr>
          <w:rFonts w:ascii="仿宋_GB2312" w:eastAsia="仿宋_GB2312" w:hAnsi="仿宋" w:cs="仿宋" w:hint="eastAsia"/>
          <w:spacing w:val="-2"/>
          <w:sz w:val="20"/>
        </w:rPr>
        <w:t>一份</w:t>
      </w:r>
      <w:r>
        <w:rPr>
          <w:rFonts w:ascii="仿宋_GB2312" w:eastAsia="仿宋_GB2312" w:hAnsi="仿宋" w:cs="仿宋" w:hint="eastAsia"/>
          <w:spacing w:val="-3"/>
          <w:sz w:val="20"/>
        </w:rPr>
        <w:t>由知识产权局</w:t>
      </w:r>
      <w:r>
        <w:rPr>
          <w:rFonts w:ascii="仿宋_GB2312" w:eastAsia="仿宋_GB2312" w:hAnsi="仿宋" w:cs="仿宋" w:hint="eastAsia"/>
          <w:spacing w:val="-11"/>
          <w:sz w:val="20"/>
        </w:rPr>
        <w:t>存档。</w:t>
      </w:r>
    </w:p>
    <w:p w:rsidR="00800760" w:rsidRDefault="00800760">
      <w:pPr>
        <w:spacing w:line="360" w:lineRule="auto"/>
        <w:rPr>
          <w:rFonts w:ascii="仿宋_GB2312" w:eastAsia="仿宋_GB2312" w:hAnsi="仿宋" w:cs="仿宋"/>
        </w:rPr>
        <w:sectPr w:rsidR="00800760" w:rsidSect="008175D7">
          <w:footerReference w:type="default" r:id="rId103"/>
          <w:pgSz w:w="10830" w:h="15080"/>
          <w:pgMar w:top="1374" w:right="1300" w:bottom="1365" w:left="1559" w:header="431" w:footer="969" w:gutter="0"/>
          <w:cols w:space="720"/>
          <w:docGrid w:linePitch="286"/>
        </w:sectPr>
      </w:pPr>
    </w:p>
    <w:p w:rsidR="00800760" w:rsidRDefault="00800760">
      <w:pPr>
        <w:pStyle w:val="a5"/>
        <w:spacing w:after="0" w:line="293" w:lineRule="auto"/>
        <w:ind w:firstLineChars="0" w:firstLine="0"/>
        <w:rPr>
          <w:sz w:val="20"/>
        </w:rPr>
      </w:pPr>
    </w:p>
    <w:p w:rsidR="00800760" w:rsidRDefault="00235733">
      <w:pPr>
        <w:spacing w:before="107" w:line="219" w:lineRule="auto"/>
        <w:ind w:left="1130" w:firstLineChars="0" w:firstLine="0"/>
        <w:jc w:val="center"/>
        <w:outlineLvl w:val="3"/>
        <w:rPr>
          <w:rFonts w:ascii="方正小标宋_GBK" w:eastAsia="方正小标宋_GBK" w:hAnsi="宋体"/>
          <w:color w:val="000000"/>
          <w:spacing w:val="6"/>
          <w:sz w:val="36"/>
          <w:szCs w:val="36"/>
        </w:rPr>
      </w:pPr>
      <w:bookmarkStart w:id="9337" w:name="bookmark157"/>
      <w:bookmarkEnd w:id="9337"/>
      <w:r>
        <w:rPr>
          <w:rFonts w:ascii="方正小标宋_GBK" w:eastAsia="方正小标宋_GBK" w:hAnsi="宋体"/>
          <w:color w:val="000000"/>
          <w:spacing w:val="6"/>
          <w:sz w:val="36"/>
          <w:szCs w:val="36"/>
        </w:rPr>
        <w:t>送达回证</w:t>
      </w:r>
    </w:p>
    <w:p w:rsidR="00800760" w:rsidRDefault="00800760">
      <w:pPr>
        <w:pStyle w:val="a5"/>
        <w:spacing w:after="0" w:line="240" w:lineRule="auto"/>
        <w:ind w:firstLineChars="0" w:firstLine="0"/>
        <w:rPr>
          <w:sz w:val="20"/>
        </w:rPr>
      </w:pPr>
    </w:p>
    <w:p w:rsidR="00800760" w:rsidRDefault="00235733">
      <w:pPr>
        <w:spacing w:line="360" w:lineRule="auto"/>
        <w:ind w:firstLineChars="0" w:firstLine="0"/>
        <w:jc w:val="right"/>
        <w:rPr>
          <w:rFonts w:ascii="仿宋_GB2312" w:eastAsia="仿宋_GB2312"/>
          <w:sz w:val="20"/>
          <w:lang w:eastAsia="en-US"/>
        </w:rPr>
      </w:pPr>
      <w:r>
        <w:rPr>
          <w:rFonts w:ascii="仿宋_GB2312" w:eastAsia="仿宋_GB2312" w:hAnsi="仿宋" w:hint="eastAsia"/>
          <w:color w:val="000000"/>
          <w:sz w:val="20"/>
        </w:rPr>
        <w:t>案号：____________________</w:t>
      </w:r>
    </w:p>
    <w:tbl>
      <w:tblPr>
        <w:tblStyle w:val="TableNormal"/>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092"/>
        <w:gridCol w:w="5837"/>
      </w:tblGrid>
      <w:tr w:rsidR="00800760">
        <w:trPr>
          <w:trHeight w:val="414"/>
        </w:trPr>
        <w:tc>
          <w:tcPr>
            <w:tcW w:w="2092"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送达单位</w:t>
            </w:r>
          </w:p>
        </w:tc>
        <w:tc>
          <w:tcPr>
            <w:tcW w:w="5837" w:type="dxa"/>
          </w:tcPr>
          <w:p w:rsidR="00800760" w:rsidRDefault="00800760">
            <w:pPr>
              <w:spacing w:before="62" w:line="360" w:lineRule="auto"/>
              <w:ind w:left="20" w:right="304" w:firstLineChars="0" w:firstLine="400"/>
              <w:jc w:val="center"/>
              <w:rPr>
                <w:rFonts w:ascii="仿宋_GB2312" w:eastAsia="仿宋_GB2312" w:hAnsi="仿宋" w:cs="仿宋"/>
                <w:spacing w:val="2"/>
                <w:sz w:val="20"/>
              </w:rPr>
            </w:pPr>
          </w:p>
        </w:tc>
      </w:tr>
      <w:tr w:rsidR="00800760">
        <w:trPr>
          <w:trHeight w:val="400"/>
        </w:trPr>
        <w:tc>
          <w:tcPr>
            <w:tcW w:w="2092"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送达文书及页数</w:t>
            </w:r>
          </w:p>
        </w:tc>
        <w:tc>
          <w:tcPr>
            <w:tcW w:w="5837" w:type="dxa"/>
          </w:tcPr>
          <w:p w:rsidR="00800760" w:rsidRDefault="00800760">
            <w:pPr>
              <w:spacing w:before="62" w:line="360" w:lineRule="auto"/>
              <w:ind w:left="20" w:right="304" w:firstLineChars="0" w:firstLine="400"/>
              <w:jc w:val="center"/>
              <w:rPr>
                <w:rFonts w:ascii="仿宋_GB2312" w:eastAsia="仿宋_GB2312" w:hAnsi="仿宋" w:cs="仿宋"/>
                <w:spacing w:val="2"/>
                <w:sz w:val="20"/>
              </w:rPr>
            </w:pPr>
          </w:p>
        </w:tc>
      </w:tr>
      <w:tr w:rsidR="00800760">
        <w:trPr>
          <w:trHeight w:val="409"/>
        </w:trPr>
        <w:tc>
          <w:tcPr>
            <w:tcW w:w="2092"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被送达人</w:t>
            </w:r>
          </w:p>
        </w:tc>
        <w:tc>
          <w:tcPr>
            <w:tcW w:w="5837" w:type="dxa"/>
          </w:tcPr>
          <w:p w:rsidR="00800760" w:rsidRDefault="00800760">
            <w:pPr>
              <w:spacing w:before="62" w:line="360" w:lineRule="auto"/>
              <w:ind w:left="20" w:right="304" w:firstLineChars="0" w:firstLine="400"/>
              <w:jc w:val="center"/>
              <w:rPr>
                <w:rFonts w:ascii="仿宋_GB2312" w:eastAsia="仿宋_GB2312" w:hAnsi="仿宋" w:cs="仿宋"/>
                <w:spacing w:val="2"/>
                <w:sz w:val="20"/>
              </w:rPr>
            </w:pPr>
          </w:p>
        </w:tc>
      </w:tr>
      <w:tr w:rsidR="00800760">
        <w:trPr>
          <w:trHeight w:val="410"/>
        </w:trPr>
        <w:tc>
          <w:tcPr>
            <w:tcW w:w="2092"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代理机构及代理人</w:t>
            </w:r>
          </w:p>
        </w:tc>
        <w:tc>
          <w:tcPr>
            <w:tcW w:w="5837" w:type="dxa"/>
          </w:tcPr>
          <w:p w:rsidR="00800760" w:rsidRDefault="00800760">
            <w:pPr>
              <w:spacing w:before="62" w:line="360" w:lineRule="auto"/>
              <w:ind w:left="20" w:right="304" w:firstLineChars="0" w:firstLine="400"/>
              <w:jc w:val="center"/>
              <w:rPr>
                <w:rFonts w:ascii="仿宋_GB2312" w:eastAsia="仿宋_GB2312" w:hAnsi="仿宋" w:cs="仿宋"/>
                <w:spacing w:val="2"/>
                <w:sz w:val="20"/>
              </w:rPr>
            </w:pPr>
          </w:p>
        </w:tc>
      </w:tr>
      <w:tr w:rsidR="00800760">
        <w:trPr>
          <w:trHeight w:val="409"/>
        </w:trPr>
        <w:tc>
          <w:tcPr>
            <w:tcW w:w="2092"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送达地址</w:t>
            </w:r>
          </w:p>
        </w:tc>
        <w:tc>
          <w:tcPr>
            <w:tcW w:w="5837" w:type="dxa"/>
          </w:tcPr>
          <w:p w:rsidR="00800760" w:rsidRDefault="00800760">
            <w:pPr>
              <w:spacing w:before="62" w:line="360" w:lineRule="auto"/>
              <w:ind w:left="20" w:right="304" w:firstLineChars="0" w:firstLine="400"/>
              <w:jc w:val="center"/>
              <w:rPr>
                <w:rFonts w:ascii="仿宋_GB2312" w:eastAsia="仿宋_GB2312" w:hAnsi="仿宋" w:cs="仿宋"/>
                <w:spacing w:val="2"/>
                <w:sz w:val="20"/>
              </w:rPr>
            </w:pPr>
          </w:p>
        </w:tc>
      </w:tr>
      <w:tr w:rsidR="00800760">
        <w:trPr>
          <w:trHeight w:val="419"/>
        </w:trPr>
        <w:tc>
          <w:tcPr>
            <w:tcW w:w="2092"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送达方式</w:t>
            </w:r>
          </w:p>
        </w:tc>
        <w:tc>
          <w:tcPr>
            <w:tcW w:w="5837"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□邮寄   □直接送达    □留置送达</w:t>
            </w:r>
          </w:p>
        </w:tc>
      </w:tr>
      <w:tr w:rsidR="00800760">
        <w:trPr>
          <w:trHeight w:val="409"/>
        </w:trPr>
        <w:tc>
          <w:tcPr>
            <w:tcW w:w="2092"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收件人签章</w:t>
            </w:r>
          </w:p>
        </w:tc>
        <w:tc>
          <w:tcPr>
            <w:tcW w:w="5837"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年   月   日</w:t>
            </w:r>
          </w:p>
        </w:tc>
      </w:tr>
      <w:tr w:rsidR="00800760">
        <w:trPr>
          <w:trHeight w:val="409"/>
        </w:trPr>
        <w:tc>
          <w:tcPr>
            <w:tcW w:w="2092"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送达人签章</w:t>
            </w:r>
          </w:p>
        </w:tc>
        <w:tc>
          <w:tcPr>
            <w:tcW w:w="5837"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年   月    日</w:t>
            </w:r>
          </w:p>
        </w:tc>
      </w:tr>
      <w:tr w:rsidR="00800760">
        <w:trPr>
          <w:trHeight w:val="400"/>
        </w:trPr>
        <w:tc>
          <w:tcPr>
            <w:tcW w:w="2092" w:type="dxa"/>
          </w:tcPr>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备注</w:t>
            </w:r>
          </w:p>
        </w:tc>
        <w:tc>
          <w:tcPr>
            <w:tcW w:w="5837" w:type="dxa"/>
          </w:tcPr>
          <w:p w:rsidR="00800760" w:rsidRDefault="00800760">
            <w:pPr>
              <w:spacing w:before="62" w:line="360" w:lineRule="auto"/>
              <w:ind w:left="20" w:right="304" w:firstLineChars="0" w:firstLine="400"/>
              <w:jc w:val="center"/>
              <w:rPr>
                <w:rFonts w:ascii="仿宋_GB2312" w:eastAsia="仿宋_GB2312" w:hAnsi="仿宋" w:cs="仿宋"/>
                <w:spacing w:val="2"/>
                <w:sz w:val="20"/>
              </w:rPr>
            </w:pPr>
          </w:p>
        </w:tc>
      </w:tr>
      <w:tr w:rsidR="00800760">
        <w:trPr>
          <w:trHeight w:val="2921"/>
        </w:trPr>
        <w:tc>
          <w:tcPr>
            <w:tcW w:w="2092" w:type="dxa"/>
          </w:tcPr>
          <w:p w:rsidR="00800760" w:rsidRDefault="00800760">
            <w:pPr>
              <w:spacing w:before="62" w:line="360" w:lineRule="auto"/>
              <w:ind w:left="20" w:right="304" w:firstLineChars="0" w:firstLine="400"/>
              <w:jc w:val="center"/>
              <w:rPr>
                <w:rFonts w:ascii="仿宋_GB2312" w:eastAsia="仿宋_GB2312" w:hAnsi="仿宋" w:cs="仿宋"/>
                <w:spacing w:val="2"/>
                <w:sz w:val="20"/>
              </w:rPr>
            </w:pPr>
          </w:p>
          <w:p w:rsidR="00800760" w:rsidRDefault="00800760">
            <w:pPr>
              <w:spacing w:before="62" w:line="360" w:lineRule="auto"/>
              <w:ind w:left="20" w:right="304" w:firstLineChars="0" w:firstLine="400"/>
              <w:jc w:val="center"/>
              <w:rPr>
                <w:rFonts w:ascii="仿宋_GB2312" w:eastAsia="仿宋_GB2312" w:hAnsi="仿宋" w:cs="仿宋"/>
                <w:spacing w:val="2"/>
                <w:sz w:val="20"/>
              </w:rPr>
            </w:pPr>
          </w:p>
          <w:p w:rsidR="00800760" w:rsidRDefault="00235733">
            <w:pPr>
              <w:spacing w:before="62" w:line="360" w:lineRule="auto"/>
              <w:ind w:left="20" w:right="304" w:firstLineChars="0" w:firstLine="400"/>
              <w:jc w:val="center"/>
              <w:rPr>
                <w:rFonts w:ascii="仿宋_GB2312" w:eastAsia="仿宋_GB2312" w:hAnsi="仿宋" w:cs="仿宋"/>
                <w:spacing w:val="2"/>
                <w:sz w:val="20"/>
              </w:rPr>
            </w:pPr>
            <w:r>
              <w:rPr>
                <w:rFonts w:ascii="仿宋_GB2312" w:eastAsia="仿宋_GB2312" w:hAnsi="仿宋" w:cs="仿宋" w:hint="eastAsia"/>
                <w:spacing w:val="2"/>
                <w:sz w:val="20"/>
              </w:rPr>
              <w:t>填写说明</w:t>
            </w:r>
          </w:p>
        </w:tc>
        <w:tc>
          <w:tcPr>
            <w:tcW w:w="5837" w:type="dxa"/>
          </w:tcPr>
          <w:p w:rsidR="00800760" w:rsidRDefault="00235733">
            <w:pPr>
              <w:spacing w:before="62" w:line="360"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1.代替被送达人收件的，由代收人在收件人栏内签名或 者盖章，并在备注栏中注明与被送达人的关系。</w:t>
            </w:r>
          </w:p>
          <w:p w:rsidR="00800760" w:rsidRDefault="00235733">
            <w:pPr>
              <w:spacing w:before="62" w:line="360"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2.邮寄送达的，被送达人或代理人收到有关文书后，请 于3日内填写此送达回证并寄回本局。</w:t>
            </w:r>
          </w:p>
          <w:p w:rsidR="00800760" w:rsidRDefault="00235733">
            <w:pPr>
              <w:spacing w:before="62" w:line="360" w:lineRule="auto"/>
              <w:ind w:left="20" w:right="304" w:firstLineChars="0" w:firstLine="400"/>
              <w:rPr>
                <w:rFonts w:ascii="仿宋_GB2312" w:eastAsia="仿宋_GB2312" w:hAnsi="仿宋" w:cs="仿宋"/>
                <w:spacing w:val="2"/>
                <w:sz w:val="20"/>
              </w:rPr>
            </w:pPr>
            <w:r>
              <w:rPr>
                <w:rFonts w:ascii="仿宋_GB2312" w:eastAsia="仿宋_GB2312" w:hAnsi="仿宋" w:cs="仿宋" w:hint="eastAsia"/>
                <w:spacing w:val="2"/>
                <w:sz w:val="20"/>
              </w:rPr>
              <w:t>联 系 人 ： 联系电话： 本局地址： 邮政编码：</w:t>
            </w:r>
          </w:p>
        </w:tc>
      </w:tr>
    </w:tbl>
    <w:p w:rsidR="00800760" w:rsidRDefault="00800760">
      <w:pPr>
        <w:spacing w:line="360" w:lineRule="auto"/>
        <w:rPr>
          <w:rFonts w:ascii="仿宋_GB2312" w:eastAsia="仿宋_GB2312"/>
        </w:rPr>
        <w:sectPr w:rsidR="00800760" w:rsidSect="008175D7">
          <w:footerReference w:type="default" r:id="rId104"/>
          <w:pgSz w:w="10830" w:h="15080"/>
          <w:pgMar w:top="1373" w:right="1570" w:bottom="1314" w:left="1279" w:header="431" w:footer="969" w:gutter="0"/>
          <w:cols w:space="720"/>
          <w:docGrid w:linePitch="286"/>
        </w:sectPr>
      </w:pPr>
    </w:p>
    <w:p w:rsidR="00800760" w:rsidRDefault="00800760">
      <w:pPr>
        <w:widowControl w:val="0"/>
        <w:ind w:firstLineChars="0" w:firstLine="0"/>
        <w:jc w:val="center"/>
        <w:rPr>
          <w:rFonts w:ascii="宋体" w:hAnsi="宋体"/>
          <w:b/>
          <w:color w:val="000000"/>
          <w:szCs w:val="21"/>
        </w:rPr>
      </w:pPr>
    </w:p>
    <w:p w:rsidR="00800760" w:rsidRDefault="00800760">
      <w:pPr>
        <w:widowControl w:val="0"/>
        <w:ind w:firstLineChars="0" w:firstLine="0"/>
        <w:jc w:val="both"/>
        <w:rPr>
          <w:rFonts w:ascii="宋体" w:hAnsi="宋体"/>
          <w:b/>
          <w:color w:val="000000"/>
          <w:szCs w:val="21"/>
        </w:rPr>
      </w:pPr>
    </w:p>
    <w:p w:rsidR="00800760" w:rsidRDefault="00800760">
      <w:pPr>
        <w:widowControl w:val="0"/>
        <w:ind w:firstLineChars="0" w:firstLine="0"/>
        <w:jc w:val="center"/>
        <w:rPr>
          <w:rFonts w:ascii="宋体" w:hAnsi="宋体"/>
          <w:b/>
          <w:color w:val="000000"/>
          <w:szCs w:val="21"/>
        </w:rPr>
      </w:pPr>
    </w:p>
    <w:p w:rsidR="00800760" w:rsidRDefault="00800760">
      <w:pPr>
        <w:widowControl w:val="0"/>
        <w:ind w:firstLineChars="0" w:firstLine="0"/>
        <w:jc w:val="center"/>
        <w:rPr>
          <w:rFonts w:ascii="宋体" w:hAnsi="宋体"/>
          <w:b/>
          <w:color w:val="000000"/>
          <w:szCs w:val="21"/>
        </w:rPr>
      </w:pPr>
    </w:p>
    <w:p w:rsidR="00800760" w:rsidRDefault="00800760">
      <w:pPr>
        <w:widowControl w:val="0"/>
        <w:ind w:firstLineChars="0" w:firstLine="0"/>
        <w:jc w:val="center"/>
        <w:rPr>
          <w:rFonts w:ascii="宋体" w:hAnsi="宋体"/>
          <w:b/>
          <w:color w:val="000000"/>
          <w:szCs w:val="21"/>
        </w:rPr>
      </w:pPr>
    </w:p>
    <w:p w:rsidR="00800760" w:rsidRDefault="00800760">
      <w:pPr>
        <w:widowControl w:val="0"/>
        <w:ind w:firstLineChars="0" w:firstLine="0"/>
        <w:jc w:val="center"/>
        <w:rPr>
          <w:rFonts w:ascii="宋体" w:hAnsi="宋体"/>
          <w:b/>
          <w:color w:val="000000"/>
          <w:szCs w:val="21"/>
        </w:rPr>
      </w:pPr>
    </w:p>
    <w:p w:rsidR="00800760" w:rsidRDefault="00800760">
      <w:pPr>
        <w:widowControl w:val="0"/>
        <w:ind w:firstLineChars="0" w:firstLine="0"/>
        <w:jc w:val="both"/>
        <w:rPr>
          <w:rFonts w:ascii="方正小标宋_GBK" w:eastAsia="方正小标宋_GBK" w:hAnsi="宋体"/>
          <w:color w:val="000000"/>
          <w:spacing w:val="6"/>
          <w:sz w:val="36"/>
          <w:szCs w:val="36"/>
        </w:rPr>
      </w:pPr>
    </w:p>
    <w:p w:rsidR="00800760" w:rsidRDefault="00800760">
      <w:pPr>
        <w:widowControl w:val="0"/>
        <w:ind w:firstLineChars="0" w:firstLine="0"/>
        <w:jc w:val="both"/>
        <w:rPr>
          <w:rFonts w:ascii="方正小标宋_GBK" w:eastAsia="方正小标宋_GBK" w:hAnsi="宋体"/>
          <w:color w:val="000000"/>
          <w:spacing w:val="6"/>
          <w:sz w:val="36"/>
          <w:szCs w:val="36"/>
        </w:rPr>
      </w:pPr>
    </w:p>
    <w:p w:rsidR="00800760" w:rsidRDefault="00800760">
      <w:pPr>
        <w:widowControl w:val="0"/>
        <w:ind w:firstLineChars="0" w:firstLine="0"/>
        <w:jc w:val="center"/>
        <w:rPr>
          <w:rFonts w:ascii="方正小标宋_GBK" w:eastAsia="方正小标宋_GBK" w:hAnsi="宋体"/>
          <w:color w:val="000000"/>
          <w:spacing w:val="6"/>
          <w:sz w:val="36"/>
          <w:szCs w:val="36"/>
        </w:rPr>
      </w:pPr>
    </w:p>
    <w:p w:rsidR="00800760" w:rsidRDefault="00235733">
      <w:pPr>
        <w:widowControl w:val="0"/>
        <w:ind w:firstLineChars="0" w:firstLine="0"/>
        <w:jc w:val="center"/>
        <w:outlineLvl w:val="0"/>
        <w:rPr>
          <w:rFonts w:ascii="方正小标宋_GBK" w:eastAsia="方正小标宋_GBK" w:hAnsi="宋体"/>
          <w:color w:val="000000"/>
          <w:spacing w:val="6"/>
          <w:sz w:val="44"/>
          <w:szCs w:val="44"/>
        </w:rPr>
      </w:pPr>
      <w:bookmarkStart w:id="9338" w:name="_Toc229225669"/>
      <w:r>
        <w:rPr>
          <w:rFonts w:ascii="方正小标宋_GBK" w:eastAsia="方正小标宋_GBK" w:hAnsi="宋体" w:hint="eastAsia"/>
          <w:color w:val="000000"/>
          <w:spacing w:val="6"/>
          <w:sz w:val="44"/>
          <w:szCs w:val="44"/>
        </w:rPr>
        <w:t>二</w:t>
      </w:r>
      <w:r>
        <w:rPr>
          <w:rFonts w:ascii="方正小标宋_GBK" w:eastAsia="方正小标宋_GBK" w:hAnsi="宋体"/>
          <w:color w:val="000000"/>
          <w:spacing w:val="6"/>
          <w:sz w:val="44"/>
          <w:szCs w:val="44"/>
        </w:rPr>
        <w:t>、知识产权局内部用文书表格</w:t>
      </w:r>
      <w:bookmarkEnd w:id="9338"/>
    </w:p>
    <w:p w:rsidR="00800760" w:rsidRDefault="00800760" w:rsidP="00235733">
      <w:pPr>
        <w:widowControl w:val="0"/>
        <w:ind w:left="440" w:firstLine="422"/>
        <w:rPr>
          <w:rFonts w:ascii="宋体" w:hAnsi="宋体" w:cs="Microsoft JhengHei"/>
          <w:b/>
          <w:color w:val="000000"/>
          <w:kern w:val="2"/>
          <w:szCs w:val="21"/>
          <w:lang w:val="en-US"/>
        </w:rPr>
      </w:pP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highlight w:val="yellow"/>
        </w:rPr>
      </w:pPr>
      <w:r>
        <w:rPr>
          <w:rFonts w:ascii="宋体" w:hAnsi="宋体"/>
          <w:b/>
          <w:color w:val="000000"/>
          <w:szCs w:val="21"/>
        </w:rPr>
        <w:br w:type="page"/>
      </w:r>
      <w:r>
        <w:rPr>
          <w:rFonts w:ascii="方正小标宋_GBK" w:eastAsia="方正小标宋_GBK" w:hAnsi="宋体"/>
          <w:color w:val="000000"/>
          <w:spacing w:val="6"/>
          <w:sz w:val="36"/>
          <w:szCs w:val="36"/>
        </w:rPr>
        <w:t>专利侵权纠纷案件立案审批表</w:t>
      </w:r>
    </w:p>
    <w:p w:rsidR="00800760" w:rsidRDefault="00235733">
      <w:pPr>
        <w:widowControl w:val="0"/>
        <w:spacing w:line="360" w:lineRule="auto"/>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6786"/>
      </w:tblGrid>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专利号</w:t>
            </w:r>
          </w:p>
        </w:tc>
        <w:tc>
          <w:tcPr>
            <w:tcW w:w="3627"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专利名称</w:t>
            </w:r>
          </w:p>
        </w:tc>
        <w:tc>
          <w:tcPr>
            <w:tcW w:w="3627"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color w:val="000000"/>
                <w:kern w:val="2"/>
                <w:sz w:val="20"/>
                <w:lang w:val="en-US"/>
              </w:rPr>
            </w:pPr>
          </w:p>
        </w:tc>
      </w:tr>
      <w:tr w:rsidR="00800760">
        <w:trPr>
          <w:trHeight w:val="423"/>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专利权人</w:t>
            </w:r>
          </w:p>
        </w:tc>
        <w:tc>
          <w:tcPr>
            <w:tcW w:w="3627"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请求人</w:t>
            </w:r>
          </w:p>
        </w:tc>
        <w:tc>
          <w:tcPr>
            <w:tcW w:w="3627"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被请求人</w:t>
            </w:r>
          </w:p>
        </w:tc>
        <w:tc>
          <w:tcPr>
            <w:tcW w:w="3627"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案情简介</w:t>
            </w:r>
          </w:p>
        </w:tc>
        <w:tc>
          <w:tcPr>
            <w:tcW w:w="3627" w:type="pct"/>
            <w:tcMar>
              <w:left w:w="57" w:type="dxa"/>
              <w:right w:w="57" w:type="dxa"/>
            </w:tcMar>
          </w:tcPr>
          <w:p w:rsidR="00800760" w:rsidRDefault="00235733" w:rsidP="00C22A7B">
            <w:pPr>
              <w:widowControl w:val="0"/>
              <w:spacing w:beforeLines="50" w:afterLines="50" w:line="360" w:lineRule="auto"/>
              <w:ind w:firstLine="400"/>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例：年 月 日，我局收到请求人XXX《专利侵权纠纷处理请求书》、主体资格证明材料、专利侵权纠纷行政裁决授权委托书、专利权有效的证明、相关证据及证明材料。请求人请求我局处理与被请求人关于“XXX”（专利号：XXX）的专利侵权事项。请求人提交的相关材料符合《专利纠纷行政裁决和调解办法》第十二条、十四条、十五条规定的立案条件。</w:t>
            </w: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办案人员</w:t>
            </w:r>
          </w:p>
        </w:tc>
        <w:tc>
          <w:tcPr>
            <w:tcW w:w="3627" w:type="pct"/>
            <w:tcMar>
              <w:left w:w="57" w:type="dxa"/>
              <w:right w:w="57" w:type="dxa"/>
            </w:tcMar>
          </w:tcPr>
          <w:p w:rsidR="00800760" w:rsidRDefault="00235733" w:rsidP="00C22A7B">
            <w:pPr>
              <w:widowControl w:val="0"/>
              <w:spacing w:beforeLines="50" w:afterLines="50" w:line="360" w:lineRule="auto"/>
              <w:ind w:firstLineChars="0" w:firstLine="0"/>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建议XXX、XXX、XXX等3名（3名以上单数）办案人员组成合议组处理该专利侵权纠纷。</w:t>
            </w:r>
          </w:p>
          <w:p w:rsidR="00800760" w:rsidRDefault="00800760" w:rsidP="00C22A7B">
            <w:pPr>
              <w:widowControl w:val="0"/>
              <w:spacing w:beforeLines="50" w:afterLines="50" w:line="360" w:lineRule="auto"/>
              <w:ind w:firstLineChars="0" w:firstLine="0"/>
              <w:jc w:val="right"/>
              <w:rPr>
                <w:rFonts w:ascii="仿宋_GB2312" w:eastAsia="仿宋_GB2312" w:hAnsi="宋体"/>
                <w:color w:val="000000"/>
                <w:spacing w:val="6"/>
                <w:sz w:val="20"/>
              </w:rPr>
            </w:pPr>
          </w:p>
        </w:tc>
      </w:tr>
      <w:tr w:rsidR="00800760">
        <w:trPr>
          <w:trHeight w:val="20"/>
        </w:trPr>
        <w:tc>
          <w:tcPr>
            <w:tcW w:w="1373"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val="en-US"/>
              </w:rPr>
            </w:pPr>
            <w:r>
              <w:rPr>
                <w:rFonts w:ascii="仿宋_GB2312" w:eastAsia="仿宋_GB2312" w:hAnsi="宋体" w:cs="Microsoft JhengHei" w:hint="eastAsia"/>
                <w:color w:val="000000"/>
                <w:sz w:val="20"/>
                <w:lang w:val="en-US"/>
              </w:rPr>
              <w:t>承办人意见</w:t>
            </w:r>
          </w:p>
          <w:p w:rsidR="00800760" w:rsidRDefault="00800760" w:rsidP="00235733">
            <w:pPr>
              <w:widowControl w:val="0"/>
              <w:spacing w:line="360" w:lineRule="auto"/>
              <w:ind w:firstLine="400"/>
              <w:jc w:val="center"/>
              <w:rPr>
                <w:rFonts w:ascii="仿宋_GB2312" w:eastAsia="仿宋_GB2312" w:hAnsi="宋体" w:cs="Microsoft JhengHei"/>
                <w:color w:val="000000"/>
                <w:kern w:val="2"/>
                <w:sz w:val="20"/>
                <w:lang w:val="en-US"/>
              </w:rPr>
            </w:pPr>
          </w:p>
        </w:tc>
        <w:tc>
          <w:tcPr>
            <w:tcW w:w="3627" w:type="pct"/>
            <w:tcMar>
              <w:left w:w="57" w:type="dxa"/>
              <w:right w:w="57" w:type="dxa"/>
            </w:tcMar>
          </w:tcPr>
          <w:p w:rsidR="00800760" w:rsidRDefault="00800760">
            <w:pPr>
              <w:widowControl w:val="0"/>
              <w:spacing w:line="360" w:lineRule="auto"/>
              <w:ind w:firstLineChars="1750" w:firstLine="3710"/>
              <w:rPr>
                <w:rFonts w:ascii="仿宋_GB2312" w:eastAsia="仿宋_GB2312" w:hAnsi="宋体"/>
                <w:color w:val="000000"/>
                <w:spacing w:val="6"/>
                <w:sz w:val="20"/>
              </w:rPr>
            </w:pPr>
          </w:p>
          <w:p w:rsidR="00800760" w:rsidRDefault="00235733">
            <w:pPr>
              <w:widowControl w:val="0"/>
              <w:spacing w:line="360" w:lineRule="auto"/>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spacing w:line="360" w:lineRule="auto"/>
              <w:ind w:firstLineChars="0" w:firstLine="0"/>
              <w:rPr>
                <w:rFonts w:ascii="仿宋_GB2312" w:eastAsia="仿宋_GB2312" w:hAnsi="宋体" w:cs="Microsoft JhengHei"/>
                <w:color w:val="000000"/>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处（科）室负责人审核</w:t>
            </w:r>
          </w:p>
        </w:tc>
        <w:tc>
          <w:tcPr>
            <w:tcW w:w="3627" w:type="pct"/>
            <w:tcMar>
              <w:left w:w="57" w:type="dxa"/>
              <w:right w:w="57" w:type="dxa"/>
            </w:tcMar>
          </w:tcPr>
          <w:p w:rsidR="00800760" w:rsidRDefault="00800760">
            <w:pPr>
              <w:widowControl w:val="0"/>
              <w:spacing w:line="360" w:lineRule="auto"/>
              <w:ind w:firstLineChars="0" w:firstLine="0"/>
              <w:rPr>
                <w:rFonts w:ascii="仿宋_GB2312" w:eastAsia="仿宋_GB2312" w:hAnsi="宋体"/>
                <w:color w:val="000000"/>
                <w:spacing w:val="6"/>
                <w:sz w:val="20"/>
              </w:rPr>
            </w:pPr>
          </w:p>
          <w:p w:rsidR="00800760" w:rsidRDefault="00800760">
            <w:pPr>
              <w:widowControl w:val="0"/>
              <w:spacing w:line="360" w:lineRule="auto"/>
              <w:ind w:firstLineChars="0" w:firstLine="0"/>
              <w:rPr>
                <w:rFonts w:ascii="仿宋_GB2312" w:eastAsia="仿宋_GB2312" w:hAnsi="宋体"/>
                <w:color w:val="000000"/>
                <w:spacing w:val="6"/>
                <w:sz w:val="20"/>
              </w:rPr>
            </w:pPr>
          </w:p>
          <w:p w:rsidR="00800760" w:rsidRDefault="00235733">
            <w:pPr>
              <w:widowControl w:val="0"/>
              <w:spacing w:line="360" w:lineRule="auto"/>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spacing w:line="360" w:lineRule="auto"/>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部门负责人意见</w:t>
            </w:r>
          </w:p>
        </w:tc>
        <w:tc>
          <w:tcPr>
            <w:tcW w:w="3627" w:type="pct"/>
            <w:tcMar>
              <w:left w:w="57" w:type="dxa"/>
              <w:right w:w="57" w:type="dxa"/>
            </w:tcMar>
          </w:tcPr>
          <w:p w:rsidR="00800760" w:rsidRDefault="00800760">
            <w:pPr>
              <w:widowControl w:val="0"/>
              <w:spacing w:line="360" w:lineRule="auto"/>
              <w:ind w:firstLineChars="0" w:firstLine="0"/>
              <w:rPr>
                <w:rFonts w:ascii="仿宋_GB2312" w:eastAsia="仿宋_GB2312" w:hAnsi="宋体"/>
                <w:color w:val="000000"/>
                <w:spacing w:val="6"/>
                <w:sz w:val="20"/>
              </w:rPr>
            </w:pPr>
          </w:p>
          <w:p w:rsidR="00800760" w:rsidRDefault="00235733">
            <w:pPr>
              <w:widowControl w:val="0"/>
              <w:spacing w:line="360" w:lineRule="auto"/>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spacing w:line="360" w:lineRule="auto"/>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bl>
    <w:p w:rsidR="00800760" w:rsidRDefault="00235733">
      <w:pPr>
        <w:spacing w:line="240" w:lineRule="auto"/>
        <w:ind w:firstLineChars="0" w:firstLine="0"/>
        <w:rPr>
          <w:rFonts w:ascii="宋体" w:hAnsi="宋体" w:cs="PMingLiU"/>
          <w:color w:val="000000"/>
          <w:szCs w:val="21"/>
        </w:rPr>
      </w:pPr>
      <w:r>
        <w:rPr>
          <w:rFonts w:ascii="宋体" w:hAnsi="宋体" w:cs="PMingLiU"/>
          <w:color w:val="000000"/>
          <w:szCs w:val="21"/>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重大专利侵权纠纷行政裁决立案审批表</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3392"/>
        <w:gridCol w:w="3394"/>
      </w:tblGrid>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专利号</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专利名称</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专利权人</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请求人</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被请求人</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案情简介</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406"/>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rPr>
              <w:t>合议组</w:t>
            </w:r>
            <w:r>
              <w:rPr>
                <w:rFonts w:ascii="仿宋_GB2312" w:eastAsia="仿宋_GB2312" w:hAnsi="宋体" w:cs="Microsoft JhengHei" w:hint="eastAsia"/>
                <w:color w:val="000000"/>
                <w:sz w:val="20"/>
                <w:lang w:eastAsia="en-US"/>
              </w:rPr>
              <w:t>意见</w:t>
            </w:r>
          </w:p>
        </w:tc>
        <w:tc>
          <w:tcPr>
            <w:tcW w:w="3627" w:type="pct"/>
            <w:gridSpan w:val="2"/>
            <w:shd w:val="clear" w:color="auto" w:fill="auto"/>
            <w:tcMar>
              <w:left w:w="57" w:type="dxa"/>
              <w:right w:w="57" w:type="dxa"/>
            </w:tcMar>
          </w:tcPr>
          <w:p w:rsidR="00800760" w:rsidRDefault="00235733">
            <w:pPr>
              <w:spacing w:line="360" w:lineRule="auto"/>
              <w:ind w:firstLineChars="0" w:firstLine="3885"/>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签字：</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 </w:t>
            </w:r>
          </w:p>
          <w:p w:rsidR="00800760" w:rsidRDefault="00235733">
            <w:pPr>
              <w:spacing w:line="360" w:lineRule="auto"/>
              <w:ind w:firstLineChars="0" w:firstLine="444"/>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r>
      <w:tr w:rsidR="00800760">
        <w:trPr>
          <w:trHeight w:val="20"/>
        </w:trPr>
        <w:tc>
          <w:tcPr>
            <w:tcW w:w="1373" w:type="pct"/>
            <w:vMerge w:val="restar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rPr>
            </w:pPr>
          </w:p>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rPr>
              <w:t>委员会办公室审核</w:t>
            </w:r>
          </w:p>
        </w:tc>
        <w:tc>
          <w:tcPr>
            <w:tcW w:w="1813"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（保护司执法指导处）</w:t>
            </w:r>
          </w:p>
          <w:p w:rsidR="00800760" w:rsidRDefault="00235733">
            <w:pPr>
              <w:spacing w:line="360" w:lineRule="auto"/>
              <w:ind w:leftChars="100" w:left="210" w:firstLineChars="600" w:firstLine="1272"/>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c>
          <w:tcPr>
            <w:tcW w:w="1814" w:type="pct"/>
            <w:shd w:val="clear" w:color="auto" w:fill="auto"/>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（复审无效部行政裁决业务处）</w:t>
            </w:r>
          </w:p>
          <w:p w:rsidR="00800760" w:rsidRDefault="00235733">
            <w:pPr>
              <w:spacing w:line="360" w:lineRule="auto"/>
              <w:ind w:firstLineChars="650" w:firstLine="1378"/>
              <w:rPr>
                <w:rFonts w:ascii="仿宋_GB2312" w:eastAsia="仿宋_GB2312" w:hAnsi="宋体"/>
                <w:color w:val="000000"/>
                <w:spacing w:val="6"/>
                <w:sz w:val="20"/>
                <w:u w:val="single"/>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p>
          <w:p w:rsidR="00800760" w:rsidRDefault="00235733">
            <w:pPr>
              <w:spacing w:line="360" w:lineRule="auto"/>
              <w:ind w:firstLineChars="450" w:firstLine="954"/>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rPr>
            </w:pPr>
          </w:p>
        </w:tc>
        <w:tc>
          <w:tcPr>
            <w:tcW w:w="1813"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（保护司执法指导处分管司领导）</w:t>
            </w:r>
          </w:p>
          <w:p w:rsidR="00800760" w:rsidRDefault="00800760">
            <w:pPr>
              <w:spacing w:line="360" w:lineRule="auto"/>
              <w:ind w:leftChars="100" w:left="210" w:firstLineChars="600" w:firstLine="1272"/>
              <w:rPr>
                <w:rFonts w:ascii="仿宋_GB2312" w:eastAsia="仿宋_GB2312" w:hAnsi="宋体"/>
                <w:color w:val="000000"/>
                <w:spacing w:val="6"/>
                <w:sz w:val="20"/>
              </w:rPr>
            </w:pPr>
          </w:p>
          <w:p w:rsidR="00800760" w:rsidRDefault="00235733">
            <w:pPr>
              <w:spacing w:line="360" w:lineRule="auto"/>
              <w:ind w:leftChars="100" w:left="210" w:firstLineChars="600" w:firstLine="1272"/>
              <w:rPr>
                <w:rFonts w:ascii="仿宋_GB2312" w:eastAsia="仿宋_GB2312" w:hAnsi="宋体"/>
                <w:color w:val="000000"/>
                <w:spacing w:val="6"/>
                <w:sz w:val="20"/>
                <w:u w:val="single"/>
              </w:rPr>
            </w:pPr>
            <w:r>
              <w:rPr>
                <w:rFonts w:ascii="仿宋_GB2312" w:eastAsia="仿宋_GB2312" w:hAnsi="宋体" w:hint="eastAsia"/>
                <w:color w:val="000000"/>
                <w:spacing w:val="6"/>
                <w:sz w:val="20"/>
                <w:lang w:eastAsia="en-US"/>
              </w:rPr>
              <w:t>签字：</w:t>
            </w:r>
            <w:r>
              <w:rPr>
                <w:rFonts w:ascii="仿宋_GB2312" w:eastAsia="仿宋_GB2312" w:hAnsi="宋体" w:hint="eastAsia"/>
                <w:color w:val="000000"/>
                <w:spacing w:val="6"/>
                <w:sz w:val="20"/>
                <w:u w:val="single"/>
                <w:lang w:eastAsia="en-US"/>
              </w:rPr>
              <w:t xml:space="preserve">         </w:t>
            </w:r>
          </w:p>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c>
          <w:tcPr>
            <w:tcW w:w="1814" w:type="pct"/>
            <w:shd w:val="clear" w:color="auto" w:fill="auto"/>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（复审无效部行政裁决业务处分管部领导）</w:t>
            </w:r>
          </w:p>
          <w:p w:rsidR="00800760" w:rsidRDefault="00235733">
            <w:pPr>
              <w:spacing w:line="360" w:lineRule="auto"/>
              <w:ind w:firstLineChars="650" w:firstLine="1378"/>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签字：</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 </w:t>
            </w:r>
          </w:p>
          <w:p w:rsidR="00800760" w:rsidRDefault="00235733">
            <w:pPr>
              <w:spacing w:line="360" w:lineRule="auto"/>
              <w:ind w:firstLineChars="0" w:firstLine="444"/>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日                  </w:t>
            </w:r>
            <w:r>
              <w:rPr>
                <w:rFonts w:ascii="仿宋_GB2312" w:eastAsia="仿宋_GB2312" w:hAnsi="宋体" w:hint="eastAsia"/>
                <w:color w:val="000000"/>
                <w:spacing w:val="6"/>
                <w:sz w:val="20"/>
                <w:u w:val="single"/>
                <w:lang w:eastAsia="en-US"/>
              </w:rPr>
              <w:t xml:space="preserve">      </w:t>
            </w: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委员会副主任审批</w:t>
            </w:r>
          </w:p>
        </w:tc>
        <w:tc>
          <w:tcPr>
            <w:tcW w:w="1813"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（保护司主要负责人）</w:t>
            </w:r>
          </w:p>
          <w:p w:rsidR="00800760" w:rsidRDefault="00235733">
            <w:pPr>
              <w:spacing w:line="360" w:lineRule="auto"/>
              <w:ind w:firstLineChars="650" w:firstLine="1378"/>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c>
          <w:tcPr>
            <w:tcW w:w="1814" w:type="pct"/>
            <w:shd w:val="clear" w:color="auto" w:fill="auto"/>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（复审无效部主要负责人）</w:t>
            </w:r>
          </w:p>
          <w:p w:rsidR="00800760" w:rsidRDefault="00235733">
            <w:pPr>
              <w:spacing w:line="360" w:lineRule="auto"/>
              <w:ind w:firstLineChars="650" w:firstLine="1378"/>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p>
        </w:tc>
      </w:tr>
    </w:tbl>
    <w:p w:rsidR="00800760" w:rsidRDefault="00235733" w:rsidP="00C22A7B">
      <w:pPr>
        <w:widowControl w:val="0"/>
        <w:spacing w:beforeLines="50" w:afterLines="50"/>
        <w:ind w:firstLineChars="0" w:firstLine="0"/>
        <w:jc w:val="center"/>
        <w:rPr>
          <w:rFonts w:ascii="宋体" w:hAnsi="宋体" w:cs="PMingLiU"/>
          <w:color w:val="000000"/>
          <w:szCs w:val="21"/>
        </w:rPr>
      </w:pPr>
      <w:r>
        <w:rPr>
          <w:rFonts w:ascii="宋体" w:hAnsi="宋体" w:cs="PMingLiU"/>
          <w:color w:val="000000"/>
          <w:sz w:val="20"/>
          <w:szCs w:val="21"/>
        </w:rPr>
        <w:br w:type="page"/>
      </w:r>
    </w:p>
    <w:p w:rsidR="00800760" w:rsidRDefault="00235733">
      <w:pPr>
        <w:spacing w:line="240" w:lineRule="auto"/>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专利侵权纠纷案件调查取证审批表</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6786"/>
      </w:tblGrid>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专利号</w:t>
            </w:r>
          </w:p>
        </w:tc>
        <w:tc>
          <w:tcPr>
            <w:tcW w:w="362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专利名称</w:t>
            </w:r>
          </w:p>
        </w:tc>
        <w:tc>
          <w:tcPr>
            <w:tcW w:w="362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专利权人</w:t>
            </w:r>
          </w:p>
        </w:tc>
        <w:tc>
          <w:tcPr>
            <w:tcW w:w="362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请求人</w:t>
            </w:r>
          </w:p>
        </w:tc>
        <w:tc>
          <w:tcPr>
            <w:tcW w:w="362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被调查取证人</w:t>
            </w:r>
          </w:p>
        </w:tc>
        <w:tc>
          <w:tcPr>
            <w:tcW w:w="362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申请事项及理由</w:t>
            </w:r>
          </w:p>
        </w:tc>
        <w:tc>
          <w:tcPr>
            <w:tcW w:w="362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承办人意见</w:t>
            </w:r>
          </w:p>
        </w:tc>
        <w:tc>
          <w:tcPr>
            <w:tcW w:w="3627" w:type="pct"/>
            <w:tcMar>
              <w:left w:w="57" w:type="dxa"/>
              <w:right w:w="57" w:type="dxa"/>
            </w:tcMar>
          </w:tcPr>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235733">
            <w:pPr>
              <w:widowControl w:val="0"/>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处（科）室负责人审核</w:t>
            </w:r>
          </w:p>
        </w:tc>
        <w:tc>
          <w:tcPr>
            <w:tcW w:w="3627" w:type="pct"/>
            <w:tcMar>
              <w:left w:w="57" w:type="dxa"/>
              <w:right w:w="57" w:type="dxa"/>
            </w:tcMar>
          </w:tcPr>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235733">
            <w:pPr>
              <w:widowControl w:val="0"/>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部门负责人意见</w:t>
            </w:r>
          </w:p>
        </w:tc>
        <w:tc>
          <w:tcPr>
            <w:tcW w:w="3627" w:type="pct"/>
            <w:tcMar>
              <w:left w:w="57" w:type="dxa"/>
              <w:right w:w="57" w:type="dxa"/>
            </w:tcMar>
          </w:tcPr>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235733">
            <w:pPr>
              <w:widowControl w:val="0"/>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bl>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仿宋_GB2312" w:eastAsia="仿宋_GB2312" w:hAnsi="宋体" w:hint="eastAsia"/>
          <w:b/>
          <w:color w:val="000000"/>
          <w:sz w:val="20"/>
        </w:rPr>
        <w:br w:type="page"/>
      </w:r>
      <w:r>
        <w:rPr>
          <w:rFonts w:ascii="方正小标宋_GBK" w:eastAsia="方正小标宋_GBK" w:hAnsi="宋体"/>
          <w:color w:val="000000"/>
          <w:spacing w:val="6"/>
          <w:sz w:val="36"/>
          <w:szCs w:val="36"/>
        </w:rPr>
        <w:t>专利侵权纠纷案件证据登记保存审批表</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6786"/>
      </w:tblGrid>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案由</w:t>
            </w:r>
          </w:p>
        </w:tc>
        <w:tc>
          <w:tcPr>
            <w:tcW w:w="362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被登记保存人</w:t>
            </w:r>
          </w:p>
        </w:tc>
        <w:tc>
          <w:tcPr>
            <w:tcW w:w="362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申请事项及理由</w:t>
            </w:r>
          </w:p>
        </w:tc>
        <w:tc>
          <w:tcPr>
            <w:tcW w:w="362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承办人意见</w:t>
            </w:r>
          </w:p>
        </w:tc>
        <w:tc>
          <w:tcPr>
            <w:tcW w:w="3627" w:type="pct"/>
            <w:tcMar>
              <w:left w:w="57" w:type="dxa"/>
              <w:right w:w="57" w:type="dxa"/>
            </w:tcMar>
          </w:tcPr>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235733">
            <w:pPr>
              <w:widowControl w:val="0"/>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处（科）室负责人审核</w:t>
            </w:r>
          </w:p>
        </w:tc>
        <w:tc>
          <w:tcPr>
            <w:tcW w:w="3627" w:type="pct"/>
            <w:tcMar>
              <w:left w:w="57" w:type="dxa"/>
              <w:right w:w="57" w:type="dxa"/>
            </w:tcMar>
          </w:tcPr>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235733">
            <w:pPr>
              <w:widowControl w:val="0"/>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部门负责人意见</w:t>
            </w:r>
          </w:p>
        </w:tc>
        <w:tc>
          <w:tcPr>
            <w:tcW w:w="3627" w:type="pct"/>
            <w:tcMar>
              <w:left w:w="57" w:type="dxa"/>
              <w:right w:w="57" w:type="dxa"/>
            </w:tcMar>
          </w:tcPr>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800760">
            <w:pPr>
              <w:widowControl w:val="0"/>
              <w:ind w:firstLineChars="0" w:firstLine="0"/>
              <w:rPr>
                <w:rFonts w:ascii="仿宋_GB2312" w:eastAsia="仿宋_GB2312" w:hAnsi="宋体"/>
                <w:color w:val="000000"/>
                <w:spacing w:val="6"/>
                <w:sz w:val="20"/>
              </w:rPr>
            </w:pPr>
          </w:p>
          <w:p w:rsidR="00800760" w:rsidRDefault="00235733">
            <w:pPr>
              <w:widowControl w:val="0"/>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bl>
    <w:p w:rsidR="00800760" w:rsidRDefault="00800760" w:rsidP="00C22A7B">
      <w:pPr>
        <w:widowControl w:val="0"/>
        <w:spacing w:beforeLines="50" w:afterLines="50"/>
        <w:ind w:firstLineChars="0" w:firstLine="0"/>
        <w:jc w:val="center"/>
        <w:rPr>
          <w:rFonts w:ascii="仿宋_GB2312" w:eastAsia="仿宋_GB2312" w:hAnsi="宋体"/>
          <w:b/>
          <w:color w:val="000000"/>
          <w:sz w:val="20"/>
        </w:rPr>
      </w:pPr>
    </w:p>
    <w:p w:rsidR="00800760" w:rsidRDefault="00235733">
      <w:pPr>
        <w:spacing w:line="240" w:lineRule="auto"/>
        <w:ind w:firstLineChars="0" w:firstLine="0"/>
        <w:rPr>
          <w:rFonts w:ascii="宋体" w:hAnsi="宋体"/>
          <w:b/>
          <w:color w:val="000000"/>
          <w:szCs w:val="21"/>
        </w:rPr>
      </w:pPr>
      <w:r>
        <w:rPr>
          <w:rFonts w:ascii="宋体" w:hAnsi="宋体"/>
          <w:b/>
          <w:color w:val="000000"/>
          <w:szCs w:val="21"/>
        </w:rPr>
        <w:br w:type="page"/>
      </w:r>
    </w:p>
    <w:p w:rsidR="00800760" w:rsidRDefault="00235733" w:rsidP="00C22A7B">
      <w:pPr>
        <w:spacing w:beforeLines="50" w:afterLines="50" w:line="360" w:lineRule="auto"/>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重大专利侵权纠纷行政裁决调查取证审批表</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p w:rsidR="00800760" w:rsidRDefault="00800760">
      <w:pPr>
        <w:spacing w:line="240" w:lineRule="auto"/>
        <w:ind w:firstLineChars="0" w:firstLine="0"/>
        <w:rPr>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3392"/>
        <w:gridCol w:w="3394"/>
      </w:tblGrid>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专利号</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专利名称</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专利权人</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请求人</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被</w:t>
            </w:r>
            <w:r>
              <w:rPr>
                <w:rFonts w:ascii="仿宋_GB2312" w:eastAsia="仿宋_GB2312" w:hAnsi="宋体" w:cs="Microsoft JhengHei" w:hint="eastAsia"/>
                <w:color w:val="000000"/>
                <w:sz w:val="20"/>
              </w:rPr>
              <w:t>调查取证</w:t>
            </w:r>
            <w:r>
              <w:rPr>
                <w:rFonts w:ascii="仿宋_GB2312" w:eastAsia="仿宋_GB2312" w:hAnsi="宋体" w:cs="Microsoft JhengHei" w:hint="eastAsia"/>
                <w:color w:val="000000"/>
                <w:sz w:val="20"/>
                <w:lang w:eastAsia="en-US"/>
              </w:rPr>
              <w:t>人</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申请事项及理由</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1433"/>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rPr>
              <w:t>合议组</w:t>
            </w:r>
            <w:r>
              <w:rPr>
                <w:rFonts w:ascii="仿宋_GB2312" w:eastAsia="仿宋_GB2312" w:hAnsi="宋体" w:cs="Microsoft JhengHei" w:hint="eastAsia"/>
                <w:color w:val="000000"/>
                <w:sz w:val="20"/>
                <w:lang w:eastAsia="en-US"/>
              </w:rPr>
              <w:t>意见</w:t>
            </w:r>
          </w:p>
        </w:tc>
        <w:tc>
          <w:tcPr>
            <w:tcW w:w="3627" w:type="pct"/>
            <w:gridSpan w:val="2"/>
            <w:shd w:val="clear" w:color="auto" w:fill="auto"/>
            <w:tcMar>
              <w:left w:w="57" w:type="dxa"/>
              <w:right w:w="57" w:type="dxa"/>
            </w:tcMar>
          </w:tcPr>
          <w:p w:rsidR="00800760" w:rsidRDefault="00800760">
            <w:pPr>
              <w:spacing w:line="360" w:lineRule="auto"/>
              <w:ind w:firstLineChars="0" w:firstLine="3885"/>
              <w:rPr>
                <w:rFonts w:ascii="仿宋_GB2312" w:eastAsia="仿宋_GB2312" w:hAnsi="宋体"/>
                <w:color w:val="000000"/>
                <w:spacing w:val="6"/>
                <w:sz w:val="20"/>
              </w:rPr>
            </w:pPr>
          </w:p>
          <w:p w:rsidR="00800760" w:rsidRDefault="00800760">
            <w:pPr>
              <w:spacing w:line="360" w:lineRule="auto"/>
              <w:ind w:firstLineChars="0" w:firstLine="3885"/>
              <w:rPr>
                <w:rFonts w:ascii="仿宋_GB2312" w:eastAsia="仿宋_GB2312" w:hAnsi="宋体"/>
                <w:color w:val="000000"/>
                <w:spacing w:val="6"/>
                <w:sz w:val="20"/>
              </w:rPr>
            </w:pPr>
          </w:p>
          <w:p w:rsidR="00800760" w:rsidRDefault="00235733">
            <w:pPr>
              <w:spacing w:line="360" w:lineRule="auto"/>
              <w:ind w:firstLineChars="0" w:firstLine="3885"/>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签字：</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 </w:t>
            </w:r>
          </w:p>
          <w:p w:rsidR="00800760" w:rsidRDefault="00235733">
            <w:pPr>
              <w:spacing w:line="360" w:lineRule="auto"/>
              <w:ind w:firstLineChars="0" w:firstLine="444"/>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r>
      <w:tr w:rsidR="00800760">
        <w:trPr>
          <w:trHeight w:val="20"/>
        </w:trPr>
        <w:tc>
          <w:tcPr>
            <w:tcW w:w="1373" w:type="pct"/>
            <w:vMerge w:val="restar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rPr>
            </w:pPr>
          </w:p>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rPr>
              <w:t>委员会办公室审核</w:t>
            </w:r>
          </w:p>
        </w:tc>
        <w:tc>
          <w:tcPr>
            <w:tcW w:w="1813"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（保护司执法指导处）</w:t>
            </w:r>
          </w:p>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c>
          <w:tcPr>
            <w:tcW w:w="1814" w:type="pct"/>
            <w:shd w:val="clear" w:color="auto" w:fill="auto"/>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（复审无效部行政裁决业务处）</w:t>
            </w:r>
          </w:p>
          <w:p w:rsidR="00800760" w:rsidRDefault="00235733">
            <w:pPr>
              <w:spacing w:line="360" w:lineRule="auto"/>
              <w:ind w:firstLineChars="650" w:firstLine="1378"/>
              <w:rPr>
                <w:rFonts w:ascii="仿宋_GB2312" w:eastAsia="仿宋_GB2312" w:hAnsi="宋体"/>
                <w:color w:val="000000"/>
                <w:spacing w:val="6"/>
                <w:sz w:val="20"/>
                <w:u w:val="single"/>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rPr>
            </w:pPr>
          </w:p>
        </w:tc>
        <w:tc>
          <w:tcPr>
            <w:tcW w:w="1813"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（保护司执法指导处分管司领导）</w:t>
            </w:r>
          </w:p>
          <w:p w:rsidR="00800760" w:rsidRDefault="00800760">
            <w:pPr>
              <w:spacing w:line="360" w:lineRule="auto"/>
              <w:ind w:leftChars="100" w:left="210" w:firstLineChars="600" w:firstLine="1272"/>
              <w:rPr>
                <w:rFonts w:ascii="仿宋_GB2312" w:eastAsia="仿宋_GB2312" w:hAnsi="宋体"/>
                <w:color w:val="000000"/>
                <w:spacing w:val="6"/>
                <w:sz w:val="20"/>
              </w:rPr>
            </w:pPr>
          </w:p>
          <w:p w:rsidR="00800760" w:rsidRDefault="00235733">
            <w:pPr>
              <w:spacing w:line="360" w:lineRule="auto"/>
              <w:ind w:leftChars="100" w:left="210" w:firstLineChars="600" w:firstLine="1272"/>
              <w:rPr>
                <w:rFonts w:ascii="仿宋_GB2312" w:eastAsia="仿宋_GB2312" w:hAnsi="宋体"/>
                <w:color w:val="000000"/>
                <w:spacing w:val="6"/>
                <w:sz w:val="20"/>
                <w:u w:val="single"/>
              </w:rPr>
            </w:pPr>
            <w:r>
              <w:rPr>
                <w:rFonts w:ascii="仿宋_GB2312" w:eastAsia="仿宋_GB2312" w:hAnsi="宋体" w:hint="eastAsia"/>
                <w:color w:val="000000"/>
                <w:spacing w:val="6"/>
                <w:sz w:val="20"/>
                <w:lang w:eastAsia="en-US"/>
              </w:rPr>
              <w:t>签字：</w:t>
            </w:r>
            <w:r>
              <w:rPr>
                <w:rFonts w:ascii="仿宋_GB2312" w:eastAsia="仿宋_GB2312" w:hAnsi="宋体" w:hint="eastAsia"/>
                <w:color w:val="000000"/>
                <w:spacing w:val="6"/>
                <w:sz w:val="20"/>
                <w:u w:val="single"/>
                <w:lang w:eastAsia="en-US"/>
              </w:rPr>
              <w:t xml:space="preserve">         </w:t>
            </w:r>
          </w:p>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c>
          <w:tcPr>
            <w:tcW w:w="1814" w:type="pct"/>
            <w:shd w:val="clear" w:color="auto" w:fill="auto"/>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（复审无效部行政裁决业务处分管部领导）</w:t>
            </w:r>
          </w:p>
          <w:p w:rsidR="00800760" w:rsidRDefault="00235733">
            <w:pPr>
              <w:spacing w:line="360" w:lineRule="auto"/>
              <w:ind w:firstLineChars="650" w:firstLine="1378"/>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签字：</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 </w:t>
            </w:r>
          </w:p>
          <w:p w:rsidR="00800760" w:rsidRDefault="00235733">
            <w:pPr>
              <w:spacing w:line="360" w:lineRule="auto"/>
              <w:ind w:firstLineChars="0" w:firstLine="444"/>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日                  </w:t>
            </w:r>
            <w:r>
              <w:rPr>
                <w:rFonts w:ascii="仿宋_GB2312" w:eastAsia="仿宋_GB2312" w:hAnsi="宋体" w:hint="eastAsia"/>
                <w:color w:val="000000"/>
                <w:spacing w:val="6"/>
                <w:sz w:val="20"/>
                <w:u w:val="single"/>
                <w:lang w:eastAsia="en-US"/>
              </w:rPr>
              <w:t xml:space="preserve">      </w:t>
            </w: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委员会副主任审批</w:t>
            </w:r>
          </w:p>
        </w:tc>
        <w:tc>
          <w:tcPr>
            <w:tcW w:w="1813"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（保护司主要负责人）</w:t>
            </w:r>
          </w:p>
          <w:p w:rsidR="00800760" w:rsidRDefault="00235733">
            <w:pPr>
              <w:spacing w:line="360" w:lineRule="auto"/>
              <w:ind w:firstLineChars="650" w:firstLine="1378"/>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c>
          <w:tcPr>
            <w:tcW w:w="1814" w:type="pct"/>
            <w:shd w:val="clear" w:color="auto" w:fill="auto"/>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（复审无效部主要负责人）</w:t>
            </w:r>
          </w:p>
          <w:p w:rsidR="00800760" w:rsidRDefault="00235733">
            <w:pPr>
              <w:spacing w:line="360" w:lineRule="auto"/>
              <w:ind w:firstLineChars="650" w:firstLine="1378"/>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p>
        </w:tc>
      </w:tr>
    </w:tbl>
    <w:p w:rsidR="00800760" w:rsidRDefault="00800760" w:rsidP="00C22A7B">
      <w:pPr>
        <w:widowControl w:val="0"/>
        <w:spacing w:beforeLines="50" w:afterLines="50"/>
        <w:ind w:firstLineChars="0" w:firstLine="0"/>
        <w:rPr>
          <w:rFonts w:ascii="宋体" w:hAnsi="宋体" w:cs="PMingLiU"/>
          <w:color w:val="000000"/>
          <w:szCs w:val="21"/>
        </w:rPr>
      </w:pPr>
    </w:p>
    <w:p w:rsidR="00800760" w:rsidRDefault="00800760" w:rsidP="00C22A7B">
      <w:pPr>
        <w:widowControl w:val="0"/>
        <w:spacing w:beforeLines="50" w:afterLines="50"/>
        <w:ind w:firstLineChars="0" w:firstLine="0"/>
        <w:jc w:val="center"/>
        <w:rPr>
          <w:rFonts w:ascii="仿宋_GB2312" w:eastAsia="仿宋_GB2312" w:hAnsi="宋体"/>
          <w:b/>
          <w:color w:val="000000"/>
          <w:sz w:val="20"/>
        </w:rPr>
      </w:pP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仿宋_GB2312" w:eastAsia="仿宋_GB2312" w:hAnsi="宋体" w:hint="eastAsia"/>
          <w:b/>
          <w:color w:val="000000"/>
          <w:sz w:val="20"/>
        </w:rPr>
        <w:br w:type="page"/>
      </w:r>
      <w:r>
        <w:rPr>
          <w:rFonts w:ascii="方正小标宋_GBK" w:eastAsia="方正小标宋_GBK" w:hAnsi="宋体"/>
          <w:color w:val="000000"/>
          <w:spacing w:val="6"/>
          <w:sz w:val="36"/>
          <w:szCs w:val="36"/>
        </w:rPr>
        <w:t>专利侵权纠纷案件合议笔录</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2790"/>
        <w:gridCol w:w="1476"/>
        <w:gridCol w:w="2520"/>
      </w:tblGrid>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专利号</w:t>
            </w:r>
          </w:p>
        </w:tc>
        <w:tc>
          <w:tcPr>
            <w:tcW w:w="3627"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专利名称</w:t>
            </w:r>
          </w:p>
        </w:tc>
        <w:tc>
          <w:tcPr>
            <w:tcW w:w="3627"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专利权人</w:t>
            </w:r>
          </w:p>
        </w:tc>
        <w:tc>
          <w:tcPr>
            <w:tcW w:w="3627"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合议组成员</w:t>
            </w:r>
          </w:p>
        </w:tc>
        <w:tc>
          <w:tcPr>
            <w:tcW w:w="3627" w:type="pct"/>
            <w:gridSpan w:val="3"/>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书记员</w:t>
            </w:r>
          </w:p>
        </w:tc>
        <w:tc>
          <w:tcPr>
            <w:tcW w:w="1491" w:type="pct"/>
            <w:tcMar>
              <w:left w:w="57" w:type="dxa"/>
              <w:right w:w="57" w:type="dxa"/>
            </w:tcMar>
            <w:vAlign w:val="center"/>
          </w:tcPr>
          <w:p w:rsidR="00800760" w:rsidRDefault="00800760" w:rsidP="00235733">
            <w:pPr>
              <w:widowControl w:val="0"/>
              <w:ind w:firstLine="400"/>
              <w:jc w:val="center"/>
              <w:rPr>
                <w:rFonts w:ascii="仿宋_GB2312" w:eastAsia="仿宋_GB2312" w:hAnsi="宋体" w:cs="Microsoft JhengHei"/>
                <w:color w:val="000000"/>
                <w:kern w:val="2"/>
                <w:sz w:val="20"/>
                <w:lang w:val="en-US"/>
              </w:rPr>
            </w:pPr>
          </w:p>
        </w:tc>
        <w:tc>
          <w:tcPr>
            <w:tcW w:w="789" w:type="pct"/>
            <w:tcMar>
              <w:left w:w="57" w:type="dxa"/>
              <w:right w:w="57" w:type="dxa"/>
            </w:tcMar>
            <w:vAlign w:val="center"/>
          </w:tcPr>
          <w:p w:rsidR="00800760" w:rsidRDefault="00235733" w:rsidP="00235733">
            <w:pPr>
              <w:widowControl w:val="0"/>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时间</w:t>
            </w:r>
          </w:p>
        </w:tc>
        <w:tc>
          <w:tcPr>
            <w:tcW w:w="1347" w:type="pct"/>
            <w:tcMar>
              <w:left w:w="57" w:type="dxa"/>
              <w:right w:w="57" w:type="dxa"/>
            </w:tcMar>
          </w:tcPr>
          <w:p w:rsidR="00800760" w:rsidRDefault="00800760" w:rsidP="00235733">
            <w:pPr>
              <w:widowControl w:val="0"/>
              <w:ind w:firstLine="400"/>
              <w:rPr>
                <w:rFonts w:ascii="仿宋_GB2312" w:eastAsia="仿宋_GB2312" w:hAnsi="宋体" w:cs="Microsoft JhengHei"/>
                <w:color w:val="000000"/>
                <w:kern w:val="2"/>
                <w:sz w:val="20"/>
                <w:lang w:val="en-US"/>
              </w:rPr>
            </w:pPr>
          </w:p>
        </w:tc>
      </w:tr>
      <w:tr w:rsidR="00800760">
        <w:trPr>
          <w:trHeight w:val="20"/>
        </w:trPr>
        <w:tc>
          <w:tcPr>
            <w:tcW w:w="5000" w:type="pct"/>
            <w:gridSpan w:val="4"/>
            <w:tcMar>
              <w:left w:w="57" w:type="dxa"/>
              <w:right w:w="57" w:type="dxa"/>
            </w:tcMar>
          </w:tcPr>
          <w:p w:rsidR="00800760" w:rsidRDefault="00235733" w:rsidP="00235733">
            <w:pPr>
              <w:widowControl w:val="0"/>
              <w:ind w:firstLine="400"/>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合议笔录：</w:t>
            </w: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p w:rsidR="00800760" w:rsidRDefault="00800760" w:rsidP="00235733">
            <w:pPr>
              <w:widowControl w:val="0"/>
              <w:ind w:firstLine="400"/>
              <w:rPr>
                <w:rFonts w:ascii="仿宋_GB2312" w:eastAsia="仿宋_GB2312" w:hAnsi="宋体" w:cs="Microsoft JhengHei"/>
                <w:color w:val="000000"/>
                <w:kern w:val="2"/>
                <w:sz w:val="20"/>
                <w:lang w:val="en-US"/>
              </w:rPr>
            </w:pPr>
          </w:p>
        </w:tc>
      </w:tr>
    </w:tbl>
    <w:p w:rsidR="00800760" w:rsidRDefault="00800760" w:rsidP="00235733">
      <w:pPr>
        <w:widowControl w:val="0"/>
        <w:ind w:firstLine="400"/>
        <w:rPr>
          <w:rFonts w:ascii="仿宋_GB2312" w:eastAsia="仿宋_GB2312" w:hAnsi="宋体" w:cs="PMingLiU"/>
          <w:color w:val="000000"/>
          <w:kern w:val="2"/>
          <w:sz w:val="20"/>
          <w:lang w:val="en-US"/>
        </w:rPr>
      </w:pPr>
    </w:p>
    <w:p w:rsidR="00800760" w:rsidRDefault="00235733" w:rsidP="00235733">
      <w:pPr>
        <w:widowControl w:val="0"/>
        <w:ind w:firstLine="400"/>
        <w:rPr>
          <w:rFonts w:ascii="仿宋_GB2312" w:eastAsia="仿宋_GB2312" w:hAnsi="宋体" w:cs="PMingLiU"/>
          <w:color w:val="000000"/>
          <w:kern w:val="2"/>
          <w:sz w:val="20"/>
          <w:u w:val="single"/>
          <w:lang w:val="en-US"/>
        </w:rPr>
      </w:pPr>
      <w:r>
        <w:rPr>
          <w:rFonts w:ascii="仿宋_GB2312" w:eastAsia="仿宋_GB2312" w:hAnsi="宋体" w:cs="PMingLiU" w:hint="eastAsia"/>
          <w:color w:val="000000"/>
          <w:kern w:val="2"/>
          <w:sz w:val="20"/>
          <w:lang w:val="en-US"/>
        </w:rPr>
        <w:t>合议组成员签名：</w:t>
      </w:r>
      <w:r>
        <w:rPr>
          <w:rFonts w:ascii="仿宋_GB2312" w:eastAsia="仿宋_GB2312" w:hAnsi="宋体" w:cs="PMingLiU" w:hint="eastAsia"/>
          <w:color w:val="000000"/>
          <w:kern w:val="2"/>
          <w:sz w:val="20"/>
          <w:u w:val="single"/>
          <w:lang w:val="en-US"/>
        </w:rPr>
        <w:t xml:space="preserve">                </w:t>
      </w:r>
      <w:r>
        <w:rPr>
          <w:rFonts w:ascii="仿宋_GB2312" w:eastAsia="仿宋_GB2312" w:hAnsi="宋体" w:cs="PMingLiU" w:hint="eastAsia"/>
          <w:color w:val="000000"/>
          <w:kern w:val="2"/>
          <w:sz w:val="20"/>
          <w:lang w:val="en-US"/>
        </w:rPr>
        <w:t xml:space="preserve">    </w:t>
      </w:r>
      <w:r>
        <w:rPr>
          <w:rFonts w:ascii="仿宋_GB2312" w:eastAsia="仿宋_GB2312" w:hAnsi="宋体" w:cs="PMingLiU" w:hint="eastAsia"/>
          <w:color w:val="000000"/>
          <w:kern w:val="2"/>
          <w:sz w:val="20"/>
          <w:u w:val="single"/>
          <w:lang w:val="en-US"/>
        </w:rPr>
        <w:t xml:space="preserve">                 </w:t>
      </w:r>
      <w:r>
        <w:rPr>
          <w:rFonts w:ascii="仿宋_GB2312" w:eastAsia="仿宋_GB2312" w:hAnsi="宋体" w:cs="PMingLiU" w:hint="eastAsia"/>
          <w:color w:val="000000"/>
          <w:kern w:val="2"/>
          <w:sz w:val="20"/>
          <w:lang w:val="en-US"/>
        </w:rPr>
        <w:t xml:space="preserve">    </w:t>
      </w:r>
      <w:r>
        <w:rPr>
          <w:rFonts w:ascii="仿宋_GB2312" w:eastAsia="仿宋_GB2312" w:hAnsi="宋体" w:cs="PMingLiU" w:hint="eastAsia"/>
          <w:color w:val="000000"/>
          <w:kern w:val="2"/>
          <w:sz w:val="20"/>
          <w:u w:val="single"/>
          <w:lang w:val="en-US"/>
        </w:rPr>
        <w:t xml:space="preserve">                   </w:t>
      </w:r>
    </w:p>
    <w:p w:rsidR="00800760" w:rsidRDefault="00235733" w:rsidP="00235733">
      <w:pPr>
        <w:widowControl w:val="0"/>
        <w:ind w:firstLine="400"/>
        <w:rPr>
          <w:rFonts w:ascii="仿宋_GB2312" w:eastAsia="仿宋_GB2312" w:hAnsi="宋体" w:cs="PMingLiU"/>
          <w:color w:val="000000"/>
          <w:kern w:val="2"/>
          <w:sz w:val="20"/>
          <w:u w:val="single"/>
          <w:lang w:val="en-US"/>
        </w:rPr>
      </w:pPr>
      <w:r>
        <w:rPr>
          <w:rFonts w:ascii="仿宋_GB2312" w:eastAsia="仿宋_GB2312" w:hAnsi="宋体" w:cs="PMingLiU" w:hint="eastAsia"/>
          <w:color w:val="000000"/>
          <w:kern w:val="2"/>
          <w:sz w:val="20"/>
          <w:lang w:val="en-US"/>
        </w:rPr>
        <w:t xml:space="preserve">               </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r>
        <w:rPr>
          <w:rFonts w:ascii="仿宋_GB2312" w:eastAsia="仿宋_GB2312" w:hAnsi="宋体" w:cs="PMingLiU" w:hint="eastAsia"/>
          <w:color w:val="000000"/>
          <w:kern w:val="2"/>
          <w:sz w:val="20"/>
          <w:lang w:val="en-US"/>
        </w:rPr>
        <w:t xml:space="preserve">   </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r>
        <w:rPr>
          <w:rFonts w:ascii="仿宋_GB2312" w:eastAsia="仿宋_GB2312" w:hAnsi="宋体" w:cs="PMingLiU" w:hint="eastAsia"/>
          <w:color w:val="000000"/>
          <w:kern w:val="2"/>
          <w:sz w:val="20"/>
          <w:lang w:val="en-US"/>
        </w:rPr>
        <w:t xml:space="preserve">  </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p>
    <w:p w:rsidR="00800760" w:rsidRDefault="00235733">
      <w:pPr>
        <w:spacing w:line="240" w:lineRule="auto"/>
        <w:ind w:firstLineChars="0" w:firstLine="0"/>
        <w:rPr>
          <w:rFonts w:ascii="仿宋_GB2312" w:eastAsia="仿宋_GB2312" w:hAnsi="宋体"/>
          <w:b/>
          <w:color w:val="000000"/>
          <w:sz w:val="20"/>
        </w:rPr>
      </w:pPr>
      <w:r>
        <w:rPr>
          <w:rFonts w:ascii="仿宋_GB2312" w:eastAsia="仿宋_GB2312" w:hAnsi="宋体" w:hint="eastAsia"/>
          <w:b/>
          <w:color w:val="000000"/>
          <w:sz w:val="20"/>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重大专利侵权纠纷行政裁决合议笔录</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2790"/>
        <w:gridCol w:w="1476"/>
        <w:gridCol w:w="2520"/>
      </w:tblGrid>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专利号</w:t>
            </w:r>
          </w:p>
        </w:tc>
        <w:tc>
          <w:tcPr>
            <w:tcW w:w="3627"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专利名称</w:t>
            </w:r>
          </w:p>
        </w:tc>
        <w:tc>
          <w:tcPr>
            <w:tcW w:w="3627"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专利权人</w:t>
            </w:r>
          </w:p>
        </w:tc>
        <w:tc>
          <w:tcPr>
            <w:tcW w:w="3627"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合议组成员</w:t>
            </w:r>
          </w:p>
        </w:tc>
        <w:tc>
          <w:tcPr>
            <w:tcW w:w="3627" w:type="pct"/>
            <w:gridSpan w:val="3"/>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书记员</w:t>
            </w:r>
          </w:p>
        </w:tc>
        <w:tc>
          <w:tcPr>
            <w:tcW w:w="1491" w:type="pc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lang w:eastAsia="en-US"/>
              </w:rPr>
            </w:pPr>
          </w:p>
        </w:tc>
        <w:tc>
          <w:tcPr>
            <w:tcW w:w="789"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时间</w:t>
            </w:r>
          </w:p>
        </w:tc>
        <w:tc>
          <w:tcPr>
            <w:tcW w:w="1347" w:type="pct"/>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5000" w:type="pct"/>
            <w:gridSpan w:val="4"/>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合议笔录：</w:t>
            </w: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p w:rsidR="00800760" w:rsidRDefault="00800760">
            <w:pPr>
              <w:spacing w:line="360" w:lineRule="auto"/>
              <w:ind w:firstLineChars="0" w:firstLine="0"/>
              <w:rPr>
                <w:rFonts w:ascii="仿宋_GB2312" w:eastAsia="仿宋_GB2312" w:hAnsi="宋体" w:cs="Microsoft JhengHei"/>
                <w:color w:val="000000"/>
                <w:sz w:val="20"/>
                <w:lang w:eastAsia="en-US"/>
              </w:rPr>
            </w:pPr>
          </w:p>
        </w:tc>
      </w:tr>
    </w:tbl>
    <w:p w:rsidR="00800760" w:rsidRDefault="00800760">
      <w:pPr>
        <w:spacing w:line="360" w:lineRule="auto"/>
        <w:ind w:firstLineChars="0" w:firstLine="0"/>
        <w:rPr>
          <w:rFonts w:ascii="仿宋_GB2312" w:eastAsia="仿宋_GB2312" w:hAnsi="宋体" w:cs="PMingLiU"/>
          <w:color w:val="000000"/>
          <w:sz w:val="20"/>
          <w:lang w:eastAsia="en-US"/>
        </w:rPr>
      </w:pPr>
    </w:p>
    <w:p w:rsidR="00800760" w:rsidRDefault="00235733">
      <w:pPr>
        <w:spacing w:line="360" w:lineRule="auto"/>
        <w:ind w:firstLineChars="0" w:firstLine="0"/>
        <w:rPr>
          <w:rFonts w:ascii="仿宋_GB2312" w:eastAsia="仿宋_GB2312" w:hAnsi="宋体" w:cs="PMingLiU"/>
          <w:color w:val="000000"/>
          <w:sz w:val="20"/>
          <w:u w:val="single"/>
        </w:rPr>
      </w:pPr>
      <w:r>
        <w:rPr>
          <w:rFonts w:ascii="仿宋_GB2312" w:eastAsia="仿宋_GB2312" w:hAnsi="宋体" w:cs="PMingLiU" w:hint="eastAsia"/>
          <w:color w:val="000000"/>
          <w:sz w:val="20"/>
        </w:rPr>
        <w:t>合议组成员签名：</w:t>
      </w:r>
      <w:r>
        <w:rPr>
          <w:rFonts w:ascii="仿宋_GB2312" w:eastAsia="仿宋_GB2312" w:hAnsi="宋体" w:cs="PMingLiU" w:hint="eastAsia"/>
          <w:color w:val="000000"/>
          <w:sz w:val="20"/>
          <w:u w:val="single"/>
        </w:rPr>
        <w:t xml:space="preserve">                </w:t>
      </w:r>
      <w:r>
        <w:rPr>
          <w:rFonts w:ascii="仿宋_GB2312" w:eastAsia="仿宋_GB2312" w:hAnsi="宋体" w:cs="PMingLiU" w:hint="eastAsia"/>
          <w:color w:val="000000"/>
          <w:sz w:val="20"/>
        </w:rPr>
        <w:t xml:space="preserve">      </w:t>
      </w:r>
      <w:r>
        <w:rPr>
          <w:rFonts w:ascii="仿宋_GB2312" w:eastAsia="仿宋_GB2312" w:hAnsi="宋体" w:cs="PMingLiU" w:hint="eastAsia"/>
          <w:color w:val="000000"/>
          <w:sz w:val="20"/>
          <w:u w:val="single"/>
        </w:rPr>
        <w:t xml:space="preserve">                 </w:t>
      </w:r>
      <w:r>
        <w:rPr>
          <w:rFonts w:ascii="仿宋_GB2312" w:eastAsia="仿宋_GB2312" w:hAnsi="宋体" w:cs="PMingLiU" w:hint="eastAsia"/>
          <w:color w:val="000000"/>
          <w:sz w:val="20"/>
        </w:rPr>
        <w:t xml:space="preserve">      </w:t>
      </w:r>
      <w:r>
        <w:rPr>
          <w:rFonts w:ascii="仿宋_GB2312" w:eastAsia="仿宋_GB2312" w:hAnsi="宋体" w:cs="PMingLiU" w:hint="eastAsia"/>
          <w:color w:val="000000"/>
          <w:sz w:val="20"/>
          <w:u w:val="single"/>
        </w:rPr>
        <w:t xml:space="preserve">                 </w:t>
      </w:r>
    </w:p>
    <w:p w:rsidR="00800760" w:rsidRDefault="00235733">
      <w:pPr>
        <w:spacing w:line="360" w:lineRule="auto"/>
        <w:ind w:firstLineChars="0" w:firstLine="0"/>
        <w:rPr>
          <w:rFonts w:ascii="仿宋_GB2312" w:eastAsia="仿宋_GB2312" w:hAnsi="宋体" w:cs="PMingLiU"/>
          <w:color w:val="000000"/>
          <w:sz w:val="20"/>
          <w:u w:val="single"/>
        </w:rPr>
      </w:pPr>
      <w:r>
        <w:rPr>
          <w:rFonts w:ascii="仿宋_GB2312" w:eastAsia="仿宋_GB2312" w:hAnsi="宋体" w:cs="PMingLiU" w:hint="eastAsia"/>
          <w:color w:val="000000"/>
          <w:sz w:val="20"/>
        </w:rPr>
        <w:t xml:space="preserve">               </w:t>
      </w: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rPr>
        <w:t>年</w:t>
      </w: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rPr>
        <w:t>月</w:t>
      </w: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rPr>
        <w:t>日</w:t>
      </w:r>
      <w:r>
        <w:rPr>
          <w:rFonts w:ascii="仿宋_GB2312" w:eastAsia="仿宋_GB2312" w:hAnsi="宋体" w:cs="PMingLiU" w:hint="eastAsia"/>
          <w:color w:val="000000"/>
          <w:sz w:val="20"/>
        </w:rPr>
        <w:t xml:space="preserve">   </w:t>
      </w: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rPr>
        <w:t>年</w:t>
      </w: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rPr>
        <w:t>月</w:t>
      </w: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rPr>
        <w:t>日</w:t>
      </w:r>
      <w:r>
        <w:rPr>
          <w:rFonts w:ascii="仿宋_GB2312" w:eastAsia="仿宋_GB2312" w:hAnsi="宋体" w:cs="PMingLiU" w:hint="eastAsia"/>
          <w:color w:val="000000"/>
          <w:sz w:val="20"/>
        </w:rPr>
        <w:t xml:space="preserve">   </w:t>
      </w: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rPr>
        <w:t>年</w:t>
      </w: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rPr>
        <w:t>月</w:t>
      </w:r>
      <w:r>
        <w:rPr>
          <w:rFonts w:ascii="仿宋_GB2312" w:eastAsia="仿宋_GB2312" w:hAnsi="宋体" w:cs="PMingLiU" w:hint="eastAsia"/>
          <w:color w:val="000000"/>
          <w:spacing w:val="6"/>
          <w:sz w:val="20"/>
          <w:u w:val="single"/>
        </w:rPr>
        <w:t xml:space="preserve">    </w:t>
      </w:r>
      <w:r>
        <w:rPr>
          <w:rFonts w:ascii="仿宋_GB2312" w:eastAsia="仿宋_GB2312" w:hAnsi="宋体" w:cs="PMingLiU" w:hint="eastAsia"/>
          <w:color w:val="000000"/>
          <w:spacing w:val="6"/>
          <w:sz w:val="20"/>
        </w:rPr>
        <w:t>日</w:t>
      </w:r>
    </w:p>
    <w:p w:rsidR="00800760" w:rsidRDefault="00235733" w:rsidP="00C22A7B">
      <w:pPr>
        <w:widowControl w:val="0"/>
        <w:spacing w:beforeLines="50" w:afterLines="50"/>
        <w:ind w:firstLineChars="0" w:firstLine="0"/>
        <w:jc w:val="center"/>
        <w:rPr>
          <w:rFonts w:ascii="仿宋_GB2312" w:eastAsia="仿宋_GB2312" w:hAnsi="宋体"/>
          <w:b/>
          <w:color w:val="000000"/>
          <w:sz w:val="20"/>
        </w:rPr>
      </w:pPr>
      <w:r>
        <w:rPr>
          <w:rFonts w:ascii="仿宋_GB2312" w:eastAsia="仿宋_GB2312" w:hAnsi="宋体" w:hint="eastAsia"/>
          <w:b/>
          <w:color w:val="000000"/>
          <w:sz w:val="20"/>
        </w:rPr>
        <w:br w:type="page"/>
      </w:r>
    </w:p>
    <w:p w:rsidR="00800760" w:rsidRDefault="00235733" w:rsidP="00C22A7B">
      <w:pPr>
        <w:widowControl w:val="0"/>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技术鉴定委托书</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w:t>
      </w:r>
    </w:p>
    <w:p w:rsidR="00800760" w:rsidRDefault="00235733" w:rsidP="00C22A7B">
      <w:pPr>
        <w:spacing w:beforeLines="50"/>
        <w:ind w:firstLine="400"/>
        <w:rPr>
          <w:rFonts w:ascii="仿宋_GB2312" w:eastAsia="仿宋_GB2312" w:hAnsi="仿宋"/>
          <w:color w:val="000000"/>
          <w:sz w:val="20"/>
        </w:rPr>
      </w:pPr>
      <w:r>
        <w:rPr>
          <w:rFonts w:ascii="仿宋_GB2312" w:eastAsia="仿宋_GB2312" w:hAnsi="仿宋" w:hint="eastAsia"/>
          <w:color w:val="000000"/>
          <w:sz w:val="20"/>
        </w:rPr>
        <w:t>我局需对</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进行技术鉴定，现委托贵单位按下列要求进行鉴定:</w:t>
      </w:r>
    </w:p>
    <w:p w:rsidR="00800760" w:rsidRDefault="00235733">
      <w:pPr>
        <w:ind w:firstLine="400"/>
        <w:jc w:val="both"/>
        <w:rPr>
          <w:rFonts w:ascii="仿宋_GB2312" w:eastAsia="仿宋_GB2312"/>
          <w:color w:val="000000"/>
          <w:sz w:val="20"/>
        </w:rPr>
      </w:pPr>
      <w:r>
        <w:rPr>
          <w:rFonts w:ascii="仿宋_GB2312" w:eastAsia="仿宋_GB2312" w:hint="eastAsia"/>
          <w:color w:val="000000"/>
          <w:sz w:val="20"/>
        </w:rPr>
        <w:t>1.</w:t>
      </w:r>
      <w:r>
        <w:rPr>
          <w:rFonts w:ascii="仿宋_GB2312" w:eastAsia="仿宋_GB2312" w:hAnsi="宋体" w:hint="eastAsia"/>
          <w:color w:val="000000"/>
          <w:sz w:val="20"/>
        </w:rPr>
        <w:t>……</w:t>
      </w:r>
    </w:p>
    <w:p w:rsidR="00800760" w:rsidRDefault="00235733">
      <w:pPr>
        <w:ind w:firstLine="400"/>
        <w:jc w:val="both"/>
        <w:rPr>
          <w:rFonts w:ascii="仿宋_GB2312" w:eastAsia="仿宋_GB2312"/>
          <w:color w:val="000000"/>
          <w:sz w:val="20"/>
        </w:rPr>
      </w:pPr>
      <w:r>
        <w:rPr>
          <w:rFonts w:ascii="仿宋_GB2312" w:eastAsia="仿宋_GB2312" w:hint="eastAsia"/>
          <w:color w:val="000000"/>
          <w:sz w:val="20"/>
        </w:rPr>
        <w:t>2.</w:t>
      </w:r>
      <w:r>
        <w:rPr>
          <w:rFonts w:ascii="仿宋_GB2312" w:eastAsia="仿宋_GB2312" w:hAnsi="宋体" w:hint="eastAsia"/>
          <w:color w:val="000000"/>
          <w:sz w:val="20"/>
        </w:rPr>
        <w:t>……</w:t>
      </w:r>
    </w:p>
    <w:p w:rsidR="00800760" w:rsidRDefault="00235733">
      <w:pPr>
        <w:ind w:firstLine="400"/>
        <w:jc w:val="both"/>
        <w:rPr>
          <w:rFonts w:ascii="仿宋_GB2312" w:eastAsia="仿宋_GB2312" w:hAnsi="宋体"/>
          <w:color w:val="000000"/>
          <w:sz w:val="20"/>
        </w:rPr>
      </w:pPr>
      <w:r>
        <w:rPr>
          <w:rFonts w:ascii="仿宋_GB2312" w:eastAsia="仿宋_GB2312" w:hAnsi="宋体" w:hint="eastAsia"/>
          <w:color w:val="000000"/>
          <w:sz w:val="20"/>
        </w:rPr>
        <w:t>……</w:t>
      </w:r>
    </w:p>
    <w:p w:rsidR="00800760" w:rsidRDefault="00235733">
      <w:pPr>
        <w:ind w:left="1" w:firstLineChars="213" w:firstLine="426"/>
        <w:jc w:val="both"/>
        <w:rPr>
          <w:rFonts w:ascii="仿宋_GB2312" w:eastAsia="仿宋_GB2312" w:hAnsi="仿宋"/>
          <w:color w:val="000000"/>
          <w:sz w:val="20"/>
        </w:rPr>
      </w:pPr>
      <w:r>
        <w:rPr>
          <w:rFonts w:ascii="仿宋_GB2312" w:eastAsia="仿宋_GB2312" w:hAnsi="仿宋" w:hint="eastAsia"/>
          <w:color w:val="000000"/>
          <w:sz w:val="20"/>
        </w:rPr>
        <w:t>请贵单位于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仿宋" w:hint="eastAsia"/>
          <w:color w:val="000000"/>
          <w:sz w:val="20"/>
        </w:rPr>
        <w:t>前完成鉴定工作，并将鉴定结论一式</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份送交我局。</w:t>
      </w:r>
    </w:p>
    <w:p w:rsidR="00800760" w:rsidRDefault="00235733">
      <w:pPr>
        <w:ind w:firstLine="400"/>
        <w:jc w:val="both"/>
        <w:rPr>
          <w:rFonts w:ascii="仿宋_GB2312" w:eastAsia="仿宋_GB2312" w:hAnsi="仿宋"/>
          <w:color w:val="000000"/>
          <w:sz w:val="20"/>
        </w:rPr>
      </w:pPr>
      <w:r>
        <w:rPr>
          <w:rFonts w:ascii="仿宋_GB2312" w:eastAsia="仿宋_GB2312" w:hAnsi="仿宋" w:hint="eastAsia"/>
          <w:color w:val="000000"/>
          <w:sz w:val="20"/>
        </w:rPr>
        <w:t>专此委托。</w:t>
      </w:r>
    </w:p>
    <w:p w:rsidR="00800760" w:rsidRDefault="00800760">
      <w:pPr>
        <w:ind w:firstLineChars="0" w:firstLine="0"/>
        <w:rPr>
          <w:rFonts w:ascii="仿宋_GB2312" w:eastAsia="仿宋_GB2312" w:hAnsi="仿宋"/>
          <w:color w:val="000000"/>
          <w:sz w:val="20"/>
        </w:rPr>
      </w:pP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知识产权局（盖章）　　</w:t>
      </w:r>
    </w:p>
    <w:p w:rsidR="00800760" w:rsidRDefault="00235733">
      <w:pPr>
        <w:widowControl w:val="0"/>
        <w:wordWrap w:val="0"/>
        <w:ind w:firstLineChars="0" w:firstLine="60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日　　</w:t>
      </w:r>
    </w:p>
    <w:p w:rsidR="00800760" w:rsidRDefault="00800760">
      <w:pPr>
        <w:ind w:firstLineChars="0" w:firstLine="0"/>
        <w:rPr>
          <w:rFonts w:ascii="仿宋_GB2312" w:eastAsia="仿宋_GB2312" w:hAnsi="仿宋"/>
          <w:color w:val="000000"/>
          <w:sz w:val="20"/>
        </w:rPr>
      </w:pPr>
    </w:p>
    <w:p w:rsidR="00800760" w:rsidRDefault="00800760">
      <w:pPr>
        <w:ind w:firstLineChars="0" w:firstLine="0"/>
        <w:rPr>
          <w:rFonts w:ascii="仿宋_GB2312" w:eastAsia="仿宋_GB2312" w:hAnsi="仿宋"/>
          <w:color w:val="000000"/>
          <w:sz w:val="20"/>
        </w:rPr>
      </w:pPr>
    </w:p>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联 系 人：</w:t>
      </w:r>
    </w:p>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联系电话：</w:t>
      </w:r>
    </w:p>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本局地址：</w:t>
      </w:r>
    </w:p>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邮政编码：</w:t>
      </w:r>
    </w:p>
    <w:p w:rsidR="00800760" w:rsidRDefault="00235733">
      <w:pPr>
        <w:spacing w:line="240" w:lineRule="auto"/>
        <w:ind w:firstLineChars="0" w:firstLine="0"/>
        <w:rPr>
          <w:rFonts w:ascii="仿宋_GB2312" w:eastAsia="仿宋_GB2312" w:hAnsi="宋体"/>
          <w:b/>
          <w:sz w:val="20"/>
        </w:rPr>
      </w:pPr>
      <w:r>
        <w:rPr>
          <w:rFonts w:ascii="仿宋_GB2312" w:eastAsia="仿宋_GB2312" w:hAnsi="宋体" w:hint="eastAsia"/>
          <w:b/>
          <w:sz w:val="20"/>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重大专利侵权纠纷技术鉴定委托书</w:t>
      </w:r>
    </w:p>
    <w:p w:rsidR="00800760" w:rsidRDefault="00800760"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p>
    <w:p w:rsidR="00800760" w:rsidRDefault="00235733">
      <w:pPr>
        <w:spacing w:line="360" w:lineRule="auto"/>
        <w:ind w:firstLineChars="0" w:firstLine="0"/>
        <w:jc w:val="right"/>
        <w:rPr>
          <w:rFonts w:ascii="仿宋" w:eastAsia="仿宋_GB2312" w:hAnsi="仿宋"/>
          <w:color w:val="000000"/>
          <w:sz w:val="20"/>
          <w:szCs w:val="21"/>
        </w:rPr>
      </w:pPr>
      <w:r>
        <w:rPr>
          <w:rFonts w:ascii="仿宋" w:eastAsia="仿宋_GB2312" w:hAnsi="仿宋"/>
          <w:color w:val="000000"/>
          <w:sz w:val="20"/>
          <w:szCs w:val="21"/>
        </w:rPr>
        <w:t>案号：</w:t>
      </w:r>
      <w:r>
        <w:rPr>
          <w:rFonts w:ascii="仿宋" w:eastAsia="仿宋_GB2312" w:hAnsi="仿宋" w:hint="eastAsia"/>
          <w:color w:val="000000"/>
          <w:sz w:val="20"/>
          <w:szCs w:val="21"/>
        </w:rPr>
        <w:t>____________________</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rPr>
        <w:t>：</w:t>
      </w:r>
    </w:p>
    <w:p w:rsidR="00800760" w:rsidRDefault="00235733">
      <w:pPr>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我局需对</w:t>
      </w:r>
      <w:r>
        <w:rPr>
          <w:rFonts w:ascii="仿宋" w:eastAsia="仿宋_GB2312" w:hAnsi="仿宋" w:hint="eastAsia"/>
          <w:color w:val="000000"/>
          <w:sz w:val="20"/>
          <w:szCs w:val="21"/>
          <w:u w:val="single"/>
        </w:rPr>
        <w:t xml:space="preserve">                          </w:t>
      </w:r>
      <w:r>
        <w:rPr>
          <w:rFonts w:ascii="仿宋_GB2312" w:eastAsia="仿宋_GB2312" w:hAnsi="仿宋" w:hint="eastAsia"/>
          <w:color w:val="000000"/>
          <w:sz w:val="20"/>
          <w:szCs w:val="21"/>
        </w:rPr>
        <w:t>进行技术鉴定，现委托贵单位按下列要求进行鉴定:</w:t>
      </w:r>
    </w:p>
    <w:p w:rsidR="00800760" w:rsidRDefault="00235733">
      <w:pPr>
        <w:spacing w:line="360" w:lineRule="auto"/>
        <w:ind w:firstLine="400"/>
        <w:rPr>
          <w:rFonts w:ascii="仿宋_GB2312" w:eastAsia="仿宋_GB2312"/>
          <w:color w:val="000000"/>
          <w:sz w:val="20"/>
          <w:szCs w:val="21"/>
        </w:rPr>
      </w:pPr>
      <w:r>
        <w:rPr>
          <w:rFonts w:eastAsia="仿宋_GB2312" w:hint="eastAsia"/>
          <w:color w:val="000000"/>
          <w:sz w:val="20"/>
          <w:szCs w:val="21"/>
        </w:rPr>
        <w:t>1</w:t>
      </w:r>
      <w:r>
        <w:rPr>
          <w:rFonts w:ascii="仿宋_GB2312" w:eastAsia="仿宋_GB2312" w:hint="eastAsia"/>
          <w:color w:val="000000"/>
          <w:sz w:val="20"/>
          <w:szCs w:val="21"/>
        </w:rPr>
        <w:t>.</w:t>
      </w:r>
      <w:r>
        <w:rPr>
          <w:rFonts w:ascii="宋体" w:hAnsi="宋体" w:hint="eastAsia"/>
          <w:color w:val="000000"/>
          <w:sz w:val="20"/>
          <w:szCs w:val="21"/>
        </w:rPr>
        <w:t>……</w:t>
      </w:r>
    </w:p>
    <w:p w:rsidR="00800760" w:rsidRDefault="00235733">
      <w:pPr>
        <w:spacing w:line="360" w:lineRule="auto"/>
        <w:ind w:firstLine="400"/>
        <w:rPr>
          <w:rFonts w:ascii="仿宋_GB2312" w:eastAsia="仿宋_GB2312"/>
          <w:color w:val="000000"/>
          <w:sz w:val="20"/>
          <w:szCs w:val="21"/>
        </w:rPr>
      </w:pPr>
      <w:r>
        <w:rPr>
          <w:rFonts w:eastAsia="仿宋_GB2312" w:hint="eastAsia"/>
          <w:color w:val="000000"/>
          <w:sz w:val="20"/>
          <w:szCs w:val="21"/>
        </w:rPr>
        <w:t>2</w:t>
      </w:r>
      <w:r>
        <w:rPr>
          <w:rFonts w:ascii="仿宋_GB2312" w:eastAsia="仿宋_GB2312" w:hint="eastAsia"/>
          <w:color w:val="000000"/>
          <w:sz w:val="20"/>
          <w:szCs w:val="21"/>
        </w:rPr>
        <w:t>.</w:t>
      </w:r>
      <w:r>
        <w:rPr>
          <w:rFonts w:ascii="宋体" w:hAnsi="宋体" w:hint="eastAsia"/>
          <w:color w:val="000000"/>
          <w:sz w:val="20"/>
          <w:szCs w:val="21"/>
        </w:rPr>
        <w:t>……</w:t>
      </w:r>
    </w:p>
    <w:p w:rsidR="00800760" w:rsidRDefault="00235733">
      <w:pPr>
        <w:spacing w:line="360" w:lineRule="auto"/>
        <w:ind w:firstLine="400"/>
        <w:rPr>
          <w:rFonts w:ascii="宋体" w:hAnsi="宋体"/>
          <w:color w:val="000000"/>
          <w:sz w:val="20"/>
          <w:szCs w:val="21"/>
        </w:rPr>
      </w:pPr>
      <w:r>
        <w:rPr>
          <w:rFonts w:ascii="宋体" w:hAnsi="宋体" w:hint="eastAsia"/>
          <w:color w:val="000000"/>
          <w:sz w:val="20"/>
          <w:szCs w:val="21"/>
        </w:rPr>
        <w:t>……</w:t>
      </w:r>
    </w:p>
    <w:p w:rsidR="00800760" w:rsidRDefault="00235733">
      <w:pPr>
        <w:spacing w:line="360" w:lineRule="auto"/>
        <w:ind w:left="1" w:firstLineChars="213" w:firstLine="426"/>
        <w:rPr>
          <w:rFonts w:ascii="仿宋_GB2312" w:eastAsia="仿宋_GB2312" w:hAnsi="仿宋"/>
          <w:color w:val="000000"/>
          <w:sz w:val="20"/>
          <w:szCs w:val="21"/>
        </w:rPr>
      </w:pPr>
      <w:r>
        <w:rPr>
          <w:rFonts w:ascii="仿宋_GB2312" w:eastAsia="仿宋_GB2312" w:hAnsi="仿宋" w:hint="eastAsia"/>
          <w:color w:val="000000"/>
          <w:sz w:val="20"/>
          <w:szCs w:val="21"/>
        </w:rPr>
        <w:t>请贵单位于</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_GB2312" w:eastAsia="仿宋_GB2312" w:hAnsi="仿宋" w:hint="eastAsia"/>
          <w:color w:val="000000"/>
          <w:sz w:val="20"/>
          <w:szCs w:val="21"/>
        </w:rPr>
        <w:t>前完成鉴定工作，并将鉴定结论一式</w:t>
      </w:r>
      <w:r>
        <w:rPr>
          <w:rFonts w:ascii="仿宋" w:eastAsia="仿宋_GB2312" w:hAnsi="仿宋" w:hint="eastAsia"/>
          <w:color w:val="000000"/>
          <w:sz w:val="20"/>
          <w:szCs w:val="21"/>
          <w:u w:val="single"/>
        </w:rPr>
        <w:t xml:space="preserve">          </w:t>
      </w:r>
      <w:r>
        <w:rPr>
          <w:rFonts w:ascii="仿宋_GB2312" w:eastAsia="仿宋_GB2312" w:hAnsi="仿宋" w:hint="eastAsia"/>
          <w:color w:val="000000"/>
          <w:sz w:val="20"/>
          <w:szCs w:val="21"/>
        </w:rPr>
        <w:t>份送交我局。</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专此委托。</w:t>
      </w:r>
    </w:p>
    <w:p w:rsidR="00800760" w:rsidRDefault="00800760">
      <w:pPr>
        <w:spacing w:line="360" w:lineRule="auto"/>
        <w:ind w:firstLineChars="0" w:firstLine="0"/>
        <w:rPr>
          <w:rFonts w:ascii="仿宋" w:eastAsia="仿宋_GB2312" w:hAnsi="仿宋"/>
          <w:color w:val="000000"/>
          <w:sz w:val="20"/>
          <w:szCs w:val="21"/>
        </w:rPr>
      </w:pP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国家知识产权局（盖章）　　</w:t>
      </w:r>
    </w:p>
    <w:p w:rsidR="00800760" w:rsidRDefault="00235733">
      <w:pPr>
        <w:spacing w:line="360" w:lineRule="auto"/>
        <w:ind w:firstLineChars="0" w:firstLine="444"/>
        <w:jc w:val="right"/>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 xml:space="preserve">日　　</w:t>
      </w:r>
    </w:p>
    <w:p w:rsidR="00800760" w:rsidRDefault="00800760">
      <w:pPr>
        <w:spacing w:line="360" w:lineRule="auto"/>
        <w:ind w:firstLineChars="0" w:firstLine="0"/>
        <w:rPr>
          <w:rFonts w:ascii="仿宋" w:eastAsia="仿宋_GB2312" w:hAnsi="仿宋"/>
          <w:color w:val="000000"/>
          <w:sz w:val="20"/>
          <w:szCs w:val="21"/>
        </w:rPr>
      </w:pPr>
    </w:p>
    <w:p w:rsidR="00800760" w:rsidRDefault="00800760">
      <w:pPr>
        <w:spacing w:line="360" w:lineRule="auto"/>
        <w:ind w:firstLineChars="0" w:firstLine="0"/>
        <w:rPr>
          <w:rFonts w:ascii="仿宋" w:eastAsia="仿宋_GB2312" w:hAnsi="仿宋"/>
          <w:color w:val="000000"/>
          <w:sz w:val="20"/>
          <w:szCs w:val="21"/>
        </w:rPr>
      </w:pP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联</w:t>
      </w:r>
      <w:r>
        <w:rPr>
          <w:rFonts w:ascii="仿宋" w:eastAsia="仿宋_GB2312" w:hAnsi="仿宋" w:hint="eastAsia"/>
          <w:color w:val="000000"/>
          <w:sz w:val="20"/>
          <w:szCs w:val="21"/>
        </w:rPr>
        <w:t xml:space="preserve"> </w:t>
      </w:r>
      <w:r>
        <w:rPr>
          <w:rFonts w:ascii="仿宋" w:eastAsia="仿宋_GB2312" w:hAnsi="仿宋"/>
          <w:color w:val="000000"/>
          <w:sz w:val="20"/>
          <w:szCs w:val="21"/>
        </w:rPr>
        <w:t>系</w:t>
      </w:r>
      <w:r>
        <w:rPr>
          <w:rFonts w:ascii="仿宋" w:eastAsia="仿宋_GB2312" w:hAnsi="仿宋" w:hint="eastAsia"/>
          <w:color w:val="000000"/>
          <w:sz w:val="20"/>
          <w:szCs w:val="21"/>
        </w:rPr>
        <w:t xml:space="preserve"> </w:t>
      </w:r>
      <w:r>
        <w:rPr>
          <w:rFonts w:ascii="仿宋" w:eastAsia="仿宋_GB2312" w:hAnsi="仿宋"/>
          <w:color w:val="000000"/>
          <w:sz w:val="20"/>
          <w:szCs w:val="21"/>
        </w:rPr>
        <w:t>人</w:t>
      </w:r>
      <w:r>
        <w:rPr>
          <w:rFonts w:ascii="仿宋" w:eastAsia="仿宋_GB2312" w:hAnsi="仿宋" w:hint="eastAsia"/>
          <w:color w:val="000000"/>
          <w:sz w:val="20"/>
          <w:szCs w:val="21"/>
        </w:rPr>
        <w:t>：</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联系电话</w:t>
      </w:r>
      <w:r>
        <w:rPr>
          <w:rFonts w:ascii="仿宋" w:eastAsia="仿宋_GB2312" w:hAnsi="仿宋" w:hint="eastAsia"/>
          <w:color w:val="000000"/>
          <w:sz w:val="20"/>
          <w:szCs w:val="21"/>
        </w:rPr>
        <w:t>：</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本局地址</w:t>
      </w:r>
      <w:r>
        <w:rPr>
          <w:rFonts w:ascii="仿宋" w:eastAsia="仿宋_GB2312" w:hAnsi="仿宋" w:hint="eastAsia"/>
          <w:color w:val="000000"/>
          <w:sz w:val="20"/>
          <w:szCs w:val="21"/>
        </w:rPr>
        <w:t>：</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邮政编码</w:t>
      </w:r>
      <w:r>
        <w:rPr>
          <w:rFonts w:ascii="仿宋" w:eastAsia="仿宋_GB2312" w:hAnsi="仿宋" w:hint="eastAsia"/>
          <w:color w:val="000000"/>
          <w:sz w:val="20"/>
          <w:szCs w:val="21"/>
        </w:rPr>
        <w:t>：</w:t>
      </w:r>
    </w:p>
    <w:p w:rsidR="00800760" w:rsidRDefault="00235733">
      <w:pPr>
        <w:ind w:firstLineChars="0" w:firstLine="0"/>
        <w:jc w:val="center"/>
        <w:rPr>
          <w:rFonts w:ascii="宋体" w:hAnsi="宋体"/>
          <w:b/>
          <w:szCs w:val="21"/>
        </w:rPr>
      </w:pPr>
      <w:r>
        <w:rPr>
          <w:rFonts w:ascii="宋体" w:hAnsi="宋体"/>
          <w:b/>
          <w:color w:val="000000"/>
          <w:sz w:val="20"/>
          <w:szCs w:val="21"/>
        </w:rPr>
        <w:br w:type="page"/>
      </w:r>
    </w:p>
    <w:p w:rsidR="00800760" w:rsidRDefault="00235733">
      <w:pPr>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hint="eastAsia"/>
          <w:color w:val="000000"/>
          <w:spacing w:val="6"/>
          <w:sz w:val="36"/>
          <w:szCs w:val="36"/>
        </w:rPr>
        <w:t>专利侵权纠纷案件有关事项审批表</w:t>
      </w:r>
    </w:p>
    <w:p w:rsidR="00800760" w:rsidRDefault="00235733">
      <w:pPr>
        <w:ind w:firstLineChars="0" w:firstLine="0"/>
        <w:jc w:val="right"/>
        <w:rPr>
          <w:rFonts w:ascii="仿宋_GB2312" w:eastAsia="仿宋_GB2312" w:hAnsi="仿宋"/>
          <w:color w:val="000000"/>
          <w:sz w:val="20"/>
        </w:rPr>
      </w:pPr>
      <w:r>
        <w:rPr>
          <w:rFonts w:ascii="仿宋_GB2312" w:eastAsia="仿宋_GB2312" w:hAnsi="仿宋" w:hint="eastAsia"/>
          <w:color w:val="000000"/>
          <w:sz w:val="20"/>
        </w:rPr>
        <w:t xml:space="preserve">案号：____________________ </w:t>
      </w:r>
    </w:p>
    <w:tbl>
      <w:tblPr>
        <w:tblW w:w="922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2190"/>
        <w:gridCol w:w="7038"/>
      </w:tblGrid>
      <w:tr w:rsidR="00800760">
        <w:trPr>
          <w:cantSplit/>
          <w:trHeight w:val="397"/>
          <w:jc w:val="center"/>
        </w:trPr>
        <w:tc>
          <w:tcPr>
            <w:tcW w:w="2190" w:type="dxa"/>
            <w:tcBorders>
              <w:top w:val="single" w:sz="8" w:space="0" w:color="auto"/>
              <w:left w:val="single" w:sz="8" w:space="0" w:color="auto"/>
              <w:bottom w:val="single" w:sz="4" w:space="0" w:color="auto"/>
              <w:right w:val="single" w:sz="4"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专利号</w:t>
            </w:r>
          </w:p>
        </w:tc>
        <w:tc>
          <w:tcPr>
            <w:tcW w:w="7038" w:type="dxa"/>
            <w:tcBorders>
              <w:top w:val="single" w:sz="8" w:space="0" w:color="auto"/>
              <w:left w:val="single" w:sz="4" w:space="0" w:color="auto"/>
              <w:bottom w:val="single" w:sz="4" w:space="0" w:color="auto"/>
              <w:right w:val="single" w:sz="8" w:space="0" w:color="auto"/>
            </w:tcBorders>
            <w:vAlign w:val="center"/>
          </w:tcPr>
          <w:p w:rsidR="00800760" w:rsidRDefault="00800760">
            <w:pPr>
              <w:ind w:firstLineChars="0" w:firstLine="0"/>
              <w:rPr>
                <w:rFonts w:ascii="仿宋_GB2312" w:eastAsia="仿宋_GB2312" w:hAnsi="仿宋"/>
                <w:color w:val="000000"/>
                <w:sz w:val="20"/>
              </w:rPr>
            </w:pPr>
          </w:p>
        </w:tc>
      </w:tr>
      <w:tr w:rsidR="00800760">
        <w:trPr>
          <w:cantSplit/>
          <w:trHeight w:val="397"/>
          <w:jc w:val="center"/>
        </w:trPr>
        <w:tc>
          <w:tcPr>
            <w:tcW w:w="2190" w:type="dxa"/>
            <w:tcBorders>
              <w:top w:val="single" w:sz="4" w:space="0" w:color="auto"/>
              <w:left w:val="single" w:sz="8" w:space="0" w:color="auto"/>
              <w:bottom w:val="single" w:sz="4" w:space="0" w:color="auto"/>
              <w:right w:val="single" w:sz="4"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专利名称</w:t>
            </w:r>
          </w:p>
        </w:tc>
        <w:tc>
          <w:tcPr>
            <w:tcW w:w="7038" w:type="dxa"/>
            <w:tcBorders>
              <w:top w:val="single" w:sz="4" w:space="0" w:color="auto"/>
              <w:left w:val="single" w:sz="4" w:space="0" w:color="auto"/>
              <w:bottom w:val="single" w:sz="4" w:space="0" w:color="auto"/>
              <w:right w:val="single" w:sz="8" w:space="0" w:color="auto"/>
            </w:tcBorders>
            <w:vAlign w:val="center"/>
          </w:tcPr>
          <w:p w:rsidR="00800760" w:rsidRDefault="00800760">
            <w:pPr>
              <w:ind w:firstLineChars="0" w:firstLine="0"/>
              <w:rPr>
                <w:rFonts w:ascii="仿宋_GB2312" w:eastAsia="仿宋_GB2312" w:hAnsi="仿宋"/>
                <w:color w:val="000000"/>
                <w:sz w:val="20"/>
              </w:rPr>
            </w:pPr>
          </w:p>
        </w:tc>
      </w:tr>
      <w:tr w:rsidR="00800760">
        <w:trPr>
          <w:cantSplit/>
          <w:trHeight w:val="397"/>
          <w:jc w:val="center"/>
        </w:trPr>
        <w:tc>
          <w:tcPr>
            <w:tcW w:w="2190" w:type="dxa"/>
            <w:tcBorders>
              <w:top w:val="single" w:sz="4" w:space="0" w:color="auto"/>
              <w:left w:val="single" w:sz="8" w:space="0" w:color="auto"/>
              <w:bottom w:val="single" w:sz="4" w:space="0" w:color="auto"/>
              <w:right w:val="single" w:sz="4"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专利权人</w:t>
            </w:r>
          </w:p>
        </w:tc>
        <w:tc>
          <w:tcPr>
            <w:tcW w:w="7038" w:type="dxa"/>
            <w:tcBorders>
              <w:top w:val="single" w:sz="4" w:space="0" w:color="auto"/>
              <w:left w:val="single" w:sz="4" w:space="0" w:color="auto"/>
              <w:bottom w:val="single" w:sz="4" w:space="0" w:color="auto"/>
              <w:right w:val="single" w:sz="8" w:space="0" w:color="auto"/>
            </w:tcBorders>
            <w:vAlign w:val="center"/>
          </w:tcPr>
          <w:p w:rsidR="00800760" w:rsidRDefault="00800760">
            <w:pPr>
              <w:ind w:firstLineChars="0" w:firstLine="0"/>
              <w:rPr>
                <w:rFonts w:ascii="仿宋_GB2312" w:eastAsia="仿宋_GB2312" w:hAnsi="仿宋"/>
                <w:color w:val="000000"/>
                <w:sz w:val="20"/>
              </w:rPr>
            </w:pPr>
          </w:p>
        </w:tc>
      </w:tr>
      <w:tr w:rsidR="00800760">
        <w:trPr>
          <w:cantSplit/>
          <w:trHeight w:val="397"/>
          <w:jc w:val="center"/>
        </w:trPr>
        <w:tc>
          <w:tcPr>
            <w:tcW w:w="2190" w:type="dxa"/>
            <w:tcBorders>
              <w:top w:val="single" w:sz="4" w:space="0" w:color="auto"/>
              <w:left w:val="single" w:sz="8" w:space="0" w:color="auto"/>
              <w:bottom w:val="single" w:sz="4" w:space="0" w:color="auto"/>
              <w:right w:val="single" w:sz="4"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请求人</w:t>
            </w:r>
          </w:p>
        </w:tc>
        <w:tc>
          <w:tcPr>
            <w:tcW w:w="7038" w:type="dxa"/>
            <w:tcBorders>
              <w:top w:val="single" w:sz="4" w:space="0" w:color="auto"/>
              <w:left w:val="single" w:sz="4" w:space="0" w:color="auto"/>
              <w:bottom w:val="single" w:sz="4" w:space="0" w:color="auto"/>
              <w:right w:val="single" w:sz="8" w:space="0" w:color="auto"/>
            </w:tcBorders>
            <w:vAlign w:val="center"/>
          </w:tcPr>
          <w:p w:rsidR="00800760" w:rsidRDefault="00800760">
            <w:pPr>
              <w:ind w:firstLineChars="0" w:firstLine="0"/>
              <w:rPr>
                <w:rFonts w:ascii="仿宋_GB2312" w:eastAsia="仿宋_GB2312" w:hAnsi="仿宋"/>
                <w:color w:val="000000"/>
                <w:sz w:val="20"/>
              </w:rPr>
            </w:pPr>
          </w:p>
        </w:tc>
      </w:tr>
      <w:tr w:rsidR="00800760">
        <w:trPr>
          <w:cantSplit/>
          <w:trHeight w:val="397"/>
          <w:jc w:val="center"/>
        </w:trPr>
        <w:tc>
          <w:tcPr>
            <w:tcW w:w="2190" w:type="dxa"/>
            <w:tcBorders>
              <w:top w:val="single" w:sz="4" w:space="0" w:color="auto"/>
              <w:left w:val="single" w:sz="8" w:space="0" w:color="auto"/>
              <w:bottom w:val="single" w:sz="4" w:space="0" w:color="auto"/>
              <w:right w:val="single" w:sz="4"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被请求人</w:t>
            </w:r>
          </w:p>
        </w:tc>
        <w:tc>
          <w:tcPr>
            <w:tcW w:w="7038" w:type="dxa"/>
            <w:tcBorders>
              <w:top w:val="single" w:sz="4" w:space="0" w:color="auto"/>
              <w:left w:val="single" w:sz="4" w:space="0" w:color="auto"/>
              <w:bottom w:val="single" w:sz="4" w:space="0" w:color="auto"/>
              <w:right w:val="single" w:sz="8" w:space="0" w:color="auto"/>
            </w:tcBorders>
            <w:vAlign w:val="center"/>
          </w:tcPr>
          <w:p w:rsidR="00800760" w:rsidRDefault="00800760">
            <w:pPr>
              <w:ind w:firstLineChars="0" w:firstLine="0"/>
              <w:rPr>
                <w:rFonts w:ascii="仿宋_GB2312" w:eastAsia="仿宋_GB2312" w:hAnsi="仿宋"/>
                <w:color w:val="000000"/>
                <w:sz w:val="20"/>
              </w:rPr>
            </w:pPr>
          </w:p>
        </w:tc>
      </w:tr>
      <w:tr w:rsidR="00800760">
        <w:trPr>
          <w:cantSplit/>
          <w:trHeight w:val="397"/>
          <w:jc w:val="center"/>
        </w:trPr>
        <w:tc>
          <w:tcPr>
            <w:tcW w:w="2190" w:type="dxa"/>
            <w:tcBorders>
              <w:top w:val="single" w:sz="4" w:space="0" w:color="auto"/>
              <w:left w:val="single" w:sz="8" w:space="0" w:color="auto"/>
              <w:bottom w:val="single" w:sz="4" w:space="0" w:color="auto"/>
              <w:right w:val="single" w:sz="4"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审批事项</w:t>
            </w:r>
          </w:p>
        </w:tc>
        <w:tc>
          <w:tcPr>
            <w:tcW w:w="7038" w:type="dxa"/>
            <w:tcBorders>
              <w:top w:val="single" w:sz="4" w:space="0" w:color="auto"/>
              <w:left w:val="single" w:sz="4" w:space="0" w:color="auto"/>
              <w:bottom w:val="single" w:sz="4" w:space="0" w:color="auto"/>
              <w:right w:val="single" w:sz="8"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调查取证/驳回请求</w:t>
            </w:r>
          </w:p>
        </w:tc>
      </w:tr>
      <w:tr w:rsidR="00800760">
        <w:trPr>
          <w:cantSplit/>
          <w:trHeight w:val="3643"/>
          <w:jc w:val="center"/>
        </w:trPr>
        <w:tc>
          <w:tcPr>
            <w:tcW w:w="2190" w:type="dxa"/>
            <w:tcBorders>
              <w:top w:val="single" w:sz="4" w:space="0" w:color="auto"/>
              <w:left w:val="single" w:sz="8" w:space="0" w:color="auto"/>
              <w:bottom w:val="single" w:sz="4" w:space="0" w:color="auto"/>
              <w:right w:val="single" w:sz="4"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合议组意见</w:t>
            </w:r>
          </w:p>
        </w:tc>
        <w:tc>
          <w:tcPr>
            <w:tcW w:w="7038" w:type="dxa"/>
            <w:tcBorders>
              <w:top w:val="single" w:sz="4" w:space="0" w:color="auto"/>
              <w:left w:val="single" w:sz="4" w:space="0" w:color="auto"/>
              <w:bottom w:val="single" w:sz="4" w:space="0" w:color="auto"/>
              <w:right w:val="single" w:sz="8"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 xml:space="preserve">例1：请求人于 年  月  日向本局提出专利侵权纠纷请求并请求我局到被请求人住所地现场进行现场勘验/调查取证，本局于  月  日立案并依法组成合议组。根据《专利纠纷行政裁决和调解办法》第四十四条的规定，合议组拟于近期依请求/依职权决定现场勘验/调查收集有关证据。      </w:t>
            </w:r>
          </w:p>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例2：因请求人XX提出的证据，不足以证明被控侵权产品落入涉案专利权的保护范围，其请求认定的侵权行为不成立。建议作出裁决如下：驳回请求人XX的全部请求。</w:t>
            </w:r>
          </w:p>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请领导批准签发《行政裁决书》。</w:t>
            </w:r>
          </w:p>
          <w:p w:rsidR="00800760" w:rsidRDefault="00800760">
            <w:pPr>
              <w:ind w:firstLineChars="0" w:firstLine="0"/>
              <w:rPr>
                <w:rFonts w:ascii="仿宋_GB2312" w:eastAsia="仿宋_GB2312" w:hAnsi="仿宋"/>
                <w:color w:val="000000"/>
                <w:sz w:val="20"/>
              </w:rPr>
            </w:pPr>
          </w:p>
          <w:p w:rsidR="00800760" w:rsidRDefault="00235733">
            <w:pPr>
              <w:ind w:firstLineChars="2400" w:firstLine="4800"/>
              <w:rPr>
                <w:rFonts w:ascii="仿宋_GB2312" w:eastAsia="仿宋_GB2312" w:hAnsi="仿宋"/>
                <w:color w:val="000000"/>
                <w:sz w:val="20"/>
              </w:rPr>
            </w:pPr>
            <w:r>
              <w:rPr>
                <w:rFonts w:ascii="仿宋_GB2312" w:eastAsia="仿宋_GB2312" w:hAnsi="仿宋" w:hint="eastAsia"/>
                <w:color w:val="000000"/>
                <w:sz w:val="20"/>
              </w:rPr>
              <w:t xml:space="preserve">签字：　　　　</w:t>
            </w:r>
          </w:p>
          <w:p w:rsidR="00800760" w:rsidRDefault="00235733">
            <w:pPr>
              <w:ind w:firstLineChars="2050" w:firstLine="4100"/>
              <w:rPr>
                <w:rFonts w:ascii="仿宋_GB2312" w:eastAsia="仿宋_GB2312" w:hAnsi="仿宋"/>
                <w:color w:val="000000"/>
                <w:sz w:val="20"/>
              </w:rPr>
            </w:pPr>
            <w:r>
              <w:rPr>
                <w:rFonts w:ascii="仿宋_GB2312" w:eastAsia="仿宋_GB2312" w:hAnsi="仿宋" w:hint="eastAsia"/>
                <w:color w:val="000000"/>
                <w:sz w:val="20"/>
              </w:rPr>
              <w:t xml:space="preserve">　　　　年　　月　　日</w:t>
            </w:r>
          </w:p>
        </w:tc>
      </w:tr>
      <w:tr w:rsidR="00800760">
        <w:trPr>
          <w:cantSplit/>
          <w:trHeight w:val="2151"/>
          <w:jc w:val="center"/>
        </w:trPr>
        <w:tc>
          <w:tcPr>
            <w:tcW w:w="2190" w:type="dxa"/>
            <w:tcBorders>
              <w:top w:val="single" w:sz="4" w:space="0" w:color="auto"/>
              <w:left w:val="single" w:sz="8" w:space="0" w:color="auto"/>
              <w:bottom w:val="single" w:sz="4" w:space="0" w:color="auto"/>
              <w:right w:val="single" w:sz="4"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处（科）室负责人审核</w:t>
            </w:r>
          </w:p>
          <w:p w:rsidR="00800760" w:rsidRDefault="00800760">
            <w:pPr>
              <w:ind w:firstLineChars="0" w:firstLine="0"/>
              <w:rPr>
                <w:rFonts w:ascii="仿宋_GB2312" w:eastAsia="仿宋_GB2312" w:hAnsi="仿宋"/>
                <w:color w:val="000000"/>
                <w:sz w:val="20"/>
              </w:rPr>
            </w:pPr>
          </w:p>
        </w:tc>
        <w:tc>
          <w:tcPr>
            <w:tcW w:w="7038" w:type="dxa"/>
            <w:tcBorders>
              <w:top w:val="single" w:sz="4" w:space="0" w:color="auto"/>
              <w:left w:val="single" w:sz="4" w:space="0" w:color="auto"/>
              <w:bottom w:val="single" w:sz="4" w:space="0" w:color="auto"/>
              <w:right w:val="single" w:sz="8" w:space="0" w:color="auto"/>
            </w:tcBorders>
            <w:vAlign w:val="center"/>
          </w:tcPr>
          <w:p w:rsidR="00800760" w:rsidRDefault="00800760">
            <w:pPr>
              <w:ind w:firstLineChars="0" w:firstLine="0"/>
              <w:rPr>
                <w:rFonts w:ascii="仿宋_GB2312" w:eastAsia="仿宋_GB2312" w:hAnsi="仿宋"/>
                <w:color w:val="000000"/>
                <w:sz w:val="20"/>
              </w:rPr>
            </w:pPr>
          </w:p>
          <w:p w:rsidR="00800760" w:rsidRDefault="00235733">
            <w:pPr>
              <w:ind w:firstLineChars="2400" w:firstLine="4800"/>
              <w:rPr>
                <w:rFonts w:ascii="仿宋_GB2312" w:eastAsia="仿宋_GB2312" w:hAnsi="仿宋"/>
                <w:color w:val="000000"/>
                <w:sz w:val="20"/>
              </w:rPr>
            </w:pPr>
            <w:r>
              <w:rPr>
                <w:rFonts w:ascii="仿宋_GB2312" w:eastAsia="仿宋_GB2312" w:hAnsi="仿宋" w:hint="eastAsia"/>
                <w:color w:val="000000"/>
                <w:sz w:val="20"/>
              </w:rPr>
              <w:t xml:space="preserve">签字：　　　　</w:t>
            </w:r>
          </w:p>
          <w:p w:rsidR="00800760" w:rsidRDefault="00235733">
            <w:pPr>
              <w:ind w:firstLineChars="2050" w:firstLine="4100"/>
              <w:rPr>
                <w:rFonts w:ascii="仿宋_GB2312" w:eastAsia="仿宋_GB2312" w:hAnsi="仿宋"/>
                <w:color w:val="000000"/>
                <w:sz w:val="20"/>
              </w:rPr>
            </w:pPr>
            <w:r>
              <w:rPr>
                <w:rFonts w:ascii="仿宋_GB2312" w:eastAsia="仿宋_GB2312" w:hAnsi="仿宋" w:hint="eastAsia"/>
                <w:color w:val="000000"/>
                <w:sz w:val="20"/>
              </w:rPr>
              <w:t xml:space="preserve">　　　　年　　月　　日</w:t>
            </w:r>
          </w:p>
        </w:tc>
      </w:tr>
      <w:tr w:rsidR="00800760">
        <w:trPr>
          <w:cantSplit/>
          <w:trHeight w:val="2575"/>
          <w:jc w:val="center"/>
        </w:trPr>
        <w:tc>
          <w:tcPr>
            <w:tcW w:w="2190" w:type="dxa"/>
            <w:tcBorders>
              <w:top w:val="single" w:sz="4" w:space="0" w:color="auto"/>
              <w:left w:val="single" w:sz="8" w:space="0" w:color="auto"/>
              <w:bottom w:val="single" w:sz="8" w:space="0" w:color="auto"/>
              <w:right w:val="single" w:sz="4" w:space="0" w:color="auto"/>
            </w:tcBorders>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部门负责人意见</w:t>
            </w:r>
          </w:p>
        </w:tc>
        <w:tc>
          <w:tcPr>
            <w:tcW w:w="7038" w:type="dxa"/>
            <w:tcBorders>
              <w:top w:val="single" w:sz="4" w:space="0" w:color="auto"/>
              <w:left w:val="single" w:sz="4" w:space="0" w:color="auto"/>
              <w:bottom w:val="single" w:sz="8" w:space="0" w:color="auto"/>
              <w:right w:val="single" w:sz="8" w:space="0" w:color="auto"/>
            </w:tcBorders>
            <w:vAlign w:val="center"/>
          </w:tcPr>
          <w:p w:rsidR="00800760" w:rsidRDefault="00800760">
            <w:pPr>
              <w:ind w:firstLineChars="0" w:firstLine="0"/>
              <w:rPr>
                <w:rFonts w:ascii="仿宋_GB2312" w:eastAsia="仿宋_GB2312" w:hAnsi="仿宋"/>
                <w:color w:val="000000"/>
                <w:sz w:val="20"/>
              </w:rPr>
            </w:pPr>
          </w:p>
          <w:p w:rsidR="00800760" w:rsidRDefault="00235733">
            <w:pPr>
              <w:ind w:firstLineChars="2400" w:firstLine="4800"/>
              <w:rPr>
                <w:rFonts w:ascii="仿宋_GB2312" w:eastAsia="仿宋_GB2312" w:hAnsi="仿宋"/>
                <w:color w:val="000000"/>
                <w:sz w:val="20"/>
              </w:rPr>
            </w:pPr>
            <w:r>
              <w:rPr>
                <w:rFonts w:ascii="仿宋_GB2312" w:eastAsia="仿宋_GB2312" w:hAnsi="仿宋" w:hint="eastAsia"/>
                <w:color w:val="000000"/>
                <w:sz w:val="20"/>
              </w:rPr>
              <w:t xml:space="preserve">签字：　　　　</w:t>
            </w:r>
          </w:p>
          <w:p w:rsidR="00800760" w:rsidRDefault="00235733">
            <w:pPr>
              <w:ind w:firstLineChars="2050" w:firstLine="4100"/>
              <w:rPr>
                <w:rFonts w:ascii="仿宋_GB2312" w:eastAsia="仿宋_GB2312" w:hAnsi="仿宋"/>
                <w:color w:val="000000"/>
                <w:sz w:val="20"/>
              </w:rPr>
            </w:pPr>
            <w:r>
              <w:rPr>
                <w:rFonts w:ascii="仿宋_GB2312" w:eastAsia="仿宋_GB2312" w:hAnsi="仿宋" w:hint="eastAsia"/>
                <w:color w:val="000000"/>
                <w:sz w:val="20"/>
              </w:rPr>
              <w:t xml:space="preserve">　　　　年　　月　　日</w:t>
            </w:r>
          </w:p>
        </w:tc>
      </w:tr>
    </w:tbl>
    <w:p w:rsidR="00800760" w:rsidRDefault="00235733">
      <w:pPr>
        <w:spacing w:line="240" w:lineRule="auto"/>
        <w:ind w:firstLineChars="0" w:firstLine="0"/>
        <w:jc w:val="center"/>
        <w:rPr>
          <w:rFonts w:ascii="方正小标宋_GBK" w:eastAsia="方正小标宋_GBK" w:hAnsi="宋体"/>
          <w:color w:val="000000"/>
          <w:spacing w:val="6"/>
          <w:sz w:val="36"/>
          <w:szCs w:val="36"/>
        </w:rPr>
      </w:pPr>
      <w:r>
        <w:rPr>
          <w:rFonts w:ascii="仿宋_GB2312" w:eastAsia="仿宋_GB2312" w:hAnsi="仿宋" w:hint="eastAsia"/>
          <w:color w:val="000000"/>
          <w:sz w:val="20"/>
        </w:rPr>
        <w:br w:type="page"/>
      </w:r>
      <w:r>
        <w:rPr>
          <w:rFonts w:ascii="方正小标宋_GBK" w:eastAsia="方正小标宋_GBK" w:hAnsi="宋体" w:hint="eastAsia"/>
          <w:color w:val="000000"/>
          <w:spacing w:val="6"/>
          <w:sz w:val="36"/>
          <w:szCs w:val="36"/>
        </w:rPr>
        <w:t>专利侵权纠纷延长办案期限审批表</w:t>
      </w:r>
    </w:p>
    <w:p w:rsidR="00800760" w:rsidRDefault="00800760">
      <w:pPr>
        <w:ind w:firstLineChars="0" w:firstLine="0"/>
        <w:jc w:val="right"/>
        <w:rPr>
          <w:rFonts w:ascii="仿宋" w:eastAsia="仿宋_GB2312" w:hAnsi="仿宋"/>
          <w:color w:val="000000"/>
          <w:szCs w:val="21"/>
        </w:rPr>
      </w:pPr>
    </w:p>
    <w:p w:rsidR="00800760" w:rsidRDefault="00235733">
      <w:pPr>
        <w:ind w:firstLineChars="0" w:firstLine="0"/>
        <w:jc w:val="right"/>
        <w:rPr>
          <w:rFonts w:ascii="仿宋_GB2312" w:eastAsia="仿宋_GB2312" w:hAnsi="仿宋"/>
          <w:color w:val="000000"/>
          <w:sz w:val="20"/>
        </w:rPr>
      </w:pPr>
      <w:r>
        <w:rPr>
          <w:rFonts w:ascii="仿宋_GB2312" w:eastAsia="仿宋_GB2312" w:hAnsi="仿宋" w:hint="eastAsia"/>
          <w:color w:val="000000"/>
          <w:sz w:val="20"/>
        </w:rPr>
        <w:t xml:space="preserve">案号：____________________  </w:t>
      </w:r>
    </w:p>
    <w:tbl>
      <w:tblPr>
        <w:tblW w:w="9527" w:type="dxa"/>
        <w:jc w:val="center"/>
        <w:tblLayout w:type="fixed"/>
        <w:tblCellMar>
          <w:left w:w="10" w:type="dxa"/>
          <w:right w:w="10" w:type="dxa"/>
        </w:tblCellMar>
        <w:tblLook w:val="04A0"/>
      </w:tblPr>
      <w:tblGrid>
        <w:gridCol w:w="2165"/>
        <w:gridCol w:w="7362"/>
      </w:tblGrid>
      <w:tr w:rsidR="00800760">
        <w:trPr>
          <w:trHeight w:hRule="exact" w:val="418"/>
          <w:jc w:val="center"/>
        </w:trPr>
        <w:tc>
          <w:tcPr>
            <w:tcW w:w="2165" w:type="dxa"/>
            <w:tcBorders>
              <w:top w:val="single" w:sz="4" w:space="0" w:color="auto"/>
              <w:left w:val="single" w:sz="4" w:space="0" w:color="auto"/>
            </w:tcBorders>
            <w:shd w:val="clear" w:color="auto" w:fill="FFFFFF"/>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专利号</w:t>
            </w:r>
          </w:p>
        </w:tc>
        <w:tc>
          <w:tcPr>
            <w:tcW w:w="7362" w:type="dxa"/>
            <w:tcBorders>
              <w:top w:val="single" w:sz="4" w:space="0" w:color="auto"/>
              <w:left w:val="single" w:sz="4" w:space="0" w:color="auto"/>
              <w:right w:val="single" w:sz="4" w:space="0" w:color="auto"/>
            </w:tcBorders>
            <w:shd w:val="clear" w:color="auto" w:fill="FFFFFF"/>
          </w:tcPr>
          <w:p w:rsidR="00800760" w:rsidRDefault="00800760">
            <w:pPr>
              <w:ind w:firstLineChars="0" w:firstLine="0"/>
              <w:rPr>
                <w:rFonts w:ascii="仿宋_GB2312" w:eastAsia="仿宋_GB2312" w:hAnsi="仿宋"/>
                <w:color w:val="000000"/>
                <w:sz w:val="20"/>
              </w:rPr>
            </w:pPr>
          </w:p>
        </w:tc>
      </w:tr>
      <w:tr w:rsidR="00800760">
        <w:trPr>
          <w:trHeight w:hRule="exact" w:val="422"/>
          <w:jc w:val="center"/>
        </w:trPr>
        <w:tc>
          <w:tcPr>
            <w:tcW w:w="2165" w:type="dxa"/>
            <w:tcBorders>
              <w:top w:val="single" w:sz="4" w:space="0" w:color="auto"/>
              <w:left w:val="single" w:sz="4" w:space="0" w:color="auto"/>
            </w:tcBorders>
            <w:shd w:val="clear" w:color="auto" w:fill="FFFFFF"/>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专利名称</w:t>
            </w:r>
          </w:p>
        </w:tc>
        <w:tc>
          <w:tcPr>
            <w:tcW w:w="7362" w:type="dxa"/>
            <w:tcBorders>
              <w:top w:val="single" w:sz="4" w:space="0" w:color="auto"/>
              <w:left w:val="single" w:sz="4" w:space="0" w:color="auto"/>
              <w:right w:val="single" w:sz="4" w:space="0" w:color="auto"/>
            </w:tcBorders>
            <w:shd w:val="clear" w:color="auto" w:fill="FFFFFF"/>
          </w:tcPr>
          <w:p w:rsidR="00800760" w:rsidRDefault="00800760">
            <w:pPr>
              <w:ind w:firstLineChars="0" w:firstLine="0"/>
              <w:rPr>
                <w:rFonts w:ascii="仿宋_GB2312" w:eastAsia="仿宋_GB2312" w:hAnsi="仿宋"/>
                <w:color w:val="000000"/>
                <w:sz w:val="20"/>
              </w:rPr>
            </w:pPr>
          </w:p>
        </w:tc>
      </w:tr>
      <w:tr w:rsidR="00800760">
        <w:trPr>
          <w:trHeight w:hRule="exact" w:val="418"/>
          <w:jc w:val="center"/>
        </w:trPr>
        <w:tc>
          <w:tcPr>
            <w:tcW w:w="2165" w:type="dxa"/>
            <w:tcBorders>
              <w:top w:val="single" w:sz="4" w:space="0" w:color="auto"/>
              <w:left w:val="single" w:sz="4" w:space="0" w:color="auto"/>
            </w:tcBorders>
            <w:shd w:val="clear" w:color="auto" w:fill="FFFFFF"/>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专利权人</w:t>
            </w:r>
          </w:p>
        </w:tc>
        <w:tc>
          <w:tcPr>
            <w:tcW w:w="7362" w:type="dxa"/>
            <w:tcBorders>
              <w:top w:val="single" w:sz="4" w:space="0" w:color="auto"/>
              <w:left w:val="single" w:sz="4" w:space="0" w:color="auto"/>
              <w:right w:val="single" w:sz="4" w:space="0" w:color="auto"/>
            </w:tcBorders>
            <w:shd w:val="clear" w:color="auto" w:fill="FFFFFF"/>
          </w:tcPr>
          <w:p w:rsidR="00800760" w:rsidRDefault="00800760">
            <w:pPr>
              <w:ind w:firstLineChars="0" w:firstLine="0"/>
              <w:rPr>
                <w:rFonts w:ascii="仿宋_GB2312" w:eastAsia="仿宋_GB2312" w:hAnsi="仿宋"/>
                <w:color w:val="000000"/>
                <w:sz w:val="20"/>
              </w:rPr>
            </w:pPr>
          </w:p>
        </w:tc>
      </w:tr>
      <w:tr w:rsidR="00800760">
        <w:trPr>
          <w:trHeight w:hRule="exact" w:val="418"/>
          <w:jc w:val="center"/>
        </w:trPr>
        <w:tc>
          <w:tcPr>
            <w:tcW w:w="2165" w:type="dxa"/>
            <w:tcBorders>
              <w:top w:val="single" w:sz="4" w:space="0" w:color="auto"/>
              <w:left w:val="single" w:sz="4" w:space="0" w:color="auto"/>
            </w:tcBorders>
            <w:shd w:val="clear" w:color="auto" w:fill="FFFFFF"/>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请求人</w:t>
            </w:r>
          </w:p>
        </w:tc>
        <w:tc>
          <w:tcPr>
            <w:tcW w:w="7362" w:type="dxa"/>
            <w:tcBorders>
              <w:top w:val="single" w:sz="4" w:space="0" w:color="auto"/>
              <w:left w:val="single" w:sz="4" w:space="0" w:color="auto"/>
              <w:right w:val="single" w:sz="4" w:space="0" w:color="auto"/>
            </w:tcBorders>
            <w:shd w:val="clear" w:color="auto" w:fill="FFFFFF"/>
          </w:tcPr>
          <w:p w:rsidR="00800760" w:rsidRDefault="00800760">
            <w:pPr>
              <w:ind w:firstLineChars="0" w:firstLine="0"/>
              <w:rPr>
                <w:rFonts w:ascii="仿宋_GB2312" w:eastAsia="仿宋_GB2312" w:hAnsi="仿宋"/>
                <w:color w:val="000000"/>
                <w:sz w:val="20"/>
              </w:rPr>
            </w:pPr>
          </w:p>
        </w:tc>
      </w:tr>
      <w:tr w:rsidR="00800760">
        <w:trPr>
          <w:trHeight w:hRule="exact" w:val="482"/>
          <w:jc w:val="center"/>
        </w:trPr>
        <w:tc>
          <w:tcPr>
            <w:tcW w:w="2165" w:type="dxa"/>
            <w:tcBorders>
              <w:top w:val="single" w:sz="4" w:space="0" w:color="auto"/>
              <w:left w:val="single" w:sz="4" w:space="0" w:color="auto"/>
            </w:tcBorders>
            <w:shd w:val="clear" w:color="auto" w:fill="FFFFFF"/>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被请求人</w:t>
            </w:r>
          </w:p>
        </w:tc>
        <w:tc>
          <w:tcPr>
            <w:tcW w:w="7362" w:type="dxa"/>
            <w:tcBorders>
              <w:top w:val="single" w:sz="4" w:space="0" w:color="auto"/>
              <w:left w:val="single" w:sz="4" w:space="0" w:color="auto"/>
              <w:right w:val="single" w:sz="4" w:space="0" w:color="auto"/>
            </w:tcBorders>
            <w:shd w:val="clear" w:color="auto" w:fill="FFFFFF"/>
            <w:vAlign w:val="center"/>
          </w:tcPr>
          <w:p w:rsidR="00800760" w:rsidRDefault="00800760">
            <w:pPr>
              <w:ind w:firstLineChars="0" w:firstLine="0"/>
              <w:rPr>
                <w:rFonts w:ascii="仿宋_GB2312" w:eastAsia="仿宋_GB2312" w:hAnsi="仿宋"/>
                <w:color w:val="000000"/>
                <w:sz w:val="20"/>
              </w:rPr>
            </w:pPr>
          </w:p>
        </w:tc>
      </w:tr>
      <w:tr w:rsidR="00800760">
        <w:trPr>
          <w:trHeight w:hRule="exact" w:val="3452"/>
          <w:jc w:val="center"/>
        </w:trPr>
        <w:tc>
          <w:tcPr>
            <w:tcW w:w="2165" w:type="dxa"/>
            <w:tcBorders>
              <w:top w:val="single" w:sz="4" w:space="0" w:color="auto"/>
              <w:left w:val="single" w:sz="4" w:space="0" w:color="auto"/>
            </w:tcBorders>
            <w:shd w:val="clear" w:color="auto" w:fill="FFFFFF"/>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案情简介</w:t>
            </w:r>
          </w:p>
        </w:tc>
        <w:tc>
          <w:tcPr>
            <w:tcW w:w="7362" w:type="dxa"/>
            <w:tcBorders>
              <w:top w:val="single" w:sz="4" w:space="0" w:color="auto"/>
              <w:left w:val="single" w:sz="4" w:space="0" w:color="auto"/>
              <w:right w:val="single" w:sz="4" w:space="0" w:color="auto"/>
            </w:tcBorders>
            <w:shd w:val="clear" w:color="auto" w:fill="FFFFFF"/>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根据《专利纠纷行政裁决和调解办法》第三十七条：管理专利工作的部门处理专利侵权纠纷，应当自立案之日起三个月内结案。案件复杂需要延长期限的，应当由管理专利工作的部门负责人批准。经批准延长的期限，最长不超过一个月。</w:t>
            </w:r>
          </w:p>
          <w:p w:rsidR="00800760" w:rsidRDefault="00800760">
            <w:pPr>
              <w:ind w:firstLineChars="0" w:firstLine="0"/>
              <w:rPr>
                <w:rFonts w:ascii="仿宋_GB2312" w:eastAsia="仿宋_GB2312" w:hAnsi="仿宋"/>
                <w:color w:val="000000"/>
                <w:sz w:val="20"/>
              </w:rPr>
            </w:pPr>
          </w:p>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需自    年  月  日起延长案件办理期限1个月，呈局领导批示。</w:t>
            </w:r>
          </w:p>
        </w:tc>
      </w:tr>
      <w:tr w:rsidR="00800760">
        <w:trPr>
          <w:trHeight w:hRule="exact" w:val="1315"/>
          <w:jc w:val="center"/>
        </w:trPr>
        <w:tc>
          <w:tcPr>
            <w:tcW w:w="2165" w:type="dxa"/>
            <w:tcBorders>
              <w:top w:val="single" w:sz="4" w:space="0" w:color="auto"/>
              <w:left w:val="single" w:sz="4" w:space="0" w:color="auto"/>
            </w:tcBorders>
            <w:shd w:val="clear" w:color="auto" w:fill="FFFFFF"/>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合议组意见</w:t>
            </w:r>
          </w:p>
        </w:tc>
        <w:tc>
          <w:tcPr>
            <w:tcW w:w="7362" w:type="dxa"/>
            <w:tcBorders>
              <w:top w:val="single" w:sz="4" w:space="0" w:color="auto"/>
              <w:left w:val="single" w:sz="4" w:space="0" w:color="auto"/>
              <w:right w:val="single" w:sz="4" w:space="0" w:color="auto"/>
            </w:tcBorders>
            <w:shd w:val="clear" w:color="auto" w:fill="FFFFFF"/>
            <w:vAlign w:val="center"/>
          </w:tcPr>
          <w:p w:rsidR="00800760" w:rsidRDefault="00800760">
            <w:pPr>
              <w:ind w:firstLineChars="0" w:firstLine="0"/>
              <w:rPr>
                <w:rFonts w:ascii="仿宋_GB2312" w:eastAsia="仿宋_GB2312" w:hAnsi="仿宋"/>
                <w:color w:val="000000"/>
                <w:sz w:val="20"/>
              </w:rPr>
            </w:pPr>
          </w:p>
          <w:p w:rsidR="00800760" w:rsidRDefault="00235733">
            <w:pPr>
              <w:ind w:firstLineChars="2400" w:firstLine="4800"/>
              <w:rPr>
                <w:rFonts w:ascii="仿宋_GB2312" w:eastAsia="仿宋_GB2312" w:hAnsi="仿宋"/>
                <w:color w:val="000000"/>
                <w:sz w:val="20"/>
              </w:rPr>
            </w:pPr>
            <w:r>
              <w:rPr>
                <w:rFonts w:ascii="仿宋_GB2312" w:eastAsia="仿宋_GB2312" w:hAnsi="仿宋" w:hint="eastAsia"/>
                <w:color w:val="000000"/>
                <w:sz w:val="20"/>
              </w:rPr>
              <w:t xml:space="preserve">签字：　　　　</w:t>
            </w:r>
          </w:p>
          <w:p w:rsidR="00800760" w:rsidRDefault="00235733">
            <w:pPr>
              <w:ind w:firstLineChars="2050" w:firstLine="4100"/>
              <w:rPr>
                <w:rFonts w:ascii="仿宋_GB2312" w:eastAsia="仿宋_GB2312" w:hAnsi="仿宋"/>
                <w:color w:val="000000"/>
                <w:sz w:val="20"/>
              </w:rPr>
            </w:pPr>
            <w:r>
              <w:rPr>
                <w:rFonts w:ascii="仿宋_GB2312" w:eastAsia="仿宋_GB2312" w:hAnsi="仿宋" w:hint="eastAsia"/>
                <w:color w:val="000000"/>
                <w:sz w:val="20"/>
              </w:rPr>
              <w:t xml:space="preserve">　　　　年　　月　　日</w:t>
            </w:r>
          </w:p>
          <w:p w:rsidR="00800760" w:rsidRDefault="00800760">
            <w:pPr>
              <w:ind w:firstLineChars="0" w:firstLine="0"/>
              <w:rPr>
                <w:rFonts w:ascii="仿宋_GB2312" w:eastAsia="仿宋_GB2312" w:hAnsi="仿宋"/>
                <w:color w:val="000000"/>
                <w:sz w:val="20"/>
              </w:rPr>
            </w:pPr>
          </w:p>
          <w:p w:rsidR="00800760" w:rsidRDefault="00800760">
            <w:pPr>
              <w:ind w:firstLineChars="0" w:firstLine="0"/>
              <w:rPr>
                <w:rFonts w:ascii="仿宋_GB2312" w:eastAsia="仿宋_GB2312" w:hAnsi="仿宋"/>
                <w:color w:val="000000"/>
                <w:sz w:val="20"/>
              </w:rPr>
            </w:pPr>
          </w:p>
        </w:tc>
      </w:tr>
      <w:tr w:rsidR="00800760">
        <w:trPr>
          <w:trHeight w:hRule="exact" w:val="1227"/>
          <w:jc w:val="center"/>
        </w:trPr>
        <w:tc>
          <w:tcPr>
            <w:tcW w:w="2165" w:type="dxa"/>
            <w:tcBorders>
              <w:top w:val="single" w:sz="4" w:space="0" w:color="auto"/>
              <w:left w:val="single" w:sz="4" w:space="0" w:color="auto"/>
            </w:tcBorders>
            <w:shd w:val="clear" w:color="auto" w:fill="FFFFFF"/>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处（科）室负责人审核</w:t>
            </w:r>
          </w:p>
          <w:p w:rsidR="00800760" w:rsidRDefault="00800760">
            <w:pPr>
              <w:ind w:firstLineChars="0" w:firstLine="0"/>
              <w:rPr>
                <w:rFonts w:ascii="仿宋_GB2312" w:eastAsia="仿宋_GB2312" w:hAnsi="仿宋"/>
                <w:color w:val="000000"/>
                <w:sz w:val="20"/>
              </w:rPr>
            </w:pPr>
          </w:p>
        </w:tc>
        <w:tc>
          <w:tcPr>
            <w:tcW w:w="7362" w:type="dxa"/>
            <w:tcBorders>
              <w:top w:val="single" w:sz="4" w:space="0" w:color="auto"/>
              <w:left w:val="single" w:sz="4" w:space="0" w:color="auto"/>
              <w:right w:val="single" w:sz="4" w:space="0" w:color="auto"/>
            </w:tcBorders>
            <w:shd w:val="clear" w:color="auto" w:fill="FFFFFF"/>
            <w:vAlign w:val="center"/>
          </w:tcPr>
          <w:p w:rsidR="00800760" w:rsidRDefault="00800760">
            <w:pPr>
              <w:ind w:firstLineChars="0" w:firstLine="0"/>
              <w:rPr>
                <w:rFonts w:ascii="仿宋_GB2312" w:eastAsia="仿宋_GB2312" w:hAnsi="仿宋"/>
                <w:color w:val="000000"/>
                <w:sz w:val="20"/>
              </w:rPr>
            </w:pPr>
          </w:p>
          <w:p w:rsidR="00800760" w:rsidRDefault="00235733">
            <w:pPr>
              <w:ind w:firstLineChars="2400" w:firstLine="4800"/>
              <w:rPr>
                <w:rFonts w:ascii="仿宋_GB2312" w:eastAsia="仿宋_GB2312" w:hAnsi="仿宋"/>
                <w:color w:val="000000"/>
                <w:sz w:val="20"/>
              </w:rPr>
            </w:pPr>
            <w:r>
              <w:rPr>
                <w:rFonts w:ascii="仿宋_GB2312" w:eastAsia="仿宋_GB2312" w:hAnsi="仿宋" w:hint="eastAsia"/>
                <w:color w:val="000000"/>
                <w:sz w:val="20"/>
              </w:rPr>
              <w:t xml:space="preserve">签字：　　　　</w:t>
            </w:r>
          </w:p>
          <w:p w:rsidR="00800760" w:rsidRDefault="00235733">
            <w:pPr>
              <w:ind w:firstLineChars="2100" w:firstLine="4200"/>
              <w:rPr>
                <w:rFonts w:ascii="仿宋_GB2312" w:eastAsia="仿宋_GB2312" w:hAnsi="仿宋"/>
                <w:color w:val="000000"/>
                <w:sz w:val="20"/>
              </w:rPr>
            </w:pPr>
            <w:r>
              <w:rPr>
                <w:rFonts w:ascii="仿宋_GB2312" w:eastAsia="仿宋_GB2312" w:hAnsi="仿宋" w:hint="eastAsia"/>
                <w:color w:val="000000"/>
                <w:sz w:val="20"/>
              </w:rPr>
              <w:t xml:space="preserve">　　　　年　　月　　日</w:t>
            </w:r>
          </w:p>
        </w:tc>
      </w:tr>
      <w:tr w:rsidR="00800760">
        <w:trPr>
          <w:trHeight w:hRule="exact" w:val="1812"/>
          <w:jc w:val="center"/>
        </w:trPr>
        <w:tc>
          <w:tcPr>
            <w:tcW w:w="2165" w:type="dxa"/>
            <w:tcBorders>
              <w:top w:val="single" w:sz="4" w:space="0" w:color="auto"/>
              <w:left w:val="single" w:sz="4" w:space="0" w:color="auto"/>
              <w:bottom w:val="single" w:sz="4" w:space="0" w:color="auto"/>
            </w:tcBorders>
            <w:shd w:val="clear" w:color="auto" w:fill="FFFFFF"/>
            <w:vAlign w:val="center"/>
          </w:tcPr>
          <w:p w:rsidR="00800760" w:rsidRDefault="00235733">
            <w:pPr>
              <w:ind w:firstLineChars="0" w:firstLine="0"/>
              <w:rPr>
                <w:rFonts w:ascii="仿宋_GB2312" w:eastAsia="仿宋_GB2312" w:hAnsi="仿宋"/>
                <w:color w:val="000000"/>
                <w:sz w:val="20"/>
              </w:rPr>
            </w:pPr>
            <w:r>
              <w:rPr>
                <w:rFonts w:ascii="仿宋_GB2312" w:eastAsia="仿宋_GB2312" w:hAnsi="仿宋" w:hint="eastAsia"/>
                <w:color w:val="000000"/>
                <w:sz w:val="20"/>
              </w:rPr>
              <w:t>部门负责人意见</w:t>
            </w:r>
          </w:p>
        </w:tc>
        <w:tc>
          <w:tcPr>
            <w:tcW w:w="7362" w:type="dxa"/>
            <w:tcBorders>
              <w:top w:val="single" w:sz="4" w:space="0" w:color="auto"/>
              <w:left w:val="single" w:sz="4" w:space="0" w:color="auto"/>
              <w:bottom w:val="single" w:sz="4" w:space="0" w:color="auto"/>
              <w:right w:val="single" w:sz="4" w:space="0" w:color="auto"/>
            </w:tcBorders>
            <w:shd w:val="clear" w:color="auto" w:fill="FFFFFF"/>
            <w:vAlign w:val="bottom"/>
          </w:tcPr>
          <w:p w:rsidR="00800760" w:rsidRDefault="00800760">
            <w:pPr>
              <w:ind w:firstLineChars="0" w:firstLine="0"/>
              <w:rPr>
                <w:rFonts w:ascii="仿宋_GB2312" w:eastAsia="仿宋_GB2312" w:hAnsi="仿宋"/>
                <w:color w:val="000000"/>
                <w:sz w:val="20"/>
              </w:rPr>
            </w:pPr>
          </w:p>
          <w:p w:rsidR="00800760" w:rsidRDefault="00235733">
            <w:pPr>
              <w:ind w:firstLineChars="2400" w:firstLine="4800"/>
              <w:rPr>
                <w:rFonts w:ascii="仿宋_GB2312" w:eastAsia="仿宋_GB2312" w:hAnsi="仿宋"/>
                <w:color w:val="000000"/>
                <w:sz w:val="20"/>
              </w:rPr>
            </w:pPr>
            <w:r>
              <w:rPr>
                <w:rFonts w:ascii="仿宋_GB2312" w:eastAsia="仿宋_GB2312" w:hAnsi="仿宋" w:hint="eastAsia"/>
                <w:color w:val="000000"/>
                <w:sz w:val="20"/>
              </w:rPr>
              <w:t xml:space="preserve">签字：　　　　</w:t>
            </w:r>
          </w:p>
          <w:p w:rsidR="00800760" w:rsidRDefault="00235733">
            <w:pPr>
              <w:ind w:firstLineChars="2050" w:firstLine="4100"/>
              <w:rPr>
                <w:rFonts w:ascii="仿宋_GB2312" w:eastAsia="仿宋_GB2312" w:hAnsi="仿宋"/>
                <w:color w:val="000000"/>
                <w:sz w:val="20"/>
              </w:rPr>
            </w:pPr>
            <w:r>
              <w:rPr>
                <w:rFonts w:ascii="仿宋_GB2312" w:eastAsia="仿宋_GB2312" w:hAnsi="仿宋" w:hint="eastAsia"/>
                <w:color w:val="000000"/>
                <w:sz w:val="20"/>
              </w:rPr>
              <w:t xml:space="preserve">　　　　年　　月　　日</w:t>
            </w:r>
          </w:p>
        </w:tc>
      </w:tr>
    </w:tbl>
    <w:p w:rsidR="00800760" w:rsidRDefault="00800760" w:rsidP="00C22A7B">
      <w:pPr>
        <w:widowControl w:val="0"/>
        <w:spacing w:beforeLines="50" w:afterLines="50" w:line="240" w:lineRule="auto"/>
        <w:ind w:firstLineChars="0" w:firstLine="0"/>
        <w:jc w:val="center"/>
        <w:rPr>
          <w:rFonts w:ascii="仿宋_GB2312" w:eastAsia="仿宋_GB2312" w:hAnsi="宋体"/>
          <w:color w:val="000000"/>
          <w:spacing w:val="6"/>
          <w:sz w:val="20"/>
        </w:rPr>
      </w:pPr>
    </w:p>
    <w:p w:rsidR="00800760" w:rsidRDefault="00235733">
      <w:pPr>
        <w:spacing w:line="240" w:lineRule="auto"/>
        <w:ind w:firstLineChars="0" w:firstLine="0"/>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br w:type="page"/>
      </w:r>
    </w:p>
    <w:p w:rsidR="00800760" w:rsidRDefault="00235733" w:rsidP="00C22A7B">
      <w:pPr>
        <w:widowControl w:val="0"/>
        <w:spacing w:beforeLines="50" w:afterLines="50" w:line="240" w:lineRule="auto"/>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专利侵权纠纷案件结案审批表</w:t>
      </w: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6786"/>
      </w:tblGrid>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专利号</w:t>
            </w:r>
          </w:p>
        </w:tc>
        <w:tc>
          <w:tcPr>
            <w:tcW w:w="3626"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专利名称</w:t>
            </w:r>
          </w:p>
        </w:tc>
        <w:tc>
          <w:tcPr>
            <w:tcW w:w="3626"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专利权人</w:t>
            </w:r>
          </w:p>
        </w:tc>
        <w:tc>
          <w:tcPr>
            <w:tcW w:w="3626"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请求人</w:t>
            </w:r>
          </w:p>
        </w:tc>
        <w:tc>
          <w:tcPr>
            <w:tcW w:w="3626"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被请求人</w:t>
            </w:r>
          </w:p>
        </w:tc>
        <w:tc>
          <w:tcPr>
            <w:tcW w:w="3626" w:type="pct"/>
            <w:tcMar>
              <w:left w:w="57" w:type="dxa"/>
              <w:right w:w="57" w:type="dxa"/>
            </w:tcMar>
          </w:tcPr>
          <w:p w:rsidR="00800760" w:rsidRDefault="00800760" w:rsidP="00235733">
            <w:pPr>
              <w:widowControl w:val="0"/>
              <w:spacing w:line="360" w:lineRule="auto"/>
              <w:ind w:firstLine="400"/>
              <w:rPr>
                <w:rFonts w:ascii="仿宋_GB2312" w:eastAsia="仿宋_GB2312" w:hAnsi="宋体" w:cs="Microsoft JhengHei"/>
                <w:color w:val="000000"/>
                <w:kern w:val="2"/>
                <w:sz w:val="20"/>
                <w:lang w:val="en-US"/>
              </w:rPr>
            </w:pP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案情简介</w:t>
            </w:r>
          </w:p>
        </w:tc>
        <w:tc>
          <w:tcPr>
            <w:tcW w:w="3626" w:type="pct"/>
            <w:tcMar>
              <w:left w:w="57" w:type="dxa"/>
              <w:right w:w="57" w:type="dxa"/>
            </w:tcMar>
          </w:tcPr>
          <w:p w:rsidR="00800760" w:rsidRDefault="00235733" w:rsidP="00C22A7B">
            <w:pPr>
              <w:widowControl w:val="0"/>
              <w:spacing w:beforeLines="50" w:afterLines="50" w:line="360" w:lineRule="auto"/>
              <w:ind w:firstLine="400"/>
              <w:jc w:val="both"/>
              <w:rPr>
                <w:rFonts w:ascii="仿宋_GB2312" w:eastAsia="仿宋_GB2312" w:hAnsi="仿宋"/>
                <w:sz w:val="20"/>
                <w:lang w:val="en-US"/>
              </w:rPr>
            </w:pPr>
            <w:r>
              <w:rPr>
                <w:rFonts w:ascii="仿宋_GB2312" w:eastAsia="仿宋_GB2312" w:hAnsi="仿宋" w:hint="eastAsia"/>
                <w:sz w:val="20"/>
                <w:lang w:val="en-US"/>
              </w:rPr>
              <w:t>年  月  日，国家知识产权局依法受理XX与XX专利侵权纠纷，指定XX、XX、XX等3名办案人员组成合议组，严格按照《专利纠纷行政裁决和调解办法》《专利侵权纠纷行政裁决办案指南》相关规定，参照《民事诉讼法》相关规定办理此案。  年  月  日，合议组组织双方进行口头审理。  年  月  日，作出《专利侵权纠纷行政裁决书》或其他法律文书，并于  年  月  日送达双方当事人，本案现已符合结案条件。</w:t>
            </w:r>
          </w:p>
          <w:p w:rsidR="00800760" w:rsidRDefault="00235733" w:rsidP="00C22A7B">
            <w:pPr>
              <w:widowControl w:val="0"/>
              <w:spacing w:beforeLines="50" w:afterLines="50" w:line="360" w:lineRule="auto"/>
              <w:ind w:firstLine="400"/>
              <w:rPr>
                <w:rFonts w:ascii="仿宋_GB2312" w:eastAsia="仿宋_GB2312" w:hAnsi="宋体" w:cs="Microsoft JhengHei"/>
                <w:color w:val="000000"/>
                <w:kern w:val="2"/>
                <w:sz w:val="20"/>
                <w:lang w:val="en-US"/>
              </w:rPr>
            </w:pPr>
            <w:r>
              <w:rPr>
                <w:rFonts w:ascii="仿宋_GB2312" w:eastAsia="仿宋_GB2312" w:hAnsi="仿宋" w:cs="PMingLiU" w:hint="eastAsia"/>
                <w:kern w:val="2"/>
                <w:sz w:val="20"/>
                <w:lang w:val="en-US"/>
              </w:rPr>
              <w:t>......（拟意见）</w:t>
            </w: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合议组意见</w:t>
            </w:r>
          </w:p>
        </w:tc>
        <w:tc>
          <w:tcPr>
            <w:tcW w:w="3626" w:type="pct"/>
            <w:tcMar>
              <w:left w:w="57" w:type="dxa"/>
              <w:right w:w="57" w:type="dxa"/>
            </w:tcMar>
          </w:tcPr>
          <w:p w:rsidR="00800760" w:rsidRDefault="00800760">
            <w:pPr>
              <w:widowControl w:val="0"/>
              <w:spacing w:line="360" w:lineRule="auto"/>
              <w:ind w:firstLineChars="0" w:firstLine="0"/>
              <w:rPr>
                <w:rFonts w:ascii="仿宋_GB2312" w:eastAsia="仿宋_GB2312" w:hAnsi="宋体"/>
                <w:color w:val="000000"/>
                <w:spacing w:val="6"/>
                <w:sz w:val="20"/>
              </w:rPr>
            </w:pPr>
          </w:p>
          <w:p w:rsidR="00800760" w:rsidRDefault="00235733">
            <w:pPr>
              <w:widowControl w:val="0"/>
              <w:spacing w:line="360" w:lineRule="auto"/>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spacing w:line="360" w:lineRule="auto"/>
              <w:ind w:firstLineChars="0" w:firstLine="0"/>
              <w:jc w:val="right"/>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处（科）室负责人审核</w:t>
            </w:r>
          </w:p>
        </w:tc>
        <w:tc>
          <w:tcPr>
            <w:tcW w:w="3626" w:type="pct"/>
            <w:tcMar>
              <w:left w:w="57" w:type="dxa"/>
              <w:right w:w="57" w:type="dxa"/>
            </w:tcMar>
          </w:tcPr>
          <w:p w:rsidR="00800760" w:rsidRDefault="00800760">
            <w:pPr>
              <w:widowControl w:val="0"/>
              <w:spacing w:line="360" w:lineRule="auto"/>
              <w:ind w:firstLineChars="0" w:firstLine="0"/>
              <w:rPr>
                <w:rFonts w:ascii="仿宋_GB2312" w:eastAsia="仿宋_GB2312" w:hAnsi="宋体"/>
                <w:color w:val="000000"/>
                <w:spacing w:val="6"/>
                <w:sz w:val="20"/>
              </w:rPr>
            </w:pPr>
          </w:p>
          <w:p w:rsidR="00800760" w:rsidRDefault="00235733">
            <w:pPr>
              <w:widowControl w:val="0"/>
              <w:spacing w:line="360" w:lineRule="auto"/>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spacing w:line="360" w:lineRule="auto"/>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kern w:val="2"/>
                <w:sz w:val="20"/>
                <w:lang w:val="en-US"/>
              </w:rPr>
            </w:pPr>
            <w:r>
              <w:rPr>
                <w:rFonts w:ascii="仿宋_GB2312" w:eastAsia="仿宋_GB2312" w:hAnsi="宋体" w:cs="Microsoft JhengHei" w:hint="eastAsia"/>
                <w:color w:val="000000"/>
                <w:kern w:val="2"/>
                <w:sz w:val="20"/>
                <w:lang w:val="en-US"/>
              </w:rPr>
              <w:t>部门负责人批示</w:t>
            </w:r>
          </w:p>
        </w:tc>
        <w:tc>
          <w:tcPr>
            <w:tcW w:w="3626" w:type="pct"/>
            <w:tcMar>
              <w:left w:w="57" w:type="dxa"/>
              <w:right w:w="57" w:type="dxa"/>
            </w:tcMar>
          </w:tcPr>
          <w:p w:rsidR="00800760" w:rsidRDefault="00800760">
            <w:pPr>
              <w:widowControl w:val="0"/>
              <w:spacing w:line="360" w:lineRule="auto"/>
              <w:ind w:firstLineChars="0" w:firstLine="0"/>
              <w:rPr>
                <w:rFonts w:ascii="仿宋_GB2312" w:eastAsia="仿宋_GB2312" w:hAnsi="宋体"/>
                <w:color w:val="000000"/>
                <w:spacing w:val="6"/>
                <w:sz w:val="20"/>
              </w:rPr>
            </w:pPr>
          </w:p>
          <w:p w:rsidR="00800760" w:rsidRDefault="00235733">
            <w:pPr>
              <w:widowControl w:val="0"/>
              <w:spacing w:line="360" w:lineRule="auto"/>
              <w:ind w:firstLineChars="1750" w:firstLine="371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widowControl w:val="0"/>
              <w:spacing w:line="360" w:lineRule="auto"/>
              <w:ind w:firstLineChars="0" w:firstLine="0"/>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bl>
    <w:p w:rsidR="00800760" w:rsidRDefault="00800760">
      <w:pPr>
        <w:widowControl w:val="0"/>
        <w:spacing w:line="360" w:lineRule="auto"/>
        <w:ind w:firstLineChars="0" w:firstLine="0"/>
        <w:jc w:val="center"/>
        <w:rPr>
          <w:rFonts w:ascii="仿宋_GB2312" w:eastAsia="仿宋_GB2312" w:hAnsi="宋体"/>
          <w:b/>
          <w:color w:val="000000"/>
          <w:sz w:val="20"/>
        </w:rPr>
      </w:pPr>
    </w:p>
    <w:p w:rsidR="00800760" w:rsidRDefault="00235733">
      <w:pPr>
        <w:spacing w:line="240" w:lineRule="auto"/>
        <w:ind w:firstLineChars="0" w:firstLine="0"/>
        <w:rPr>
          <w:rFonts w:ascii="宋体" w:hAnsi="宋体"/>
          <w:b/>
          <w:color w:val="000000"/>
          <w:szCs w:val="21"/>
        </w:rPr>
      </w:pPr>
      <w:r>
        <w:rPr>
          <w:rFonts w:ascii="宋体" w:hAnsi="宋体"/>
          <w:b/>
          <w:color w:val="000000"/>
          <w:szCs w:val="21"/>
        </w:rPr>
        <w:br w:type="page"/>
      </w:r>
    </w:p>
    <w:p w:rsidR="00800760" w:rsidRDefault="00235733" w:rsidP="00C22A7B">
      <w:pPr>
        <w:spacing w:beforeLines="50" w:afterLines="50"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重大专利侵权纠纷行政裁决结案审批表</w:t>
      </w:r>
    </w:p>
    <w:p w:rsidR="00800760" w:rsidRDefault="00235733">
      <w:pPr>
        <w:spacing w:line="360" w:lineRule="auto"/>
        <w:ind w:firstLineChars="0" w:firstLine="0"/>
        <w:jc w:val="right"/>
        <w:rPr>
          <w:rFonts w:ascii="仿宋_GB2312" w:eastAsia="仿宋_GB2312" w:hAnsi="仿宋"/>
          <w:color w:val="000000"/>
          <w:sz w:val="20"/>
          <w:lang w:eastAsia="en-US"/>
        </w:rPr>
      </w:pPr>
      <w:r>
        <w:rPr>
          <w:rFonts w:ascii="仿宋_GB2312" w:eastAsia="仿宋_GB2312" w:hAnsi="仿宋" w:hint="eastAsia"/>
          <w:color w:val="000000"/>
          <w:sz w:val="20"/>
          <w:lang w:eastAsia="en-US"/>
        </w:rPr>
        <w:t>案号：____________________</w:t>
      </w:r>
    </w:p>
    <w:p w:rsidR="00800760" w:rsidRDefault="00800760">
      <w:pPr>
        <w:spacing w:line="240" w:lineRule="auto"/>
        <w:ind w:firstLineChars="0" w:firstLine="0"/>
        <w:rPr>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3392"/>
        <w:gridCol w:w="3394"/>
      </w:tblGrid>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专利号</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专利名称</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专利权人</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请求人</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被请求人</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案情简介</w:t>
            </w:r>
          </w:p>
        </w:tc>
        <w:tc>
          <w:tcPr>
            <w:tcW w:w="3627" w:type="pct"/>
            <w:gridSpan w:val="2"/>
            <w:shd w:val="clear" w:color="auto" w:fill="auto"/>
            <w:tcMar>
              <w:left w:w="57" w:type="dxa"/>
              <w:right w:w="57" w:type="dxa"/>
            </w:tcMar>
          </w:tcPr>
          <w:p w:rsidR="00800760" w:rsidRDefault="00800760">
            <w:pPr>
              <w:spacing w:line="360" w:lineRule="auto"/>
              <w:ind w:firstLineChars="0" w:firstLine="0"/>
              <w:rPr>
                <w:rFonts w:ascii="仿宋_GB2312" w:eastAsia="仿宋_GB2312" w:hAnsi="宋体" w:cs="Microsoft JhengHei"/>
                <w:color w:val="000000"/>
                <w:sz w:val="20"/>
                <w:lang w:eastAsia="en-US"/>
              </w:rPr>
            </w:pPr>
          </w:p>
        </w:tc>
      </w:tr>
      <w:tr w:rsidR="00800760">
        <w:trPr>
          <w:trHeight w:val="1433"/>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rPr>
              <w:t>合议组</w:t>
            </w:r>
            <w:r>
              <w:rPr>
                <w:rFonts w:ascii="仿宋_GB2312" w:eastAsia="仿宋_GB2312" w:hAnsi="宋体" w:cs="Microsoft JhengHei" w:hint="eastAsia"/>
                <w:color w:val="000000"/>
                <w:sz w:val="20"/>
                <w:lang w:eastAsia="en-US"/>
              </w:rPr>
              <w:t>意见</w:t>
            </w:r>
          </w:p>
        </w:tc>
        <w:tc>
          <w:tcPr>
            <w:tcW w:w="3627" w:type="pct"/>
            <w:gridSpan w:val="2"/>
            <w:shd w:val="clear" w:color="auto" w:fill="auto"/>
            <w:tcMar>
              <w:left w:w="57" w:type="dxa"/>
              <w:right w:w="57" w:type="dxa"/>
            </w:tcMar>
          </w:tcPr>
          <w:p w:rsidR="00800760" w:rsidRDefault="00800760">
            <w:pPr>
              <w:spacing w:line="360" w:lineRule="auto"/>
              <w:ind w:firstLineChars="0" w:firstLine="3885"/>
              <w:rPr>
                <w:rFonts w:ascii="仿宋_GB2312" w:eastAsia="仿宋_GB2312" w:hAnsi="宋体"/>
                <w:color w:val="000000"/>
                <w:spacing w:val="6"/>
                <w:sz w:val="20"/>
              </w:rPr>
            </w:pPr>
          </w:p>
          <w:p w:rsidR="00800760" w:rsidRDefault="00800760">
            <w:pPr>
              <w:spacing w:line="360" w:lineRule="auto"/>
              <w:ind w:firstLineChars="0" w:firstLine="3885"/>
              <w:rPr>
                <w:rFonts w:ascii="仿宋_GB2312" w:eastAsia="仿宋_GB2312" w:hAnsi="宋体"/>
                <w:color w:val="000000"/>
                <w:spacing w:val="6"/>
                <w:sz w:val="20"/>
              </w:rPr>
            </w:pPr>
          </w:p>
          <w:p w:rsidR="00800760" w:rsidRDefault="00235733">
            <w:pPr>
              <w:spacing w:line="360" w:lineRule="auto"/>
              <w:ind w:firstLineChars="0" w:firstLine="3885"/>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签字：</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 </w:t>
            </w:r>
          </w:p>
          <w:p w:rsidR="00800760" w:rsidRDefault="00235733">
            <w:pPr>
              <w:spacing w:line="360" w:lineRule="auto"/>
              <w:ind w:firstLineChars="0" w:firstLine="444"/>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r>
      <w:tr w:rsidR="00800760">
        <w:trPr>
          <w:trHeight w:val="20"/>
        </w:trPr>
        <w:tc>
          <w:tcPr>
            <w:tcW w:w="1373" w:type="pct"/>
            <w:vMerge w:val="restart"/>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rPr>
            </w:pPr>
          </w:p>
          <w:p w:rsidR="00800760" w:rsidRDefault="00235733">
            <w:pPr>
              <w:spacing w:line="360" w:lineRule="auto"/>
              <w:ind w:firstLineChars="0" w:firstLine="0"/>
              <w:jc w:val="center"/>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rPr>
              <w:t>委员会办公室审核</w:t>
            </w:r>
          </w:p>
        </w:tc>
        <w:tc>
          <w:tcPr>
            <w:tcW w:w="1813"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（保护司执法指导处）</w:t>
            </w:r>
          </w:p>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c>
          <w:tcPr>
            <w:tcW w:w="1814" w:type="pct"/>
            <w:shd w:val="clear" w:color="auto" w:fill="auto"/>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（复审无效部行政裁决业务处）</w:t>
            </w:r>
          </w:p>
          <w:p w:rsidR="00800760" w:rsidRDefault="00235733">
            <w:pPr>
              <w:spacing w:line="360" w:lineRule="auto"/>
              <w:ind w:firstLineChars="650" w:firstLine="1378"/>
              <w:rPr>
                <w:rFonts w:ascii="仿宋_GB2312" w:eastAsia="仿宋_GB2312" w:hAnsi="宋体"/>
                <w:color w:val="000000"/>
                <w:spacing w:val="6"/>
                <w:sz w:val="20"/>
                <w:u w:val="single"/>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tc>
      </w:tr>
      <w:tr w:rsidR="00800760">
        <w:trPr>
          <w:trHeight w:val="20"/>
        </w:trPr>
        <w:tc>
          <w:tcPr>
            <w:tcW w:w="1373" w:type="pct"/>
            <w:vMerge/>
            <w:shd w:val="clear" w:color="auto" w:fill="auto"/>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rPr>
            </w:pPr>
          </w:p>
        </w:tc>
        <w:tc>
          <w:tcPr>
            <w:tcW w:w="1813"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（保护司执法指导处分管司领导）</w:t>
            </w:r>
          </w:p>
          <w:p w:rsidR="00800760" w:rsidRDefault="00800760">
            <w:pPr>
              <w:spacing w:line="360" w:lineRule="auto"/>
              <w:ind w:leftChars="100" w:left="210" w:firstLineChars="600" w:firstLine="1272"/>
              <w:rPr>
                <w:rFonts w:ascii="仿宋_GB2312" w:eastAsia="仿宋_GB2312" w:hAnsi="宋体"/>
                <w:color w:val="000000"/>
                <w:spacing w:val="6"/>
                <w:sz w:val="20"/>
              </w:rPr>
            </w:pPr>
          </w:p>
          <w:p w:rsidR="00800760" w:rsidRDefault="00235733">
            <w:pPr>
              <w:spacing w:line="360" w:lineRule="auto"/>
              <w:ind w:leftChars="100" w:left="210" w:firstLineChars="600" w:firstLine="1272"/>
              <w:rPr>
                <w:rFonts w:ascii="仿宋_GB2312" w:eastAsia="仿宋_GB2312" w:hAnsi="宋体"/>
                <w:color w:val="000000"/>
                <w:spacing w:val="6"/>
                <w:sz w:val="20"/>
                <w:u w:val="single"/>
              </w:rPr>
            </w:pPr>
            <w:r>
              <w:rPr>
                <w:rFonts w:ascii="仿宋_GB2312" w:eastAsia="仿宋_GB2312" w:hAnsi="宋体" w:hint="eastAsia"/>
                <w:color w:val="000000"/>
                <w:spacing w:val="6"/>
                <w:sz w:val="20"/>
                <w:lang w:eastAsia="en-US"/>
              </w:rPr>
              <w:t>签字：</w:t>
            </w:r>
            <w:r>
              <w:rPr>
                <w:rFonts w:ascii="仿宋_GB2312" w:eastAsia="仿宋_GB2312" w:hAnsi="宋体" w:hint="eastAsia"/>
                <w:color w:val="000000"/>
                <w:spacing w:val="6"/>
                <w:sz w:val="20"/>
                <w:u w:val="single"/>
                <w:lang w:eastAsia="en-US"/>
              </w:rPr>
              <w:t xml:space="preserve">         </w:t>
            </w:r>
          </w:p>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c>
          <w:tcPr>
            <w:tcW w:w="1814" w:type="pct"/>
            <w:shd w:val="clear" w:color="auto" w:fill="auto"/>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（复审无效部行政裁决业务处分管部领导）</w:t>
            </w:r>
          </w:p>
          <w:p w:rsidR="00800760" w:rsidRDefault="00235733">
            <w:pPr>
              <w:spacing w:line="360" w:lineRule="auto"/>
              <w:ind w:firstLineChars="650" w:firstLine="1378"/>
              <w:rPr>
                <w:rFonts w:ascii="仿宋_GB2312" w:eastAsia="仿宋_GB2312" w:hAnsi="宋体"/>
                <w:color w:val="000000"/>
                <w:spacing w:val="6"/>
                <w:sz w:val="20"/>
                <w:lang w:eastAsia="en-US"/>
              </w:rPr>
            </w:pPr>
            <w:r>
              <w:rPr>
                <w:rFonts w:ascii="仿宋_GB2312" w:eastAsia="仿宋_GB2312" w:hAnsi="宋体" w:hint="eastAsia"/>
                <w:color w:val="000000"/>
                <w:spacing w:val="6"/>
                <w:sz w:val="20"/>
                <w:lang w:eastAsia="en-US"/>
              </w:rPr>
              <w:t>签字：</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 </w:t>
            </w:r>
          </w:p>
          <w:p w:rsidR="00800760" w:rsidRDefault="00235733">
            <w:pPr>
              <w:spacing w:line="360" w:lineRule="auto"/>
              <w:ind w:firstLineChars="0" w:firstLine="444"/>
              <w:jc w:val="right"/>
              <w:rPr>
                <w:rFonts w:ascii="仿宋_GB2312" w:eastAsia="仿宋_GB2312" w:hAnsi="宋体"/>
                <w:color w:val="000000"/>
                <w:spacing w:val="6"/>
                <w:sz w:val="20"/>
                <w:lang w:eastAsia="en-US"/>
              </w:rPr>
            </w:pP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 xml:space="preserve">日                  </w:t>
            </w:r>
            <w:r>
              <w:rPr>
                <w:rFonts w:ascii="仿宋_GB2312" w:eastAsia="仿宋_GB2312" w:hAnsi="宋体" w:hint="eastAsia"/>
                <w:color w:val="000000"/>
                <w:spacing w:val="6"/>
                <w:sz w:val="20"/>
                <w:u w:val="single"/>
                <w:lang w:eastAsia="en-US"/>
              </w:rPr>
              <w:t xml:space="preserve">      </w:t>
            </w:r>
          </w:p>
        </w:tc>
      </w:tr>
      <w:tr w:rsidR="00800760">
        <w:trPr>
          <w:trHeight w:val="20"/>
        </w:trPr>
        <w:tc>
          <w:tcPr>
            <w:tcW w:w="1373" w:type="pct"/>
            <w:shd w:val="clear" w:color="auto" w:fill="auto"/>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委员会副主任审批</w:t>
            </w:r>
          </w:p>
        </w:tc>
        <w:tc>
          <w:tcPr>
            <w:tcW w:w="1813" w:type="pct"/>
            <w:shd w:val="clear" w:color="auto" w:fill="auto"/>
            <w:tcMar>
              <w:left w:w="57" w:type="dxa"/>
              <w:right w:w="57" w:type="dxa"/>
            </w:tcMar>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（保护司主要负责人）</w:t>
            </w:r>
          </w:p>
          <w:p w:rsidR="00800760" w:rsidRDefault="00235733">
            <w:pPr>
              <w:spacing w:line="360" w:lineRule="auto"/>
              <w:ind w:firstLineChars="650" w:firstLine="1378"/>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spacing w:line="360" w:lineRule="auto"/>
              <w:ind w:firstLineChars="0" w:firstLine="444"/>
              <w:rPr>
                <w:rFonts w:ascii="仿宋_GB2312" w:eastAsia="仿宋_GB2312" w:hAnsi="宋体"/>
                <w:color w:val="000000"/>
                <w:spacing w:val="6"/>
                <w:sz w:val="20"/>
              </w:rPr>
            </w:pP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c>
          <w:tcPr>
            <w:tcW w:w="1814" w:type="pct"/>
            <w:shd w:val="clear" w:color="auto" w:fill="auto"/>
          </w:tcPr>
          <w:p w:rsidR="00800760" w:rsidRDefault="00235733">
            <w:pPr>
              <w:spacing w:line="36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t>（复审无效部主要负责人）</w:t>
            </w:r>
          </w:p>
          <w:p w:rsidR="00800760" w:rsidRDefault="00235733">
            <w:pPr>
              <w:spacing w:line="360" w:lineRule="auto"/>
              <w:ind w:firstLineChars="650" w:firstLine="1378"/>
              <w:rPr>
                <w:rFonts w:ascii="仿宋_GB2312" w:eastAsia="仿宋_GB2312" w:hAnsi="宋体"/>
                <w:color w:val="000000"/>
                <w:spacing w:val="6"/>
                <w:sz w:val="20"/>
              </w:rPr>
            </w:pPr>
            <w:r>
              <w:rPr>
                <w:rFonts w:ascii="仿宋_GB2312" w:eastAsia="仿宋_GB2312" w:hAnsi="宋体" w:hint="eastAsia"/>
                <w:color w:val="000000"/>
                <w:spacing w:val="6"/>
                <w:sz w:val="20"/>
              </w:rPr>
              <w:t>签字：</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 xml:space="preserve"> </w:t>
            </w:r>
          </w:p>
          <w:p w:rsidR="00800760" w:rsidRDefault="00235733">
            <w:pPr>
              <w:spacing w:line="360" w:lineRule="auto"/>
              <w:ind w:firstLineChars="0" w:firstLine="444"/>
              <w:jc w:val="right"/>
              <w:rPr>
                <w:rFonts w:ascii="仿宋_GB2312" w:eastAsia="仿宋_GB2312" w:hAnsi="宋体"/>
                <w:color w:val="000000"/>
                <w:spacing w:val="6"/>
                <w:sz w:val="20"/>
              </w:rPr>
            </w:pP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r>
              <w:rPr>
                <w:rFonts w:ascii="仿宋_GB2312" w:eastAsia="仿宋_GB2312" w:hAnsi="宋体" w:hint="eastAsia"/>
                <w:color w:val="000000"/>
                <w:spacing w:val="6"/>
                <w:sz w:val="20"/>
              </w:rPr>
              <w:t xml:space="preserve">                  </w:t>
            </w:r>
            <w:r>
              <w:rPr>
                <w:rFonts w:ascii="仿宋_GB2312" w:eastAsia="仿宋_GB2312" w:hAnsi="宋体" w:hint="eastAsia"/>
                <w:color w:val="000000"/>
                <w:spacing w:val="6"/>
                <w:sz w:val="20"/>
                <w:u w:val="single"/>
              </w:rPr>
              <w:t xml:space="preserve">      </w:t>
            </w:r>
          </w:p>
        </w:tc>
      </w:tr>
    </w:tbl>
    <w:p w:rsidR="00800760" w:rsidRDefault="00800760" w:rsidP="00C22A7B">
      <w:pPr>
        <w:widowControl w:val="0"/>
        <w:spacing w:beforeLines="50" w:afterLines="50"/>
        <w:ind w:firstLineChars="0" w:firstLine="0"/>
        <w:rPr>
          <w:rFonts w:ascii="宋体" w:hAnsi="宋体" w:cs="PMingLiU"/>
          <w:color w:val="000000"/>
          <w:szCs w:val="21"/>
        </w:rPr>
      </w:pPr>
    </w:p>
    <w:p w:rsidR="00800760" w:rsidRDefault="00800760" w:rsidP="00235733">
      <w:pPr>
        <w:spacing w:line="360" w:lineRule="auto"/>
        <w:ind w:firstLine="422"/>
        <w:rPr>
          <w:rFonts w:ascii="宋体" w:hAnsi="宋体"/>
          <w:b/>
          <w:color w:val="000000"/>
          <w:szCs w:val="21"/>
        </w:rPr>
        <w:sectPr w:rsidR="00800760">
          <w:headerReference w:type="first" r:id="rId105"/>
          <w:pgSz w:w="12077" w:h="16840"/>
          <w:pgMar w:top="1701" w:right="1418" w:bottom="1134" w:left="1418" w:header="1134" w:footer="992" w:gutter="0"/>
          <w:cols w:space="720"/>
          <w:titlePg/>
          <w:docGrid w:type="linesAndChars" w:linePitch="312"/>
        </w:sectPr>
      </w:pPr>
    </w:p>
    <w:p w:rsidR="00800760" w:rsidRDefault="00235733">
      <w:pPr>
        <w:spacing w:line="240" w:lineRule="auto"/>
        <w:ind w:firstLineChars="0" w:firstLine="0"/>
        <w:jc w:val="center"/>
        <w:rPr>
          <w:rFonts w:ascii="方正小标宋_GBK" w:eastAsia="方正小标宋_GBK" w:hAnsi="宋体"/>
          <w:color w:val="000000"/>
          <w:spacing w:val="6"/>
          <w:sz w:val="36"/>
          <w:szCs w:val="36"/>
        </w:rPr>
      </w:pPr>
      <w:bookmarkStart w:id="9339" w:name="bookmark159"/>
      <w:bookmarkStart w:id="9340" w:name="bookmark239"/>
      <w:bookmarkEnd w:id="9339"/>
      <w:bookmarkEnd w:id="9340"/>
      <w:r>
        <w:rPr>
          <w:rFonts w:ascii="方正小标宋_GBK" w:eastAsia="方正小标宋_GBK" w:hAnsi="宋体"/>
          <w:color w:val="000000"/>
          <w:spacing w:val="6"/>
          <w:sz w:val="36"/>
          <w:szCs w:val="36"/>
        </w:rPr>
        <w:t>专利纠纷行政调解案件立案审批表</w:t>
      </w:r>
    </w:p>
    <w:p w:rsidR="00800760" w:rsidRDefault="00800760">
      <w:pPr>
        <w:widowControl w:val="0"/>
        <w:ind w:firstLineChars="0" w:firstLine="0"/>
        <w:jc w:val="right"/>
        <w:rPr>
          <w:rFonts w:ascii="仿宋" w:eastAsia="仿宋_GB2312" w:hAnsi="仿宋"/>
          <w:color w:val="000000"/>
          <w:szCs w:val="21"/>
        </w:rPr>
      </w:pPr>
    </w:p>
    <w:p w:rsidR="00800760" w:rsidRDefault="00235733">
      <w:pPr>
        <w:widowControl w:val="0"/>
        <w:ind w:firstLineChars="0" w:firstLine="0"/>
        <w:jc w:val="right"/>
        <w:rPr>
          <w:rFonts w:ascii="仿宋_GB2312" w:eastAsia="仿宋_GB2312" w:hAnsi="仿宋"/>
          <w:color w:val="000000"/>
          <w:sz w:val="20"/>
        </w:rPr>
      </w:pPr>
      <w:r>
        <w:rPr>
          <w:rFonts w:ascii="仿宋_GB2312" w:eastAsia="仿宋_GB2312" w:hAnsi="仿宋" w:hint="eastAsia"/>
          <w:color w:val="000000"/>
          <w:sz w:val="20"/>
          <w:lang w:eastAsia="en-US"/>
        </w:rPr>
        <w:t>案号：</w:t>
      </w:r>
      <w:r>
        <w:rPr>
          <w:rFonts w:ascii="仿宋_GB2312" w:eastAsia="仿宋_GB2312" w:hAnsi="仿宋" w:hint="eastAsia"/>
          <w:color w:val="000000"/>
          <w:sz w:val="20"/>
        </w:rPr>
        <w:t>____________________</w:t>
      </w:r>
    </w:p>
    <w:p w:rsidR="00800760" w:rsidRDefault="00800760">
      <w:pPr>
        <w:widowControl w:val="0"/>
        <w:ind w:firstLineChars="0" w:firstLine="0"/>
        <w:jc w:val="right"/>
        <w:rPr>
          <w:rFonts w:ascii="仿宋_GB2312" w:eastAsia="仿宋_GB2312" w:hAnsi="仿宋"/>
          <w:color w:val="000000"/>
          <w:sz w:val="20"/>
        </w:rPr>
      </w:pPr>
    </w:p>
    <w:p w:rsidR="00800760" w:rsidRDefault="00800760">
      <w:pPr>
        <w:spacing w:line="53" w:lineRule="exact"/>
        <w:ind w:firstLineChars="0" w:firstLine="0"/>
        <w:rPr>
          <w:rFonts w:ascii="仿宋_GB2312" w:eastAsia="仿宋_GB2312"/>
          <w:sz w:val="20"/>
          <w:lang w:eastAsia="en-US"/>
        </w:rPr>
      </w:pPr>
    </w:p>
    <w:tbl>
      <w:tblPr>
        <w:tblStyle w:val="TableNormal"/>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41"/>
        <w:gridCol w:w="4778"/>
      </w:tblGrid>
      <w:tr w:rsidR="00800760">
        <w:trPr>
          <w:trHeight w:val="424"/>
        </w:trPr>
        <w:tc>
          <w:tcPr>
            <w:tcW w:w="3141" w:type="dxa"/>
          </w:tcPr>
          <w:p w:rsidR="00800760" w:rsidRDefault="00235733">
            <w:pPr>
              <w:pStyle w:val="TableText"/>
              <w:kinsoku/>
              <w:autoSpaceDE/>
              <w:autoSpaceDN/>
              <w:adjustRightInd/>
              <w:snapToGrid/>
              <w:spacing w:before="113" w:line="219" w:lineRule="auto"/>
              <w:ind w:left="66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专利号/专利申请号</w:t>
            </w:r>
          </w:p>
        </w:tc>
        <w:tc>
          <w:tcPr>
            <w:tcW w:w="4778" w:type="dxa"/>
          </w:tcPr>
          <w:p w:rsidR="00800760" w:rsidRDefault="00800760">
            <w:pPr>
              <w:spacing w:line="240" w:lineRule="auto"/>
              <w:ind w:firstLineChars="0" w:firstLine="0"/>
              <w:rPr>
                <w:rFonts w:ascii="仿宋_GB2312" w:eastAsia="仿宋_GB2312"/>
                <w:sz w:val="20"/>
                <w:lang w:eastAsia="en-US"/>
              </w:rPr>
            </w:pPr>
          </w:p>
        </w:tc>
      </w:tr>
      <w:tr w:rsidR="00800760">
        <w:trPr>
          <w:trHeight w:val="410"/>
        </w:trPr>
        <w:tc>
          <w:tcPr>
            <w:tcW w:w="3141" w:type="dxa"/>
          </w:tcPr>
          <w:p w:rsidR="00800760" w:rsidRDefault="00235733">
            <w:pPr>
              <w:pStyle w:val="TableText"/>
              <w:kinsoku/>
              <w:autoSpaceDE/>
              <w:autoSpaceDN/>
              <w:adjustRightInd/>
              <w:snapToGrid/>
              <w:spacing w:before="99" w:line="219" w:lineRule="auto"/>
              <w:ind w:left="93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发明创造名称</w:t>
            </w:r>
          </w:p>
        </w:tc>
        <w:tc>
          <w:tcPr>
            <w:tcW w:w="4778" w:type="dxa"/>
          </w:tcPr>
          <w:p w:rsidR="00800760" w:rsidRDefault="00800760">
            <w:pPr>
              <w:spacing w:line="240" w:lineRule="auto"/>
              <w:ind w:firstLineChars="0" w:firstLine="0"/>
              <w:rPr>
                <w:rFonts w:ascii="仿宋_GB2312" w:eastAsia="仿宋_GB2312"/>
                <w:sz w:val="20"/>
                <w:lang w:eastAsia="en-US"/>
              </w:rPr>
            </w:pPr>
          </w:p>
        </w:tc>
      </w:tr>
      <w:tr w:rsidR="00800760">
        <w:trPr>
          <w:trHeight w:val="399"/>
        </w:trPr>
        <w:tc>
          <w:tcPr>
            <w:tcW w:w="3141" w:type="dxa"/>
          </w:tcPr>
          <w:p w:rsidR="00800760" w:rsidRDefault="00235733">
            <w:pPr>
              <w:pStyle w:val="TableText"/>
              <w:kinsoku/>
              <w:autoSpaceDE/>
              <w:autoSpaceDN/>
              <w:adjustRightInd/>
              <w:snapToGrid/>
              <w:spacing w:before="99" w:line="219" w:lineRule="auto"/>
              <w:ind w:left="56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专利权人/专利申请人</w:t>
            </w:r>
          </w:p>
        </w:tc>
        <w:tc>
          <w:tcPr>
            <w:tcW w:w="4778" w:type="dxa"/>
          </w:tcPr>
          <w:p w:rsidR="00800760" w:rsidRDefault="00800760">
            <w:pPr>
              <w:spacing w:line="240" w:lineRule="auto"/>
              <w:ind w:firstLineChars="0" w:firstLine="0"/>
              <w:rPr>
                <w:rFonts w:ascii="仿宋_GB2312" w:eastAsia="仿宋_GB2312"/>
                <w:sz w:val="20"/>
                <w:lang w:eastAsia="en-US"/>
              </w:rPr>
            </w:pPr>
          </w:p>
        </w:tc>
      </w:tr>
      <w:tr w:rsidR="00800760">
        <w:trPr>
          <w:trHeight w:val="420"/>
        </w:trPr>
        <w:tc>
          <w:tcPr>
            <w:tcW w:w="3141" w:type="dxa"/>
          </w:tcPr>
          <w:p w:rsidR="00800760" w:rsidRDefault="00235733">
            <w:pPr>
              <w:pStyle w:val="TableText"/>
              <w:kinsoku/>
              <w:autoSpaceDE/>
              <w:autoSpaceDN/>
              <w:adjustRightInd/>
              <w:snapToGrid/>
              <w:spacing w:before="111" w:line="220" w:lineRule="auto"/>
              <w:ind w:left="103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调解请求人</w:t>
            </w:r>
          </w:p>
        </w:tc>
        <w:tc>
          <w:tcPr>
            <w:tcW w:w="4778" w:type="dxa"/>
          </w:tcPr>
          <w:p w:rsidR="00800760" w:rsidRDefault="00800760">
            <w:pPr>
              <w:spacing w:line="240" w:lineRule="auto"/>
              <w:ind w:firstLineChars="0" w:firstLine="0"/>
              <w:rPr>
                <w:rFonts w:ascii="仿宋_GB2312" w:eastAsia="仿宋_GB2312"/>
                <w:sz w:val="20"/>
                <w:lang w:eastAsia="en-US"/>
              </w:rPr>
            </w:pPr>
          </w:p>
        </w:tc>
      </w:tr>
      <w:tr w:rsidR="00800760">
        <w:trPr>
          <w:trHeight w:val="400"/>
        </w:trPr>
        <w:tc>
          <w:tcPr>
            <w:tcW w:w="3141" w:type="dxa"/>
          </w:tcPr>
          <w:p w:rsidR="00800760" w:rsidRDefault="00235733">
            <w:pPr>
              <w:pStyle w:val="TableText"/>
              <w:kinsoku/>
              <w:autoSpaceDE/>
              <w:autoSpaceDN/>
              <w:adjustRightInd/>
              <w:snapToGrid/>
              <w:spacing w:before="100" w:line="219" w:lineRule="auto"/>
              <w:ind w:left="114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被请求人</w:t>
            </w:r>
          </w:p>
        </w:tc>
        <w:tc>
          <w:tcPr>
            <w:tcW w:w="4778" w:type="dxa"/>
          </w:tcPr>
          <w:p w:rsidR="00800760" w:rsidRDefault="00800760">
            <w:pPr>
              <w:spacing w:line="240" w:lineRule="auto"/>
              <w:ind w:firstLineChars="0" w:firstLine="0"/>
              <w:rPr>
                <w:rFonts w:ascii="仿宋_GB2312" w:eastAsia="仿宋_GB2312"/>
                <w:sz w:val="20"/>
                <w:lang w:eastAsia="en-US"/>
              </w:rPr>
            </w:pPr>
          </w:p>
        </w:tc>
      </w:tr>
      <w:tr w:rsidR="00800760">
        <w:trPr>
          <w:trHeight w:val="1658"/>
        </w:trPr>
        <w:tc>
          <w:tcPr>
            <w:tcW w:w="3141" w:type="dxa"/>
          </w:tcPr>
          <w:p w:rsidR="00800760" w:rsidRDefault="00800760">
            <w:pPr>
              <w:spacing w:line="329" w:lineRule="auto"/>
              <w:ind w:firstLineChars="0" w:firstLine="0"/>
              <w:rPr>
                <w:rFonts w:ascii="仿宋_GB2312" w:eastAsia="仿宋_GB2312"/>
                <w:sz w:val="20"/>
                <w:lang w:eastAsia="en-US"/>
              </w:rPr>
            </w:pPr>
          </w:p>
          <w:p w:rsidR="00800760" w:rsidRDefault="00800760">
            <w:pPr>
              <w:spacing w:line="329" w:lineRule="auto"/>
              <w:ind w:firstLineChars="0" w:firstLine="0"/>
              <w:rPr>
                <w:rFonts w:ascii="仿宋_GB2312" w:eastAsia="仿宋_GB2312"/>
                <w:sz w:val="20"/>
                <w:lang w:eastAsia="en-US"/>
              </w:rPr>
            </w:pPr>
          </w:p>
          <w:p w:rsidR="00800760" w:rsidRDefault="00235733">
            <w:pPr>
              <w:pStyle w:val="TableText"/>
              <w:kinsoku/>
              <w:autoSpaceDE/>
              <w:autoSpaceDN/>
              <w:adjustRightInd/>
              <w:snapToGrid/>
              <w:spacing w:before="68" w:line="219" w:lineRule="auto"/>
              <w:ind w:left="114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3"/>
                <w:sz w:val="20"/>
                <w:szCs w:val="20"/>
                <w:lang w:eastAsia="en-US"/>
              </w:rPr>
              <w:t>纠纷类型</w:t>
            </w:r>
          </w:p>
        </w:tc>
        <w:tc>
          <w:tcPr>
            <w:tcW w:w="4778" w:type="dxa"/>
          </w:tcPr>
          <w:p w:rsidR="00800760" w:rsidRDefault="00800760">
            <w:pPr>
              <w:spacing w:line="240" w:lineRule="auto"/>
              <w:ind w:firstLineChars="0" w:firstLine="0"/>
              <w:rPr>
                <w:rFonts w:ascii="仿宋_GB2312" w:eastAsia="仿宋_GB2312"/>
                <w:sz w:val="20"/>
                <w:lang w:eastAsia="en-US"/>
              </w:rPr>
            </w:pPr>
          </w:p>
        </w:tc>
      </w:tr>
      <w:tr w:rsidR="00800760">
        <w:trPr>
          <w:trHeight w:val="1248"/>
        </w:trPr>
        <w:tc>
          <w:tcPr>
            <w:tcW w:w="3141" w:type="dxa"/>
          </w:tcPr>
          <w:p w:rsidR="00800760" w:rsidRDefault="00800760">
            <w:pPr>
              <w:spacing w:line="450" w:lineRule="auto"/>
              <w:ind w:firstLineChars="0" w:firstLine="0"/>
              <w:rPr>
                <w:rFonts w:ascii="仿宋_GB2312" w:eastAsia="仿宋_GB2312"/>
                <w:sz w:val="20"/>
                <w:lang w:eastAsia="en-US"/>
              </w:rPr>
            </w:pPr>
          </w:p>
          <w:p w:rsidR="00800760" w:rsidRDefault="00235733">
            <w:pPr>
              <w:pStyle w:val="TableText"/>
              <w:kinsoku/>
              <w:autoSpaceDE/>
              <w:autoSpaceDN/>
              <w:adjustRightInd/>
              <w:snapToGrid/>
              <w:spacing w:before="68" w:line="219" w:lineRule="auto"/>
              <w:ind w:left="114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3"/>
                <w:sz w:val="20"/>
                <w:szCs w:val="20"/>
                <w:lang w:eastAsia="en-US"/>
              </w:rPr>
              <w:t>案情简介</w:t>
            </w:r>
          </w:p>
        </w:tc>
        <w:tc>
          <w:tcPr>
            <w:tcW w:w="4778" w:type="dxa"/>
          </w:tcPr>
          <w:p w:rsidR="00800760" w:rsidRDefault="00800760">
            <w:pPr>
              <w:spacing w:line="240" w:lineRule="auto"/>
              <w:ind w:firstLineChars="0" w:firstLine="0"/>
              <w:rPr>
                <w:rFonts w:ascii="仿宋_GB2312" w:eastAsia="仿宋_GB2312"/>
                <w:sz w:val="20"/>
                <w:lang w:eastAsia="en-US"/>
              </w:rPr>
            </w:pPr>
          </w:p>
        </w:tc>
      </w:tr>
      <w:tr w:rsidR="00800760">
        <w:trPr>
          <w:trHeight w:val="1259"/>
        </w:trPr>
        <w:tc>
          <w:tcPr>
            <w:tcW w:w="3141" w:type="dxa"/>
          </w:tcPr>
          <w:p w:rsidR="00800760" w:rsidRDefault="00800760">
            <w:pPr>
              <w:spacing w:line="463" w:lineRule="auto"/>
              <w:ind w:firstLineChars="0" w:firstLine="0"/>
              <w:rPr>
                <w:rFonts w:ascii="仿宋_GB2312" w:eastAsia="仿宋_GB2312"/>
                <w:sz w:val="20"/>
                <w:lang w:eastAsia="en-US"/>
              </w:rPr>
            </w:pPr>
          </w:p>
          <w:p w:rsidR="00800760" w:rsidRDefault="00235733">
            <w:pPr>
              <w:pStyle w:val="TableText"/>
              <w:kinsoku/>
              <w:autoSpaceDE/>
              <w:autoSpaceDN/>
              <w:adjustRightInd/>
              <w:snapToGrid/>
              <w:spacing w:before="68" w:line="219" w:lineRule="auto"/>
              <w:ind w:left="103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承办人意见</w:t>
            </w:r>
          </w:p>
        </w:tc>
        <w:tc>
          <w:tcPr>
            <w:tcW w:w="4778" w:type="dxa"/>
          </w:tcPr>
          <w:p w:rsidR="00800760" w:rsidRDefault="00800760">
            <w:pPr>
              <w:spacing w:line="246" w:lineRule="auto"/>
              <w:ind w:firstLineChars="0" w:firstLine="0"/>
              <w:rPr>
                <w:rFonts w:ascii="仿宋_GB2312" w:eastAsia="仿宋_GB2312"/>
                <w:sz w:val="20"/>
                <w:lang w:eastAsia="en-US"/>
              </w:rPr>
            </w:pPr>
          </w:p>
          <w:p w:rsidR="00800760" w:rsidRDefault="00800760">
            <w:pPr>
              <w:spacing w:line="247" w:lineRule="auto"/>
              <w:ind w:firstLineChars="0" w:firstLine="0"/>
              <w:rPr>
                <w:rFonts w:ascii="仿宋_GB2312" w:eastAsia="仿宋_GB2312"/>
                <w:sz w:val="20"/>
                <w:lang w:eastAsia="en-US"/>
              </w:rPr>
            </w:pPr>
          </w:p>
          <w:p w:rsidR="00800760" w:rsidRDefault="00235733">
            <w:pPr>
              <w:pStyle w:val="TableText"/>
              <w:kinsoku/>
              <w:autoSpaceDE/>
              <w:autoSpaceDN/>
              <w:adjustRightInd/>
              <w:snapToGrid/>
              <w:spacing w:before="68" w:line="219" w:lineRule="auto"/>
              <w:ind w:left="238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签字：</w:t>
            </w:r>
          </w:p>
          <w:p w:rsidR="00800760" w:rsidRDefault="00235733">
            <w:pPr>
              <w:pStyle w:val="TableText"/>
              <w:tabs>
                <w:tab w:val="left" w:pos="2853"/>
              </w:tabs>
              <w:kinsoku/>
              <w:autoSpaceDE/>
              <w:autoSpaceDN/>
              <w:adjustRightInd/>
              <w:snapToGrid/>
              <w:spacing w:before="102" w:line="213" w:lineRule="auto"/>
              <w:ind w:left="229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z w:val="20"/>
                <w:szCs w:val="20"/>
                <w:u w:val="single"/>
                <w:lang w:eastAsia="en-US"/>
              </w:rPr>
              <w:tab/>
              <w:t xml:space="preserve">  </w:t>
            </w:r>
            <w:r>
              <w:rPr>
                <w:rFonts w:ascii="仿宋_GB2312" w:eastAsia="仿宋_GB2312" w:hAnsi="仿宋_GB2312" w:cs="仿宋_GB2312" w:hint="eastAsia"/>
                <w:snapToGrid/>
                <w:spacing w:val="-6"/>
                <w:sz w:val="20"/>
                <w:szCs w:val="20"/>
                <w:lang w:eastAsia="en-US"/>
              </w:rPr>
              <w:t>年</w:t>
            </w:r>
            <w:r>
              <w:rPr>
                <w:rFonts w:ascii="仿宋_GB2312" w:eastAsia="仿宋_GB2312" w:hAnsi="仿宋_GB2312" w:cs="仿宋_GB2312" w:hint="eastAsia"/>
                <w:snapToGrid/>
                <w:spacing w:val="-96"/>
                <w:sz w:val="20"/>
                <w:szCs w:val="20"/>
                <w:lang w:eastAsia="en-US"/>
              </w:rPr>
              <w:t xml:space="preserve"> </w:t>
            </w:r>
            <w:r>
              <w:rPr>
                <w:rFonts w:ascii="仿宋_GB2312" w:eastAsia="仿宋_GB2312" w:hAnsi="仿宋_GB2312" w:cs="仿宋_GB2312" w:hint="eastAsia"/>
                <w:snapToGrid/>
                <w:spacing w:val="35"/>
                <w:sz w:val="20"/>
                <w:szCs w:val="20"/>
                <w:u w:val="single"/>
                <w:lang w:eastAsia="en-US"/>
              </w:rPr>
              <w:t xml:space="preserve">   </w:t>
            </w:r>
            <w:r>
              <w:rPr>
                <w:rFonts w:ascii="仿宋_GB2312" w:eastAsia="仿宋_GB2312" w:hAnsi="仿宋_GB2312" w:cs="仿宋_GB2312" w:hint="eastAsia"/>
                <w:snapToGrid/>
                <w:spacing w:val="-6"/>
                <w:sz w:val="20"/>
                <w:szCs w:val="20"/>
                <w:lang w:eastAsia="en-US"/>
              </w:rPr>
              <w:t>月</w:t>
            </w:r>
            <w:r>
              <w:rPr>
                <w:rFonts w:ascii="仿宋_GB2312" w:eastAsia="仿宋_GB2312" w:hAnsi="仿宋_GB2312" w:cs="仿宋_GB2312" w:hint="eastAsia"/>
                <w:snapToGrid/>
                <w:spacing w:val="21"/>
                <w:sz w:val="20"/>
                <w:szCs w:val="20"/>
                <w:u w:val="single"/>
                <w:lang w:eastAsia="en-US"/>
              </w:rPr>
              <w:t xml:space="preserve">   </w:t>
            </w:r>
            <w:r>
              <w:rPr>
                <w:rFonts w:ascii="仿宋_GB2312" w:eastAsia="仿宋_GB2312" w:hAnsi="仿宋_GB2312" w:cs="仿宋_GB2312" w:hint="eastAsia"/>
                <w:snapToGrid/>
                <w:spacing w:val="-6"/>
                <w:sz w:val="20"/>
                <w:szCs w:val="20"/>
                <w:lang w:eastAsia="en-US"/>
              </w:rPr>
              <w:t>日</w:t>
            </w:r>
          </w:p>
        </w:tc>
      </w:tr>
      <w:tr w:rsidR="00800760">
        <w:trPr>
          <w:trHeight w:val="1249"/>
        </w:trPr>
        <w:tc>
          <w:tcPr>
            <w:tcW w:w="3141" w:type="dxa"/>
          </w:tcPr>
          <w:p w:rsidR="00800760" w:rsidRDefault="00800760">
            <w:pPr>
              <w:spacing w:line="313" w:lineRule="auto"/>
              <w:ind w:firstLineChars="0" w:firstLine="0"/>
              <w:rPr>
                <w:rFonts w:ascii="仿宋_GB2312" w:eastAsia="仿宋_GB2312"/>
                <w:sz w:val="20"/>
                <w:lang w:eastAsia="en-US"/>
              </w:rPr>
            </w:pPr>
          </w:p>
          <w:p w:rsidR="00800760" w:rsidRDefault="00235733">
            <w:pPr>
              <w:pStyle w:val="TableText"/>
              <w:kinsoku/>
              <w:autoSpaceDE/>
              <w:autoSpaceDN/>
              <w:adjustRightInd/>
              <w:snapToGrid/>
              <w:spacing w:before="69" w:line="270" w:lineRule="auto"/>
              <w:ind w:left="1355" w:right="826" w:firstLineChars="0" w:hanging="53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处(科)室负责人</w:t>
            </w:r>
            <w:r>
              <w:rPr>
                <w:rFonts w:ascii="仿宋_GB2312" w:eastAsia="仿宋_GB2312" w:hAnsi="仿宋_GB2312" w:cs="仿宋_GB2312" w:hint="eastAsia"/>
                <w:snapToGrid/>
                <w:sz w:val="20"/>
                <w:szCs w:val="20"/>
                <w:lang w:eastAsia="en-US"/>
              </w:rPr>
              <w:t xml:space="preserve"> </w:t>
            </w:r>
            <w:r>
              <w:rPr>
                <w:rFonts w:ascii="仿宋_GB2312" w:eastAsia="仿宋_GB2312" w:hAnsi="仿宋_GB2312" w:cs="仿宋_GB2312" w:hint="eastAsia"/>
                <w:snapToGrid/>
                <w:spacing w:val="6"/>
                <w:sz w:val="20"/>
                <w:szCs w:val="20"/>
                <w:lang w:eastAsia="en-US"/>
              </w:rPr>
              <w:t>审核</w:t>
            </w:r>
          </w:p>
        </w:tc>
        <w:tc>
          <w:tcPr>
            <w:tcW w:w="4778" w:type="dxa"/>
          </w:tcPr>
          <w:p w:rsidR="00800760" w:rsidRDefault="00800760">
            <w:pPr>
              <w:spacing w:line="242" w:lineRule="auto"/>
              <w:ind w:firstLineChars="0" w:firstLine="0"/>
              <w:rPr>
                <w:rFonts w:ascii="仿宋_GB2312" w:eastAsia="仿宋_GB2312"/>
                <w:sz w:val="20"/>
                <w:lang w:eastAsia="en-US"/>
              </w:rPr>
            </w:pPr>
          </w:p>
          <w:p w:rsidR="00800760" w:rsidRDefault="00800760">
            <w:pPr>
              <w:spacing w:line="242" w:lineRule="auto"/>
              <w:ind w:firstLineChars="0" w:firstLine="0"/>
              <w:rPr>
                <w:rFonts w:ascii="仿宋_GB2312" w:eastAsia="仿宋_GB2312"/>
                <w:sz w:val="20"/>
                <w:lang w:eastAsia="en-US"/>
              </w:rPr>
            </w:pPr>
          </w:p>
          <w:p w:rsidR="00800760" w:rsidRDefault="00235733">
            <w:pPr>
              <w:pStyle w:val="TableText"/>
              <w:kinsoku/>
              <w:autoSpaceDE/>
              <w:autoSpaceDN/>
              <w:adjustRightInd/>
              <w:snapToGrid/>
              <w:spacing w:before="68" w:line="219" w:lineRule="auto"/>
              <w:ind w:left="238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签字：</w:t>
            </w:r>
          </w:p>
          <w:p w:rsidR="00800760" w:rsidRDefault="00235733">
            <w:pPr>
              <w:pStyle w:val="TableText"/>
              <w:tabs>
                <w:tab w:val="left" w:pos="2853"/>
              </w:tabs>
              <w:kinsoku/>
              <w:autoSpaceDE/>
              <w:autoSpaceDN/>
              <w:adjustRightInd/>
              <w:snapToGrid/>
              <w:spacing w:before="102" w:line="213" w:lineRule="auto"/>
              <w:ind w:left="2393"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z w:val="20"/>
                <w:szCs w:val="20"/>
                <w:u w:val="single"/>
                <w:lang w:eastAsia="en-US"/>
              </w:rPr>
              <w:tab/>
              <w:t xml:space="preserve"> </w:t>
            </w:r>
            <w:r>
              <w:rPr>
                <w:rFonts w:ascii="仿宋_GB2312" w:eastAsia="仿宋_GB2312" w:hAnsi="仿宋_GB2312" w:cs="仿宋_GB2312" w:hint="eastAsia"/>
                <w:snapToGrid/>
                <w:sz w:val="20"/>
                <w:szCs w:val="20"/>
                <w:lang w:eastAsia="en-US"/>
              </w:rPr>
              <w:t>年</w:t>
            </w:r>
            <w:r>
              <w:rPr>
                <w:rFonts w:ascii="仿宋_GB2312" w:eastAsia="仿宋_GB2312" w:hAnsi="仿宋_GB2312" w:cs="仿宋_GB2312" w:hint="eastAsia"/>
                <w:snapToGrid/>
                <w:sz w:val="20"/>
                <w:szCs w:val="20"/>
                <w:u w:val="single"/>
                <w:lang w:eastAsia="en-US"/>
              </w:rPr>
              <w:t xml:space="preserve">    </w:t>
            </w:r>
            <w:r>
              <w:rPr>
                <w:rFonts w:ascii="仿宋_GB2312" w:eastAsia="仿宋_GB2312" w:hAnsi="仿宋_GB2312" w:cs="仿宋_GB2312" w:hint="eastAsia"/>
                <w:snapToGrid/>
                <w:sz w:val="20"/>
                <w:szCs w:val="20"/>
                <w:lang w:eastAsia="en-US"/>
              </w:rPr>
              <w:t>月</w:t>
            </w:r>
            <w:r>
              <w:rPr>
                <w:rFonts w:ascii="仿宋_GB2312" w:eastAsia="仿宋_GB2312" w:hAnsi="仿宋_GB2312" w:cs="仿宋_GB2312" w:hint="eastAsia"/>
                <w:snapToGrid/>
                <w:sz w:val="20"/>
                <w:szCs w:val="20"/>
                <w:u w:val="single"/>
                <w:lang w:eastAsia="en-US"/>
              </w:rPr>
              <w:t xml:space="preserve">      </w:t>
            </w:r>
            <w:r>
              <w:rPr>
                <w:rFonts w:ascii="仿宋_GB2312" w:eastAsia="仿宋_GB2312" w:hAnsi="仿宋_GB2312" w:cs="仿宋_GB2312" w:hint="eastAsia"/>
                <w:snapToGrid/>
                <w:sz w:val="20"/>
                <w:szCs w:val="20"/>
                <w:lang w:eastAsia="en-US"/>
              </w:rPr>
              <w:t>日</w:t>
            </w:r>
          </w:p>
        </w:tc>
      </w:tr>
      <w:tr w:rsidR="00800760">
        <w:trPr>
          <w:trHeight w:val="1243"/>
        </w:trPr>
        <w:tc>
          <w:tcPr>
            <w:tcW w:w="3141" w:type="dxa"/>
          </w:tcPr>
          <w:p w:rsidR="00800760" w:rsidRDefault="00800760">
            <w:pPr>
              <w:spacing w:line="456" w:lineRule="auto"/>
              <w:ind w:firstLineChars="0" w:firstLine="0"/>
              <w:rPr>
                <w:rFonts w:ascii="仿宋_GB2312" w:eastAsia="仿宋_GB2312"/>
                <w:sz w:val="20"/>
                <w:lang w:eastAsia="en-US"/>
              </w:rPr>
            </w:pPr>
          </w:p>
          <w:p w:rsidR="00800760" w:rsidRDefault="00235733">
            <w:pPr>
              <w:pStyle w:val="TableText"/>
              <w:kinsoku/>
              <w:autoSpaceDE/>
              <w:autoSpaceDN/>
              <w:adjustRightInd/>
              <w:snapToGrid/>
              <w:spacing w:before="68" w:line="220" w:lineRule="auto"/>
              <w:ind w:left="103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局领导批示</w:t>
            </w:r>
          </w:p>
        </w:tc>
        <w:tc>
          <w:tcPr>
            <w:tcW w:w="4778" w:type="dxa"/>
          </w:tcPr>
          <w:p w:rsidR="00800760" w:rsidRDefault="00800760">
            <w:pPr>
              <w:spacing w:line="465" w:lineRule="auto"/>
              <w:ind w:firstLineChars="0" w:firstLine="0"/>
              <w:rPr>
                <w:rFonts w:ascii="仿宋_GB2312" w:eastAsia="仿宋_GB2312"/>
                <w:sz w:val="20"/>
                <w:lang w:eastAsia="en-US"/>
              </w:rPr>
            </w:pPr>
          </w:p>
          <w:p w:rsidR="00800760" w:rsidRDefault="00235733">
            <w:pPr>
              <w:pStyle w:val="TableText"/>
              <w:kinsoku/>
              <w:autoSpaceDE/>
              <w:autoSpaceDN/>
              <w:adjustRightInd/>
              <w:snapToGrid/>
              <w:spacing w:before="68" w:line="219" w:lineRule="auto"/>
              <w:ind w:left="238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2"/>
                <w:sz w:val="20"/>
                <w:szCs w:val="20"/>
                <w:lang w:eastAsia="en-US"/>
              </w:rPr>
              <w:t>签字：</w:t>
            </w:r>
          </w:p>
          <w:p w:rsidR="00800760" w:rsidRDefault="00235733">
            <w:pPr>
              <w:pStyle w:val="TableText"/>
              <w:tabs>
                <w:tab w:val="left" w:pos="2962"/>
              </w:tabs>
              <w:kinsoku/>
              <w:autoSpaceDE/>
              <w:autoSpaceDN/>
              <w:adjustRightInd/>
              <w:snapToGrid/>
              <w:spacing w:before="122" w:line="213" w:lineRule="auto"/>
              <w:ind w:left="240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z w:val="20"/>
                <w:szCs w:val="20"/>
                <w:u w:val="single"/>
                <w:lang w:eastAsia="en-US"/>
              </w:rPr>
              <w:tab/>
              <w:t xml:space="preserve"> </w:t>
            </w:r>
            <w:r>
              <w:rPr>
                <w:rFonts w:ascii="仿宋_GB2312" w:eastAsia="仿宋_GB2312" w:hAnsi="仿宋_GB2312" w:cs="仿宋_GB2312" w:hint="eastAsia"/>
                <w:snapToGrid/>
                <w:sz w:val="20"/>
                <w:szCs w:val="20"/>
                <w:lang w:eastAsia="en-US"/>
              </w:rPr>
              <w:t>年</w:t>
            </w:r>
            <w:r>
              <w:rPr>
                <w:rFonts w:ascii="仿宋_GB2312" w:eastAsia="仿宋_GB2312" w:hAnsi="仿宋_GB2312" w:cs="仿宋_GB2312" w:hint="eastAsia"/>
                <w:snapToGrid/>
                <w:sz w:val="20"/>
                <w:szCs w:val="20"/>
                <w:u w:val="single"/>
                <w:lang w:eastAsia="en-US"/>
              </w:rPr>
              <w:t xml:space="preserve">     </w:t>
            </w:r>
            <w:r>
              <w:rPr>
                <w:rFonts w:ascii="仿宋_GB2312" w:eastAsia="仿宋_GB2312" w:hAnsi="仿宋_GB2312" w:cs="仿宋_GB2312" w:hint="eastAsia"/>
                <w:snapToGrid/>
                <w:sz w:val="20"/>
                <w:szCs w:val="20"/>
                <w:lang w:eastAsia="en-US"/>
              </w:rPr>
              <w:t>月</w:t>
            </w:r>
            <w:r>
              <w:rPr>
                <w:rFonts w:ascii="仿宋_GB2312" w:eastAsia="仿宋_GB2312" w:hAnsi="仿宋_GB2312" w:cs="仿宋_GB2312" w:hint="eastAsia"/>
                <w:snapToGrid/>
                <w:sz w:val="20"/>
                <w:szCs w:val="20"/>
                <w:u w:val="single"/>
                <w:lang w:eastAsia="en-US"/>
              </w:rPr>
              <w:t xml:space="preserve">  </w:t>
            </w:r>
            <w:r>
              <w:rPr>
                <w:rFonts w:ascii="仿宋_GB2312" w:eastAsia="仿宋_GB2312" w:hAnsi="仿宋_GB2312" w:cs="仿宋_GB2312" w:hint="eastAsia"/>
                <w:snapToGrid/>
                <w:spacing w:val="21"/>
                <w:sz w:val="20"/>
                <w:szCs w:val="20"/>
                <w:u w:val="single"/>
                <w:lang w:eastAsia="en-US"/>
              </w:rPr>
              <w:t xml:space="preserve"> </w:t>
            </w:r>
            <w:r>
              <w:rPr>
                <w:rFonts w:ascii="仿宋_GB2312" w:eastAsia="仿宋_GB2312" w:hAnsi="仿宋_GB2312" w:cs="仿宋_GB2312" w:hint="eastAsia"/>
                <w:snapToGrid/>
                <w:spacing w:val="-6"/>
                <w:sz w:val="20"/>
                <w:szCs w:val="20"/>
                <w:lang w:eastAsia="en-US"/>
              </w:rPr>
              <w:t>日</w:t>
            </w:r>
          </w:p>
        </w:tc>
      </w:tr>
    </w:tbl>
    <w:p w:rsidR="00800760" w:rsidRDefault="00800760">
      <w:pPr>
        <w:pStyle w:val="a5"/>
        <w:spacing w:after="0" w:line="240" w:lineRule="auto"/>
        <w:ind w:firstLineChars="0" w:firstLine="0"/>
        <w:rPr>
          <w:rFonts w:ascii="仿宋_GB2312" w:eastAsia="仿宋_GB2312"/>
          <w:sz w:val="20"/>
          <w:lang w:eastAsia="en-US"/>
        </w:rPr>
      </w:pPr>
    </w:p>
    <w:p w:rsidR="00800760" w:rsidRDefault="00800760">
      <w:pPr>
        <w:rPr>
          <w:rFonts w:ascii="仿宋_GB2312" w:eastAsia="仿宋_GB2312"/>
        </w:rPr>
        <w:sectPr w:rsidR="00800760" w:rsidSect="008175D7">
          <w:footerReference w:type="default" r:id="rId106"/>
          <w:pgSz w:w="10830" w:h="15080"/>
          <w:pgMar w:top="1373" w:right="1289" w:bottom="1314" w:left="1559" w:header="431" w:footer="969" w:gutter="0"/>
          <w:cols w:space="720"/>
          <w:docGrid w:linePitch="286"/>
        </w:sectPr>
      </w:pPr>
    </w:p>
    <w:p w:rsidR="00800760" w:rsidRDefault="00800760">
      <w:pPr>
        <w:ind w:firstLineChars="0" w:firstLine="0"/>
        <w:jc w:val="center"/>
        <w:rPr>
          <w:rFonts w:ascii="方正小标宋_GBK" w:eastAsia="方正小标宋_GBK" w:hAnsi="宋体"/>
          <w:color w:val="000000"/>
          <w:spacing w:val="6"/>
          <w:sz w:val="36"/>
          <w:szCs w:val="36"/>
          <w:lang w:eastAsia="en-US"/>
        </w:rPr>
      </w:pPr>
    </w:p>
    <w:p w:rsidR="00800760" w:rsidRDefault="00800760">
      <w:pPr>
        <w:ind w:firstLineChars="0" w:firstLine="0"/>
        <w:jc w:val="center"/>
        <w:rPr>
          <w:rFonts w:ascii="方正小标宋_GBK" w:eastAsia="方正小标宋_GBK" w:hAnsi="宋体"/>
          <w:color w:val="000000"/>
          <w:spacing w:val="6"/>
          <w:sz w:val="36"/>
          <w:szCs w:val="36"/>
        </w:rPr>
      </w:pPr>
    </w:p>
    <w:p w:rsidR="00800760" w:rsidRDefault="00800760">
      <w:pPr>
        <w:ind w:firstLineChars="0" w:firstLine="0"/>
        <w:jc w:val="center"/>
        <w:rPr>
          <w:rFonts w:ascii="方正小标宋_GBK" w:eastAsia="方正小标宋_GBK" w:hAnsi="宋体"/>
          <w:color w:val="000000"/>
          <w:spacing w:val="6"/>
          <w:sz w:val="36"/>
          <w:szCs w:val="36"/>
        </w:rPr>
      </w:pPr>
    </w:p>
    <w:p w:rsidR="00800760" w:rsidRDefault="00800760">
      <w:pPr>
        <w:ind w:firstLineChars="0" w:firstLine="0"/>
        <w:jc w:val="center"/>
        <w:rPr>
          <w:rFonts w:ascii="方正小标宋_GBK" w:eastAsia="方正小标宋_GBK" w:hAnsi="宋体"/>
          <w:color w:val="000000"/>
          <w:spacing w:val="6"/>
          <w:sz w:val="36"/>
          <w:szCs w:val="36"/>
        </w:rPr>
      </w:pPr>
    </w:p>
    <w:p w:rsidR="00800760" w:rsidRDefault="00800760">
      <w:pPr>
        <w:ind w:firstLineChars="0" w:firstLine="0"/>
        <w:jc w:val="center"/>
        <w:rPr>
          <w:rFonts w:ascii="方正小标宋_GBK" w:eastAsia="方正小标宋_GBK" w:hAnsi="宋体"/>
          <w:color w:val="000000"/>
          <w:spacing w:val="6"/>
          <w:sz w:val="36"/>
          <w:szCs w:val="36"/>
        </w:rPr>
      </w:pPr>
    </w:p>
    <w:p w:rsidR="00800760" w:rsidRDefault="00235733">
      <w:pPr>
        <w:ind w:firstLineChars="0" w:firstLine="0"/>
        <w:jc w:val="center"/>
        <w:outlineLvl w:val="0"/>
        <w:rPr>
          <w:rFonts w:ascii="方正小标宋_GBK" w:eastAsia="方正小标宋_GBK" w:hAnsi="宋体"/>
          <w:color w:val="000000"/>
          <w:spacing w:val="6"/>
          <w:sz w:val="44"/>
          <w:szCs w:val="44"/>
        </w:rPr>
      </w:pPr>
      <w:bookmarkStart w:id="9341" w:name="_Toc229225670"/>
      <w:r>
        <w:rPr>
          <w:rFonts w:ascii="方正小标宋_GBK" w:eastAsia="方正小标宋_GBK" w:hAnsi="宋体" w:hint="eastAsia"/>
          <w:color w:val="000000"/>
          <w:spacing w:val="6"/>
          <w:sz w:val="44"/>
          <w:szCs w:val="44"/>
        </w:rPr>
        <w:t>三、</w:t>
      </w:r>
      <w:r>
        <w:rPr>
          <w:rFonts w:ascii="方正小标宋_GBK" w:eastAsia="方正小标宋_GBK" w:hAnsi="宋体"/>
          <w:color w:val="000000"/>
          <w:spacing w:val="6"/>
          <w:sz w:val="44"/>
          <w:szCs w:val="44"/>
        </w:rPr>
        <w:t>当事人用文书表格</w:t>
      </w:r>
      <w:bookmarkEnd w:id="9341"/>
    </w:p>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r>
        <w:rPr>
          <w:rFonts w:ascii="宋体" w:hAnsi="宋体"/>
          <w:b/>
          <w:color w:val="000000"/>
          <w:sz w:val="20"/>
          <w:szCs w:val="21"/>
        </w:rPr>
        <w:br w:type="page"/>
      </w:r>
      <w:r>
        <w:rPr>
          <w:rFonts w:ascii="方正小标宋_GBK" w:eastAsia="方正小标宋_GBK" w:hAnsi="宋体"/>
          <w:color w:val="000000"/>
          <w:spacing w:val="6"/>
          <w:sz w:val="36"/>
          <w:szCs w:val="36"/>
        </w:rPr>
        <w:t>专利侵权纠纷处理请求书</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9"/>
        <w:gridCol w:w="1389"/>
        <w:gridCol w:w="1714"/>
        <w:gridCol w:w="1271"/>
        <w:gridCol w:w="2967"/>
      </w:tblGrid>
      <w:tr w:rsidR="00800760">
        <w:trPr>
          <w:trHeight w:val="20"/>
          <w:jc w:val="center"/>
        </w:trPr>
        <w:tc>
          <w:tcPr>
            <w:tcW w:w="1353" w:type="pct"/>
            <w:gridSpan w:val="2"/>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专利号</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353" w:type="pct"/>
            <w:gridSpan w:val="2"/>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专利名称</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353" w:type="pct"/>
            <w:gridSpan w:val="2"/>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专利权人</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val="restar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请求人</w:t>
            </w: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姓名或名称</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rPr>
            </w:pPr>
            <w:r>
              <w:rPr>
                <w:rFonts w:ascii="仿宋_GB2312" w:eastAsia="仿宋_GB2312" w:hAnsi="宋体" w:hint="eastAsia"/>
                <w:color w:val="000000"/>
                <w:sz w:val="20"/>
              </w:rPr>
              <w:t>法定代表人</w:t>
            </w:r>
          </w:p>
          <w:p w:rsidR="00800760" w:rsidRDefault="00235733">
            <w:pPr>
              <w:spacing w:line="360" w:lineRule="auto"/>
              <w:ind w:firstLineChars="0" w:firstLine="0"/>
              <w:jc w:val="center"/>
              <w:rPr>
                <w:rFonts w:ascii="仿宋_GB2312" w:eastAsia="仿宋_GB2312" w:hAnsi="宋体"/>
                <w:color w:val="000000"/>
                <w:sz w:val="20"/>
              </w:rPr>
            </w:pPr>
            <w:r>
              <w:rPr>
                <w:rFonts w:ascii="仿宋_GB2312" w:eastAsia="仿宋_GB2312" w:hAnsi="宋体" w:hint="eastAsia"/>
                <w:color w:val="000000"/>
                <w:sz w:val="20"/>
              </w:rPr>
              <w:t>（负责人）</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代理人姓名</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机构名称</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代理人姓名</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机构名称</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val="restar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被请求人</w:t>
            </w: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姓名或名称</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w:t>
            </w:r>
          </w:p>
        </w:tc>
        <w:tc>
          <w:tcPr>
            <w:tcW w:w="3647" w:type="pct"/>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502" w:type="pct"/>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851"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050"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779"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1818"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194"/>
          <w:jc w:val="center"/>
        </w:trPr>
        <w:tc>
          <w:tcPr>
            <w:tcW w:w="5000" w:type="pct"/>
            <w:gridSpan w:val="5"/>
            <w:tcMar>
              <w:left w:w="57" w:type="dxa"/>
              <w:right w:w="57" w:type="dxa"/>
            </w:tcMar>
          </w:tcPr>
          <w:p w:rsidR="00800760" w:rsidRDefault="00235733">
            <w:pPr>
              <w:spacing w:line="360" w:lineRule="auto"/>
              <w:ind w:firstLineChars="0" w:firstLine="0"/>
              <w:rPr>
                <w:rFonts w:ascii="仿宋_GB2312" w:eastAsia="仿宋_GB2312" w:hAnsi="宋体"/>
                <w:color w:val="000000"/>
                <w:sz w:val="20"/>
              </w:rPr>
            </w:pPr>
            <w:r>
              <w:rPr>
                <w:rFonts w:ascii="仿宋_GB2312" w:eastAsia="仿宋_GB2312" w:hAnsi="宋体" w:hint="eastAsia"/>
                <w:color w:val="000000"/>
                <w:sz w:val="20"/>
                <w:lang w:eastAsia="en-US"/>
              </w:rPr>
              <w:t>请求处理的事项：</w:t>
            </w: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tc>
      </w:tr>
    </w:tbl>
    <w:p w:rsidR="00800760" w:rsidRDefault="00235733">
      <w:pPr>
        <w:spacing w:line="360" w:lineRule="auto"/>
        <w:ind w:firstLineChars="0" w:firstLine="0"/>
        <w:rPr>
          <w:rFonts w:ascii="仿宋_GB2312" w:eastAsia="仿宋_GB2312"/>
          <w:color w:val="000000"/>
          <w:sz w:val="20"/>
          <w:lang w:eastAsia="en-US"/>
        </w:rPr>
      </w:pPr>
      <w:r>
        <w:rPr>
          <w:rFonts w:ascii="仿宋_GB2312" w:eastAsia="仿宋_GB2312" w:hint="eastAsia"/>
          <w:color w:val="000000"/>
          <w:sz w:val="20"/>
          <w:lang w:eastAsia="en-US"/>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60"/>
      </w:tblGrid>
      <w:tr w:rsidR="00800760">
        <w:trPr>
          <w:trHeight w:val="20"/>
        </w:trPr>
        <w:tc>
          <w:tcPr>
            <w:tcW w:w="5000" w:type="pct"/>
            <w:tcMar>
              <w:left w:w="57" w:type="dxa"/>
              <w:right w:w="57" w:type="dxa"/>
            </w:tcMar>
          </w:tcPr>
          <w:p w:rsidR="00800760" w:rsidRDefault="00235733">
            <w:pPr>
              <w:spacing w:line="360" w:lineRule="auto"/>
              <w:ind w:firstLineChars="0" w:firstLine="0"/>
              <w:rPr>
                <w:rFonts w:ascii="仿宋_GB2312" w:eastAsia="仿宋_GB2312" w:hAnsi="宋体"/>
                <w:color w:val="000000"/>
                <w:sz w:val="20"/>
                <w:lang w:eastAsia="en-US"/>
              </w:rPr>
            </w:pPr>
            <w:r>
              <w:rPr>
                <w:rFonts w:ascii="仿宋_GB2312" w:eastAsia="仿宋_GB2312" w:hAnsi="宋体" w:hint="eastAsia"/>
                <w:color w:val="000000"/>
                <w:sz w:val="20"/>
                <w:lang w:eastAsia="en-US"/>
              </w:rPr>
              <w:t>事实和理由：</w:t>
            </w: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tc>
      </w:tr>
      <w:tr w:rsidR="00800760">
        <w:trPr>
          <w:trHeight w:val="20"/>
        </w:trPr>
        <w:tc>
          <w:tcPr>
            <w:tcW w:w="5000" w:type="pct"/>
            <w:tcMar>
              <w:left w:w="57" w:type="dxa"/>
              <w:right w:w="57" w:type="dxa"/>
            </w:tcMar>
          </w:tcPr>
          <w:p w:rsidR="00800760" w:rsidRDefault="00235733">
            <w:pPr>
              <w:spacing w:line="360" w:lineRule="auto"/>
              <w:ind w:firstLineChars="0" w:firstLine="0"/>
              <w:rPr>
                <w:rFonts w:ascii="仿宋_GB2312" w:eastAsia="仿宋_GB2312" w:hAnsi="宋体"/>
                <w:color w:val="000000"/>
                <w:sz w:val="20"/>
                <w:lang w:eastAsia="en-US"/>
              </w:rPr>
            </w:pPr>
            <w:r>
              <w:rPr>
                <w:rFonts w:ascii="仿宋_GB2312" w:eastAsia="仿宋_GB2312" w:hAnsi="宋体" w:hint="eastAsia"/>
                <w:color w:val="000000"/>
                <w:sz w:val="20"/>
                <w:lang w:eastAsia="en-US"/>
              </w:rPr>
              <w:t>请求人签章：</w:t>
            </w: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rPr>
            </w:pPr>
          </w:p>
          <w:p w:rsidR="00800760" w:rsidRDefault="00800760">
            <w:pPr>
              <w:spacing w:line="360" w:lineRule="auto"/>
              <w:ind w:firstLineChars="0" w:firstLine="0"/>
              <w:rPr>
                <w:rFonts w:ascii="仿宋_GB2312" w:eastAsia="仿宋_GB2312" w:hAnsi="宋体"/>
                <w:color w:val="000000"/>
                <w:sz w:val="20"/>
              </w:rPr>
            </w:pPr>
          </w:p>
          <w:p w:rsidR="00800760" w:rsidRDefault="00800760">
            <w:pPr>
              <w:spacing w:line="360" w:lineRule="auto"/>
              <w:ind w:firstLineChars="0" w:firstLine="0"/>
              <w:rPr>
                <w:rFonts w:ascii="仿宋_GB2312" w:eastAsia="仿宋_GB2312" w:hAnsi="宋体"/>
                <w:color w:val="000000"/>
                <w:sz w:val="20"/>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235733">
            <w:pPr>
              <w:spacing w:line="360" w:lineRule="auto"/>
              <w:ind w:firstLineChars="0" w:firstLine="0"/>
              <w:rPr>
                <w:rFonts w:ascii="仿宋_GB2312" w:eastAsia="仿宋_GB2312" w:hAnsi="宋体"/>
                <w:color w:val="000000"/>
                <w:sz w:val="20"/>
                <w:u w:val="single"/>
                <w:lang w:eastAsia="en-US"/>
              </w:rPr>
            </w:pPr>
            <w:r>
              <w:rPr>
                <w:rFonts w:ascii="仿宋_GB2312" w:eastAsia="仿宋_GB2312" w:hAnsi="宋体" w:hint="eastAsia"/>
                <w:color w:val="000000"/>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r>
    </w:tbl>
    <w:p w:rsidR="00800760" w:rsidRDefault="00800760" w:rsidP="00C22A7B">
      <w:pPr>
        <w:spacing w:beforeLines="50" w:afterLines="50" w:line="360" w:lineRule="auto"/>
        <w:ind w:firstLineChars="0" w:firstLine="0"/>
        <w:jc w:val="center"/>
        <w:rPr>
          <w:rFonts w:ascii="仿宋_GB2312" w:eastAsia="仿宋_GB2312" w:hAnsi="宋体"/>
          <w:b/>
          <w:color w:val="000000"/>
          <w:sz w:val="20"/>
        </w:rPr>
      </w:pPr>
    </w:p>
    <w:p w:rsidR="00800760" w:rsidRDefault="00235733">
      <w:pPr>
        <w:spacing w:line="240" w:lineRule="auto"/>
        <w:ind w:firstLineChars="0" w:firstLine="0"/>
        <w:rPr>
          <w:rFonts w:ascii="宋体" w:hAnsi="宋体"/>
          <w:b/>
          <w:color w:val="000000"/>
          <w:sz w:val="20"/>
          <w:szCs w:val="21"/>
        </w:rPr>
      </w:pPr>
      <w:r>
        <w:rPr>
          <w:rFonts w:ascii="宋体" w:hAnsi="宋体"/>
          <w:b/>
          <w:color w:val="000000"/>
          <w:sz w:val="20"/>
          <w:szCs w:val="21"/>
        </w:rPr>
        <w:br w:type="page"/>
      </w:r>
    </w:p>
    <w:p w:rsidR="00800760" w:rsidRDefault="00235733">
      <w:pPr>
        <w:spacing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w:t>
      </w:r>
      <w:r>
        <w:rPr>
          <w:rFonts w:ascii="方正小标宋简体" w:eastAsia="方正小标宋简体" w:hAnsi="宋体"/>
          <w:color w:val="000000"/>
          <w:spacing w:val="6"/>
          <w:sz w:val="36"/>
          <w:szCs w:val="36"/>
        </w:rPr>
        <w:t>专利侵权纠纷</w:t>
      </w:r>
      <w:r>
        <w:rPr>
          <w:rFonts w:ascii="方正小标宋简体" w:eastAsia="方正小标宋简体" w:hAnsi="宋体" w:hint="eastAsia"/>
          <w:color w:val="000000"/>
          <w:spacing w:val="6"/>
          <w:sz w:val="36"/>
          <w:szCs w:val="36"/>
        </w:rPr>
        <w:t>行政裁决</w:t>
      </w:r>
      <w:r>
        <w:rPr>
          <w:rFonts w:ascii="方正小标宋简体" w:eastAsia="方正小标宋简体" w:hAnsi="宋体"/>
          <w:color w:val="000000"/>
          <w:spacing w:val="6"/>
          <w:sz w:val="36"/>
          <w:szCs w:val="36"/>
        </w:rPr>
        <w:t>请求书</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92"/>
        <w:gridCol w:w="1276"/>
        <w:gridCol w:w="1985"/>
        <w:gridCol w:w="1416"/>
        <w:gridCol w:w="2551"/>
      </w:tblGrid>
      <w:tr w:rsidR="00800760">
        <w:trPr>
          <w:trHeight w:val="20"/>
          <w:jc w:val="center"/>
        </w:trPr>
        <w:tc>
          <w:tcPr>
            <w:tcW w:w="2468" w:type="dxa"/>
            <w:gridSpan w:val="2"/>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 利 号</w:t>
            </w:r>
          </w:p>
        </w:tc>
        <w:tc>
          <w:tcPr>
            <w:tcW w:w="5952" w:type="dxa"/>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2468" w:type="dxa"/>
            <w:gridSpan w:val="2"/>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专利名称</w:t>
            </w:r>
          </w:p>
        </w:tc>
        <w:tc>
          <w:tcPr>
            <w:tcW w:w="5952" w:type="dxa"/>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2468" w:type="dxa"/>
            <w:gridSpan w:val="2"/>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专利权人</w:t>
            </w:r>
          </w:p>
        </w:tc>
        <w:tc>
          <w:tcPr>
            <w:tcW w:w="5952" w:type="dxa"/>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val="restar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请求人</w:t>
            </w: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姓名或名称</w:t>
            </w:r>
          </w:p>
        </w:tc>
        <w:tc>
          <w:tcPr>
            <w:tcW w:w="1985" w:type="dxa"/>
            <w:tcMar>
              <w:left w:w="57" w:type="dxa"/>
              <w:right w:w="57" w:type="dxa"/>
            </w:tcMar>
            <w:vAlign w:val="center"/>
          </w:tcPr>
          <w:p w:rsidR="00800760" w:rsidRDefault="00800760">
            <w:pPr>
              <w:spacing w:line="360" w:lineRule="auto"/>
              <w:ind w:firstLineChars="0" w:firstLine="0"/>
              <w:rPr>
                <w:rFonts w:ascii="仿宋_GB2312" w:eastAsia="仿宋_GB2312" w:hAnsi="宋体"/>
                <w:color w:val="000000"/>
                <w:sz w:val="20"/>
                <w:lang w:eastAsia="en-US"/>
              </w:rPr>
            </w:pPr>
          </w:p>
        </w:tc>
        <w:tc>
          <w:tcPr>
            <w:tcW w:w="141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rPr>
            </w:pPr>
            <w:r>
              <w:rPr>
                <w:rFonts w:ascii="仿宋_GB2312" w:eastAsia="仿宋_GB2312" w:hAnsi="宋体" w:hint="eastAsia"/>
                <w:color w:val="000000"/>
                <w:sz w:val="20"/>
              </w:rPr>
              <w:t>法定代表人</w:t>
            </w:r>
          </w:p>
          <w:p w:rsidR="00800760" w:rsidRDefault="00235733">
            <w:pPr>
              <w:spacing w:line="360" w:lineRule="auto"/>
              <w:ind w:firstLineChars="0" w:firstLine="0"/>
              <w:jc w:val="center"/>
              <w:rPr>
                <w:rFonts w:ascii="仿宋_GB2312" w:eastAsia="仿宋_GB2312" w:hAnsi="宋体"/>
                <w:color w:val="000000"/>
                <w:sz w:val="20"/>
              </w:rPr>
            </w:pPr>
            <w:r>
              <w:rPr>
                <w:rFonts w:ascii="仿宋_GB2312" w:eastAsia="仿宋_GB2312" w:hAnsi="宋体" w:hint="eastAsia"/>
                <w:color w:val="000000"/>
                <w:sz w:val="20"/>
              </w:rPr>
              <w:t>（负责人）</w:t>
            </w:r>
          </w:p>
        </w:tc>
        <w:tc>
          <w:tcPr>
            <w:tcW w:w="2551" w:type="dxa"/>
            <w:tcMar>
              <w:left w:w="57" w:type="dxa"/>
              <w:right w:w="57" w:type="dxa"/>
            </w:tcMar>
            <w:vAlign w:val="center"/>
          </w:tcPr>
          <w:p w:rsidR="00800760" w:rsidRDefault="00800760">
            <w:pPr>
              <w:spacing w:line="360" w:lineRule="auto"/>
              <w:ind w:firstLineChars="0" w:firstLine="0"/>
              <w:rPr>
                <w:rFonts w:ascii="仿宋_GB2312" w:eastAsia="仿宋_GB2312" w:hAnsi="宋体"/>
                <w:color w:val="000000"/>
                <w:sz w:val="20"/>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住所/地址</w:t>
            </w:r>
          </w:p>
        </w:tc>
        <w:tc>
          <w:tcPr>
            <w:tcW w:w="5952" w:type="dxa"/>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985"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41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2551"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代理人姓名</w:t>
            </w:r>
          </w:p>
        </w:tc>
        <w:tc>
          <w:tcPr>
            <w:tcW w:w="1985"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41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机构名称</w:t>
            </w:r>
          </w:p>
        </w:tc>
        <w:tc>
          <w:tcPr>
            <w:tcW w:w="2551"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住所/地址</w:t>
            </w:r>
          </w:p>
        </w:tc>
        <w:tc>
          <w:tcPr>
            <w:tcW w:w="5952" w:type="dxa"/>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985"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41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2551"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代理人姓名</w:t>
            </w:r>
          </w:p>
        </w:tc>
        <w:tc>
          <w:tcPr>
            <w:tcW w:w="1985"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41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机构名称</w:t>
            </w:r>
          </w:p>
        </w:tc>
        <w:tc>
          <w:tcPr>
            <w:tcW w:w="2551"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住所/地址</w:t>
            </w:r>
          </w:p>
        </w:tc>
        <w:tc>
          <w:tcPr>
            <w:tcW w:w="5952" w:type="dxa"/>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985"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41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2551"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val="restart"/>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被请求人</w:t>
            </w: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姓名或名称</w:t>
            </w:r>
          </w:p>
        </w:tc>
        <w:tc>
          <w:tcPr>
            <w:tcW w:w="5952" w:type="dxa"/>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住所/地址</w:t>
            </w:r>
          </w:p>
        </w:tc>
        <w:tc>
          <w:tcPr>
            <w:tcW w:w="5952" w:type="dxa"/>
            <w:gridSpan w:val="3"/>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20"/>
          <w:jc w:val="center"/>
        </w:trPr>
        <w:tc>
          <w:tcPr>
            <w:tcW w:w="1192" w:type="dxa"/>
            <w:vMerge/>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27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邮政编码</w:t>
            </w:r>
          </w:p>
        </w:tc>
        <w:tc>
          <w:tcPr>
            <w:tcW w:w="1985"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c>
          <w:tcPr>
            <w:tcW w:w="1416" w:type="dxa"/>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电话</w:t>
            </w:r>
          </w:p>
        </w:tc>
        <w:tc>
          <w:tcPr>
            <w:tcW w:w="2551" w:type="dxa"/>
            <w:tcMar>
              <w:left w:w="57" w:type="dxa"/>
              <w:right w:w="57" w:type="dxa"/>
            </w:tcMar>
            <w:vAlign w:val="center"/>
          </w:tcPr>
          <w:p w:rsidR="00800760" w:rsidRDefault="00800760">
            <w:pPr>
              <w:spacing w:line="360" w:lineRule="auto"/>
              <w:ind w:firstLineChars="0" w:firstLine="0"/>
              <w:jc w:val="center"/>
              <w:rPr>
                <w:rFonts w:ascii="仿宋_GB2312" w:eastAsia="仿宋_GB2312" w:hAnsi="宋体"/>
                <w:color w:val="000000"/>
                <w:sz w:val="20"/>
                <w:lang w:eastAsia="en-US"/>
              </w:rPr>
            </w:pPr>
          </w:p>
        </w:tc>
      </w:tr>
      <w:tr w:rsidR="00800760">
        <w:trPr>
          <w:trHeight w:val="4787"/>
          <w:jc w:val="center"/>
        </w:trPr>
        <w:tc>
          <w:tcPr>
            <w:tcW w:w="8420" w:type="dxa"/>
            <w:gridSpan w:val="5"/>
            <w:tcMar>
              <w:left w:w="57" w:type="dxa"/>
              <w:right w:w="57" w:type="dxa"/>
            </w:tcMar>
          </w:tcPr>
          <w:p w:rsidR="00800760" w:rsidRDefault="00235733">
            <w:pPr>
              <w:spacing w:line="360" w:lineRule="auto"/>
              <w:ind w:firstLineChars="0" w:firstLine="0"/>
              <w:rPr>
                <w:rFonts w:ascii="仿宋_GB2312" w:eastAsia="仿宋_GB2312" w:hAnsi="宋体"/>
                <w:color w:val="000000"/>
                <w:sz w:val="20"/>
                <w:lang w:eastAsia="en-US"/>
              </w:rPr>
            </w:pPr>
            <w:r>
              <w:rPr>
                <w:rFonts w:ascii="仿宋_GB2312" w:eastAsia="仿宋_GB2312" w:hAnsi="宋体" w:hint="eastAsia"/>
                <w:color w:val="000000"/>
                <w:sz w:val="20"/>
                <w:lang w:eastAsia="en-US"/>
              </w:rPr>
              <w:t>请求处理的事项：</w:t>
            </w:r>
          </w:p>
          <w:p w:rsidR="00800760" w:rsidRDefault="00800760">
            <w:pPr>
              <w:spacing w:line="360" w:lineRule="auto"/>
              <w:ind w:firstLineChars="0" w:firstLine="0"/>
              <w:rPr>
                <w:rFonts w:ascii="仿宋_GB2312" w:eastAsia="仿宋_GB2312" w:hAnsi="宋体"/>
                <w:color w:val="000000"/>
                <w:sz w:val="20"/>
                <w:lang w:eastAsia="en-US"/>
              </w:rPr>
            </w:pPr>
          </w:p>
        </w:tc>
      </w:tr>
      <w:tr w:rsidR="00800760">
        <w:trPr>
          <w:trHeight w:val="11472"/>
          <w:jc w:val="center"/>
        </w:trPr>
        <w:tc>
          <w:tcPr>
            <w:tcW w:w="8420" w:type="dxa"/>
            <w:gridSpan w:val="5"/>
            <w:tcMar>
              <w:left w:w="57" w:type="dxa"/>
              <w:right w:w="57" w:type="dxa"/>
            </w:tcMar>
          </w:tcPr>
          <w:p w:rsidR="00800760" w:rsidRDefault="00235733">
            <w:pPr>
              <w:spacing w:line="360" w:lineRule="auto"/>
              <w:ind w:firstLineChars="0" w:firstLine="0"/>
              <w:rPr>
                <w:rFonts w:ascii="仿宋_GB2312" w:eastAsia="仿宋_GB2312" w:hAnsi="宋体"/>
                <w:color w:val="000000"/>
                <w:sz w:val="20"/>
              </w:rPr>
            </w:pPr>
            <w:r>
              <w:rPr>
                <w:rFonts w:ascii="仿宋_GB2312" w:eastAsia="仿宋_GB2312" w:hAnsi="宋体" w:hint="eastAsia"/>
                <w:color w:val="000000"/>
                <w:sz w:val="20"/>
              </w:rPr>
              <w:t>事实和理由（可附页）：</w:t>
            </w:r>
          </w:p>
        </w:tc>
      </w:tr>
    </w:tbl>
    <w:p w:rsidR="00800760" w:rsidRDefault="00235733">
      <w:pPr>
        <w:spacing w:line="360" w:lineRule="auto"/>
        <w:ind w:firstLineChars="0" w:firstLine="0"/>
        <w:rPr>
          <w:rFonts w:ascii="仿宋_GB2312" w:eastAsia="仿宋_GB2312"/>
          <w:color w:val="000000"/>
          <w:sz w:val="20"/>
        </w:rPr>
      </w:pPr>
      <w:r>
        <w:rPr>
          <w:rFonts w:ascii="仿宋_GB2312" w:eastAsia="仿宋_GB2312" w:hint="eastAsia"/>
          <w:color w:val="000000"/>
          <w:sz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20"/>
      </w:tblGrid>
      <w:tr w:rsidR="00800760">
        <w:trPr>
          <w:trHeight w:val="20"/>
        </w:trPr>
        <w:tc>
          <w:tcPr>
            <w:tcW w:w="8420" w:type="dxa"/>
            <w:tcMar>
              <w:left w:w="57" w:type="dxa"/>
              <w:right w:w="57" w:type="dxa"/>
            </w:tcMar>
          </w:tcPr>
          <w:p w:rsidR="00800760" w:rsidRDefault="00235733">
            <w:pPr>
              <w:spacing w:line="360" w:lineRule="auto"/>
              <w:ind w:firstLineChars="100" w:firstLine="200"/>
              <w:rPr>
                <w:rFonts w:ascii="仿宋_GB2312" w:eastAsia="仿宋_GB2312" w:hAnsi="宋体"/>
                <w:color w:val="000000"/>
                <w:sz w:val="20"/>
              </w:rPr>
            </w:pPr>
            <w:r>
              <w:rPr>
                <w:rFonts w:ascii="仿宋_GB2312" w:eastAsia="仿宋_GB2312" w:hAnsi="宋体" w:hint="eastAsia"/>
                <w:color w:val="000000"/>
                <w:sz w:val="20"/>
              </w:rPr>
              <w:t>属于重大专利侵权纠纷的情形（请勾选）：</w:t>
            </w:r>
          </w:p>
          <w:p w:rsidR="00800760" w:rsidRDefault="00800760">
            <w:pPr>
              <w:spacing w:line="360" w:lineRule="auto"/>
              <w:ind w:firstLineChars="0" w:firstLine="0"/>
              <w:rPr>
                <w:rFonts w:ascii="仿宋_GB2312" w:eastAsia="仿宋_GB2312" w:hAnsi="宋体"/>
                <w:color w:val="000000"/>
                <w:sz w:val="20"/>
              </w:rPr>
            </w:pPr>
          </w:p>
          <w:p w:rsidR="00800760" w:rsidRDefault="00235733">
            <w:pPr>
              <w:spacing w:line="360" w:lineRule="auto"/>
              <w:ind w:firstLineChars="0" w:firstLine="0"/>
              <w:rPr>
                <w:rFonts w:ascii="仿宋_GB2312" w:eastAsia="仿宋_GB2312" w:hAnsi="宋体"/>
                <w:color w:val="000000"/>
                <w:sz w:val="20"/>
              </w:rPr>
            </w:pPr>
            <w:r>
              <w:rPr>
                <w:rFonts w:ascii="仿宋_GB2312" w:eastAsia="仿宋_GB2312" w:hAnsi="宋体" w:hint="eastAsia"/>
                <w:color w:val="000000"/>
                <w:sz w:val="20"/>
              </w:rPr>
              <w:t>□涉及重大公共利益</w:t>
            </w:r>
          </w:p>
          <w:p w:rsidR="00800760" w:rsidRDefault="00235733">
            <w:pPr>
              <w:spacing w:line="360" w:lineRule="auto"/>
              <w:ind w:firstLineChars="0" w:firstLine="0"/>
              <w:rPr>
                <w:rFonts w:ascii="仿宋_GB2312" w:eastAsia="仿宋_GB2312" w:hAnsi="宋体"/>
                <w:color w:val="000000"/>
                <w:sz w:val="20"/>
              </w:rPr>
            </w:pPr>
            <w:r>
              <w:rPr>
                <w:rFonts w:ascii="仿宋_GB2312" w:eastAsia="仿宋_GB2312" w:hAnsi="宋体" w:hint="eastAsia"/>
                <w:color w:val="000000"/>
                <w:sz w:val="20"/>
              </w:rPr>
              <w:t>□严重影响行业发展</w:t>
            </w:r>
          </w:p>
          <w:p w:rsidR="00800760" w:rsidRDefault="00235733">
            <w:pPr>
              <w:spacing w:line="360" w:lineRule="auto"/>
              <w:ind w:firstLineChars="0" w:firstLine="0"/>
              <w:rPr>
                <w:rFonts w:ascii="仿宋_GB2312" w:eastAsia="仿宋_GB2312" w:hAnsi="宋体"/>
                <w:color w:val="000000"/>
                <w:sz w:val="20"/>
              </w:rPr>
            </w:pPr>
            <w:r>
              <w:rPr>
                <w:rFonts w:ascii="仿宋_GB2312" w:eastAsia="仿宋_GB2312" w:hAnsi="宋体" w:hint="eastAsia"/>
                <w:color w:val="000000"/>
                <w:sz w:val="20"/>
              </w:rPr>
              <w:t>□跨省级行政区域的重大案件</w:t>
            </w:r>
          </w:p>
          <w:p w:rsidR="00800760" w:rsidRDefault="00235733">
            <w:pPr>
              <w:spacing w:line="360" w:lineRule="auto"/>
              <w:ind w:firstLineChars="0" w:firstLine="0"/>
              <w:rPr>
                <w:rFonts w:ascii="仿宋_GB2312" w:eastAsia="仿宋_GB2312" w:hAnsi="宋体"/>
                <w:color w:val="000000"/>
                <w:sz w:val="20"/>
              </w:rPr>
            </w:pPr>
            <w:r>
              <w:rPr>
                <w:rFonts w:ascii="仿宋_GB2312" w:eastAsia="仿宋_GB2312" w:hAnsi="宋体" w:hint="eastAsia"/>
                <w:color w:val="000000"/>
                <w:sz w:val="20"/>
              </w:rPr>
              <w:t>□其他可能造成重大影响的专利侵权纠纷</w:t>
            </w:r>
          </w:p>
          <w:p w:rsidR="00800760" w:rsidRDefault="00800760">
            <w:pPr>
              <w:spacing w:line="360" w:lineRule="auto"/>
              <w:ind w:firstLineChars="0" w:firstLine="0"/>
              <w:rPr>
                <w:rFonts w:ascii="仿宋_GB2312" w:eastAsia="仿宋_GB2312" w:hAnsi="宋体"/>
                <w:color w:val="000000"/>
                <w:sz w:val="20"/>
              </w:rPr>
            </w:pPr>
          </w:p>
          <w:p w:rsidR="00800760" w:rsidRDefault="00235733">
            <w:pPr>
              <w:spacing w:line="360" w:lineRule="auto"/>
              <w:ind w:firstLineChars="0" w:firstLine="0"/>
              <w:rPr>
                <w:rFonts w:ascii="仿宋_GB2312" w:eastAsia="仿宋_GB2312" w:hAnsi="宋体"/>
                <w:color w:val="000000"/>
                <w:sz w:val="20"/>
                <w:lang w:eastAsia="en-US"/>
              </w:rPr>
            </w:pPr>
            <w:r>
              <w:rPr>
                <w:rFonts w:ascii="仿宋_GB2312" w:eastAsia="仿宋_GB2312" w:hAnsi="宋体" w:hint="eastAsia"/>
                <w:color w:val="000000"/>
                <w:sz w:val="20"/>
              </w:rPr>
              <w:t>（需附被请求人所在地或者侵权行为地省、自治区、直辖市管理专利工作的部门出具的符合《专利法实施细则》第九十六条所述情形的相关证明材料。</w:t>
            </w:r>
            <w:r>
              <w:rPr>
                <w:rFonts w:ascii="仿宋_GB2312" w:eastAsia="仿宋_GB2312" w:hAnsi="宋体" w:hint="eastAsia"/>
                <w:color w:val="000000"/>
                <w:sz w:val="20"/>
                <w:lang w:eastAsia="en-US"/>
              </w:rPr>
              <w:t>）</w:t>
            </w: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tc>
      </w:tr>
      <w:tr w:rsidR="00800760">
        <w:trPr>
          <w:trHeight w:val="6587"/>
        </w:trPr>
        <w:tc>
          <w:tcPr>
            <w:tcW w:w="8420" w:type="dxa"/>
            <w:tcMar>
              <w:left w:w="57" w:type="dxa"/>
              <w:right w:w="57" w:type="dxa"/>
            </w:tcMar>
          </w:tcPr>
          <w:p w:rsidR="00800760" w:rsidRDefault="00235733">
            <w:pPr>
              <w:spacing w:line="360" w:lineRule="auto"/>
              <w:ind w:firstLineChars="0" w:firstLine="0"/>
              <w:rPr>
                <w:rFonts w:ascii="仿宋_GB2312" w:eastAsia="仿宋_GB2312" w:hAnsi="宋体"/>
                <w:color w:val="000000"/>
                <w:sz w:val="20"/>
                <w:lang w:eastAsia="en-US"/>
              </w:rPr>
            </w:pPr>
            <w:r>
              <w:rPr>
                <w:rFonts w:ascii="仿宋_GB2312" w:eastAsia="仿宋_GB2312" w:hAnsi="宋体" w:hint="eastAsia"/>
                <w:color w:val="000000"/>
                <w:sz w:val="20"/>
                <w:lang w:eastAsia="en-US"/>
              </w:rPr>
              <w:t>请求人签章：</w:t>
            </w: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800760">
            <w:pPr>
              <w:spacing w:line="360" w:lineRule="auto"/>
              <w:ind w:firstLineChars="0" w:firstLine="0"/>
              <w:rPr>
                <w:rFonts w:ascii="仿宋_GB2312" w:eastAsia="仿宋_GB2312" w:hAnsi="宋体"/>
                <w:color w:val="000000"/>
                <w:sz w:val="20"/>
                <w:lang w:eastAsia="en-US"/>
              </w:rPr>
            </w:pPr>
          </w:p>
          <w:p w:rsidR="00800760" w:rsidRDefault="00235733">
            <w:pPr>
              <w:spacing w:line="360" w:lineRule="auto"/>
              <w:ind w:firstLineChars="0" w:firstLine="0"/>
              <w:rPr>
                <w:rFonts w:ascii="仿宋_GB2312" w:eastAsia="仿宋_GB2312" w:hAnsi="宋体"/>
                <w:color w:val="000000"/>
                <w:sz w:val="20"/>
                <w:u w:val="single"/>
                <w:lang w:eastAsia="en-US"/>
              </w:rPr>
            </w:pPr>
            <w:r>
              <w:rPr>
                <w:rFonts w:ascii="仿宋_GB2312" w:eastAsia="仿宋_GB2312" w:hAnsi="宋体" w:hint="eastAsia"/>
                <w:color w:val="000000"/>
                <w:sz w:val="20"/>
                <w:lang w:eastAsia="en-US"/>
              </w:rPr>
              <w:t xml:space="preserve">                                                     </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tc>
      </w:tr>
    </w:tbl>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r>
        <w:rPr>
          <w:rFonts w:ascii="方正小标宋_GBK" w:eastAsia="方正小标宋_GBK" w:hAnsi="宋体"/>
          <w:color w:val="000000"/>
          <w:spacing w:val="6"/>
          <w:sz w:val="36"/>
          <w:szCs w:val="36"/>
        </w:rPr>
        <w:t>证据材料清单</w:t>
      </w:r>
    </w:p>
    <w:p w:rsidR="00800760" w:rsidRDefault="00235733">
      <w:pPr>
        <w:ind w:firstLineChars="0" w:firstLine="0"/>
        <w:rPr>
          <w:rFonts w:ascii="仿宋_GB2312" w:eastAsia="仿宋_GB2312" w:hAnsi="宋体"/>
          <w:color w:val="000000"/>
          <w:sz w:val="20"/>
        </w:rPr>
      </w:pPr>
      <w:r>
        <w:rPr>
          <w:rFonts w:ascii="仿宋_GB2312" w:eastAsia="仿宋_GB2312" w:hAnsi="宋体" w:hint="eastAsia"/>
          <w:color w:val="000000"/>
          <w:sz w:val="20"/>
        </w:rPr>
        <w:t>专利号:</w:t>
      </w:r>
      <w:r>
        <w:rPr>
          <w:rFonts w:ascii="仿宋_GB2312" w:eastAsia="仿宋_GB2312" w:hAnsi="宋体" w:hint="eastAsia"/>
          <w:color w:val="000000"/>
          <w:sz w:val="20"/>
          <w:u w:val="single"/>
        </w:rPr>
        <w:t xml:space="preserve">              </w:t>
      </w:r>
    </w:p>
    <w:p w:rsidR="00800760" w:rsidRDefault="00235733">
      <w:pPr>
        <w:ind w:firstLineChars="0" w:firstLine="0"/>
        <w:rPr>
          <w:rFonts w:ascii="仿宋_GB2312" w:eastAsia="仿宋_GB2312" w:hAnsi="宋体"/>
          <w:color w:val="000000"/>
          <w:sz w:val="20"/>
        </w:rPr>
      </w:pPr>
      <w:r>
        <w:rPr>
          <w:rFonts w:ascii="仿宋_GB2312" w:eastAsia="仿宋_GB2312" w:hAnsi="宋体" w:hint="eastAsia"/>
          <w:color w:val="000000"/>
          <w:sz w:val="20"/>
        </w:rPr>
        <w:t xml:space="preserve">递交人（签章）： </w:t>
      </w:r>
      <w:r>
        <w:rPr>
          <w:rFonts w:ascii="仿宋_GB2312" w:eastAsia="仿宋_GB2312" w:hAnsi="宋体" w:hint="eastAsia"/>
          <w:color w:val="000000"/>
          <w:sz w:val="20"/>
          <w:u w:val="single"/>
        </w:rPr>
        <w:t xml:space="preserve">                      </w:t>
      </w:r>
      <w:r>
        <w:rPr>
          <w:rFonts w:ascii="仿宋_GB2312" w:eastAsia="仿宋_GB2312" w:hAnsi="宋体" w:hint="eastAsia"/>
          <w:color w:val="000000"/>
          <w:sz w:val="20"/>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0"/>
        <w:gridCol w:w="2082"/>
        <w:gridCol w:w="2639"/>
        <w:gridCol w:w="1111"/>
        <w:gridCol w:w="1528"/>
      </w:tblGrid>
      <w:tr w:rsidR="00800760">
        <w:trPr>
          <w:trHeight w:val="20"/>
        </w:trPr>
        <w:tc>
          <w:tcPr>
            <w:tcW w:w="490" w:type="pct"/>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序号</w:t>
            </w:r>
          </w:p>
        </w:tc>
        <w:tc>
          <w:tcPr>
            <w:tcW w:w="1276" w:type="pct"/>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证据材料名称</w:t>
            </w:r>
          </w:p>
        </w:tc>
        <w:tc>
          <w:tcPr>
            <w:tcW w:w="1617" w:type="pct"/>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所要说明的事实</w:t>
            </w:r>
          </w:p>
        </w:tc>
        <w:tc>
          <w:tcPr>
            <w:tcW w:w="681" w:type="pct"/>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页数</w:t>
            </w:r>
          </w:p>
        </w:tc>
        <w:tc>
          <w:tcPr>
            <w:tcW w:w="936" w:type="pct"/>
            <w:tcMar>
              <w:left w:w="57" w:type="dxa"/>
              <w:right w:w="57" w:type="dxa"/>
            </w:tcMar>
            <w:vAlign w:val="center"/>
          </w:tcPr>
          <w:p w:rsidR="00800760" w:rsidRDefault="00235733">
            <w:pPr>
              <w:ind w:firstLineChars="0" w:firstLine="0"/>
              <w:jc w:val="center"/>
              <w:rPr>
                <w:rFonts w:ascii="仿宋_GB2312" w:eastAsia="仿宋_GB2312" w:hAnsi="宋体"/>
                <w:color w:val="000000"/>
                <w:sz w:val="20"/>
                <w:lang w:eastAsia="en-US"/>
              </w:rPr>
            </w:pPr>
            <w:r>
              <w:rPr>
                <w:rFonts w:ascii="仿宋_GB2312" w:eastAsia="仿宋_GB2312" w:hAnsi="宋体" w:hint="eastAsia"/>
                <w:color w:val="000000"/>
                <w:sz w:val="20"/>
                <w:lang w:eastAsia="en-US"/>
              </w:rPr>
              <w:t>备注</w:t>
            </w: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r w:rsidR="00800760">
        <w:trPr>
          <w:trHeight w:val="20"/>
        </w:trPr>
        <w:tc>
          <w:tcPr>
            <w:tcW w:w="490"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27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1617"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681"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c>
          <w:tcPr>
            <w:tcW w:w="936" w:type="pct"/>
            <w:tcMar>
              <w:left w:w="57" w:type="dxa"/>
              <w:right w:w="57" w:type="dxa"/>
            </w:tcMar>
            <w:vAlign w:val="center"/>
          </w:tcPr>
          <w:p w:rsidR="00800760" w:rsidRDefault="00800760">
            <w:pPr>
              <w:ind w:firstLineChars="0" w:firstLine="0"/>
              <w:jc w:val="center"/>
              <w:rPr>
                <w:rFonts w:ascii="仿宋_GB2312" w:eastAsia="仿宋_GB2312" w:hAnsi="宋体"/>
                <w:color w:val="000000"/>
                <w:sz w:val="20"/>
                <w:lang w:eastAsia="en-US"/>
              </w:rPr>
            </w:pPr>
          </w:p>
        </w:tc>
      </w:tr>
    </w:tbl>
    <w:p w:rsidR="00800760" w:rsidRDefault="00800760">
      <w:pPr>
        <w:tabs>
          <w:tab w:val="left" w:pos="4188"/>
        </w:tabs>
        <w:ind w:left="1418" w:firstLineChars="0" w:firstLine="0"/>
        <w:rPr>
          <w:rFonts w:ascii="仿宋_GB2312" w:eastAsia="仿宋_GB2312" w:hAnsi="宋体"/>
          <w:color w:val="000000"/>
          <w:sz w:val="20"/>
          <w:lang w:eastAsia="en-US"/>
        </w:rPr>
      </w:pPr>
    </w:p>
    <w:p w:rsidR="00800760" w:rsidRDefault="00235733">
      <w:pPr>
        <w:ind w:left="1418" w:firstLineChars="0" w:firstLine="0"/>
        <w:rPr>
          <w:rFonts w:ascii="仿宋_GB2312" w:eastAsia="仿宋_GB2312" w:hAnsi="宋体"/>
          <w:color w:val="000000"/>
          <w:sz w:val="20"/>
          <w:u w:val="single"/>
          <w:lang w:eastAsia="en-US"/>
        </w:rPr>
      </w:pPr>
      <w:r>
        <w:rPr>
          <w:rFonts w:ascii="仿宋_GB2312" w:eastAsia="仿宋_GB2312" w:hAnsi="宋体" w:hint="eastAsia"/>
          <w:color w:val="000000"/>
          <w:sz w:val="20"/>
          <w:lang w:eastAsia="en-US"/>
        </w:rPr>
        <w:t xml:space="preserve">                         接收人（签章）：</w:t>
      </w:r>
      <w:r>
        <w:rPr>
          <w:rFonts w:ascii="仿宋_GB2312" w:eastAsia="仿宋_GB2312" w:hAnsi="宋体" w:hint="eastAsia"/>
          <w:color w:val="000000"/>
          <w:sz w:val="20"/>
          <w:u w:val="single"/>
          <w:lang w:eastAsia="en-US"/>
        </w:rPr>
        <w:t xml:space="preserve">                </w:t>
      </w:r>
    </w:p>
    <w:p w:rsidR="00800760" w:rsidRDefault="00235733">
      <w:pPr>
        <w:ind w:left="1418" w:firstLineChars="0" w:firstLine="0"/>
        <w:rPr>
          <w:rFonts w:ascii="仿宋_GB2312" w:eastAsia="仿宋_GB2312" w:hAnsi="宋体"/>
          <w:color w:val="000000"/>
          <w:sz w:val="20"/>
          <w:u w:val="single"/>
          <w:lang w:eastAsia="en-US"/>
        </w:rPr>
      </w:pPr>
      <w:r>
        <w:rPr>
          <w:rFonts w:ascii="仿宋_GB2312" w:eastAsia="仿宋_GB2312" w:hAnsi="宋体" w:hint="eastAsia"/>
          <w:color w:val="000000"/>
          <w:sz w:val="20"/>
          <w:lang w:eastAsia="en-US"/>
        </w:rPr>
        <w:t xml:space="preserve">                         接收日期：</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年</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月</w:t>
      </w:r>
      <w:r>
        <w:rPr>
          <w:rFonts w:ascii="仿宋_GB2312" w:eastAsia="仿宋_GB2312" w:hAnsi="宋体" w:hint="eastAsia"/>
          <w:color w:val="000000"/>
          <w:spacing w:val="6"/>
          <w:sz w:val="20"/>
          <w:u w:val="single"/>
          <w:lang w:eastAsia="en-US"/>
        </w:rPr>
        <w:t xml:space="preserve">    </w:t>
      </w:r>
      <w:r>
        <w:rPr>
          <w:rFonts w:ascii="仿宋_GB2312" w:eastAsia="仿宋_GB2312" w:hAnsi="宋体" w:hint="eastAsia"/>
          <w:color w:val="000000"/>
          <w:spacing w:val="6"/>
          <w:sz w:val="20"/>
          <w:lang w:eastAsia="en-US"/>
        </w:rPr>
        <w:t>日</w:t>
      </w:r>
    </w:p>
    <w:p w:rsidR="00800760" w:rsidRDefault="00235733">
      <w:pPr>
        <w:ind w:left="440" w:firstLineChars="0" w:firstLine="0"/>
        <w:rPr>
          <w:rFonts w:ascii="仿宋_GB2312" w:eastAsia="仿宋_GB2312" w:hAnsi="宋体" w:cs="Microsoft JhengHei"/>
          <w:color w:val="000000"/>
          <w:sz w:val="20"/>
          <w:lang w:eastAsia="en-US"/>
        </w:rPr>
      </w:pPr>
      <w:r>
        <w:rPr>
          <w:rFonts w:ascii="仿宋_GB2312" w:eastAsia="仿宋_GB2312" w:hAnsi="宋体" w:cs="Microsoft JhengHei" w:hint="eastAsia"/>
          <w:color w:val="000000"/>
          <w:sz w:val="20"/>
          <w:lang w:eastAsia="en-US"/>
        </w:rPr>
        <w:t xml:space="preserve">   </w:t>
      </w:r>
    </w:p>
    <w:p w:rsidR="00800760" w:rsidRDefault="00800760">
      <w:pPr>
        <w:ind w:left="440" w:firstLineChars="0" w:firstLine="0"/>
        <w:rPr>
          <w:rFonts w:ascii="仿宋_GB2312" w:eastAsia="仿宋_GB2312" w:hAnsi="宋体" w:cs="Microsoft JhengHei"/>
          <w:color w:val="000000"/>
          <w:sz w:val="20"/>
          <w:lang w:eastAsia="en-US"/>
        </w:rPr>
      </w:pPr>
    </w:p>
    <w:p w:rsidR="00800760" w:rsidRDefault="00800760">
      <w:pPr>
        <w:ind w:left="440" w:firstLineChars="0" w:firstLine="0"/>
        <w:rPr>
          <w:rFonts w:ascii="仿宋_GB2312" w:eastAsia="仿宋_GB2312" w:hAnsi="宋体" w:cs="Microsoft JhengHei"/>
          <w:color w:val="000000"/>
          <w:sz w:val="20"/>
          <w:lang w:eastAsia="en-US"/>
        </w:rPr>
      </w:pPr>
    </w:p>
    <w:p w:rsidR="00800760" w:rsidRDefault="00800760">
      <w:pPr>
        <w:ind w:left="440" w:firstLineChars="0" w:firstLine="0"/>
        <w:rPr>
          <w:rFonts w:ascii="仿宋_GB2312" w:eastAsia="仿宋_GB2312" w:hAnsi="宋体" w:cs="Microsoft JhengHei"/>
          <w:color w:val="000000"/>
          <w:sz w:val="20"/>
          <w:lang w:eastAsia="en-US"/>
        </w:rPr>
      </w:pPr>
    </w:p>
    <w:p w:rsidR="00800760" w:rsidRDefault="00800760">
      <w:pPr>
        <w:ind w:left="440" w:firstLineChars="0" w:firstLine="0"/>
        <w:rPr>
          <w:rFonts w:ascii="仿宋_GB2312" w:eastAsia="仿宋_GB2312" w:hAnsi="宋体" w:cs="Microsoft JhengHei"/>
          <w:color w:val="000000"/>
          <w:sz w:val="20"/>
          <w:lang w:eastAsia="en-US"/>
        </w:rPr>
      </w:pPr>
    </w:p>
    <w:p w:rsidR="00800760" w:rsidRDefault="00800760">
      <w:pPr>
        <w:ind w:left="440" w:firstLineChars="0" w:firstLine="0"/>
        <w:rPr>
          <w:rFonts w:ascii="仿宋_GB2312" w:eastAsia="仿宋_GB2312" w:hAnsi="宋体" w:cs="Microsoft JhengHei"/>
          <w:color w:val="000000"/>
          <w:sz w:val="20"/>
          <w:lang w:eastAsia="en-US"/>
        </w:rPr>
      </w:pPr>
    </w:p>
    <w:p w:rsidR="00800760" w:rsidRDefault="00800760">
      <w:pPr>
        <w:ind w:left="440" w:firstLineChars="0" w:firstLine="0"/>
        <w:rPr>
          <w:rFonts w:ascii="仿宋_GB2312" w:eastAsia="仿宋_GB2312" w:hAnsi="宋体" w:cs="Microsoft JhengHei"/>
          <w:color w:val="000000"/>
          <w:sz w:val="20"/>
          <w:lang w:eastAsia="en-US"/>
        </w:rPr>
      </w:pPr>
    </w:p>
    <w:p w:rsidR="00800760" w:rsidRDefault="00800760">
      <w:pPr>
        <w:ind w:left="440" w:firstLineChars="0" w:firstLine="0"/>
        <w:rPr>
          <w:rFonts w:ascii="仿宋_GB2312" w:eastAsia="仿宋_GB2312" w:hAnsi="宋体" w:cs="Microsoft JhengHei"/>
          <w:color w:val="000000"/>
          <w:sz w:val="20"/>
          <w:lang w:eastAsia="en-US"/>
        </w:rPr>
      </w:pPr>
    </w:p>
    <w:p w:rsidR="00800760" w:rsidRDefault="00800760">
      <w:pPr>
        <w:ind w:firstLineChars="0" w:firstLine="0"/>
        <w:rPr>
          <w:rFonts w:ascii="仿宋_GB2312" w:eastAsia="仿宋_GB2312" w:hAnsi="仿宋" w:cs="PMingLiU"/>
          <w:color w:val="000000"/>
          <w:sz w:val="20"/>
        </w:rPr>
      </w:pPr>
    </w:p>
    <w:p w:rsidR="00800760" w:rsidRDefault="00800760">
      <w:pPr>
        <w:ind w:firstLineChars="0" w:firstLine="0"/>
        <w:rPr>
          <w:rFonts w:ascii="仿宋_GB2312" w:eastAsia="仿宋_GB2312" w:hAnsi="仿宋" w:cs="PMingLiU"/>
          <w:color w:val="000000"/>
          <w:sz w:val="20"/>
        </w:rPr>
      </w:pPr>
    </w:p>
    <w:p w:rsidR="00800760" w:rsidRDefault="00235733">
      <w:pPr>
        <w:ind w:firstLineChars="0" w:firstLine="0"/>
        <w:rPr>
          <w:rFonts w:ascii="仿宋_GB2312" w:eastAsia="仿宋_GB2312" w:hAnsi="仿宋" w:cs="PMingLiU"/>
          <w:color w:val="000000"/>
          <w:sz w:val="20"/>
        </w:rPr>
      </w:pPr>
      <w:r>
        <w:rPr>
          <w:rFonts w:ascii="仿宋_GB2312" w:eastAsia="仿宋_GB2312" w:hAnsi="仿宋" w:cs="PMingLiU" w:hint="eastAsia"/>
          <w:color w:val="000000"/>
          <w:sz w:val="20"/>
        </w:rPr>
        <w:t>注：本清单一式两份，一份递交知识产权局，一份由递交人留存。</w:t>
      </w:r>
    </w:p>
    <w:p w:rsidR="00800760" w:rsidRDefault="00235733">
      <w:pPr>
        <w:spacing w:line="360" w:lineRule="auto"/>
        <w:ind w:firstLineChars="0" w:firstLine="0"/>
        <w:jc w:val="center"/>
        <w:rPr>
          <w:rFonts w:ascii="方正小标宋简体" w:eastAsia="方正小标宋简体" w:hAnsi="宋体"/>
          <w:color w:val="000000"/>
          <w:spacing w:val="6"/>
          <w:sz w:val="36"/>
          <w:szCs w:val="36"/>
        </w:rPr>
      </w:pPr>
      <w:r>
        <w:rPr>
          <w:rFonts w:ascii="仿宋_GB2312" w:eastAsia="仿宋_GB2312" w:hAnsi="宋体" w:hint="eastAsia"/>
          <w:b/>
          <w:color w:val="000000"/>
          <w:sz w:val="20"/>
        </w:rPr>
        <w:br w:type="page"/>
      </w:r>
      <w:r>
        <w:rPr>
          <w:rFonts w:ascii="方正小标宋简体" w:eastAsia="方正小标宋简体" w:hAnsi="宋体" w:hint="eastAsia"/>
          <w:color w:val="000000"/>
          <w:spacing w:val="6"/>
          <w:sz w:val="36"/>
          <w:szCs w:val="36"/>
        </w:rPr>
        <w:t>专利侵权纠纷案件授权委托书</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委托人（单位或个人</w:t>
      </w:r>
      <w:r>
        <w:rPr>
          <w:rFonts w:ascii="仿宋" w:eastAsia="仿宋_GB2312" w:hAnsi="仿宋"/>
          <w:color w:val="000000"/>
          <w:sz w:val="20"/>
          <w:szCs w:val="21"/>
          <w:lang w:bidi="en-US"/>
        </w:rPr>
        <w:t>）：</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法定代表人</w:t>
      </w:r>
      <w:r>
        <w:rPr>
          <w:rFonts w:ascii="仿宋" w:eastAsia="仿宋_GB2312" w:hAnsi="仿宋"/>
          <w:color w:val="000000"/>
          <w:sz w:val="20"/>
          <w:szCs w:val="21"/>
          <w:lang w:bidi="en-US"/>
        </w:rPr>
        <w:t>（</w:t>
      </w:r>
      <w:r>
        <w:rPr>
          <w:rFonts w:ascii="仿宋" w:eastAsia="仿宋_GB2312" w:hAnsi="仿宋"/>
          <w:color w:val="000000"/>
          <w:sz w:val="20"/>
          <w:szCs w:val="21"/>
        </w:rPr>
        <w:t>负责人</w:t>
      </w:r>
      <w:r>
        <w:rPr>
          <w:rFonts w:ascii="仿宋" w:eastAsia="仿宋_GB2312" w:hAnsi="仿宋"/>
          <w:color w:val="000000"/>
          <w:sz w:val="20"/>
          <w:szCs w:val="21"/>
          <w:lang w:bidi="en-US"/>
        </w:rPr>
        <w:t>）：</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职</w:t>
      </w:r>
      <w:r>
        <w:rPr>
          <w:rFonts w:ascii="仿宋" w:eastAsia="仿宋_GB2312" w:hAnsi="仿宋"/>
          <w:color w:val="000000"/>
          <w:sz w:val="20"/>
          <w:szCs w:val="21"/>
        </w:rPr>
        <w:t xml:space="preserve"> </w:t>
      </w:r>
      <w:r>
        <w:rPr>
          <w:rFonts w:ascii="仿宋" w:eastAsia="仿宋_GB2312" w:hAnsi="仿宋" w:hint="eastAsia"/>
          <w:color w:val="000000"/>
          <w:sz w:val="20"/>
          <w:szCs w:val="21"/>
        </w:rPr>
        <w:t xml:space="preserve">   </w:t>
      </w:r>
      <w:r>
        <w:rPr>
          <w:rFonts w:ascii="仿宋" w:eastAsia="仿宋_GB2312" w:hAnsi="仿宋"/>
          <w:color w:val="000000"/>
          <w:sz w:val="20"/>
          <w:szCs w:val="21"/>
        </w:rPr>
        <w:t>务：</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hint="eastAsia"/>
          <w:color w:val="000000"/>
          <w:sz w:val="20"/>
          <w:szCs w:val="21"/>
        </w:rPr>
        <w:t>受</w:t>
      </w:r>
      <w:r>
        <w:rPr>
          <w:rFonts w:ascii="仿宋" w:eastAsia="仿宋_GB2312" w:hAnsi="仿宋"/>
          <w:color w:val="000000"/>
          <w:sz w:val="20"/>
          <w:szCs w:val="21"/>
        </w:rPr>
        <w:t>委托人姓名</w:t>
      </w:r>
      <w:r>
        <w:rPr>
          <w:rFonts w:ascii="仿宋" w:eastAsia="仿宋_GB2312" w:hAnsi="仿宋" w:hint="eastAsia"/>
          <w:color w:val="000000"/>
          <w:sz w:val="20"/>
          <w:szCs w:val="21"/>
          <w:lang w:bidi="en-US"/>
        </w:rPr>
        <w:t>：</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工作单位：</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职</w:t>
      </w:r>
      <w:r>
        <w:rPr>
          <w:rFonts w:ascii="仿宋" w:eastAsia="仿宋_GB2312" w:hAnsi="仿宋"/>
          <w:color w:val="000000"/>
          <w:sz w:val="20"/>
          <w:szCs w:val="21"/>
        </w:rPr>
        <w:t xml:space="preserve"> </w:t>
      </w:r>
      <w:r>
        <w:rPr>
          <w:rFonts w:ascii="仿宋" w:eastAsia="仿宋_GB2312" w:hAnsi="仿宋" w:hint="eastAsia"/>
          <w:color w:val="000000"/>
          <w:sz w:val="20"/>
          <w:szCs w:val="21"/>
        </w:rPr>
        <w:t xml:space="preserve">   </w:t>
      </w:r>
      <w:r>
        <w:rPr>
          <w:rFonts w:ascii="仿宋" w:eastAsia="仿宋_GB2312" w:hAnsi="仿宋"/>
          <w:color w:val="000000"/>
          <w:sz w:val="20"/>
          <w:szCs w:val="21"/>
        </w:rPr>
        <w:t>务：</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hint="eastAsia"/>
          <w:color w:val="000000"/>
          <w:sz w:val="20"/>
          <w:szCs w:val="21"/>
        </w:rPr>
        <w:t>受</w:t>
      </w:r>
      <w:r>
        <w:rPr>
          <w:rFonts w:ascii="仿宋" w:eastAsia="仿宋_GB2312" w:hAnsi="仿宋"/>
          <w:color w:val="000000"/>
          <w:sz w:val="20"/>
          <w:szCs w:val="21"/>
        </w:rPr>
        <w:t>委托人姓名</w:t>
      </w:r>
      <w:r>
        <w:rPr>
          <w:rFonts w:ascii="仿宋" w:eastAsia="仿宋_GB2312" w:hAnsi="仿宋" w:hint="eastAsia"/>
          <w:color w:val="000000"/>
          <w:sz w:val="20"/>
          <w:szCs w:val="21"/>
          <w:lang w:bidi="en-US"/>
        </w:rPr>
        <w:t>：</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工作单位：</w:t>
      </w:r>
    </w:p>
    <w:p w:rsidR="00800760" w:rsidRDefault="00235733">
      <w:pPr>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职</w:t>
      </w:r>
      <w:r>
        <w:rPr>
          <w:rFonts w:ascii="仿宋" w:eastAsia="仿宋_GB2312" w:hAnsi="仿宋" w:hint="eastAsia"/>
          <w:color w:val="000000"/>
          <w:sz w:val="20"/>
          <w:szCs w:val="21"/>
        </w:rPr>
        <w:t xml:space="preserve">   </w:t>
      </w:r>
      <w:r>
        <w:rPr>
          <w:rFonts w:ascii="仿宋" w:eastAsia="仿宋_GB2312" w:hAnsi="仿宋"/>
          <w:color w:val="000000"/>
          <w:sz w:val="20"/>
          <w:szCs w:val="21"/>
        </w:rPr>
        <w:t xml:space="preserve"> </w:t>
      </w:r>
      <w:r>
        <w:rPr>
          <w:rFonts w:ascii="仿宋" w:eastAsia="仿宋_GB2312" w:hAnsi="仿宋"/>
          <w:color w:val="000000"/>
          <w:sz w:val="20"/>
          <w:szCs w:val="21"/>
        </w:rPr>
        <w:t>务：</w:t>
      </w:r>
    </w:p>
    <w:p w:rsidR="00800760" w:rsidRDefault="00235733">
      <w:pPr>
        <w:spacing w:line="360" w:lineRule="auto"/>
        <w:ind w:right="40" w:firstLine="400"/>
        <w:rPr>
          <w:rFonts w:ascii="仿宋" w:eastAsia="仿宋_GB2312" w:hAnsi="仿宋"/>
          <w:color w:val="000000"/>
          <w:sz w:val="20"/>
          <w:szCs w:val="21"/>
        </w:rPr>
      </w:pPr>
      <w:r>
        <w:rPr>
          <w:rFonts w:ascii="仿宋" w:eastAsia="仿宋_GB2312" w:hAnsi="仿宋"/>
          <w:color w:val="000000"/>
          <w:sz w:val="20"/>
          <w:szCs w:val="21"/>
        </w:rPr>
        <w:t>现委托上列</w:t>
      </w:r>
      <w:r>
        <w:rPr>
          <w:rFonts w:ascii="仿宋" w:eastAsia="仿宋_GB2312" w:hAnsi="仿宋" w:hint="eastAsia"/>
          <w:color w:val="000000"/>
          <w:sz w:val="20"/>
          <w:szCs w:val="21"/>
        </w:rPr>
        <w:t>受</w:t>
      </w:r>
      <w:r>
        <w:rPr>
          <w:rFonts w:ascii="仿宋" w:eastAsia="仿宋_GB2312" w:hAnsi="仿宋"/>
          <w:color w:val="000000"/>
          <w:sz w:val="20"/>
          <w:szCs w:val="21"/>
        </w:rPr>
        <w:t>委托人在</w:t>
      </w:r>
      <w:r>
        <w:rPr>
          <w:rFonts w:ascii="仿宋" w:eastAsia="仿宋_GB2312" w:hAnsi="仿宋" w:hint="eastAsia"/>
          <w:color w:val="000000"/>
          <w:sz w:val="20"/>
          <w:szCs w:val="21"/>
          <w:u w:val="single"/>
        </w:rPr>
        <w:t xml:space="preserve">                  </w:t>
      </w:r>
      <w:r>
        <w:rPr>
          <w:rFonts w:ascii="仿宋" w:eastAsia="仿宋_GB2312" w:hAnsi="仿宋"/>
          <w:color w:val="000000"/>
          <w:sz w:val="20"/>
          <w:szCs w:val="21"/>
        </w:rPr>
        <w:t>一案中，作为我方委托代理人。</w:t>
      </w:r>
    </w:p>
    <w:p w:rsidR="00800760" w:rsidRDefault="00235733">
      <w:pPr>
        <w:tabs>
          <w:tab w:val="left" w:leader="underscore" w:pos="1488"/>
        </w:tabs>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代理人</w:t>
      </w:r>
      <w:r>
        <w:rPr>
          <w:rFonts w:ascii="仿宋" w:eastAsia="仿宋_GB2312" w:hAnsi="仿宋" w:hint="eastAsia"/>
          <w:color w:val="000000"/>
          <w:sz w:val="20"/>
          <w:szCs w:val="21"/>
          <w:u w:val="single"/>
        </w:rPr>
        <w:t xml:space="preserve">          </w:t>
      </w:r>
      <w:r>
        <w:rPr>
          <w:rFonts w:ascii="仿宋" w:eastAsia="仿宋_GB2312" w:hAnsi="仿宋"/>
          <w:color w:val="000000"/>
          <w:sz w:val="20"/>
          <w:szCs w:val="21"/>
        </w:rPr>
        <w:t>的代理权限为</w:t>
      </w:r>
      <w:r>
        <w:rPr>
          <w:rFonts w:ascii="仿宋" w:eastAsia="仿宋_GB2312" w:hAnsi="仿宋" w:hint="eastAsia"/>
          <w:color w:val="000000"/>
          <w:sz w:val="20"/>
          <w:szCs w:val="21"/>
          <w:lang w:bidi="en-US"/>
        </w:rPr>
        <w:t>：</w:t>
      </w:r>
      <w:r>
        <w:rPr>
          <w:rFonts w:ascii="仿宋" w:eastAsia="仿宋_GB2312" w:hAnsi="仿宋" w:hint="eastAsia"/>
          <w:color w:val="000000"/>
          <w:sz w:val="20"/>
          <w:szCs w:val="21"/>
          <w:u w:val="single"/>
          <w:lang w:bidi="en-US"/>
        </w:rPr>
        <w:t xml:space="preserve">                                       </w:t>
      </w:r>
      <w:r>
        <w:rPr>
          <w:rFonts w:ascii="仿宋" w:eastAsia="仿宋_GB2312" w:hAnsi="仿宋"/>
          <w:color w:val="000000"/>
          <w:sz w:val="20"/>
          <w:szCs w:val="21"/>
        </w:rPr>
        <w:t>。</w:t>
      </w:r>
    </w:p>
    <w:p w:rsidR="00800760" w:rsidRDefault="00235733">
      <w:pPr>
        <w:tabs>
          <w:tab w:val="left" w:leader="underscore" w:pos="1488"/>
        </w:tabs>
        <w:spacing w:line="360" w:lineRule="auto"/>
        <w:ind w:firstLine="400"/>
        <w:rPr>
          <w:rFonts w:ascii="仿宋" w:eastAsia="仿宋_GB2312" w:hAnsi="仿宋"/>
          <w:color w:val="000000"/>
          <w:sz w:val="20"/>
          <w:szCs w:val="21"/>
        </w:rPr>
      </w:pPr>
      <w:r>
        <w:rPr>
          <w:rFonts w:ascii="仿宋" w:eastAsia="仿宋_GB2312" w:hAnsi="仿宋"/>
          <w:color w:val="000000"/>
          <w:sz w:val="20"/>
          <w:szCs w:val="21"/>
        </w:rPr>
        <w:t>代理人</w:t>
      </w:r>
      <w:r>
        <w:rPr>
          <w:rFonts w:ascii="仿宋" w:eastAsia="仿宋_GB2312" w:hAnsi="仿宋" w:hint="eastAsia"/>
          <w:color w:val="000000"/>
          <w:sz w:val="20"/>
          <w:szCs w:val="21"/>
          <w:u w:val="single"/>
        </w:rPr>
        <w:t xml:space="preserve">          </w:t>
      </w:r>
      <w:r>
        <w:rPr>
          <w:rFonts w:ascii="仿宋" w:eastAsia="仿宋_GB2312" w:hAnsi="仿宋"/>
          <w:color w:val="000000"/>
          <w:sz w:val="20"/>
          <w:szCs w:val="21"/>
        </w:rPr>
        <w:t>的代理权限为</w:t>
      </w:r>
      <w:r>
        <w:rPr>
          <w:rFonts w:ascii="仿宋" w:eastAsia="仿宋_GB2312" w:hAnsi="仿宋" w:hint="eastAsia"/>
          <w:color w:val="000000"/>
          <w:sz w:val="20"/>
          <w:szCs w:val="21"/>
          <w:lang w:bidi="en-US"/>
        </w:rPr>
        <w:t>：</w:t>
      </w:r>
      <w:r>
        <w:rPr>
          <w:rFonts w:ascii="仿宋" w:eastAsia="仿宋_GB2312" w:hAnsi="仿宋" w:hint="eastAsia"/>
          <w:color w:val="000000"/>
          <w:sz w:val="20"/>
          <w:szCs w:val="21"/>
          <w:u w:val="single"/>
          <w:lang w:bidi="en-US"/>
        </w:rPr>
        <w:t xml:space="preserve">                                       </w:t>
      </w:r>
      <w:r>
        <w:rPr>
          <w:rFonts w:ascii="仿宋" w:eastAsia="仿宋_GB2312" w:hAnsi="仿宋"/>
          <w:color w:val="000000"/>
          <w:sz w:val="20"/>
          <w:szCs w:val="21"/>
        </w:rPr>
        <w:t>。</w:t>
      </w:r>
    </w:p>
    <w:p w:rsidR="00800760" w:rsidRDefault="00235733">
      <w:pPr>
        <w:spacing w:line="360" w:lineRule="auto"/>
        <w:ind w:firstLineChars="0" w:firstLine="460"/>
        <w:rPr>
          <w:rFonts w:ascii="仿宋" w:eastAsia="仿宋_GB2312" w:hAnsi="仿宋"/>
          <w:color w:val="000000"/>
          <w:sz w:val="20"/>
          <w:szCs w:val="21"/>
        </w:rPr>
      </w:pPr>
      <w:r>
        <w:rPr>
          <w:rFonts w:ascii="仿宋" w:eastAsia="仿宋_GB2312" w:hAnsi="仿宋" w:hint="eastAsia"/>
          <w:color w:val="000000"/>
          <w:sz w:val="20"/>
          <w:szCs w:val="21"/>
        </w:rPr>
        <w:t>（</w:t>
      </w:r>
      <w:r>
        <w:rPr>
          <w:rFonts w:ascii="仿宋" w:eastAsia="仿宋_GB2312" w:hAnsi="仿宋"/>
          <w:color w:val="000000"/>
          <w:sz w:val="20"/>
          <w:szCs w:val="21"/>
        </w:rPr>
        <w:t>注：代理权限包括代为递交、接</w:t>
      </w:r>
      <w:r>
        <w:rPr>
          <w:rFonts w:ascii="仿宋" w:eastAsia="仿宋_GB2312" w:hAnsi="仿宋" w:hint="eastAsia"/>
          <w:color w:val="000000"/>
          <w:sz w:val="20"/>
          <w:szCs w:val="21"/>
        </w:rPr>
        <w:t>收</w:t>
      </w:r>
      <w:r>
        <w:rPr>
          <w:rFonts w:ascii="仿宋" w:eastAsia="仿宋_GB2312" w:hAnsi="仿宋"/>
          <w:color w:val="000000"/>
          <w:sz w:val="20"/>
          <w:szCs w:val="21"/>
        </w:rPr>
        <w:t>法律文书，代为答辩、意见陈述、参加口头审理、参加调解，代为提出、变更、放弃处理请求等</w:t>
      </w:r>
      <w:r>
        <w:rPr>
          <w:rFonts w:ascii="仿宋" w:eastAsia="仿宋_GB2312" w:hAnsi="仿宋" w:hint="eastAsia"/>
          <w:color w:val="000000"/>
          <w:sz w:val="20"/>
          <w:szCs w:val="21"/>
        </w:rPr>
        <w:t>）</w:t>
      </w:r>
    </w:p>
    <w:p w:rsidR="00800760" w:rsidRDefault="00800760">
      <w:pPr>
        <w:spacing w:line="360" w:lineRule="auto"/>
        <w:ind w:firstLineChars="0" w:firstLine="460"/>
        <w:rPr>
          <w:rFonts w:ascii="仿宋" w:eastAsia="仿宋_GB2312" w:hAnsi="仿宋"/>
          <w:color w:val="000000"/>
          <w:sz w:val="20"/>
          <w:szCs w:val="21"/>
        </w:rPr>
      </w:pPr>
    </w:p>
    <w:p w:rsidR="00800760" w:rsidRDefault="00235733">
      <w:pPr>
        <w:tabs>
          <w:tab w:val="left" w:pos="6663"/>
        </w:tabs>
        <w:spacing w:line="360" w:lineRule="auto"/>
        <w:ind w:rightChars="10" w:right="21" w:firstLineChars="2600" w:firstLine="5200"/>
        <w:rPr>
          <w:rFonts w:ascii="仿宋" w:eastAsia="仿宋_GB2312" w:hAnsi="仿宋"/>
          <w:color w:val="000000"/>
          <w:sz w:val="20"/>
          <w:szCs w:val="21"/>
          <w:lang w:bidi="en-US"/>
        </w:rPr>
      </w:pPr>
      <w:r>
        <w:rPr>
          <w:rFonts w:ascii="仿宋" w:eastAsia="仿宋_GB2312" w:hAnsi="仿宋"/>
          <w:color w:val="000000"/>
          <w:sz w:val="20"/>
          <w:szCs w:val="21"/>
        </w:rPr>
        <w:t>委</w:t>
      </w:r>
      <w:r>
        <w:rPr>
          <w:rFonts w:ascii="仿宋" w:eastAsia="仿宋_GB2312" w:hAnsi="仿宋" w:hint="eastAsia"/>
          <w:color w:val="000000"/>
          <w:sz w:val="20"/>
          <w:szCs w:val="21"/>
        </w:rPr>
        <w:t xml:space="preserve"> </w:t>
      </w:r>
      <w:r>
        <w:rPr>
          <w:rFonts w:ascii="仿宋" w:eastAsia="仿宋_GB2312" w:hAnsi="仿宋"/>
          <w:color w:val="000000"/>
          <w:sz w:val="20"/>
          <w:szCs w:val="21"/>
        </w:rPr>
        <w:t>托</w:t>
      </w:r>
      <w:r>
        <w:rPr>
          <w:rFonts w:ascii="仿宋" w:eastAsia="仿宋_GB2312" w:hAnsi="仿宋" w:hint="eastAsia"/>
          <w:color w:val="000000"/>
          <w:sz w:val="20"/>
          <w:szCs w:val="21"/>
        </w:rPr>
        <w:t xml:space="preserve"> </w:t>
      </w:r>
      <w:r>
        <w:rPr>
          <w:rFonts w:ascii="仿宋" w:eastAsia="仿宋_GB2312" w:hAnsi="仿宋"/>
          <w:color w:val="000000"/>
          <w:sz w:val="20"/>
          <w:szCs w:val="21"/>
        </w:rPr>
        <w:t>人（签章</w:t>
      </w:r>
      <w:r>
        <w:rPr>
          <w:rFonts w:ascii="仿宋" w:eastAsia="仿宋_GB2312" w:hAnsi="仿宋"/>
          <w:color w:val="000000"/>
          <w:sz w:val="20"/>
          <w:szCs w:val="21"/>
          <w:lang w:bidi="en-US"/>
        </w:rPr>
        <w:t>）：</w:t>
      </w:r>
      <w:r>
        <w:rPr>
          <w:rFonts w:ascii="仿宋" w:eastAsia="仿宋_GB2312" w:hAnsi="仿宋" w:hint="eastAsia"/>
          <w:color w:val="000000"/>
          <w:sz w:val="20"/>
          <w:szCs w:val="21"/>
          <w:u w:val="single"/>
          <w:lang w:bidi="en-US"/>
        </w:rPr>
        <w:t xml:space="preserve">         </w:t>
      </w:r>
      <w:r>
        <w:rPr>
          <w:rFonts w:ascii="仿宋" w:eastAsia="仿宋_GB2312" w:hAnsi="仿宋"/>
          <w:color w:val="000000"/>
          <w:sz w:val="20"/>
          <w:szCs w:val="21"/>
          <w:lang w:bidi="en-US"/>
        </w:rPr>
        <w:t xml:space="preserve"> </w:t>
      </w:r>
    </w:p>
    <w:p w:rsidR="00800760" w:rsidRDefault="00235733">
      <w:pPr>
        <w:tabs>
          <w:tab w:val="left" w:pos="6663"/>
        </w:tabs>
        <w:spacing w:line="360" w:lineRule="auto"/>
        <w:ind w:rightChars="10" w:right="21" w:firstLineChars="2000" w:firstLine="4000"/>
        <w:rPr>
          <w:rFonts w:ascii="仿宋" w:eastAsia="仿宋_GB2312" w:hAnsi="仿宋"/>
          <w:color w:val="000000"/>
          <w:sz w:val="20"/>
          <w:szCs w:val="21"/>
          <w:u w:val="single"/>
        </w:rPr>
      </w:pPr>
      <w:r>
        <w:rPr>
          <w:rFonts w:ascii="仿宋" w:eastAsia="仿宋_GB2312" w:hAnsi="仿宋"/>
          <w:color w:val="000000"/>
          <w:sz w:val="20"/>
          <w:szCs w:val="21"/>
        </w:rPr>
        <w:t>法定代表人</w:t>
      </w:r>
      <w:r>
        <w:rPr>
          <w:rFonts w:ascii="仿宋" w:eastAsia="仿宋_GB2312" w:hAnsi="仿宋" w:hint="eastAsia"/>
          <w:color w:val="000000"/>
          <w:sz w:val="20"/>
          <w:szCs w:val="21"/>
        </w:rPr>
        <w:t>（</w:t>
      </w:r>
      <w:r>
        <w:rPr>
          <w:rFonts w:ascii="仿宋" w:eastAsia="仿宋_GB2312" w:hAnsi="仿宋"/>
          <w:color w:val="000000"/>
          <w:sz w:val="20"/>
          <w:szCs w:val="21"/>
        </w:rPr>
        <w:t>负责人</w:t>
      </w:r>
      <w:r>
        <w:rPr>
          <w:rFonts w:ascii="仿宋" w:eastAsia="仿宋_GB2312" w:hAnsi="仿宋" w:hint="eastAsia"/>
          <w:color w:val="000000"/>
          <w:sz w:val="20"/>
          <w:szCs w:val="21"/>
        </w:rPr>
        <w:t>）</w:t>
      </w:r>
      <w:r>
        <w:rPr>
          <w:rFonts w:ascii="仿宋" w:eastAsia="仿宋_GB2312" w:hAnsi="仿宋"/>
          <w:color w:val="000000"/>
          <w:sz w:val="20"/>
          <w:szCs w:val="21"/>
        </w:rPr>
        <w:t>（签章）：</w:t>
      </w:r>
      <w:r>
        <w:rPr>
          <w:rFonts w:ascii="仿宋" w:eastAsia="仿宋_GB2312" w:hAnsi="仿宋" w:hint="eastAsia"/>
          <w:color w:val="000000"/>
          <w:sz w:val="20"/>
          <w:szCs w:val="21"/>
          <w:u w:val="single"/>
        </w:rPr>
        <w:t xml:space="preserve">          </w:t>
      </w:r>
    </w:p>
    <w:p w:rsidR="00800760" w:rsidRDefault="00235733">
      <w:pPr>
        <w:tabs>
          <w:tab w:val="left" w:pos="6663"/>
        </w:tabs>
        <w:spacing w:line="360" w:lineRule="auto"/>
        <w:ind w:rightChars="10" w:right="21" w:firstLineChars="300" w:firstLine="636"/>
        <w:jc w:val="right"/>
        <w:rPr>
          <w:rFonts w:ascii="仿宋" w:eastAsia="仿宋_GB2312" w:hAnsi="仿宋"/>
          <w:color w:val="000000"/>
          <w:sz w:val="20"/>
          <w:szCs w:val="21"/>
        </w:rPr>
      </w:pP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p>
    <w:p w:rsidR="00800760" w:rsidRDefault="00235733">
      <w:pPr>
        <w:spacing w:line="240" w:lineRule="auto"/>
        <w:ind w:firstLineChars="0" w:firstLine="0"/>
        <w:rPr>
          <w:rFonts w:ascii="宋体" w:hAnsi="宋体" w:cs="Microsoft JhengHei"/>
          <w:color w:val="000000"/>
          <w:sz w:val="20"/>
          <w:szCs w:val="21"/>
        </w:rPr>
      </w:pPr>
      <w:r>
        <w:rPr>
          <w:rFonts w:ascii="宋体" w:hAnsi="宋体" w:cs="Microsoft JhengHei"/>
          <w:color w:val="000000"/>
          <w:sz w:val="20"/>
          <w:szCs w:val="21"/>
        </w:rPr>
        <w:br w:type="page"/>
      </w:r>
    </w:p>
    <w:p w:rsidR="00800760" w:rsidRDefault="00235733">
      <w:pPr>
        <w:spacing w:line="360" w:lineRule="auto"/>
        <w:ind w:firstLineChars="0" w:firstLine="0"/>
        <w:jc w:val="center"/>
        <w:rPr>
          <w:rFonts w:ascii="方正小标宋_GBK" w:eastAsia="方正小标宋_GBK" w:hAnsi="宋体"/>
          <w:color w:val="000000"/>
          <w:spacing w:val="6"/>
          <w:sz w:val="36"/>
          <w:szCs w:val="36"/>
        </w:rPr>
      </w:pPr>
      <w:r>
        <w:rPr>
          <w:rFonts w:ascii="方正小标宋简体" w:eastAsia="方正小标宋简体" w:hAnsi="宋体" w:hint="eastAsia"/>
          <w:color w:val="000000"/>
          <w:spacing w:val="6"/>
          <w:sz w:val="36"/>
          <w:szCs w:val="36"/>
        </w:rPr>
        <w:t>重大</w:t>
      </w:r>
      <w:r>
        <w:rPr>
          <w:rFonts w:ascii="方正小标宋简体" w:eastAsia="方正小标宋简体" w:hAnsi="宋体"/>
          <w:color w:val="000000"/>
          <w:spacing w:val="6"/>
          <w:sz w:val="36"/>
          <w:szCs w:val="36"/>
        </w:rPr>
        <w:t>专利</w:t>
      </w:r>
      <w:r>
        <w:rPr>
          <w:rFonts w:ascii="方正小标宋简体" w:eastAsia="方正小标宋简体" w:hAnsi="宋体" w:hint="eastAsia"/>
          <w:color w:val="000000"/>
          <w:spacing w:val="6"/>
          <w:sz w:val="36"/>
          <w:szCs w:val="36"/>
        </w:rPr>
        <w:t>侵权</w:t>
      </w:r>
      <w:r>
        <w:rPr>
          <w:rFonts w:ascii="方正小标宋简体" w:eastAsia="方正小标宋简体" w:hAnsi="宋体"/>
          <w:color w:val="000000"/>
          <w:spacing w:val="6"/>
          <w:sz w:val="36"/>
          <w:szCs w:val="36"/>
        </w:rPr>
        <w:t>纠纷</w:t>
      </w:r>
      <w:r>
        <w:rPr>
          <w:rFonts w:ascii="方正小标宋简体" w:eastAsia="方正小标宋简体" w:hAnsi="宋体" w:hint="eastAsia"/>
          <w:color w:val="000000"/>
          <w:spacing w:val="6"/>
          <w:sz w:val="36"/>
          <w:szCs w:val="36"/>
        </w:rPr>
        <w:t>行政裁决</w:t>
      </w:r>
      <w:r>
        <w:rPr>
          <w:rFonts w:ascii="方正小标宋简体" w:eastAsia="方正小标宋简体" w:hAnsi="宋体"/>
          <w:color w:val="000000"/>
          <w:spacing w:val="6"/>
          <w:sz w:val="36"/>
          <w:szCs w:val="36"/>
        </w:rPr>
        <w:t>授权委托书</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委</w:t>
      </w:r>
      <w:r>
        <w:rPr>
          <w:rFonts w:ascii="仿宋" w:eastAsia="仿宋_GB2312" w:hAnsi="仿宋" w:hint="eastAsia"/>
          <w:color w:val="000000"/>
          <w:sz w:val="20"/>
          <w:szCs w:val="21"/>
        </w:rPr>
        <w:t xml:space="preserve"> </w:t>
      </w:r>
      <w:r>
        <w:rPr>
          <w:rFonts w:ascii="仿宋" w:eastAsia="仿宋_GB2312" w:hAnsi="仿宋"/>
          <w:color w:val="000000"/>
          <w:sz w:val="20"/>
          <w:szCs w:val="21"/>
        </w:rPr>
        <w:t>托</w:t>
      </w:r>
      <w:r>
        <w:rPr>
          <w:rFonts w:ascii="仿宋" w:eastAsia="仿宋_GB2312" w:hAnsi="仿宋" w:hint="eastAsia"/>
          <w:color w:val="000000"/>
          <w:sz w:val="20"/>
          <w:szCs w:val="21"/>
        </w:rPr>
        <w:t xml:space="preserve"> </w:t>
      </w:r>
      <w:r>
        <w:rPr>
          <w:rFonts w:ascii="仿宋" w:eastAsia="仿宋_GB2312" w:hAnsi="仿宋"/>
          <w:color w:val="000000"/>
          <w:sz w:val="20"/>
          <w:szCs w:val="21"/>
        </w:rPr>
        <w:t>人（单位或个人</w:t>
      </w:r>
      <w:r>
        <w:rPr>
          <w:rFonts w:ascii="仿宋" w:eastAsia="仿宋_GB2312" w:hAnsi="仿宋"/>
          <w:color w:val="000000"/>
          <w:sz w:val="20"/>
          <w:szCs w:val="21"/>
          <w:lang w:bidi="en-US"/>
        </w:rPr>
        <w:t>）：</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法定代表人</w:t>
      </w:r>
      <w:r>
        <w:rPr>
          <w:rFonts w:ascii="仿宋" w:eastAsia="仿宋_GB2312" w:hAnsi="仿宋"/>
          <w:color w:val="000000"/>
          <w:sz w:val="20"/>
          <w:szCs w:val="21"/>
          <w:lang w:bidi="en-US"/>
        </w:rPr>
        <w:t>（</w:t>
      </w:r>
      <w:r>
        <w:rPr>
          <w:rFonts w:ascii="仿宋" w:eastAsia="仿宋_GB2312" w:hAnsi="仿宋"/>
          <w:color w:val="000000"/>
          <w:sz w:val="20"/>
          <w:szCs w:val="21"/>
        </w:rPr>
        <w:t>负责人</w:t>
      </w:r>
      <w:r>
        <w:rPr>
          <w:rFonts w:ascii="仿宋" w:eastAsia="仿宋_GB2312" w:hAnsi="仿宋"/>
          <w:color w:val="000000"/>
          <w:sz w:val="20"/>
          <w:szCs w:val="21"/>
          <w:lang w:bidi="en-US"/>
        </w:rPr>
        <w:t>）：</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职</w:t>
      </w:r>
      <w:r>
        <w:rPr>
          <w:rFonts w:ascii="仿宋" w:eastAsia="仿宋_GB2312" w:hAnsi="仿宋"/>
          <w:color w:val="000000"/>
          <w:sz w:val="20"/>
          <w:szCs w:val="21"/>
        </w:rPr>
        <w:t xml:space="preserve"> </w:t>
      </w:r>
      <w:r>
        <w:rPr>
          <w:rFonts w:ascii="仿宋" w:eastAsia="仿宋_GB2312" w:hAnsi="仿宋" w:hint="eastAsia"/>
          <w:color w:val="000000"/>
          <w:sz w:val="20"/>
          <w:szCs w:val="21"/>
        </w:rPr>
        <w:t xml:space="preserve">   </w:t>
      </w:r>
      <w:r>
        <w:rPr>
          <w:rFonts w:ascii="仿宋" w:eastAsia="仿宋_GB2312" w:hAnsi="仿宋"/>
          <w:color w:val="000000"/>
          <w:sz w:val="20"/>
          <w:szCs w:val="21"/>
        </w:rPr>
        <w:t>务：</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hint="eastAsia"/>
          <w:color w:val="000000"/>
          <w:sz w:val="20"/>
          <w:szCs w:val="21"/>
        </w:rPr>
        <w:t>被</w:t>
      </w:r>
      <w:r>
        <w:rPr>
          <w:rFonts w:ascii="仿宋" w:eastAsia="仿宋_GB2312" w:hAnsi="仿宋"/>
          <w:color w:val="000000"/>
          <w:sz w:val="20"/>
          <w:szCs w:val="21"/>
        </w:rPr>
        <w:t>委托人姓名</w:t>
      </w:r>
      <w:r>
        <w:rPr>
          <w:rFonts w:ascii="仿宋" w:eastAsia="仿宋_GB2312" w:hAnsi="仿宋" w:hint="eastAsia"/>
          <w:color w:val="000000"/>
          <w:sz w:val="20"/>
          <w:szCs w:val="21"/>
          <w:lang w:bidi="en-US"/>
        </w:rPr>
        <w:t>：</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工作单位：</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职</w:t>
      </w:r>
      <w:r>
        <w:rPr>
          <w:rFonts w:ascii="仿宋" w:eastAsia="仿宋_GB2312" w:hAnsi="仿宋"/>
          <w:color w:val="000000"/>
          <w:sz w:val="20"/>
          <w:szCs w:val="21"/>
        </w:rPr>
        <w:t xml:space="preserve"> </w:t>
      </w:r>
      <w:r>
        <w:rPr>
          <w:rFonts w:ascii="仿宋" w:eastAsia="仿宋_GB2312" w:hAnsi="仿宋" w:hint="eastAsia"/>
          <w:color w:val="000000"/>
          <w:sz w:val="20"/>
          <w:szCs w:val="21"/>
        </w:rPr>
        <w:t xml:space="preserve">   </w:t>
      </w:r>
      <w:r>
        <w:rPr>
          <w:rFonts w:ascii="仿宋" w:eastAsia="仿宋_GB2312" w:hAnsi="仿宋"/>
          <w:color w:val="000000"/>
          <w:sz w:val="20"/>
          <w:szCs w:val="21"/>
        </w:rPr>
        <w:t>务：</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hint="eastAsia"/>
          <w:color w:val="000000"/>
          <w:sz w:val="20"/>
          <w:szCs w:val="21"/>
        </w:rPr>
        <w:t>被</w:t>
      </w:r>
      <w:r>
        <w:rPr>
          <w:rFonts w:ascii="仿宋" w:eastAsia="仿宋_GB2312" w:hAnsi="仿宋"/>
          <w:color w:val="000000"/>
          <w:sz w:val="20"/>
          <w:szCs w:val="21"/>
        </w:rPr>
        <w:t>委托人姓名</w:t>
      </w:r>
      <w:r>
        <w:rPr>
          <w:rFonts w:ascii="仿宋" w:eastAsia="仿宋_GB2312" w:hAnsi="仿宋" w:hint="eastAsia"/>
          <w:color w:val="000000"/>
          <w:sz w:val="20"/>
          <w:szCs w:val="21"/>
          <w:lang w:bidi="en-US"/>
        </w:rPr>
        <w:t>：</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工作单位：</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职</w:t>
      </w:r>
      <w:r>
        <w:rPr>
          <w:rFonts w:ascii="仿宋" w:eastAsia="仿宋_GB2312" w:hAnsi="仿宋" w:hint="eastAsia"/>
          <w:color w:val="000000"/>
          <w:sz w:val="20"/>
          <w:szCs w:val="21"/>
        </w:rPr>
        <w:t xml:space="preserve">   </w:t>
      </w:r>
      <w:r>
        <w:rPr>
          <w:rFonts w:ascii="仿宋" w:eastAsia="仿宋_GB2312" w:hAnsi="仿宋"/>
          <w:color w:val="000000"/>
          <w:sz w:val="20"/>
          <w:szCs w:val="21"/>
        </w:rPr>
        <w:t xml:space="preserve"> </w:t>
      </w:r>
      <w:r>
        <w:rPr>
          <w:rFonts w:ascii="仿宋" w:eastAsia="仿宋_GB2312" w:hAnsi="仿宋"/>
          <w:color w:val="000000"/>
          <w:sz w:val="20"/>
          <w:szCs w:val="21"/>
        </w:rPr>
        <w:t>务：</w:t>
      </w:r>
    </w:p>
    <w:p w:rsidR="00800760" w:rsidRDefault="00235733">
      <w:pPr>
        <w:spacing w:line="360" w:lineRule="auto"/>
        <w:ind w:right="40" w:firstLineChars="0" w:firstLine="0"/>
        <w:rPr>
          <w:rFonts w:ascii="仿宋" w:eastAsia="仿宋_GB2312" w:hAnsi="仿宋"/>
          <w:color w:val="000000"/>
          <w:sz w:val="20"/>
          <w:szCs w:val="21"/>
        </w:rPr>
      </w:pPr>
      <w:r>
        <w:rPr>
          <w:rFonts w:ascii="仿宋" w:eastAsia="仿宋_GB2312" w:hAnsi="仿宋"/>
          <w:color w:val="000000"/>
          <w:sz w:val="20"/>
          <w:szCs w:val="21"/>
        </w:rPr>
        <w:t>现委托上列</w:t>
      </w:r>
      <w:r>
        <w:rPr>
          <w:rFonts w:ascii="仿宋" w:eastAsia="仿宋_GB2312" w:hAnsi="仿宋" w:hint="eastAsia"/>
          <w:color w:val="000000"/>
          <w:sz w:val="20"/>
          <w:szCs w:val="21"/>
        </w:rPr>
        <w:t>被</w:t>
      </w:r>
      <w:r>
        <w:rPr>
          <w:rFonts w:ascii="仿宋" w:eastAsia="仿宋_GB2312" w:hAnsi="仿宋"/>
          <w:color w:val="000000"/>
          <w:sz w:val="20"/>
          <w:szCs w:val="21"/>
        </w:rPr>
        <w:t>委托人在</w:t>
      </w:r>
      <w:r>
        <w:rPr>
          <w:rFonts w:ascii="仿宋" w:eastAsia="仿宋_GB2312" w:hAnsi="仿宋" w:hint="eastAsia"/>
          <w:color w:val="000000"/>
          <w:sz w:val="20"/>
          <w:szCs w:val="21"/>
          <w:u w:val="single"/>
        </w:rPr>
        <w:t xml:space="preserve">                  </w:t>
      </w:r>
      <w:r>
        <w:rPr>
          <w:rFonts w:ascii="仿宋" w:eastAsia="仿宋_GB2312" w:hAnsi="仿宋"/>
          <w:color w:val="000000"/>
          <w:sz w:val="20"/>
          <w:szCs w:val="21"/>
        </w:rPr>
        <w:t>一案中，作为我方委托代理人。</w:t>
      </w:r>
    </w:p>
    <w:p w:rsidR="00800760" w:rsidRDefault="00235733">
      <w:pPr>
        <w:tabs>
          <w:tab w:val="left" w:leader="underscore" w:pos="1488"/>
        </w:tabs>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代理人</w:t>
      </w:r>
      <w:r>
        <w:rPr>
          <w:rFonts w:ascii="仿宋" w:eastAsia="仿宋_GB2312" w:hAnsi="仿宋" w:hint="eastAsia"/>
          <w:color w:val="000000"/>
          <w:sz w:val="20"/>
          <w:szCs w:val="21"/>
          <w:u w:val="single"/>
        </w:rPr>
        <w:t xml:space="preserve">          </w:t>
      </w:r>
      <w:r>
        <w:rPr>
          <w:rFonts w:ascii="仿宋" w:eastAsia="仿宋_GB2312" w:hAnsi="仿宋"/>
          <w:color w:val="000000"/>
          <w:sz w:val="20"/>
          <w:szCs w:val="21"/>
        </w:rPr>
        <w:t>的代理权限为</w:t>
      </w:r>
      <w:r>
        <w:rPr>
          <w:rFonts w:ascii="仿宋" w:eastAsia="仿宋_GB2312" w:hAnsi="仿宋" w:hint="eastAsia"/>
          <w:color w:val="000000"/>
          <w:sz w:val="20"/>
          <w:szCs w:val="21"/>
          <w:lang w:bidi="en-US"/>
        </w:rPr>
        <w:t>：</w:t>
      </w:r>
      <w:r>
        <w:rPr>
          <w:rFonts w:ascii="仿宋" w:eastAsia="仿宋_GB2312" w:hAnsi="仿宋" w:hint="eastAsia"/>
          <w:color w:val="000000"/>
          <w:sz w:val="20"/>
          <w:szCs w:val="21"/>
          <w:u w:val="single"/>
          <w:lang w:bidi="en-US"/>
        </w:rPr>
        <w:t xml:space="preserve">                                       </w:t>
      </w:r>
      <w:r>
        <w:rPr>
          <w:rFonts w:ascii="仿宋" w:eastAsia="仿宋_GB2312" w:hAnsi="仿宋"/>
          <w:color w:val="000000"/>
          <w:sz w:val="20"/>
          <w:szCs w:val="21"/>
        </w:rPr>
        <w:t>。</w:t>
      </w:r>
    </w:p>
    <w:p w:rsidR="00800760" w:rsidRDefault="00235733">
      <w:pPr>
        <w:tabs>
          <w:tab w:val="left" w:leader="underscore" w:pos="1488"/>
        </w:tabs>
        <w:spacing w:line="360" w:lineRule="auto"/>
        <w:ind w:firstLineChars="0" w:firstLine="0"/>
        <w:rPr>
          <w:rFonts w:ascii="仿宋" w:eastAsia="仿宋_GB2312" w:hAnsi="仿宋"/>
          <w:color w:val="000000"/>
          <w:sz w:val="20"/>
          <w:szCs w:val="21"/>
        </w:rPr>
      </w:pPr>
      <w:r>
        <w:rPr>
          <w:rFonts w:ascii="仿宋" w:eastAsia="仿宋_GB2312" w:hAnsi="仿宋"/>
          <w:color w:val="000000"/>
          <w:sz w:val="20"/>
          <w:szCs w:val="21"/>
        </w:rPr>
        <w:t>代理人</w:t>
      </w:r>
      <w:r>
        <w:rPr>
          <w:rFonts w:ascii="仿宋" w:eastAsia="仿宋_GB2312" w:hAnsi="仿宋" w:hint="eastAsia"/>
          <w:color w:val="000000"/>
          <w:sz w:val="20"/>
          <w:szCs w:val="21"/>
          <w:u w:val="single"/>
        </w:rPr>
        <w:t xml:space="preserve">          </w:t>
      </w:r>
      <w:r>
        <w:rPr>
          <w:rFonts w:ascii="仿宋" w:eastAsia="仿宋_GB2312" w:hAnsi="仿宋"/>
          <w:color w:val="000000"/>
          <w:sz w:val="20"/>
          <w:szCs w:val="21"/>
        </w:rPr>
        <w:t>的代理权限为</w:t>
      </w:r>
      <w:r>
        <w:rPr>
          <w:rFonts w:ascii="仿宋" w:eastAsia="仿宋_GB2312" w:hAnsi="仿宋" w:hint="eastAsia"/>
          <w:color w:val="000000"/>
          <w:sz w:val="20"/>
          <w:szCs w:val="21"/>
          <w:lang w:bidi="en-US"/>
        </w:rPr>
        <w:t>：</w:t>
      </w:r>
      <w:r>
        <w:rPr>
          <w:rFonts w:ascii="仿宋" w:eastAsia="仿宋_GB2312" w:hAnsi="仿宋" w:hint="eastAsia"/>
          <w:color w:val="000000"/>
          <w:sz w:val="20"/>
          <w:szCs w:val="21"/>
          <w:u w:val="single"/>
          <w:lang w:bidi="en-US"/>
        </w:rPr>
        <w:t xml:space="preserve">                                       </w:t>
      </w:r>
      <w:r>
        <w:rPr>
          <w:rFonts w:ascii="仿宋" w:eastAsia="仿宋_GB2312" w:hAnsi="仿宋"/>
          <w:color w:val="000000"/>
          <w:sz w:val="20"/>
          <w:szCs w:val="21"/>
        </w:rPr>
        <w:t>。</w:t>
      </w:r>
    </w:p>
    <w:p w:rsidR="00800760" w:rsidRDefault="00235733">
      <w:pPr>
        <w:spacing w:line="360" w:lineRule="auto"/>
        <w:ind w:firstLineChars="0" w:firstLine="0"/>
        <w:rPr>
          <w:rFonts w:ascii="仿宋" w:eastAsia="仿宋_GB2312" w:hAnsi="仿宋"/>
          <w:color w:val="000000"/>
          <w:sz w:val="20"/>
          <w:szCs w:val="21"/>
        </w:rPr>
      </w:pPr>
      <w:r>
        <w:rPr>
          <w:rFonts w:ascii="仿宋" w:eastAsia="仿宋_GB2312" w:hAnsi="仿宋" w:hint="eastAsia"/>
          <w:color w:val="000000"/>
          <w:sz w:val="20"/>
          <w:szCs w:val="21"/>
        </w:rPr>
        <w:t>（</w:t>
      </w:r>
      <w:r>
        <w:rPr>
          <w:rFonts w:ascii="仿宋" w:eastAsia="仿宋_GB2312" w:hAnsi="仿宋"/>
          <w:color w:val="000000"/>
          <w:sz w:val="20"/>
          <w:szCs w:val="21"/>
        </w:rPr>
        <w:t>注：代理权限包括代为递交、接</w:t>
      </w:r>
      <w:r>
        <w:rPr>
          <w:rFonts w:ascii="仿宋" w:eastAsia="仿宋_GB2312" w:hAnsi="仿宋" w:hint="eastAsia"/>
          <w:color w:val="000000"/>
          <w:sz w:val="20"/>
          <w:szCs w:val="21"/>
        </w:rPr>
        <w:t>收</w:t>
      </w:r>
      <w:r>
        <w:rPr>
          <w:rFonts w:ascii="仿宋" w:eastAsia="仿宋_GB2312" w:hAnsi="仿宋"/>
          <w:color w:val="000000"/>
          <w:sz w:val="20"/>
          <w:szCs w:val="21"/>
        </w:rPr>
        <w:t>法律文书，代为答辩、意见陈述、参加口头审理、参加调解，代为提出、变更、放弃处理请求等</w:t>
      </w:r>
      <w:r>
        <w:rPr>
          <w:rFonts w:ascii="仿宋" w:eastAsia="仿宋_GB2312" w:hAnsi="仿宋" w:hint="eastAsia"/>
          <w:color w:val="000000"/>
          <w:sz w:val="20"/>
          <w:szCs w:val="21"/>
        </w:rPr>
        <w:t>）</w:t>
      </w:r>
    </w:p>
    <w:p w:rsidR="00800760" w:rsidRDefault="00800760">
      <w:pPr>
        <w:spacing w:line="360" w:lineRule="auto"/>
        <w:ind w:firstLineChars="0" w:firstLine="0"/>
        <w:rPr>
          <w:rFonts w:ascii="仿宋" w:eastAsia="仿宋_GB2312" w:hAnsi="仿宋"/>
          <w:color w:val="000000"/>
          <w:sz w:val="20"/>
          <w:szCs w:val="21"/>
        </w:rPr>
      </w:pPr>
    </w:p>
    <w:p w:rsidR="00800760" w:rsidRDefault="00235733">
      <w:pPr>
        <w:tabs>
          <w:tab w:val="left" w:pos="6663"/>
        </w:tabs>
        <w:spacing w:line="360" w:lineRule="auto"/>
        <w:ind w:rightChars="10" w:right="21" w:firstLineChars="2300" w:firstLine="4600"/>
        <w:rPr>
          <w:rFonts w:ascii="仿宋" w:eastAsia="仿宋_GB2312" w:hAnsi="仿宋"/>
          <w:color w:val="000000"/>
          <w:sz w:val="20"/>
          <w:szCs w:val="21"/>
          <w:lang w:bidi="en-US"/>
        </w:rPr>
      </w:pPr>
      <w:r>
        <w:rPr>
          <w:rFonts w:ascii="仿宋" w:eastAsia="仿宋_GB2312" w:hAnsi="仿宋"/>
          <w:color w:val="000000"/>
          <w:sz w:val="20"/>
          <w:szCs w:val="21"/>
        </w:rPr>
        <w:t>委</w:t>
      </w:r>
      <w:r>
        <w:rPr>
          <w:rFonts w:ascii="仿宋" w:eastAsia="仿宋_GB2312" w:hAnsi="仿宋" w:hint="eastAsia"/>
          <w:color w:val="000000"/>
          <w:sz w:val="20"/>
          <w:szCs w:val="21"/>
        </w:rPr>
        <w:t xml:space="preserve"> </w:t>
      </w:r>
      <w:r>
        <w:rPr>
          <w:rFonts w:ascii="仿宋" w:eastAsia="仿宋_GB2312" w:hAnsi="仿宋"/>
          <w:color w:val="000000"/>
          <w:sz w:val="20"/>
          <w:szCs w:val="21"/>
        </w:rPr>
        <w:t>托</w:t>
      </w:r>
      <w:r>
        <w:rPr>
          <w:rFonts w:ascii="仿宋" w:eastAsia="仿宋_GB2312" w:hAnsi="仿宋" w:hint="eastAsia"/>
          <w:color w:val="000000"/>
          <w:sz w:val="20"/>
          <w:szCs w:val="21"/>
        </w:rPr>
        <w:t xml:space="preserve"> </w:t>
      </w:r>
      <w:r>
        <w:rPr>
          <w:rFonts w:ascii="仿宋" w:eastAsia="仿宋_GB2312" w:hAnsi="仿宋"/>
          <w:color w:val="000000"/>
          <w:sz w:val="20"/>
          <w:szCs w:val="21"/>
        </w:rPr>
        <w:t>人（签章</w:t>
      </w:r>
      <w:r>
        <w:rPr>
          <w:rFonts w:ascii="仿宋" w:eastAsia="仿宋_GB2312" w:hAnsi="仿宋"/>
          <w:color w:val="000000"/>
          <w:sz w:val="20"/>
          <w:szCs w:val="21"/>
          <w:lang w:bidi="en-US"/>
        </w:rPr>
        <w:t>）：</w:t>
      </w:r>
      <w:r>
        <w:rPr>
          <w:rFonts w:ascii="仿宋" w:eastAsia="仿宋_GB2312" w:hAnsi="仿宋" w:hint="eastAsia"/>
          <w:color w:val="000000"/>
          <w:sz w:val="20"/>
          <w:szCs w:val="21"/>
          <w:u w:val="single"/>
          <w:lang w:bidi="en-US"/>
        </w:rPr>
        <w:t xml:space="preserve">               </w:t>
      </w:r>
      <w:r>
        <w:rPr>
          <w:rFonts w:ascii="仿宋" w:eastAsia="仿宋_GB2312" w:hAnsi="仿宋"/>
          <w:color w:val="000000"/>
          <w:sz w:val="20"/>
          <w:szCs w:val="21"/>
          <w:lang w:bidi="en-US"/>
        </w:rPr>
        <w:t xml:space="preserve"> </w:t>
      </w:r>
    </w:p>
    <w:p w:rsidR="00800760" w:rsidRDefault="00235733">
      <w:pPr>
        <w:tabs>
          <w:tab w:val="left" w:pos="6663"/>
        </w:tabs>
        <w:spacing w:line="360" w:lineRule="auto"/>
        <w:ind w:rightChars="10" w:right="21" w:firstLineChars="1700" w:firstLine="3400"/>
        <w:rPr>
          <w:rFonts w:ascii="仿宋" w:eastAsia="仿宋_GB2312" w:hAnsi="仿宋"/>
          <w:color w:val="000000"/>
          <w:sz w:val="20"/>
          <w:szCs w:val="21"/>
          <w:u w:val="single"/>
        </w:rPr>
      </w:pPr>
      <w:r>
        <w:rPr>
          <w:rFonts w:ascii="仿宋" w:eastAsia="仿宋_GB2312" w:hAnsi="仿宋"/>
          <w:color w:val="000000"/>
          <w:sz w:val="20"/>
          <w:szCs w:val="21"/>
        </w:rPr>
        <w:t>法定代表人</w:t>
      </w:r>
      <w:r>
        <w:rPr>
          <w:rFonts w:ascii="仿宋" w:eastAsia="仿宋_GB2312" w:hAnsi="仿宋" w:hint="eastAsia"/>
          <w:color w:val="000000"/>
          <w:sz w:val="20"/>
          <w:szCs w:val="21"/>
        </w:rPr>
        <w:t>（</w:t>
      </w:r>
      <w:r>
        <w:rPr>
          <w:rFonts w:ascii="仿宋" w:eastAsia="仿宋_GB2312" w:hAnsi="仿宋"/>
          <w:color w:val="000000"/>
          <w:sz w:val="20"/>
          <w:szCs w:val="21"/>
        </w:rPr>
        <w:t>负责人</w:t>
      </w:r>
      <w:r>
        <w:rPr>
          <w:rFonts w:ascii="仿宋" w:eastAsia="仿宋_GB2312" w:hAnsi="仿宋" w:hint="eastAsia"/>
          <w:color w:val="000000"/>
          <w:sz w:val="20"/>
          <w:szCs w:val="21"/>
        </w:rPr>
        <w:t>）</w:t>
      </w:r>
      <w:r>
        <w:rPr>
          <w:rFonts w:ascii="仿宋" w:eastAsia="仿宋_GB2312" w:hAnsi="仿宋"/>
          <w:color w:val="000000"/>
          <w:sz w:val="20"/>
          <w:szCs w:val="21"/>
        </w:rPr>
        <w:t>（签章）：</w:t>
      </w:r>
      <w:r>
        <w:rPr>
          <w:rFonts w:ascii="仿宋" w:eastAsia="仿宋_GB2312" w:hAnsi="仿宋" w:hint="eastAsia"/>
          <w:color w:val="000000"/>
          <w:sz w:val="20"/>
          <w:szCs w:val="21"/>
          <w:u w:val="single"/>
        </w:rPr>
        <w:t xml:space="preserve">               </w:t>
      </w:r>
    </w:p>
    <w:p w:rsidR="00800760" w:rsidRDefault="00235733" w:rsidP="00235733">
      <w:pPr>
        <w:tabs>
          <w:tab w:val="left" w:pos="6663"/>
        </w:tabs>
        <w:spacing w:line="360" w:lineRule="auto"/>
        <w:ind w:rightChars="10" w:right="21" w:firstLine="424"/>
        <w:jc w:val="right"/>
        <w:rPr>
          <w:rFonts w:ascii="仿宋" w:eastAsia="仿宋_GB2312" w:hAnsi="仿宋"/>
          <w:color w:val="000000"/>
          <w:sz w:val="20"/>
          <w:szCs w:val="21"/>
        </w:rPr>
      </w:pP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p>
    <w:p w:rsidR="00800760" w:rsidRDefault="00800760">
      <w:pPr>
        <w:widowControl w:val="0"/>
        <w:spacing w:line="360" w:lineRule="auto"/>
        <w:ind w:left="440"/>
        <w:rPr>
          <w:rFonts w:ascii="宋体" w:hAnsi="宋体" w:cs="Microsoft JhengHei"/>
          <w:color w:val="000000"/>
          <w:kern w:val="2"/>
          <w:szCs w:val="21"/>
          <w:lang w:val="en-US"/>
        </w:rPr>
      </w:pPr>
    </w:p>
    <w:p w:rsidR="00800760" w:rsidRDefault="00800760">
      <w:pPr>
        <w:spacing w:line="360" w:lineRule="auto"/>
        <w:ind w:left="440" w:firstLineChars="0" w:firstLine="0"/>
        <w:rPr>
          <w:rFonts w:ascii="宋体" w:hAnsi="宋体" w:cs="Microsoft JhengHei"/>
          <w:color w:val="000000"/>
          <w:sz w:val="20"/>
          <w:szCs w:val="21"/>
        </w:rPr>
      </w:pPr>
    </w:p>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r>
        <w:rPr>
          <w:rFonts w:ascii="宋体" w:hAnsi="宋体"/>
          <w:b/>
          <w:color w:val="000000"/>
          <w:sz w:val="20"/>
          <w:szCs w:val="21"/>
        </w:rPr>
        <w:br w:type="page"/>
      </w:r>
      <w:r>
        <w:rPr>
          <w:rFonts w:ascii="方正小标宋_GBK" w:eastAsia="方正小标宋_GBK" w:hAnsi="宋体"/>
          <w:color w:val="000000"/>
          <w:spacing w:val="6"/>
          <w:sz w:val="36"/>
          <w:szCs w:val="36"/>
        </w:rPr>
        <w:t>专利侵权纠纷案件中止处理申请书</w:t>
      </w:r>
    </w:p>
    <w:p w:rsidR="00800760" w:rsidRDefault="00235733">
      <w:pPr>
        <w:spacing w:line="360" w:lineRule="auto"/>
        <w:ind w:firstLineChars="0" w:firstLine="0"/>
        <w:jc w:val="right"/>
        <w:rPr>
          <w:rFonts w:ascii="仿宋_GB2312" w:eastAsia="仿宋_GB2312" w:hAnsi="仿宋"/>
          <w:color w:val="000000"/>
          <w:sz w:val="20"/>
          <w:szCs w:val="21"/>
        </w:rPr>
      </w:pPr>
      <w:r>
        <w:rPr>
          <w:rFonts w:ascii="仿宋_GB2312" w:eastAsia="仿宋_GB2312" w:hAnsi="仿宋" w:hint="eastAsia"/>
          <w:color w:val="000000"/>
          <w:sz w:val="20"/>
          <w:szCs w:val="21"/>
          <w:lang w:eastAsia="en-US"/>
        </w:rPr>
        <w:t>案号：____________________</w:t>
      </w:r>
    </w:p>
    <w:p w:rsidR="00800760" w:rsidRDefault="00800760">
      <w:pPr>
        <w:spacing w:line="360" w:lineRule="auto"/>
        <w:ind w:firstLineChars="0" w:firstLine="0"/>
        <w:jc w:val="right"/>
        <w:rPr>
          <w:rFonts w:ascii="仿宋_GB2312" w:eastAsia="仿宋_GB2312" w:hAnsi="仿宋"/>
          <w:color w:val="000000"/>
          <w:sz w:val="20"/>
          <w:szCs w:val="21"/>
        </w:rPr>
      </w:pPr>
    </w:p>
    <w:tbl>
      <w:tblPr>
        <w:tblpPr w:vertAnchor="page" w:horzAnchor="page" w:tblpXSpec="center" w:tblpY="3438"/>
        <w:tblOverlap w:val="never"/>
        <w:tblW w:w="0" w:type="auto"/>
        <w:jc w:val="center"/>
        <w:tblLayout w:type="fixed"/>
        <w:tblCellMar>
          <w:left w:w="10" w:type="dxa"/>
          <w:right w:w="10" w:type="dxa"/>
        </w:tblCellMar>
        <w:tblLook w:val="04A0"/>
      </w:tblPr>
      <w:tblGrid>
        <w:gridCol w:w="2543"/>
        <w:gridCol w:w="5877"/>
      </w:tblGrid>
      <w:tr w:rsidR="00800760">
        <w:trPr>
          <w:trHeight w:val="20"/>
          <w:jc w:val="center"/>
        </w:trPr>
        <w:tc>
          <w:tcPr>
            <w:tcW w:w="2543" w:type="dxa"/>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szCs w:val="21"/>
                <w:lang w:eastAsia="en-US"/>
              </w:rPr>
            </w:pPr>
            <w:r>
              <w:rPr>
                <w:rFonts w:ascii="仿宋_GB2312" w:eastAsia="仿宋_GB2312" w:hAnsi="宋体" w:hint="eastAsia"/>
                <w:color w:val="000000"/>
                <w:sz w:val="20"/>
                <w:szCs w:val="21"/>
                <w:lang w:eastAsia="en-US"/>
              </w:rPr>
              <w:t>专 利 号</w:t>
            </w:r>
          </w:p>
        </w:tc>
        <w:tc>
          <w:tcPr>
            <w:tcW w:w="5877" w:type="dxa"/>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宋体"/>
                <w:color w:val="000000"/>
                <w:sz w:val="20"/>
                <w:szCs w:val="21"/>
                <w:lang w:eastAsia="en-US"/>
              </w:rPr>
            </w:pPr>
          </w:p>
        </w:tc>
      </w:tr>
      <w:tr w:rsidR="00800760">
        <w:trPr>
          <w:trHeight w:val="20"/>
          <w:jc w:val="center"/>
        </w:trPr>
        <w:tc>
          <w:tcPr>
            <w:tcW w:w="2543" w:type="dxa"/>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szCs w:val="21"/>
                <w:lang w:eastAsia="en-US"/>
              </w:rPr>
            </w:pPr>
            <w:r>
              <w:rPr>
                <w:rFonts w:ascii="仿宋_GB2312" w:eastAsia="仿宋_GB2312" w:hAnsi="宋体" w:hint="eastAsia"/>
                <w:color w:val="000000"/>
                <w:sz w:val="20"/>
                <w:szCs w:val="21"/>
                <w:lang w:eastAsia="en-US"/>
              </w:rPr>
              <w:t>专利名称</w:t>
            </w:r>
          </w:p>
        </w:tc>
        <w:tc>
          <w:tcPr>
            <w:tcW w:w="5877" w:type="dxa"/>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宋体"/>
                <w:color w:val="000000"/>
                <w:sz w:val="20"/>
                <w:szCs w:val="21"/>
                <w:lang w:eastAsia="en-US"/>
              </w:rPr>
            </w:pPr>
          </w:p>
        </w:tc>
      </w:tr>
      <w:tr w:rsidR="00800760">
        <w:trPr>
          <w:trHeight w:val="20"/>
          <w:jc w:val="center"/>
        </w:trPr>
        <w:tc>
          <w:tcPr>
            <w:tcW w:w="2543" w:type="dxa"/>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szCs w:val="21"/>
                <w:lang w:eastAsia="en-US"/>
              </w:rPr>
            </w:pPr>
            <w:r>
              <w:rPr>
                <w:rFonts w:ascii="仿宋_GB2312" w:eastAsia="仿宋_GB2312" w:hAnsi="宋体" w:hint="eastAsia"/>
                <w:color w:val="000000"/>
                <w:sz w:val="20"/>
                <w:szCs w:val="21"/>
                <w:lang w:eastAsia="en-US"/>
              </w:rPr>
              <w:t>专利权人</w:t>
            </w:r>
          </w:p>
        </w:tc>
        <w:tc>
          <w:tcPr>
            <w:tcW w:w="5877" w:type="dxa"/>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宋体"/>
                <w:color w:val="000000"/>
                <w:sz w:val="20"/>
                <w:szCs w:val="21"/>
                <w:lang w:eastAsia="en-US"/>
              </w:rPr>
            </w:pPr>
          </w:p>
        </w:tc>
      </w:tr>
      <w:tr w:rsidR="00800760">
        <w:trPr>
          <w:trHeight w:val="20"/>
          <w:jc w:val="center"/>
        </w:trPr>
        <w:tc>
          <w:tcPr>
            <w:tcW w:w="2543"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szCs w:val="21"/>
                <w:lang w:eastAsia="en-US"/>
              </w:rPr>
            </w:pPr>
            <w:r>
              <w:rPr>
                <w:rFonts w:ascii="仿宋_GB2312" w:eastAsia="仿宋_GB2312" w:hAnsi="宋体" w:hint="eastAsia"/>
                <w:color w:val="000000"/>
                <w:sz w:val="20"/>
                <w:szCs w:val="21"/>
                <w:lang w:eastAsia="en-US"/>
              </w:rPr>
              <w:t>中止处理申请人</w:t>
            </w:r>
          </w:p>
        </w:tc>
        <w:tc>
          <w:tcPr>
            <w:tcW w:w="5877"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宋体"/>
                <w:color w:val="000000"/>
                <w:sz w:val="20"/>
                <w:szCs w:val="21"/>
                <w:lang w:eastAsia="en-US"/>
              </w:rPr>
            </w:pPr>
          </w:p>
        </w:tc>
      </w:tr>
    </w:tbl>
    <w:p w:rsidR="00800760" w:rsidRDefault="00800760">
      <w:pPr>
        <w:spacing w:line="360" w:lineRule="auto"/>
        <w:ind w:firstLineChars="0" w:firstLine="0"/>
        <w:rPr>
          <w:rFonts w:ascii="仿宋_GB2312" w:eastAsia="仿宋_GB2312" w:hAnsi="仿宋"/>
          <w:color w:val="000000"/>
          <w:sz w:val="20"/>
          <w:szCs w:val="21"/>
          <w:u w:val="single"/>
        </w:rPr>
      </w:pP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知识产权局：</w:t>
      </w:r>
    </w:p>
    <w:p w:rsidR="00800760" w:rsidRDefault="00235733">
      <w:pPr>
        <w:tabs>
          <w:tab w:val="left" w:leader="underscore" w:pos="2370"/>
        </w:tabs>
        <w:spacing w:line="360" w:lineRule="auto"/>
        <w:ind w:firstLineChars="244" w:firstLine="488"/>
        <w:rPr>
          <w:rFonts w:ascii="仿宋_GB2312" w:eastAsia="仿宋_GB2312" w:hAnsi="仿宋"/>
          <w:color w:val="000000"/>
          <w:sz w:val="20"/>
          <w:szCs w:val="21"/>
        </w:rPr>
      </w:pPr>
      <w:r>
        <w:rPr>
          <w:rFonts w:ascii="仿宋_GB2312" w:eastAsia="仿宋_GB2312" w:hAnsi="仿宋" w:hint="eastAsia"/>
          <w:color w:val="000000"/>
          <w:sz w:val="20"/>
          <w:szCs w:val="21"/>
        </w:rPr>
        <w:t>对于请求人</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提出的侵犯专利权纠纷处理请求，我（单位</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已向国家知识产权局提出宣告该专利权无效的请求并被受理。根据《中华人民共和国专利法实施细则》第八十二条的规定，特请求贵局中止对本案的处理。</w:t>
      </w:r>
    </w:p>
    <w:p w:rsidR="00800760" w:rsidRDefault="00800760">
      <w:pPr>
        <w:tabs>
          <w:tab w:val="left" w:leader="underscore" w:pos="2370"/>
        </w:tabs>
        <w:spacing w:line="360" w:lineRule="auto"/>
        <w:ind w:firstLineChars="244" w:firstLine="488"/>
        <w:rPr>
          <w:rFonts w:ascii="仿宋_GB2312" w:eastAsia="仿宋_GB2312" w:hAnsi="仿宋"/>
          <w:color w:val="000000"/>
          <w:sz w:val="20"/>
          <w:szCs w:val="21"/>
        </w:rPr>
      </w:pPr>
    </w:p>
    <w:p w:rsidR="00800760" w:rsidRDefault="00800760">
      <w:pPr>
        <w:tabs>
          <w:tab w:val="left" w:leader="underscore" w:pos="2370"/>
        </w:tabs>
        <w:spacing w:line="360" w:lineRule="auto"/>
        <w:ind w:firstLineChars="244" w:firstLine="488"/>
        <w:rPr>
          <w:rFonts w:ascii="仿宋_GB2312" w:eastAsia="仿宋_GB2312" w:hAnsi="仿宋"/>
          <w:color w:val="000000"/>
          <w:sz w:val="20"/>
          <w:szCs w:val="21"/>
        </w:rPr>
      </w:pPr>
    </w:p>
    <w:p w:rsidR="00800760" w:rsidRDefault="00235733">
      <w:pPr>
        <w:tabs>
          <w:tab w:val="left" w:leader="underscore" w:pos="6663"/>
        </w:tabs>
        <w:spacing w:line="360" w:lineRule="auto"/>
        <w:ind w:firstLineChars="1750" w:firstLine="3500"/>
        <w:rPr>
          <w:rFonts w:ascii="仿宋_GB2312" w:eastAsia="仿宋_GB2312" w:hAnsi="仿宋"/>
          <w:color w:val="000000"/>
          <w:sz w:val="20"/>
          <w:szCs w:val="21"/>
        </w:rPr>
      </w:pPr>
      <w:r>
        <w:rPr>
          <w:rFonts w:ascii="仿宋_GB2312" w:eastAsia="仿宋_GB2312" w:hAnsi="仿宋" w:hint="eastAsia"/>
          <w:color w:val="000000"/>
          <w:sz w:val="20"/>
          <w:szCs w:val="21"/>
        </w:rPr>
        <w:t>中止处理请求申请人（签章</w:t>
      </w:r>
      <w:r>
        <w:rPr>
          <w:rFonts w:ascii="仿宋_GB2312" w:eastAsia="仿宋_GB2312" w:hAnsi="仿宋" w:hint="eastAsia"/>
          <w:color w:val="000000"/>
          <w:sz w:val="20"/>
          <w:szCs w:val="21"/>
          <w:lang w:bidi="en-US"/>
        </w:rPr>
        <w:t>）：</w:t>
      </w:r>
      <w:r>
        <w:rPr>
          <w:rFonts w:ascii="仿宋_GB2312" w:eastAsia="仿宋_GB2312" w:hAnsi="宋体" w:hint="eastAsia"/>
          <w:color w:val="000000"/>
          <w:spacing w:val="6"/>
          <w:sz w:val="20"/>
          <w:szCs w:val="21"/>
          <w:u w:val="single"/>
        </w:rPr>
        <w:t xml:space="preserve">            </w:t>
      </w:r>
    </w:p>
    <w:p w:rsidR="00800760" w:rsidRDefault="00235733">
      <w:pPr>
        <w:tabs>
          <w:tab w:val="left" w:leader="underscore" w:pos="4820"/>
          <w:tab w:val="left" w:leader="underscore" w:pos="5529"/>
        </w:tabs>
        <w:spacing w:line="360" w:lineRule="auto"/>
        <w:ind w:leftChars="2695" w:left="5659" w:firstLineChars="51" w:firstLine="108"/>
        <w:rPr>
          <w:rFonts w:ascii="仿宋_GB2312" w:eastAsia="仿宋_GB2312" w:hAnsi="仿宋"/>
          <w:color w:val="000000"/>
          <w:sz w:val="20"/>
          <w:szCs w:val="21"/>
        </w:rPr>
      </w:pP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p>
    <w:p w:rsidR="00800760" w:rsidRDefault="00235733">
      <w:pPr>
        <w:spacing w:line="240" w:lineRule="auto"/>
        <w:ind w:firstLineChars="0" w:firstLine="0"/>
        <w:rPr>
          <w:rFonts w:ascii="宋体" w:hAnsi="宋体"/>
          <w:b/>
          <w:color w:val="000000"/>
          <w:sz w:val="20"/>
          <w:szCs w:val="21"/>
        </w:rPr>
      </w:pPr>
      <w:r>
        <w:rPr>
          <w:rFonts w:ascii="宋体" w:hAnsi="宋体"/>
          <w:b/>
          <w:color w:val="000000"/>
          <w:sz w:val="20"/>
          <w:szCs w:val="21"/>
        </w:rPr>
        <w:br w:type="page"/>
      </w:r>
    </w:p>
    <w:p w:rsidR="00800760" w:rsidRDefault="00235733">
      <w:pPr>
        <w:spacing w:line="360" w:lineRule="auto"/>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w:t>
      </w:r>
      <w:r>
        <w:rPr>
          <w:rFonts w:ascii="方正小标宋简体" w:eastAsia="方正小标宋简体" w:hAnsi="宋体"/>
          <w:color w:val="000000"/>
          <w:spacing w:val="6"/>
          <w:sz w:val="36"/>
          <w:szCs w:val="36"/>
        </w:rPr>
        <w:t>专利侵权纠纷</w:t>
      </w:r>
      <w:r>
        <w:rPr>
          <w:rFonts w:ascii="方正小标宋简体" w:eastAsia="方正小标宋简体" w:hAnsi="宋体" w:hint="eastAsia"/>
          <w:color w:val="000000"/>
          <w:spacing w:val="6"/>
          <w:sz w:val="36"/>
          <w:szCs w:val="36"/>
        </w:rPr>
        <w:t>行政裁决</w:t>
      </w:r>
      <w:r>
        <w:rPr>
          <w:rFonts w:ascii="方正小标宋简体" w:eastAsia="方正小标宋简体" w:hAnsi="宋体"/>
          <w:color w:val="000000"/>
          <w:spacing w:val="6"/>
          <w:sz w:val="36"/>
          <w:szCs w:val="36"/>
        </w:rPr>
        <w:t>中止处理申请书</w:t>
      </w:r>
    </w:p>
    <w:p w:rsidR="00800760" w:rsidRDefault="00235733">
      <w:pPr>
        <w:spacing w:line="360" w:lineRule="auto"/>
        <w:ind w:firstLineChars="0" w:firstLine="0"/>
        <w:jc w:val="right"/>
        <w:rPr>
          <w:rFonts w:ascii="仿宋_GB2312" w:eastAsia="仿宋_GB2312" w:hAnsi="仿宋"/>
          <w:color w:val="000000"/>
          <w:sz w:val="20"/>
          <w:szCs w:val="21"/>
        </w:rPr>
      </w:pPr>
      <w:r>
        <w:rPr>
          <w:rFonts w:ascii="仿宋_GB2312" w:eastAsia="仿宋_GB2312" w:hAnsi="仿宋" w:hint="eastAsia"/>
          <w:color w:val="000000"/>
          <w:sz w:val="20"/>
          <w:szCs w:val="21"/>
        </w:rPr>
        <w:t>案号：____________________</w:t>
      </w:r>
    </w:p>
    <w:tbl>
      <w:tblPr>
        <w:tblpPr w:vertAnchor="page" w:horzAnchor="page" w:tblpXSpec="center" w:tblpY="3438"/>
        <w:tblOverlap w:val="never"/>
        <w:tblW w:w="0" w:type="auto"/>
        <w:jc w:val="center"/>
        <w:tblLayout w:type="fixed"/>
        <w:tblCellMar>
          <w:left w:w="10" w:type="dxa"/>
          <w:right w:w="10" w:type="dxa"/>
        </w:tblCellMar>
        <w:tblLook w:val="04A0"/>
      </w:tblPr>
      <w:tblGrid>
        <w:gridCol w:w="2543"/>
        <w:gridCol w:w="5877"/>
      </w:tblGrid>
      <w:tr w:rsidR="00800760">
        <w:trPr>
          <w:trHeight w:val="20"/>
          <w:jc w:val="center"/>
        </w:trPr>
        <w:tc>
          <w:tcPr>
            <w:tcW w:w="2543" w:type="dxa"/>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szCs w:val="21"/>
                <w:lang w:eastAsia="en-US"/>
              </w:rPr>
            </w:pPr>
            <w:r>
              <w:rPr>
                <w:rFonts w:ascii="仿宋_GB2312" w:eastAsia="仿宋_GB2312" w:hAnsi="宋体" w:hint="eastAsia"/>
                <w:color w:val="000000"/>
                <w:sz w:val="20"/>
                <w:szCs w:val="21"/>
                <w:lang w:eastAsia="en-US"/>
              </w:rPr>
              <w:t>专 利 号</w:t>
            </w:r>
          </w:p>
        </w:tc>
        <w:tc>
          <w:tcPr>
            <w:tcW w:w="5877" w:type="dxa"/>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宋体"/>
                <w:color w:val="000000"/>
                <w:sz w:val="20"/>
                <w:szCs w:val="21"/>
                <w:lang w:eastAsia="en-US"/>
              </w:rPr>
            </w:pPr>
          </w:p>
        </w:tc>
      </w:tr>
      <w:tr w:rsidR="00800760">
        <w:trPr>
          <w:trHeight w:val="20"/>
          <w:jc w:val="center"/>
        </w:trPr>
        <w:tc>
          <w:tcPr>
            <w:tcW w:w="2543" w:type="dxa"/>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szCs w:val="21"/>
                <w:lang w:eastAsia="en-US"/>
              </w:rPr>
            </w:pPr>
            <w:r>
              <w:rPr>
                <w:rFonts w:ascii="仿宋_GB2312" w:eastAsia="仿宋_GB2312" w:hAnsi="宋体" w:hint="eastAsia"/>
                <w:color w:val="000000"/>
                <w:sz w:val="20"/>
                <w:szCs w:val="21"/>
                <w:lang w:eastAsia="en-US"/>
              </w:rPr>
              <w:t>专利名称</w:t>
            </w:r>
          </w:p>
        </w:tc>
        <w:tc>
          <w:tcPr>
            <w:tcW w:w="5877" w:type="dxa"/>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宋体"/>
                <w:color w:val="000000"/>
                <w:sz w:val="20"/>
                <w:szCs w:val="21"/>
                <w:lang w:eastAsia="en-US"/>
              </w:rPr>
            </w:pPr>
          </w:p>
        </w:tc>
      </w:tr>
      <w:tr w:rsidR="00800760">
        <w:trPr>
          <w:trHeight w:val="20"/>
          <w:jc w:val="center"/>
        </w:trPr>
        <w:tc>
          <w:tcPr>
            <w:tcW w:w="2543" w:type="dxa"/>
            <w:tcBorders>
              <w:top w:val="single" w:sz="4" w:space="0" w:color="auto"/>
              <w:left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szCs w:val="21"/>
                <w:lang w:eastAsia="en-US"/>
              </w:rPr>
            </w:pPr>
            <w:r>
              <w:rPr>
                <w:rFonts w:ascii="仿宋_GB2312" w:eastAsia="仿宋_GB2312" w:hAnsi="宋体" w:hint="eastAsia"/>
                <w:color w:val="000000"/>
                <w:sz w:val="20"/>
                <w:szCs w:val="21"/>
                <w:lang w:eastAsia="en-US"/>
              </w:rPr>
              <w:t>专利权人</w:t>
            </w:r>
          </w:p>
        </w:tc>
        <w:tc>
          <w:tcPr>
            <w:tcW w:w="5877" w:type="dxa"/>
            <w:tcBorders>
              <w:top w:val="single" w:sz="4" w:space="0" w:color="auto"/>
              <w:left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宋体"/>
                <w:color w:val="000000"/>
                <w:sz w:val="20"/>
                <w:szCs w:val="21"/>
                <w:lang w:eastAsia="en-US"/>
              </w:rPr>
            </w:pPr>
          </w:p>
        </w:tc>
      </w:tr>
      <w:tr w:rsidR="00800760">
        <w:trPr>
          <w:trHeight w:val="20"/>
          <w:jc w:val="center"/>
        </w:trPr>
        <w:tc>
          <w:tcPr>
            <w:tcW w:w="2543"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800760" w:rsidRDefault="00235733">
            <w:pPr>
              <w:spacing w:line="360" w:lineRule="auto"/>
              <w:ind w:firstLineChars="0" w:firstLine="0"/>
              <w:jc w:val="center"/>
              <w:rPr>
                <w:rFonts w:ascii="仿宋_GB2312" w:eastAsia="仿宋_GB2312" w:hAnsi="宋体"/>
                <w:color w:val="000000"/>
                <w:sz w:val="20"/>
                <w:szCs w:val="21"/>
                <w:lang w:eastAsia="en-US"/>
              </w:rPr>
            </w:pPr>
            <w:r>
              <w:rPr>
                <w:rFonts w:ascii="仿宋_GB2312" w:eastAsia="仿宋_GB2312" w:hAnsi="宋体" w:hint="eastAsia"/>
                <w:color w:val="000000"/>
                <w:sz w:val="20"/>
                <w:szCs w:val="21"/>
                <w:lang w:eastAsia="en-US"/>
              </w:rPr>
              <w:t>中止处理申请人</w:t>
            </w:r>
          </w:p>
        </w:tc>
        <w:tc>
          <w:tcPr>
            <w:tcW w:w="5877"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tcPr>
          <w:p w:rsidR="00800760" w:rsidRDefault="00800760">
            <w:pPr>
              <w:spacing w:line="360" w:lineRule="auto"/>
              <w:ind w:firstLineChars="0" w:firstLine="0"/>
              <w:rPr>
                <w:rFonts w:ascii="仿宋_GB2312" w:eastAsia="仿宋_GB2312" w:hAnsi="宋体"/>
                <w:color w:val="000000"/>
                <w:sz w:val="20"/>
                <w:szCs w:val="21"/>
                <w:lang w:eastAsia="en-US"/>
              </w:rPr>
            </w:pPr>
          </w:p>
        </w:tc>
      </w:tr>
    </w:tbl>
    <w:p w:rsidR="00800760" w:rsidRDefault="00800760">
      <w:pPr>
        <w:spacing w:line="360" w:lineRule="auto"/>
        <w:ind w:firstLineChars="0" w:firstLine="0"/>
        <w:jc w:val="right"/>
        <w:rPr>
          <w:rFonts w:ascii="仿宋_GB2312" w:eastAsia="仿宋_GB2312" w:hAnsi="仿宋"/>
          <w:color w:val="000000"/>
          <w:sz w:val="20"/>
          <w:szCs w:val="21"/>
          <w:lang w:eastAsia="en-US"/>
        </w:rPr>
      </w:pP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国家知识产权局：</w:t>
      </w:r>
    </w:p>
    <w:p w:rsidR="00800760" w:rsidRDefault="00235733">
      <w:pPr>
        <w:tabs>
          <w:tab w:val="left" w:leader="underscore" w:pos="2370"/>
        </w:tabs>
        <w:spacing w:line="360" w:lineRule="auto"/>
        <w:ind w:firstLineChars="244" w:firstLine="488"/>
        <w:rPr>
          <w:rFonts w:ascii="仿宋_GB2312" w:eastAsia="仿宋_GB2312" w:hAnsi="仿宋"/>
          <w:color w:val="000000"/>
          <w:sz w:val="20"/>
          <w:szCs w:val="21"/>
        </w:rPr>
      </w:pPr>
      <w:r>
        <w:rPr>
          <w:rFonts w:ascii="仿宋_GB2312" w:eastAsia="仿宋_GB2312" w:hAnsi="仿宋" w:hint="eastAsia"/>
          <w:color w:val="000000"/>
          <w:sz w:val="20"/>
          <w:szCs w:val="21"/>
        </w:rPr>
        <w:t>对于请求人</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提出的重大专利侵权纠纷行政裁决请求，我（单位</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已向国家知识产权局提出宣告该专利权无效的请求并被受理。根据《专利纠纷行政裁决和调解办法》的规定，特请求贵局中止对本案的处理。</w:t>
      </w:r>
    </w:p>
    <w:p w:rsidR="00800760" w:rsidRDefault="00800760">
      <w:pPr>
        <w:tabs>
          <w:tab w:val="left" w:leader="underscore" w:pos="2370"/>
        </w:tabs>
        <w:spacing w:line="360" w:lineRule="auto"/>
        <w:ind w:firstLineChars="244" w:firstLine="488"/>
        <w:rPr>
          <w:rFonts w:ascii="仿宋_GB2312" w:eastAsia="仿宋_GB2312" w:hAnsi="仿宋"/>
          <w:color w:val="000000"/>
          <w:sz w:val="20"/>
          <w:szCs w:val="21"/>
        </w:rPr>
      </w:pPr>
    </w:p>
    <w:p w:rsidR="00800760" w:rsidRDefault="00800760">
      <w:pPr>
        <w:tabs>
          <w:tab w:val="left" w:leader="underscore" w:pos="2370"/>
        </w:tabs>
        <w:spacing w:line="360" w:lineRule="auto"/>
        <w:ind w:firstLineChars="244" w:firstLine="488"/>
        <w:rPr>
          <w:rFonts w:ascii="仿宋_GB2312" w:eastAsia="仿宋_GB2312" w:hAnsi="仿宋"/>
          <w:color w:val="000000"/>
          <w:sz w:val="20"/>
          <w:szCs w:val="21"/>
        </w:rPr>
      </w:pPr>
    </w:p>
    <w:p w:rsidR="00800760" w:rsidRDefault="00235733">
      <w:pPr>
        <w:tabs>
          <w:tab w:val="left" w:leader="underscore" w:pos="6663"/>
        </w:tabs>
        <w:spacing w:line="360" w:lineRule="auto"/>
        <w:ind w:firstLineChars="2000" w:firstLine="4000"/>
        <w:rPr>
          <w:rFonts w:ascii="仿宋_GB2312" w:eastAsia="仿宋_GB2312" w:hAnsi="仿宋"/>
          <w:color w:val="000000"/>
          <w:sz w:val="20"/>
          <w:szCs w:val="21"/>
        </w:rPr>
      </w:pPr>
      <w:r>
        <w:rPr>
          <w:rFonts w:ascii="仿宋_GB2312" w:eastAsia="仿宋_GB2312" w:hAnsi="仿宋" w:hint="eastAsia"/>
          <w:color w:val="000000"/>
          <w:sz w:val="20"/>
          <w:szCs w:val="21"/>
        </w:rPr>
        <w:t>中止处理请求申请人（签章</w:t>
      </w:r>
      <w:r>
        <w:rPr>
          <w:rFonts w:ascii="仿宋_GB2312" w:eastAsia="仿宋_GB2312" w:hAnsi="仿宋" w:hint="eastAsia"/>
          <w:color w:val="000000"/>
          <w:sz w:val="20"/>
          <w:szCs w:val="21"/>
          <w:lang w:bidi="en-US"/>
        </w:rPr>
        <w:t>）：</w:t>
      </w:r>
      <w:r>
        <w:rPr>
          <w:rFonts w:ascii="仿宋_GB2312" w:eastAsia="仿宋_GB2312" w:hAnsi="宋体" w:hint="eastAsia"/>
          <w:color w:val="000000"/>
          <w:spacing w:val="6"/>
          <w:sz w:val="20"/>
          <w:szCs w:val="21"/>
          <w:u w:val="single"/>
        </w:rPr>
        <w:t xml:space="preserve">            </w:t>
      </w:r>
    </w:p>
    <w:p w:rsidR="00800760" w:rsidRDefault="00235733">
      <w:pPr>
        <w:tabs>
          <w:tab w:val="left" w:leader="underscore" w:pos="4820"/>
          <w:tab w:val="left" w:leader="underscore" w:pos="5529"/>
        </w:tabs>
        <w:spacing w:line="360" w:lineRule="auto"/>
        <w:ind w:leftChars="2695" w:left="5659" w:firstLineChars="0" w:firstLine="0"/>
        <w:rPr>
          <w:rFonts w:ascii="仿宋_GB2312" w:eastAsia="仿宋_GB2312" w:hAnsi="仿宋"/>
          <w:color w:val="000000"/>
          <w:sz w:val="20"/>
          <w:szCs w:val="21"/>
        </w:rPr>
      </w:pP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p>
    <w:p w:rsidR="00800760" w:rsidRDefault="00235733" w:rsidP="00C22A7B">
      <w:pPr>
        <w:spacing w:beforeLines="50" w:afterLines="50" w:line="360" w:lineRule="auto"/>
        <w:ind w:firstLineChars="0" w:firstLine="0"/>
        <w:jc w:val="center"/>
        <w:rPr>
          <w:rFonts w:ascii="方正小标宋_GBK" w:eastAsia="方正小标宋_GBK" w:hAnsi="宋体"/>
          <w:color w:val="000000"/>
          <w:spacing w:val="6"/>
          <w:sz w:val="36"/>
          <w:szCs w:val="36"/>
        </w:rPr>
      </w:pPr>
      <w:r>
        <w:rPr>
          <w:rFonts w:ascii="仿宋_GB2312" w:eastAsia="仿宋_GB2312" w:hAnsi="宋体" w:hint="eastAsia"/>
          <w:b/>
          <w:color w:val="000000"/>
          <w:sz w:val="20"/>
          <w:szCs w:val="21"/>
        </w:rPr>
        <w:br w:type="page"/>
      </w:r>
      <w:r>
        <w:rPr>
          <w:rFonts w:ascii="方正小标宋_GBK" w:eastAsia="方正小标宋_GBK" w:hAnsi="宋体"/>
          <w:color w:val="000000"/>
          <w:spacing w:val="6"/>
          <w:sz w:val="36"/>
          <w:szCs w:val="36"/>
        </w:rPr>
        <w:t>专利侵权纠纷案件调查取证请求书</w:t>
      </w:r>
    </w:p>
    <w:p w:rsidR="00800760" w:rsidRDefault="00235733">
      <w:pPr>
        <w:spacing w:line="360" w:lineRule="auto"/>
        <w:ind w:firstLineChars="0" w:firstLine="0"/>
        <w:jc w:val="right"/>
        <w:rPr>
          <w:rFonts w:ascii="仿宋_GB2312" w:eastAsia="仿宋_GB2312" w:hAnsi="仿宋"/>
          <w:color w:val="000000"/>
          <w:sz w:val="20"/>
          <w:szCs w:val="21"/>
          <w:lang w:eastAsia="en-US"/>
        </w:rPr>
      </w:pPr>
      <w:r>
        <w:rPr>
          <w:rFonts w:ascii="仿宋_GB2312" w:eastAsia="仿宋_GB2312" w:hAnsi="仿宋" w:hint="eastAsia"/>
          <w:color w:val="000000"/>
          <w:sz w:val="20"/>
          <w:szCs w:val="21"/>
          <w:lang w:eastAsia="en-US"/>
        </w:rPr>
        <w:t>案号：____________________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14"/>
        <w:gridCol w:w="5346"/>
      </w:tblGrid>
      <w:tr w:rsidR="00800760">
        <w:trPr>
          <w:trHeight w:val="20"/>
        </w:trPr>
        <w:tc>
          <w:tcPr>
            <w:tcW w:w="1724" w:type="pct"/>
            <w:tcMar>
              <w:left w:w="57" w:type="dxa"/>
              <w:right w:w="57" w:type="dxa"/>
            </w:tcMar>
            <w:vAlign w:val="center"/>
          </w:tcPr>
          <w:p w:rsidR="00800760" w:rsidRDefault="00235733">
            <w:pPr>
              <w:spacing w:line="360" w:lineRule="auto"/>
              <w:ind w:firstLine="400"/>
              <w:jc w:val="center"/>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被调查人姓名（名称）</w:t>
            </w:r>
          </w:p>
        </w:tc>
        <w:tc>
          <w:tcPr>
            <w:tcW w:w="3276"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szCs w:val="21"/>
              </w:rPr>
            </w:pPr>
          </w:p>
        </w:tc>
      </w:tr>
      <w:tr w:rsidR="00800760">
        <w:trPr>
          <w:trHeight w:val="20"/>
        </w:trPr>
        <w:tc>
          <w:tcPr>
            <w:tcW w:w="1724" w:type="pct"/>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被调查人联系方式</w:t>
            </w:r>
          </w:p>
        </w:tc>
        <w:tc>
          <w:tcPr>
            <w:tcW w:w="3276" w:type="pct"/>
            <w:tcMar>
              <w:left w:w="57" w:type="dxa"/>
              <w:right w:w="57" w:type="dxa"/>
            </w:tcMar>
            <w:vAlign w:val="center"/>
          </w:tcPr>
          <w:p w:rsidR="00800760" w:rsidRDefault="00800760">
            <w:pPr>
              <w:widowControl w:val="0"/>
              <w:spacing w:line="360" w:lineRule="auto"/>
              <w:jc w:val="center"/>
              <w:rPr>
                <w:rFonts w:ascii="仿宋_GB2312" w:eastAsia="仿宋_GB2312" w:hAnsi="宋体" w:cs="Microsoft JhengHei"/>
                <w:color w:val="000000"/>
                <w:kern w:val="2"/>
                <w:szCs w:val="21"/>
                <w:lang w:val="en-US"/>
              </w:rPr>
            </w:pPr>
          </w:p>
        </w:tc>
      </w:tr>
      <w:tr w:rsidR="00800760">
        <w:trPr>
          <w:trHeight w:val="20"/>
        </w:trPr>
        <w:tc>
          <w:tcPr>
            <w:tcW w:w="1724"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被调查人住所地</w:t>
            </w:r>
          </w:p>
        </w:tc>
        <w:tc>
          <w:tcPr>
            <w:tcW w:w="3276"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szCs w:val="21"/>
                <w:lang w:eastAsia="en-US"/>
              </w:rPr>
            </w:pPr>
          </w:p>
        </w:tc>
      </w:tr>
      <w:tr w:rsidR="00800760">
        <w:trPr>
          <w:trHeight w:val="20"/>
        </w:trPr>
        <w:tc>
          <w:tcPr>
            <w:tcW w:w="1724"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请求调查的证据</w:t>
            </w:r>
          </w:p>
          <w:p w:rsidR="00800760" w:rsidRDefault="00235733">
            <w:pPr>
              <w:spacing w:line="360" w:lineRule="auto"/>
              <w:ind w:firstLineChars="0" w:firstLine="0"/>
              <w:jc w:val="center"/>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内容及证明事实</w:t>
            </w:r>
          </w:p>
        </w:tc>
        <w:tc>
          <w:tcPr>
            <w:tcW w:w="3276"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szCs w:val="21"/>
              </w:rPr>
            </w:pPr>
          </w:p>
        </w:tc>
      </w:tr>
      <w:tr w:rsidR="00800760">
        <w:trPr>
          <w:trHeight w:val="488"/>
        </w:trPr>
        <w:tc>
          <w:tcPr>
            <w:tcW w:w="1724" w:type="pct"/>
            <w:tcMar>
              <w:left w:w="57" w:type="dxa"/>
              <w:right w:w="57" w:type="dxa"/>
            </w:tcMar>
            <w:vAlign w:val="center"/>
          </w:tcPr>
          <w:p w:rsidR="00800760" w:rsidRDefault="00235733">
            <w:pPr>
              <w:spacing w:line="360" w:lineRule="auto"/>
              <w:ind w:firstLineChars="0" w:firstLine="0"/>
              <w:jc w:val="center"/>
              <w:rPr>
                <w:rFonts w:ascii="仿宋_GB2312" w:eastAsia="仿宋_GB2312" w:hAnsi="宋体" w:cs="Microsoft JhengHei"/>
                <w:color w:val="000000"/>
                <w:sz w:val="20"/>
                <w:szCs w:val="21"/>
                <w:lang w:eastAsia="en-US"/>
              </w:rPr>
            </w:pPr>
            <w:r>
              <w:rPr>
                <w:rFonts w:ascii="仿宋_GB2312" w:eastAsia="仿宋_GB2312" w:hAnsi="宋体" w:cs="Microsoft JhengHei" w:hint="eastAsia"/>
                <w:color w:val="000000"/>
                <w:sz w:val="20"/>
                <w:szCs w:val="21"/>
                <w:lang w:eastAsia="en-US"/>
              </w:rPr>
              <w:t>证据存放地点</w:t>
            </w:r>
          </w:p>
        </w:tc>
        <w:tc>
          <w:tcPr>
            <w:tcW w:w="3276" w:type="pct"/>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szCs w:val="21"/>
                <w:lang w:eastAsia="en-US"/>
              </w:rPr>
            </w:pPr>
          </w:p>
        </w:tc>
      </w:tr>
      <w:tr w:rsidR="00800760">
        <w:trPr>
          <w:trHeight w:val="20"/>
        </w:trPr>
        <w:tc>
          <w:tcPr>
            <w:tcW w:w="5000" w:type="pct"/>
            <w:gridSpan w:val="2"/>
            <w:tcMar>
              <w:left w:w="57" w:type="dxa"/>
              <w:right w:w="57" w:type="dxa"/>
            </w:tcMar>
            <w:vAlign w:val="center"/>
          </w:tcPr>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235733">
            <w:pPr>
              <w:spacing w:line="360" w:lineRule="auto"/>
              <w:ind w:firstLine="400"/>
              <w:rPr>
                <w:rFonts w:ascii="仿宋_GB2312" w:eastAsia="仿宋_GB2312" w:hAnsi="宋体" w:cs="Microsoft JhengHei"/>
                <w:color w:val="000000"/>
                <w:sz w:val="20"/>
                <w:szCs w:val="21"/>
              </w:rPr>
            </w:pPr>
            <w:r>
              <w:rPr>
                <w:rFonts w:ascii="仿宋_GB2312" w:eastAsia="仿宋_GB2312" w:hAnsi="宋体" w:cs="Microsoft JhengHei" w:hint="eastAsia"/>
                <w:color w:val="000000"/>
                <w:sz w:val="20"/>
                <w:szCs w:val="21"/>
              </w:rPr>
              <w:t>请求理由：</w:t>
            </w: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800760">
            <w:pPr>
              <w:spacing w:line="360" w:lineRule="auto"/>
              <w:ind w:firstLineChars="0" w:firstLine="0"/>
              <w:jc w:val="center"/>
              <w:rPr>
                <w:rFonts w:ascii="仿宋_GB2312" w:eastAsia="仿宋_GB2312" w:hAnsi="宋体" w:cs="Microsoft JhengHei"/>
                <w:color w:val="000000"/>
                <w:sz w:val="20"/>
                <w:szCs w:val="21"/>
              </w:rPr>
            </w:pPr>
          </w:p>
          <w:p w:rsidR="00800760" w:rsidRDefault="00235733">
            <w:pPr>
              <w:spacing w:line="360" w:lineRule="auto"/>
              <w:ind w:firstLineChars="0" w:firstLine="0"/>
              <w:jc w:val="center"/>
              <w:rPr>
                <w:rFonts w:ascii="仿宋_GB2312" w:eastAsia="仿宋_GB2312" w:hAnsi="宋体" w:cs="Microsoft JhengHei"/>
                <w:color w:val="000000"/>
                <w:sz w:val="20"/>
                <w:szCs w:val="21"/>
                <w:u w:val="single"/>
              </w:rPr>
            </w:pPr>
            <w:r>
              <w:rPr>
                <w:rFonts w:ascii="仿宋_GB2312" w:eastAsia="仿宋_GB2312" w:hAnsi="宋体" w:cs="Microsoft JhengHei" w:hint="eastAsia"/>
                <w:color w:val="000000"/>
                <w:sz w:val="20"/>
                <w:szCs w:val="21"/>
              </w:rPr>
              <w:t xml:space="preserve">              请求人（签章）：</w:t>
            </w:r>
            <w:r>
              <w:rPr>
                <w:rFonts w:ascii="仿宋_GB2312" w:eastAsia="仿宋_GB2312" w:hAnsi="宋体" w:cs="Microsoft JhengHei" w:hint="eastAsia"/>
                <w:color w:val="000000"/>
                <w:sz w:val="20"/>
                <w:szCs w:val="21"/>
                <w:u w:val="single"/>
              </w:rPr>
              <w:t xml:space="preserve">                 </w:t>
            </w:r>
          </w:p>
          <w:p w:rsidR="00800760" w:rsidRDefault="00800760">
            <w:pPr>
              <w:spacing w:line="360" w:lineRule="auto"/>
              <w:ind w:leftChars="800" w:left="1680" w:firstLineChars="1350" w:firstLine="2862"/>
              <w:rPr>
                <w:rFonts w:ascii="仿宋_GB2312" w:eastAsia="仿宋_GB2312" w:hAnsi="宋体" w:cs="PMingLiU"/>
                <w:color w:val="000000"/>
                <w:spacing w:val="6"/>
                <w:sz w:val="20"/>
                <w:szCs w:val="21"/>
                <w:u w:val="single"/>
              </w:rPr>
            </w:pPr>
          </w:p>
          <w:p w:rsidR="00800760" w:rsidRDefault="00235733">
            <w:pPr>
              <w:spacing w:line="360" w:lineRule="auto"/>
              <w:ind w:leftChars="800" w:left="1680" w:firstLineChars="1650" w:firstLine="3498"/>
              <w:rPr>
                <w:rFonts w:ascii="仿宋_GB2312" w:eastAsia="仿宋_GB2312" w:hAnsi="宋体" w:cs="Microsoft JhengHei"/>
                <w:color w:val="000000"/>
                <w:sz w:val="20"/>
                <w:szCs w:val="21"/>
              </w:rPr>
            </w:pPr>
            <w:r>
              <w:rPr>
                <w:rFonts w:ascii="仿宋_GB2312" w:eastAsia="仿宋_GB2312" w:hAnsi="宋体" w:cs="PMingLiU" w:hint="eastAsia"/>
                <w:color w:val="000000"/>
                <w:spacing w:val="6"/>
                <w:sz w:val="20"/>
                <w:szCs w:val="21"/>
                <w:u w:val="single"/>
              </w:rPr>
              <w:t xml:space="preserve">      </w:t>
            </w:r>
            <w:r>
              <w:rPr>
                <w:rFonts w:ascii="仿宋_GB2312" w:eastAsia="仿宋_GB2312" w:hAnsi="宋体" w:cs="PMingLiU" w:hint="eastAsia"/>
                <w:color w:val="000000"/>
                <w:spacing w:val="6"/>
                <w:sz w:val="20"/>
                <w:szCs w:val="21"/>
              </w:rPr>
              <w:t>年</w:t>
            </w:r>
            <w:r>
              <w:rPr>
                <w:rFonts w:ascii="仿宋_GB2312" w:eastAsia="仿宋_GB2312" w:hAnsi="宋体" w:cs="PMingLiU" w:hint="eastAsia"/>
                <w:color w:val="000000"/>
                <w:spacing w:val="6"/>
                <w:sz w:val="20"/>
                <w:szCs w:val="21"/>
                <w:u w:val="single"/>
              </w:rPr>
              <w:t xml:space="preserve">    </w:t>
            </w:r>
            <w:r>
              <w:rPr>
                <w:rFonts w:ascii="仿宋_GB2312" w:eastAsia="仿宋_GB2312" w:hAnsi="宋体" w:cs="PMingLiU" w:hint="eastAsia"/>
                <w:color w:val="000000"/>
                <w:spacing w:val="6"/>
                <w:sz w:val="20"/>
                <w:szCs w:val="21"/>
              </w:rPr>
              <w:t>月</w:t>
            </w:r>
            <w:r>
              <w:rPr>
                <w:rFonts w:ascii="仿宋_GB2312" w:eastAsia="仿宋_GB2312" w:hAnsi="宋体" w:cs="PMingLiU" w:hint="eastAsia"/>
                <w:color w:val="000000"/>
                <w:spacing w:val="6"/>
                <w:sz w:val="20"/>
                <w:szCs w:val="21"/>
                <w:u w:val="single"/>
              </w:rPr>
              <w:t xml:space="preserve">    </w:t>
            </w:r>
            <w:r>
              <w:rPr>
                <w:rFonts w:ascii="仿宋_GB2312" w:eastAsia="仿宋_GB2312" w:hAnsi="宋体" w:cs="PMingLiU" w:hint="eastAsia"/>
                <w:color w:val="000000"/>
                <w:spacing w:val="6"/>
                <w:sz w:val="20"/>
                <w:szCs w:val="21"/>
              </w:rPr>
              <w:t>日</w:t>
            </w:r>
          </w:p>
        </w:tc>
      </w:tr>
    </w:tbl>
    <w:p w:rsidR="00800760" w:rsidRDefault="00235733">
      <w:pPr>
        <w:spacing w:line="240" w:lineRule="auto"/>
        <w:ind w:firstLineChars="0" w:firstLine="0"/>
        <w:jc w:val="center"/>
        <w:rPr>
          <w:rFonts w:ascii="方正小标宋简体" w:eastAsia="方正小标宋简体" w:hAnsi="宋体"/>
          <w:color w:val="000000"/>
          <w:spacing w:val="6"/>
          <w:sz w:val="36"/>
          <w:szCs w:val="36"/>
        </w:rPr>
      </w:pPr>
      <w:r>
        <w:rPr>
          <w:rFonts w:ascii="宋体" w:hAnsi="宋体"/>
          <w:b/>
          <w:color w:val="000000"/>
          <w:sz w:val="20"/>
          <w:szCs w:val="21"/>
        </w:rPr>
        <w:br w:type="page"/>
      </w:r>
      <w:r>
        <w:rPr>
          <w:rFonts w:ascii="方正小标宋简体" w:eastAsia="方正小标宋简体" w:hAnsi="宋体" w:hint="eastAsia"/>
          <w:color w:val="000000"/>
          <w:spacing w:val="6"/>
          <w:sz w:val="36"/>
          <w:szCs w:val="36"/>
        </w:rPr>
        <w:t>重大</w:t>
      </w:r>
      <w:r>
        <w:rPr>
          <w:rFonts w:ascii="方正小标宋简体" w:eastAsia="方正小标宋简体" w:hAnsi="宋体"/>
          <w:color w:val="000000"/>
          <w:spacing w:val="6"/>
          <w:sz w:val="36"/>
          <w:szCs w:val="36"/>
        </w:rPr>
        <w:t>专利侵权纠纷</w:t>
      </w:r>
      <w:r>
        <w:rPr>
          <w:rFonts w:ascii="方正小标宋简体" w:eastAsia="方正小标宋简体" w:hAnsi="宋体" w:hint="eastAsia"/>
          <w:color w:val="000000"/>
          <w:spacing w:val="6"/>
          <w:sz w:val="36"/>
          <w:szCs w:val="36"/>
        </w:rPr>
        <w:t>行政裁决</w:t>
      </w:r>
      <w:r>
        <w:rPr>
          <w:rFonts w:ascii="方正小标宋简体" w:eastAsia="方正小标宋简体" w:hAnsi="宋体"/>
          <w:color w:val="000000"/>
          <w:spacing w:val="6"/>
          <w:sz w:val="36"/>
          <w:szCs w:val="36"/>
        </w:rPr>
        <w:t>调查取证请求书</w:t>
      </w:r>
    </w:p>
    <w:p w:rsidR="00800760" w:rsidRDefault="00800760">
      <w:pPr>
        <w:spacing w:line="360" w:lineRule="auto"/>
        <w:ind w:firstLineChars="0" w:firstLine="744"/>
        <w:jc w:val="center"/>
        <w:rPr>
          <w:rFonts w:ascii="方正小标宋_GBK" w:eastAsia="方正小标宋_GBK" w:hAnsi="宋体"/>
          <w:color w:val="000000"/>
          <w:spacing w:val="6"/>
          <w:sz w:val="36"/>
          <w:szCs w:val="36"/>
        </w:rPr>
      </w:pPr>
    </w:p>
    <w:p w:rsidR="00800760" w:rsidRDefault="00235733">
      <w:pPr>
        <w:spacing w:line="360" w:lineRule="auto"/>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tbl>
      <w:tblPr>
        <w:tblW w:w="8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03"/>
        <w:gridCol w:w="5376"/>
      </w:tblGrid>
      <w:tr w:rsidR="00800760">
        <w:trPr>
          <w:trHeight w:val="20"/>
        </w:trPr>
        <w:tc>
          <w:tcPr>
            <w:tcW w:w="2903" w:type="dxa"/>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被调查人姓名（名称）</w:t>
            </w:r>
          </w:p>
        </w:tc>
        <w:tc>
          <w:tcPr>
            <w:tcW w:w="5376" w:type="dxa"/>
            <w:tcMar>
              <w:left w:w="57" w:type="dxa"/>
              <w:right w:w="57" w:type="dxa"/>
            </w:tcMar>
            <w:vAlign w:val="center"/>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517"/>
        </w:trPr>
        <w:tc>
          <w:tcPr>
            <w:tcW w:w="2903" w:type="dxa"/>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被调查人联系方式</w:t>
            </w:r>
          </w:p>
        </w:tc>
        <w:tc>
          <w:tcPr>
            <w:tcW w:w="5376" w:type="dxa"/>
            <w:tcMar>
              <w:left w:w="57" w:type="dxa"/>
              <w:right w:w="57" w:type="dxa"/>
            </w:tcMar>
            <w:vAlign w:val="center"/>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20"/>
        </w:trPr>
        <w:tc>
          <w:tcPr>
            <w:tcW w:w="2903" w:type="dxa"/>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被调查人住所/地址</w:t>
            </w:r>
          </w:p>
        </w:tc>
        <w:tc>
          <w:tcPr>
            <w:tcW w:w="5376" w:type="dxa"/>
            <w:tcMar>
              <w:left w:w="57" w:type="dxa"/>
              <w:right w:w="57" w:type="dxa"/>
            </w:tcMar>
            <w:vAlign w:val="center"/>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20"/>
        </w:trPr>
        <w:tc>
          <w:tcPr>
            <w:tcW w:w="2903" w:type="dxa"/>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请求调查的证据</w:t>
            </w:r>
          </w:p>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内容及证明事实</w:t>
            </w:r>
          </w:p>
        </w:tc>
        <w:tc>
          <w:tcPr>
            <w:tcW w:w="5376" w:type="dxa"/>
            <w:tcMar>
              <w:left w:w="57" w:type="dxa"/>
              <w:right w:w="57" w:type="dxa"/>
            </w:tcMar>
            <w:vAlign w:val="center"/>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20"/>
        </w:trPr>
        <w:tc>
          <w:tcPr>
            <w:tcW w:w="2903" w:type="dxa"/>
            <w:tcMar>
              <w:left w:w="57" w:type="dxa"/>
              <w:right w:w="57" w:type="dxa"/>
            </w:tcMar>
            <w:vAlign w:val="center"/>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证据存放地点</w:t>
            </w:r>
          </w:p>
        </w:tc>
        <w:tc>
          <w:tcPr>
            <w:tcW w:w="5376" w:type="dxa"/>
            <w:tcMar>
              <w:left w:w="57" w:type="dxa"/>
              <w:right w:w="57" w:type="dxa"/>
            </w:tcMar>
            <w:vAlign w:val="center"/>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5672"/>
        </w:trPr>
        <w:tc>
          <w:tcPr>
            <w:tcW w:w="8279" w:type="dxa"/>
            <w:gridSpan w:val="2"/>
            <w:tcMar>
              <w:left w:w="57" w:type="dxa"/>
              <w:right w:w="57" w:type="dxa"/>
            </w:tcMar>
            <w:vAlign w:val="center"/>
          </w:tcPr>
          <w:p w:rsidR="00800760" w:rsidRDefault="00235733">
            <w:pPr>
              <w:widowControl w:val="0"/>
              <w:spacing w:line="360" w:lineRule="auto"/>
              <w:ind w:firstLineChars="300" w:firstLine="600"/>
              <w:rPr>
                <w:rFonts w:ascii="仿宋_GB2312" w:eastAsia="仿宋_GB2312" w:hAnsi="宋体" w:cs="Microsoft JhengHei"/>
                <w:color w:val="000000"/>
                <w:sz w:val="20"/>
              </w:rPr>
            </w:pPr>
            <w:r>
              <w:rPr>
                <w:rFonts w:ascii="仿宋_GB2312" w:eastAsia="仿宋_GB2312" w:hAnsi="宋体" w:cs="Microsoft JhengHei" w:hint="eastAsia"/>
                <w:color w:val="000000"/>
                <w:sz w:val="20"/>
              </w:rPr>
              <w:t xml:space="preserve">请求理由：                     </w:t>
            </w: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235733">
            <w:pPr>
              <w:ind w:firstLineChars="0" w:firstLine="0"/>
              <w:jc w:val="center"/>
              <w:rPr>
                <w:rFonts w:ascii="仿宋_GB2312" w:eastAsia="仿宋_GB2312" w:hAnsi="宋体" w:cs="Microsoft JhengHei"/>
                <w:color w:val="000000"/>
                <w:sz w:val="20"/>
                <w:u w:val="single"/>
              </w:rPr>
            </w:pPr>
            <w:r>
              <w:rPr>
                <w:rFonts w:ascii="仿宋_GB2312" w:eastAsia="仿宋_GB2312" w:hAnsi="宋体" w:cs="Microsoft JhengHei" w:hint="eastAsia"/>
                <w:color w:val="000000"/>
                <w:sz w:val="20"/>
              </w:rPr>
              <w:t xml:space="preserve">                   请求人（签章）：</w:t>
            </w:r>
            <w:r>
              <w:rPr>
                <w:rFonts w:ascii="仿宋_GB2312" w:eastAsia="仿宋_GB2312" w:hAnsi="宋体" w:cs="Microsoft JhengHei" w:hint="eastAsia"/>
                <w:color w:val="000000"/>
                <w:sz w:val="20"/>
                <w:u w:val="single"/>
              </w:rPr>
              <w:t xml:space="preserve">                 </w:t>
            </w:r>
          </w:p>
          <w:p w:rsidR="00800760" w:rsidRDefault="00235733">
            <w:pPr>
              <w:widowControl w:val="0"/>
              <w:spacing w:line="360" w:lineRule="auto"/>
              <w:ind w:firstLineChars="2400" w:firstLine="5088"/>
              <w:rPr>
                <w:rFonts w:ascii="仿宋_GB2312" w:eastAsia="仿宋_GB2312" w:hAnsi="宋体" w:cs="Microsoft JhengHei"/>
                <w:color w:val="000000"/>
                <w:sz w:val="20"/>
              </w:rPr>
            </w:pP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p>
        </w:tc>
      </w:tr>
    </w:tbl>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r>
        <w:rPr>
          <w:rFonts w:ascii="仿宋_GB2312" w:eastAsia="仿宋_GB2312" w:hAnsi="宋体" w:hint="eastAsia"/>
          <w:b/>
          <w:color w:val="000000"/>
          <w:sz w:val="20"/>
        </w:rPr>
        <w:br w:type="page"/>
      </w:r>
      <w:r>
        <w:rPr>
          <w:rFonts w:ascii="方正小标宋_GBK" w:eastAsia="方正小标宋_GBK" w:hAnsi="宋体"/>
          <w:color w:val="000000"/>
          <w:spacing w:val="6"/>
          <w:sz w:val="36"/>
          <w:szCs w:val="36"/>
        </w:rPr>
        <w:t>专利侵权纠纷</w:t>
      </w:r>
      <w:r>
        <w:rPr>
          <w:rFonts w:ascii="方正小标宋_GBK" w:eastAsia="方正小标宋_GBK" w:hAnsi="宋体" w:hint="eastAsia"/>
          <w:color w:val="000000"/>
          <w:spacing w:val="6"/>
          <w:sz w:val="36"/>
          <w:szCs w:val="36"/>
        </w:rPr>
        <w:t>案件</w:t>
      </w:r>
      <w:r>
        <w:rPr>
          <w:rFonts w:ascii="方正小标宋_GBK" w:eastAsia="方正小标宋_GBK" w:hAnsi="宋体"/>
          <w:color w:val="000000"/>
          <w:spacing w:val="6"/>
          <w:sz w:val="36"/>
          <w:szCs w:val="36"/>
        </w:rPr>
        <w:t>撤</w:t>
      </w:r>
      <w:r>
        <w:rPr>
          <w:rFonts w:ascii="方正小标宋_GBK" w:eastAsia="方正小标宋_GBK" w:hAnsi="宋体" w:hint="eastAsia"/>
          <w:color w:val="000000"/>
          <w:spacing w:val="6"/>
          <w:sz w:val="36"/>
          <w:szCs w:val="36"/>
        </w:rPr>
        <w:t>案</w:t>
      </w:r>
      <w:r>
        <w:rPr>
          <w:rFonts w:ascii="方正小标宋_GBK" w:eastAsia="方正小标宋_GBK" w:hAnsi="宋体"/>
          <w:color w:val="000000"/>
          <w:spacing w:val="6"/>
          <w:sz w:val="36"/>
          <w:szCs w:val="36"/>
        </w:rPr>
        <w:t>请求书</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知识产权局：</w:t>
      </w:r>
    </w:p>
    <w:p w:rsidR="00800760" w:rsidRDefault="00235733">
      <w:pPr>
        <w:spacing w:line="360" w:lineRule="auto"/>
        <w:ind w:firstLineChars="0" w:firstLine="460"/>
        <w:rPr>
          <w:rFonts w:ascii="仿宋_GB2312" w:eastAsia="仿宋_GB2312" w:hAnsi="仿宋"/>
          <w:color w:val="000000"/>
          <w:sz w:val="20"/>
          <w:szCs w:val="21"/>
        </w:rPr>
      </w:pPr>
      <w:r>
        <w:rPr>
          <w:rFonts w:ascii="仿宋_GB2312" w:eastAsia="仿宋_GB2312" w:hAnsi="仿宋" w:hint="eastAsia"/>
          <w:color w:val="000000"/>
          <w:sz w:val="20"/>
          <w:szCs w:val="21"/>
        </w:rPr>
        <w:t>我（单位</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是</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（案号</w:t>
      </w:r>
      <w:r>
        <w:rPr>
          <w:rFonts w:ascii="仿宋_GB2312" w:eastAsia="仿宋_GB2312" w:hAnsi="仿宋" w:hint="eastAsia"/>
          <w:color w:val="000000"/>
          <w:sz w:val="20"/>
          <w:szCs w:val="21"/>
          <w:u w:val="single"/>
          <w:lang w:bidi="en-US"/>
        </w:rPr>
        <w:t xml:space="preserve">                    </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案件的请求人，现请求撤回对此案的处理请求，理由是：</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□已与对方当事人达成调解、和解协议。</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 xml:space="preserve">□已就此纠纷向人民法院起诉或者请求其他专利行政管理部门处理并被受理。 </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□其他事由：</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请予批准。</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附件：□调解、和解协议</w:t>
      </w:r>
    </w:p>
    <w:p w:rsidR="00800760" w:rsidRDefault="00235733">
      <w:pPr>
        <w:spacing w:line="360" w:lineRule="auto"/>
        <w:ind w:left="460" w:firstLineChars="300" w:firstLine="600"/>
        <w:rPr>
          <w:rFonts w:ascii="仿宋_GB2312" w:eastAsia="仿宋_GB2312" w:hAnsi="仿宋"/>
          <w:color w:val="000000"/>
          <w:sz w:val="20"/>
          <w:szCs w:val="21"/>
        </w:rPr>
      </w:pPr>
      <w:r>
        <w:rPr>
          <w:rFonts w:ascii="仿宋_GB2312" w:eastAsia="仿宋_GB2312" w:hAnsi="仿宋" w:hint="eastAsia"/>
          <w:color w:val="000000"/>
          <w:sz w:val="20"/>
          <w:szCs w:val="21"/>
        </w:rPr>
        <w:t>□人民法院立案通知书或者其他专利行政管理部门受理通知书</w:t>
      </w:r>
    </w:p>
    <w:p w:rsidR="00800760" w:rsidRDefault="00235733">
      <w:pPr>
        <w:spacing w:line="360" w:lineRule="auto"/>
        <w:ind w:left="460" w:firstLineChars="300" w:firstLine="600"/>
        <w:rPr>
          <w:rFonts w:ascii="仿宋_GB2312" w:eastAsia="仿宋_GB2312" w:hAnsi="仿宋"/>
          <w:color w:val="000000"/>
          <w:sz w:val="20"/>
          <w:szCs w:val="21"/>
        </w:rPr>
      </w:pPr>
      <w:r>
        <w:rPr>
          <w:rFonts w:ascii="仿宋_GB2312" w:eastAsia="仿宋_GB2312" w:hAnsi="仿宋" w:hint="eastAsia"/>
          <w:color w:val="000000"/>
          <w:sz w:val="20"/>
          <w:szCs w:val="21"/>
        </w:rPr>
        <w:t>□其他证明材料</w:t>
      </w:r>
    </w:p>
    <w:p w:rsidR="00800760" w:rsidRDefault="00800760">
      <w:pPr>
        <w:spacing w:line="360" w:lineRule="auto"/>
        <w:ind w:left="460" w:firstLineChars="300" w:firstLine="600"/>
        <w:rPr>
          <w:rFonts w:ascii="仿宋_GB2312" w:eastAsia="仿宋_GB2312" w:hAnsi="仿宋"/>
          <w:color w:val="000000"/>
          <w:sz w:val="20"/>
          <w:szCs w:val="21"/>
        </w:rPr>
      </w:pPr>
    </w:p>
    <w:p w:rsidR="00800760" w:rsidRDefault="00800760">
      <w:pPr>
        <w:spacing w:line="360" w:lineRule="auto"/>
        <w:ind w:left="460" w:firstLineChars="300" w:firstLine="600"/>
        <w:rPr>
          <w:rFonts w:ascii="仿宋_GB2312" w:eastAsia="仿宋_GB2312" w:hAnsi="仿宋"/>
          <w:color w:val="000000"/>
          <w:sz w:val="20"/>
          <w:szCs w:val="21"/>
        </w:rPr>
      </w:pPr>
    </w:p>
    <w:p w:rsidR="00800760" w:rsidRDefault="00800760">
      <w:pPr>
        <w:spacing w:line="360" w:lineRule="auto"/>
        <w:ind w:left="460" w:firstLineChars="300" w:firstLine="600"/>
        <w:rPr>
          <w:rFonts w:ascii="仿宋_GB2312" w:eastAsia="仿宋_GB2312" w:hAnsi="仿宋"/>
          <w:color w:val="000000"/>
          <w:sz w:val="20"/>
          <w:szCs w:val="21"/>
        </w:rPr>
      </w:pPr>
    </w:p>
    <w:p w:rsidR="00800760" w:rsidRDefault="00800760">
      <w:pPr>
        <w:spacing w:line="360" w:lineRule="auto"/>
        <w:ind w:left="460" w:firstLineChars="300" w:firstLine="600"/>
        <w:rPr>
          <w:rFonts w:ascii="仿宋_GB2312" w:eastAsia="仿宋_GB2312" w:hAnsi="仿宋"/>
          <w:color w:val="000000"/>
          <w:sz w:val="20"/>
          <w:szCs w:val="21"/>
        </w:rPr>
      </w:pPr>
    </w:p>
    <w:p w:rsidR="00800760" w:rsidRDefault="00800760">
      <w:pPr>
        <w:spacing w:line="360" w:lineRule="auto"/>
        <w:ind w:left="460" w:firstLineChars="300" w:firstLine="600"/>
        <w:rPr>
          <w:rFonts w:ascii="仿宋_GB2312" w:eastAsia="仿宋_GB2312" w:hAnsi="仿宋"/>
          <w:color w:val="000000"/>
          <w:sz w:val="20"/>
          <w:szCs w:val="21"/>
        </w:rPr>
      </w:pPr>
    </w:p>
    <w:p w:rsidR="00800760" w:rsidRDefault="00800760">
      <w:pPr>
        <w:spacing w:line="360" w:lineRule="auto"/>
        <w:ind w:left="460" w:firstLineChars="300" w:firstLine="600"/>
        <w:rPr>
          <w:rFonts w:ascii="仿宋_GB2312" w:eastAsia="仿宋_GB2312" w:hAnsi="仿宋"/>
          <w:color w:val="000000"/>
          <w:sz w:val="20"/>
          <w:szCs w:val="21"/>
        </w:rPr>
      </w:pPr>
    </w:p>
    <w:p w:rsidR="00800760" w:rsidRDefault="00800760">
      <w:pPr>
        <w:spacing w:line="360" w:lineRule="auto"/>
        <w:ind w:left="460" w:firstLineChars="300" w:firstLine="600"/>
        <w:rPr>
          <w:rFonts w:ascii="仿宋_GB2312" w:eastAsia="仿宋_GB2312" w:hAnsi="仿宋"/>
          <w:color w:val="000000"/>
          <w:sz w:val="20"/>
          <w:szCs w:val="21"/>
        </w:rPr>
      </w:pPr>
    </w:p>
    <w:p w:rsidR="00800760" w:rsidRDefault="00235733">
      <w:pPr>
        <w:spacing w:line="360" w:lineRule="auto"/>
        <w:ind w:firstLineChars="2250" w:firstLine="4500"/>
        <w:rPr>
          <w:rFonts w:ascii="仿宋" w:eastAsia="仿宋_GB2312" w:hAnsi="仿宋" w:cs="PMingLiU"/>
          <w:color w:val="000000"/>
          <w:sz w:val="20"/>
          <w:szCs w:val="21"/>
          <w:lang w:val="zh-CN" w:bidi="en-US"/>
        </w:rPr>
      </w:pPr>
      <w:r>
        <w:rPr>
          <w:rFonts w:ascii="仿宋" w:eastAsia="仿宋_GB2312" w:hAnsi="仿宋" w:cs="PMingLiU"/>
          <w:color w:val="000000"/>
          <w:sz w:val="20"/>
          <w:szCs w:val="21"/>
          <w:lang w:val="zh-CN" w:bidi="zh-CN"/>
        </w:rPr>
        <w:t>请求人（签章</w:t>
      </w:r>
      <w:r>
        <w:rPr>
          <w:rFonts w:ascii="仿宋" w:eastAsia="仿宋_GB2312" w:hAnsi="仿宋" w:cs="PMingLiU" w:hint="eastAsia"/>
          <w:color w:val="000000"/>
          <w:sz w:val="20"/>
          <w:szCs w:val="21"/>
          <w:lang w:val="zh-CN" w:bidi="zh-CN"/>
        </w:rPr>
        <w:t>）</w:t>
      </w:r>
      <w:r>
        <w:rPr>
          <w:rFonts w:ascii="仿宋" w:eastAsia="仿宋_GB2312" w:hAnsi="仿宋" w:cs="PMingLiU" w:hint="eastAsia"/>
          <w:color w:val="000000"/>
          <w:sz w:val="20"/>
          <w:szCs w:val="21"/>
          <w:lang w:val="zh-CN" w:bidi="en-US"/>
        </w:rPr>
        <w:t>：</w:t>
      </w:r>
      <w:r>
        <w:rPr>
          <w:rFonts w:ascii="仿宋_GB2312" w:eastAsia="仿宋_GB2312" w:hAnsi="宋体" w:hint="eastAsia"/>
          <w:color w:val="000000"/>
          <w:spacing w:val="6"/>
          <w:sz w:val="20"/>
          <w:szCs w:val="21"/>
          <w:u w:val="single"/>
        </w:rPr>
        <w:t xml:space="preserve">                  </w:t>
      </w:r>
    </w:p>
    <w:p w:rsidR="00800760" w:rsidRDefault="00235733">
      <w:pPr>
        <w:spacing w:line="360" w:lineRule="auto"/>
        <w:ind w:leftChars="2671" w:left="5609" w:firstLineChars="100" w:firstLine="212"/>
        <w:rPr>
          <w:rFonts w:ascii="仿宋" w:eastAsia="仿宋_GB2312" w:hAnsi="仿宋"/>
          <w:color w:val="000000"/>
          <w:sz w:val="20"/>
          <w:szCs w:val="21"/>
        </w:rPr>
      </w:pP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p>
    <w:p w:rsidR="00800760" w:rsidRDefault="00235733">
      <w:pPr>
        <w:spacing w:line="360" w:lineRule="auto"/>
        <w:ind w:firstLineChars="0" w:firstLine="0"/>
        <w:rPr>
          <w:rFonts w:ascii="宋体" w:hAnsi="宋体"/>
          <w:b/>
          <w:color w:val="000000"/>
          <w:sz w:val="20"/>
          <w:szCs w:val="21"/>
        </w:rPr>
      </w:pPr>
      <w:r>
        <w:rPr>
          <w:rFonts w:ascii="宋体" w:hAnsi="宋体"/>
          <w:b/>
          <w:color w:val="000000"/>
          <w:sz w:val="20"/>
          <w:szCs w:val="21"/>
        </w:rPr>
        <w:br w:type="page"/>
      </w:r>
    </w:p>
    <w:p w:rsidR="00800760" w:rsidRDefault="00235733">
      <w:pPr>
        <w:spacing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w:t>
      </w:r>
      <w:r>
        <w:rPr>
          <w:rFonts w:ascii="方正小标宋简体" w:eastAsia="方正小标宋简体" w:hAnsi="宋体"/>
          <w:color w:val="000000"/>
          <w:spacing w:val="6"/>
          <w:sz w:val="36"/>
          <w:szCs w:val="36"/>
        </w:rPr>
        <w:t>专利侵权纠纷</w:t>
      </w:r>
      <w:r>
        <w:rPr>
          <w:rFonts w:ascii="方正小标宋简体" w:eastAsia="方正小标宋简体" w:hAnsi="宋体" w:hint="eastAsia"/>
          <w:color w:val="000000"/>
          <w:spacing w:val="6"/>
          <w:sz w:val="36"/>
          <w:szCs w:val="36"/>
        </w:rPr>
        <w:t>行政裁决</w:t>
      </w:r>
      <w:r>
        <w:rPr>
          <w:rFonts w:ascii="方正小标宋简体" w:eastAsia="方正小标宋简体" w:hAnsi="宋体"/>
          <w:color w:val="000000"/>
          <w:spacing w:val="6"/>
          <w:sz w:val="36"/>
          <w:szCs w:val="36"/>
        </w:rPr>
        <w:t>撤</w:t>
      </w:r>
      <w:r>
        <w:rPr>
          <w:rFonts w:ascii="方正小标宋简体" w:eastAsia="方正小标宋简体" w:hAnsi="宋体" w:hint="eastAsia"/>
          <w:color w:val="000000"/>
          <w:spacing w:val="6"/>
          <w:sz w:val="36"/>
          <w:szCs w:val="36"/>
        </w:rPr>
        <w:t>案</w:t>
      </w:r>
      <w:r>
        <w:rPr>
          <w:rFonts w:ascii="方正小标宋简体" w:eastAsia="方正小标宋简体" w:hAnsi="宋体"/>
          <w:color w:val="000000"/>
          <w:spacing w:val="6"/>
          <w:sz w:val="36"/>
          <w:szCs w:val="36"/>
        </w:rPr>
        <w:t>请求书</w:t>
      </w:r>
    </w:p>
    <w:p w:rsidR="00800760" w:rsidRDefault="00800760">
      <w:pPr>
        <w:spacing w:line="360" w:lineRule="auto"/>
        <w:ind w:firstLineChars="0" w:firstLine="744"/>
        <w:jc w:val="center"/>
        <w:rPr>
          <w:rFonts w:ascii="方正小标宋_GBK" w:eastAsia="方正小标宋_GBK" w:hAnsi="宋体"/>
          <w:color w:val="000000"/>
          <w:spacing w:val="6"/>
          <w:sz w:val="20"/>
        </w:rPr>
      </w:pPr>
    </w:p>
    <w:p w:rsidR="00800760" w:rsidRDefault="00235733">
      <w:pPr>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国家知识产权局：</w:t>
      </w:r>
    </w:p>
    <w:p w:rsidR="00800760" w:rsidRDefault="00235733">
      <w:pPr>
        <w:spacing w:line="36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我（单位</w:t>
      </w:r>
      <w:r>
        <w:rPr>
          <w:rFonts w:ascii="仿宋_GB2312" w:eastAsia="仿宋_GB2312" w:hAnsi="仿宋" w:hint="eastAsia"/>
          <w:color w:val="000000"/>
          <w:sz w:val="20"/>
          <w:lang w:bidi="en-US"/>
        </w:rPr>
        <w:t>）</w:t>
      </w:r>
      <w:r>
        <w:rPr>
          <w:rFonts w:ascii="仿宋_GB2312" w:eastAsia="仿宋_GB2312" w:hAnsi="仿宋" w:hint="eastAsia"/>
          <w:color w:val="000000"/>
          <w:sz w:val="20"/>
        </w:rPr>
        <w:t>是</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（案号</w:t>
      </w:r>
      <w:r>
        <w:rPr>
          <w:rFonts w:ascii="仿宋_GB2312" w:eastAsia="仿宋_GB2312" w:hAnsi="仿宋" w:hint="eastAsia"/>
          <w:color w:val="000000"/>
          <w:sz w:val="20"/>
          <w:u w:val="single"/>
          <w:lang w:bidi="en-US"/>
        </w:rPr>
        <w:t xml:space="preserve">                    </w:t>
      </w:r>
      <w:r>
        <w:rPr>
          <w:rFonts w:ascii="仿宋_GB2312" w:eastAsia="仿宋_GB2312" w:hAnsi="仿宋" w:hint="eastAsia"/>
          <w:color w:val="000000"/>
          <w:sz w:val="20"/>
          <w:lang w:bidi="en-US"/>
        </w:rPr>
        <w:t>）</w:t>
      </w:r>
      <w:r>
        <w:rPr>
          <w:rFonts w:ascii="仿宋_GB2312" w:eastAsia="仿宋_GB2312" w:hAnsi="仿宋" w:hint="eastAsia"/>
          <w:color w:val="000000"/>
          <w:sz w:val="20"/>
        </w:rPr>
        <w:t>案件的请求人，现请求撤回对此案的处理请求，理由是：</w:t>
      </w:r>
    </w:p>
    <w:p w:rsidR="00800760" w:rsidRDefault="00235733">
      <w:pPr>
        <w:spacing w:line="360" w:lineRule="auto"/>
        <w:ind w:left="460" w:firstLineChars="0" w:firstLine="0"/>
        <w:rPr>
          <w:rFonts w:ascii="仿宋_GB2312" w:eastAsia="仿宋_GB2312" w:hAnsi="仿宋"/>
          <w:color w:val="000000"/>
          <w:sz w:val="20"/>
        </w:rPr>
      </w:pPr>
      <w:r>
        <w:rPr>
          <w:rFonts w:ascii="仿宋_GB2312" w:eastAsia="仿宋_GB2312" w:hAnsi="仿宋" w:hint="eastAsia"/>
          <w:color w:val="000000"/>
          <w:sz w:val="20"/>
        </w:rPr>
        <w:t>□已与对方当事人达成调解、和解协议。</w:t>
      </w:r>
    </w:p>
    <w:p w:rsidR="00800760" w:rsidRDefault="00235733">
      <w:pPr>
        <w:spacing w:line="360" w:lineRule="auto"/>
        <w:ind w:left="460" w:firstLineChars="0" w:firstLine="0"/>
        <w:rPr>
          <w:rFonts w:ascii="仿宋_GB2312" w:eastAsia="仿宋_GB2312" w:hAnsi="仿宋"/>
          <w:color w:val="000000"/>
          <w:sz w:val="20"/>
        </w:rPr>
      </w:pPr>
      <w:r>
        <w:rPr>
          <w:rFonts w:ascii="仿宋_GB2312" w:eastAsia="仿宋_GB2312" w:hAnsi="仿宋" w:hint="eastAsia"/>
          <w:color w:val="000000"/>
          <w:sz w:val="20"/>
        </w:rPr>
        <w:t xml:space="preserve">□已就此纠纷向人民法院起诉处理并被受理。 </w:t>
      </w:r>
    </w:p>
    <w:p w:rsidR="00800760" w:rsidRDefault="00235733">
      <w:pPr>
        <w:spacing w:line="360" w:lineRule="auto"/>
        <w:ind w:left="460" w:firstLineChars="0" w:firstLine="0"/>
        <w:rPr>
          <w:rFonts w:ascii="仿宋_GB2312" w:eastAsia="仿宋_GB2312" w:hAnsi="仿宋"/>
          <w:color w:val="000000"/>
          <w:sz w:val="20"/>
        </w:rPr>
      </w:pPr>
      <w:r>
        <w:rPr>
          <w:rFonts w:ascii="仿宋_GB2312" w:eastAsia="仿宋_GB2312" w:hAnsi="仿宋" w:hint="eastAsia"/>
          <w:color w:val="000000"/>
          <w:sz w:val="20"/>
        </w:rPr>
        <w:t>□其他事由：</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w:t>
      </w:r>
    </w:p>
    <w:p w:rsidR="00800760" w:rsidRDefault="00235733">
      <w:pPr>
        <w:spacing w:line="360" w:lineRule="auto"/>
        <w:ind w:left="460" w:firstLineChars="0" w:firstLine="0"/>
        <w:rPr>
          <w:rFonts w:ascii="仿宋_GB2312" w:eastAsia="仿宋_GB2312" w:hAnsi="仿宋"/>
          <w:color w:val="000000"/>
          <w:sz w:val="20"/>
        </w:rPr>
      </w:pPr>
      <w:r>
        <w:rPr>
          <w:rFonts w:ascii="仿宋_GB2312" w:eastAsia="仿宋_GB2312" w:hAnsi="仿宋" w:hint="eastAsia"/>
          <w:color w:val="000000"/>
          <w:sz w:val="20"/>
        </w:rPr>
        <w:t>请予批准。</w:t>
      </w:r>
    </w:p>
    <w:p w:rsidR="00800760" w:rsidRDefault="00235733">
      <w:pPr>
        <w:spacing w:line="360" w:lineRule="auto"/>
        <w:ind w:left="460" w:firstLineChars="0" w:firstLine="0"/>
        <w:rPr>
          <w:rFonts w:ascii="仿宋_GB2312" w:eastAsia="仿宋_GB2312" w:hAnsi="仿宋"/>
          <w:color w:val="000000"/>
          <w:sz w:val="20"/>
        </w:rPr>
      </w:pPr>
      <w:r>
        <w:rPr>
          <w:rFonts w:ascii="仿宋_GB2312" w:eastAsia="仿宋_GB2312" w:hAnsi="仿宋" w:hint="eastAsia"/>
          <w:color w:val="000000"/>
          <w:sz w:val="20"/>
        </w:rPr>
        <w:t>附件：□调解、和解协议</w:t>
      </w:r>
    </w:p>
    <w:p w:rsidR="00800760" w:rsidRDefault="00235733">
      <w:pPr>
        <w:spacing w:line="360" w:lineRule="auto"/>
        <w:ind w:left="460" w:firstLineChars="300" w:firstLine="600"/>
        <w:rPr>
          <w:rFonts w:ascii="仿宋_GB2312" w:eastAsia="仿宋_GB2312" w:hAnsi="仿宋"/>
          <w:color w:val="000000"/>
          <w:sz w:val="20"/>
        </w:rPr>
      </w:pPr>
      <w:r>
        <w:rPr>
          <w:rFonts w:ascii="仿宋_GB2312" w:eastAsia="仿宋_GB2312" w:hAnsi="仿宋" w:hint="eastAsia"/>
          <w:color w:val="000000"/>
          <w:sz w:val="20"/>
        </w:rPr>
        <w:t>□人民法院立案通知书</w:t>
      </w:r>
    </w:p>
    <w:p w:rsidR="00800760" w:rsidRDefault="00235733">
      <w:pPr>
        <w:spacing w:line="360" w:lineRule="auto"/>
        <w:ind w:left="460" w:firstLineChars="300" w:firstLine="600"/>
        <w:rPr>
          <w:rFonts w:ascii="仿宋_GB2312" w:eastAsia="仿宋_GB2312" w:hAnsi="仿宋"/>
          <w:color w:val="000000"/>
          <w:sz w:val="20"/>
        </w:rPr>
      </w:pPr>
      <w:r>
        <w:rPr>
          <w:rFonts w:ascii="仿宋_GB2312" w:eastAsia="仿宋_GB2312" w:hAnsi="仿宋" w:hint="eastAsia"/>
          <w:color w:val="000000"/>
          <w:sz w:val="20"/>
        </w:rPr>
        <w:t>□其他证明材料</w:t>
      </w:r>
    </w:p>
    <w:p w:rsidR="00800760" w:rsidRDefault="00800760">
      <w:pPr>
        <w:spacing w:line="360" w:lineRule="auto"/>
        <w:ind w:left="460" w:firstLineChars="300" w:firstLine="600"/>
        <w:rPr>
          <w:rFonts w:ascii="仿宋_GB2312" w:eastAsia="仿宋_GB2312" w:hAnsi="仿宋"/>
          <w:color w:val="000000"/>
          <w:sz w:val="20"/>
        </w:rPr>
      </w:pPr>
    </w:p>
    <w:p w:rsidR="00800760" w:rsidRDefault="00800760">
      <w:pPr>
        <w:spacing w:line="360" w:lineRule="auto"/>
        <w:ind w:left="460" w:firstLineChars="300" w:firstLine="600"/>
        <w:rPr>
          <w:rFonts w:ascii="仿宋_GB2312" w:eastAsia="仿宋_GB2312" w:hAnsi="仿宋"/>
          <w:color w:val="000000"/>
          <w:sz w:val="20"/>
        </w:rPr>
      </w:pPr>
    </w:p>
    <w:p w:rsidR="00800760" w:rsidRDefault="00800760">
      <w:pPr>
        <w:spacing w:line="360" w:lineRule="auto"/>
        <w:ind w:left="460" w:firstLineChars="300" w:firstLine="600"/>
        <w:rPr>
          <w:rFonts w:ascii="仿宋_GB2312" w:eastAsia="仿宋_GB2312" w:hAnsi="仿宋"/>
          <w:color w:val="000000"/>
          <w:sz w:val="20"/>
        </w:rPr>
      </w:pPr>
    </w:p>
    <w:p w:rsidR="00800760" w:rsidRDefault="00800760">
      <w:pPr>
        <w:spacing w:line="360" w:lineRule="auto"/>
        <w:ind w:left="460" w:firstLineChars="300" w:firstLine="600"/>
        <w:rPr>
          <w:rFonts w:ascii="仿宋_GB2312" w:eastAsia="仿宋_GB2312" w:hAnsi="仿宋"/>
          <w:color w:val="000000"/>
          <w:sz w:val="20"/>
        </w:rPr>
      </w:pPr>
    </w:p>
    <w:p w:rsidR="00800760" w:rsidRDefault="00800760">
      <w:pPr>
        <w:spacing w:line="360" w:lineRule="auto"/>
        <w:ind w:left="460" w:firstLineChars="300" w:firstLine="600"/>
        <w:rPr>
          <w:rFonts w:ascii="仿宋_GB2312" w:eastAsia="仿宋_GB2312" w:hAnsi="仿宋"/>
          <w:color w:val="000000"/>
          <w:sz w:val="20"/>
        </w:rPr>
      </w:pPr>
    </w:p>
    <w:p w:rsidR="00800760" w:rsidRDefault="00800760">
      <w:pPr>
        <w:spacing w:line="360" w:lineRule="auto"/>
        <w:ind w:left="460" w:firstLineChars="300" w:firstLine="600"/>
        <w:rPr>
          <w:rFonts w:ascii="仿宋_GB2312" w:eastAsia="仿宋_GB2312" w:hAnsi="仿宋"/>
          <w:color w:val="000000"/>
          <w:sz w:val="20"/>
        </w:rPr>
      </w:pPr>
    </w:p>
    <w:p w:rsidR="00800760" w:rsidRDefault="00800760">
      <w:pPr>
        <w:spacing w:line="360" w:lineRule="auto"/>
        <w:ind w:left="460" w:firstLineChars="300" w:firstLine="600"/>
        <w:rPr>
          <w:rFonts w:ascii="仿宋_GB2312" w:eastAsia="仿宋_GB2312" w:hAnsi="仿宋"/>
          <w:color w:val="000000"/>
          <w:sz w:val="20"/>
        </w:rPr>
      </w:pPr>
    </w:p>
    <w:p w:rsidR="00800760" w:rsidRDefault="00235733">
      <w:pPr>
        <w:spacing w:line="360" w:lineRule="auto"/>
        <w:ind w:firstLineChars="2250" w:firstLine="4500"/>
        <w:rPr>
          <w:rStyle w:val="MSGENFONTSTYLENAMETEMPLATEROLENUMBERMSGENFONTSTYLENAMEBYROLETEXT2MSGENFONTSTYLEMODIFERNAMEPMingLiU"/>
          <w:rFonts w:ascii="仿宋" w:eastAsia="仿宋_GB2312" w:hAnsi="仿宋"/>
          <w:sz w:val="20"/>
          <w:szCs w:val="20"/>
          <w:lang w:bidi="en-US"/>
        </w:rPr>
      </w:pPr>
      <w:r>
        <w:rPr>
          <w:rStyle w:val="MSGENFONTSTYLENAMETEMPLATEROLENUMBERMSGENFONTSTYLENAMEBYROLETEXT2MSGENFONTSTYLEMODIFERNAMEPMingLiU"/>
          <w:rFonts w:ascii="仿宋" w:eastAsia="仿宋_GB2312" w:hAnsi="仿宋"/>
          <w:sz w:val="20"/>
          <w:szCs w:val="20"/>
        </w:rPr>
        <w:t>请求人（签章</w:t>
      </w:r>
      <w:r>
        <w:rPr>
          <w:rStyle w:val="MSGENFONTSTYLENAMETEMPLATEROLENUMBERMSGENFONTSTYLENAMEBYROLETEXT2MSGENFONTSTYLEMODIFERNAMEPMingLiU"/>
          <w:rFonts w:ascii="仿宋" w:eastAsia="仿宋_GB2312" w:hAnsi="仿宋" w:hint="eastAsia"/>
          <w:sz w:val="20"/>
          <w:szCs w:val="20"/>
        </w:rPr>
        <w:t>）</w:t>
      </w:r>
      <w:r>
        <w:rPr>
          <w:rStyle w:val="MSGENFONTSTYLENAMETEMPLATEROLENUMBERMSGENFONTSTYLENAMEBYROLETEXT2MSGENFONTSTYLEMODIFERNAMEPMingLiU"/>
          <w:rFonts w:ascii="仿宋" w:eastAsia="仿宋_GB2312" w:hAnsi="仿宋" w:hint="eastAsia"/>
          <w:sz w:val="20"/>
          <w:szCs w:val="20"/>
          <w:lang w:bidi="en-US"/>
        </w:rPr>
        <w:t>：</w:t>
      </w:r>
      <w:r>
        <w:rPr>
          <w:rFonts w:ascii="仿宋_GB2312" w:eastAsia="仿宋_GB2312" w:hAnsi="宋体" w:hint="eastAsia"/>
          <w:color w:val="000000"/>
          <w:spacing w:val="6"/>
          <w:sz w:val="20"/>
          <w:u w:val="single"/>
        </w:rPr>
        <w:t xml:space="preserve">               </w:t>
      </w:r>
    </w:p>
    <w:p w:rsidR="00800760" w:rsidRDefault="00235733" w:rsidP="00235733">
      <w:pPr>
        <w:spacing w:line="360" w:lineRule="auto"/>
        <w:ind w:firstLine="424"/>
        <w:jc w:val="right"/>
        <w:rPr>
          <w:rFonts w:ascii="仿宋" w:eastAsia="仿宋_GB2312" w:hAnsi="仿宋"/>
          <w:color w:val="000000"/>
          <w:sz w:val="20"/>
        </w:rPr>
      </w:pP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p>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r>
        <w:rPr>
          <w:rFonts w:ascii="宋体" w:hAnsi="宋体"/>
          <w:b/>
          <w:color w:val="000000"/>
          <w:sz w:val="20"/>
          <w:szCs w:val="21"/>
        </w:rPr>
        <w:br w:type="page"/>
      </w:r>
      <w:r>
        <w:rPr>
          <w:rFonts w:ascii="方正小标宋_GBK" w:eastAsia="方正小标宋_GBK" w:hAnsi="宋体"/>
          <w:color w:val="000000"/>
          <w:spacing w:val="6"/>
          <w:sz w:val="36"/>
          <w:szCs w:val="36"/>
        </w:rPr>
        <w:t>专利侵权纠纷和解协议书</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甲方</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请求人</w:t>
      </w:r>
      <w:r>
        <w:rPr>
          <w:rFonts w:ascii="仿宋_GB2312" w:eastAsia="仿宋_GB2312" w:hAnsi="仿宋" w:hint="eastAsia"/>
          <w:color w:val="000000"/>
          <w:sz w:val="20"/>
          <w:szCs w:val="21"/>
          <w:lang w:bidi="en-US"/>
        </w:rPr>
        <w:t>）：</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法定代表人</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负责人</w:t>
      </w:r>
      <w:r>
        <w:rPr>
          <w:rFonts w:ascii="仿宋_GB2312" w:eastAsia="仿宋_GB2312" w:hAnsi="仿宋" w:hint="eastAsia"/>
          <w:color w:val="000000"/>
          <w:sz w:val="20"/>
          <w:szCs w:val="21"/>
          <w:lang w:bidi="en-US"/>
        </w:rPr>
        <w:t>）：</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住　　所：</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委托代理机构及代理人：</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乙方（被请求人）：</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法定代表人</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负责人</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住　　所：</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委托代理机构及代理人：</w:t>
      </w:r>
    </w:p>
    <w:p w:rsidR="00800760" w:rsidRDefault="00235733">
      <w:pPr>
        <w:tabs>
          <w:tab w:val="left" w:leader="underscore" w:pos="3341"/>
        </w:tabs>
        <w:spacing w:line="360" w:lineRule="auto"/>
        <w:ind w:firstLineChars="0" w:firstLine="460"/>
        <w:rPr>
          <w:rFonts w:ascii="仿宋_GB2312" w:eastAsia="仿宋_GB2312" w:hAnsi="仿宋"/>
          <w:color w:val="000000"/>
          <w:sz w:val="20"/>
          <w:szCs w:val="21"/>
        </w:rPr>
      </w:pPr>
      <w:r>
        <w:rPr>
          <w:rFonts w:ascii="仿宋_GB2312" w:eastAsia="仿宋_GB2312" w:hAnsi="仿宋" w:hint="eastAsia"/>
          <w:color w:val="000000"/>
          <w:sz w:val="20"/>
          <w:szCs w:val="21"/>
        </w:rPr>
        <w:t>甲方就“</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”专利（专利号：</w:t>
      </w:r>
      <w:r>
        <w:rPr>
          <w:rFonts w:ascii="仿宋_GB2312" w:eastAsia="仿宋_GB2312" w:hAnsi="仿宋" w:hint="eastAsia"/>
          <w:color w:val="000000"/>
          <w:sz w:val="20"/>
          <w:szCs w:val="21"/>
          <w:u w:val="single"/>
          <w:lang w:bidi="en-US"/>
        </w:rPr>
        <w:t xml:space="preserve">                  </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与乙方</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的专利侵权纠纷，经协商一致，双方自愿达成如下和解协议：</w:t>
      </w:r>
    </w:p>
    <w:p w:rsidR="00800760" w:rsidRDefault="00235733">
      <w:pPr>
        <w:tabs>
          <w:tab w:val="left" w:leader="underscore" w:pos="3341"/>
        </w:tabs>
        <w:spacing w:line="360" w:lineRule="auto"/>
        <w:ind w:firstLineChars="0" w:firstLine="460"/>
        <w:rPr>
          <w:rFonts w:ascii="仿宋_GB2312" w:eastAsia="仿宋_GB2312"/>
          <w:color w:val="000000"/>
          <w:sz w:val="20"/>
          <w:szCs w:val="21"/>
        </w:rPr>
      </w:pPr>
      <w:r>
        <w:rPr>
          <w:rFonts w:ascii="仿宋_GB2312" w:eastAsia="仿宋_GB2312" w:hint="eastAsia"/>
          <w:color w:val="000000"/>
          <w:sz w:val="20"/>
          <w:szCs w:val="21"/>
        </w:rPr>
        <w:t>1.……</w:t>
      </w:r>
    </w:p>
    <w:p w:rsidR="00800760" w:rsidRDefault="00235733">
      <w:pPr>
        <w:tabs>
          <w:tab w:val="left" w:leader="underscore" w:pos="3341"/>
        </w:tabs>
        <w:spacing w:line="360" w:lineRule="auto"/>
        <w:ind w:firstLineChars="0" w:firstLine="460"/>
        <w:rPr>
          <w:rFonts w:ascii="仿宋_GB2312" w:eastAsia="仿宋_GB2312"/>
          <w:color w:val="000000"/>
          <w:sz w:val="20"/>
          <w:szCs w:val="21"/>
        </w:rPr>
      </w:pPr>
      <w:r>
        <w:rPr>
          <w:rFonts w:ascii="仿宋_GB2312" w:eastAsia="仿宋_GB2312" w:hint="eastAsia"/>
          <w:color w:val="000000"/>
          <w:sz w:val="20"/>
          <w:szCs w:val="21"/>
        </w:rPr>
        <w:t>2.……</w:t>
      </w:r>
    </w:p>
    <w:p w:rsidR="00800760" w:rsidRDefault="00235733">
      <w:pPr>
        <w:tabs>
          <w:tab w:val="left" w:leader="underscore" w:pos="3341"/>
        </w:tabs>
        <w:spacing w:line="360" w:lineRule="auto"/>
        <w:ind w:firstLineChars="0" w:firstLine="460"/>
        <w:rPr>
          <w:rFonts w:ascii="仿宋_GB2312" w:eastAsia="仿宋_GB2312"/>
          <w:color w:val="000000"/>
          <w:sz w:val="20"/>
          <w:szCs w:val="21"/>
        </w:rPr>
      </w:pPr>
      <w:r>
        <w:rPr>
          <w:rFonts w:ascii="仿宋_GB2312" w:eastAsia="仿宋_GB2312" w:hint="eastAsia"/>
          <w:color w:val="000000"/>
          <w:sz w:val="20"/>
          <w:szCs w:val="21"/>
        </w:rPr>
        <w:t>……</w:t>
      </w:r>
    </w:p>
    <w:p w:rsidR="00800760" w:rsidRDefault="00235733">
      <w:pPr>
        <w:tabs>
          <w:tab w:val="left" w:leader="underscore" w:pos="3341"/>
        </w:tabs>
        <w:spacing w:line="360" w:lineRule="auto"/>
        <w:ind w:firstLineChars="0" w:firstLine="459"/>
        <w:rPr>
          <w:rFonts w:ascii="仿宋_GB2312" w:eastAsia="仿宋_GB2312" w:hAnsi="仿宋"/>
          <w:color w:val="000000"/>
          <w:sz w:val="20"/>
          <w:szCs w:val="21"/>
        </w:rPr>
      </w:pPr>
      <w:r>
        <w:rPr>
          <w:rFonts w:ascii="仿宋_GB2312" w:eastAsia="仿宋_GB2312" w:hAnsi="仿宋" w:hint="eastAsia"/>
          <w:color w:val="000000"/>
          <w:sz w:val="20"/>
          <w:szCs w:val="21"/>
        </w:rPr>
        <w:t>本和解协议书自双方签章之日起生效，共一式</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份，双方各执一份，报送</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知识产权局留存一份。</w:t>
      </w:r>
    </w:p>
    <w:p w:rsidR="00800760" w:rsidRDefault="00800760">
      <w:pPr>
        <w:tabs>
          <w:tab w:val="left" w:leader="underscore" w:pos="3341"/>
        </w:tabs>
        <w:spacing w:line="360" w:lineRule="auto"/>
        <w:ind w:firstLineChars="0" w:firstLine="459"/>
        <w:rPr>
          <w:rFonts w:ascii="仿宋_GB2312" w:eastAsia="仿宋_GB2312" w:hAnsi="仿宋"/>
          <w:color w:val="000000"/>
          <w:sz w:val="20"/>
          <w:szCs w:val="21"/>
        </w:rPr>
      </w:pPr>
    </w:p>
    <w:p w:rsidR="00800760" w:rsidRDefault="00800760">
      <w:pPr>
        <w:tabs>
          <w:tab w:val="left" w:leader="underscore" w:pos="2261"/>
        </w:tabs>
        <w:spacing w:line="360" w:lineRule="auto"/>
        <w:ind w:firstLineChars="0" w:firstLine="0"/>
        <w:rPr>
          <w:rFonts w:ascii="仿宋_GB2312" w:eastAsia="仿宋_GB2312" w:hAnsi="仿宋"/>
          <w:color w:val="000000"/>
          <w:sz w:val="20"/>
          <w:szCs w:val="21"/>
        </w:rPr>
      </w:pPr>
    </w:p>
    <w:p w:rsidR="00800760" w:rsidRDefault="00235733">
      <w:pPr>
        <w:tabs>
          <w:tab w:val="left" w:leader="underscore" w:pos="8222"/>
        </w:tabs>
        <w:spacing w:line="360" w:lineRule="auto"/>
        <w:ind w:firstLineChars="0" w:firstLine="0"/>
        <w:rPr>
          <w:rFonts w:ascii="仿宋_GB2312" w:eastAsia="仿宋_GB2312" w:hAnsi="仿宋"/>
          <w:color w:val="000000"/>
          <w:sz w:val="20"/>
          <w:szCs w:val="21"/>
        </w:rPr>
      </w:pPr>
      <w:r>
        <w:rPr>
          <w:rFonts w:ascii="仿宋_GB2312" w:eastAsia="仿宋_GB2312" w:hAnsi="仿宋" w:cs="PMingLiU" w:hint="eastAsia"/>
          <w:color w:val="000000"/>
          <w:sz w:val="20"/>
          <w:szCs w:val="21"/>
        </w:rPr>
        <w:t>甲方（签章</w:t>
      </w:r>
      <w:r>
        <w:rPr>
          <w:rFonts w:ascii="仿宋_GB2312" w:eastAsia="仿宋_GB2312" w:hAnsi="仿宋" w:cs="PMingLiU" w:hint="eastAsia"/>
          <w:color w:val="000000"/>
          <w:sz w:val="20"/>
          <w:szCs w:val="21"/>
          <w:lang w:bidi="en-US"/>
        </w:rPr>
        <w:t>）：</w:t>
      </w:r>
      <w:r>
        <w:rPr>
          <w:rFonts w:ascii="仿宋_GB2312" w:eastAsia="仿宋_GB2312" w:hAnsi="仿宋" w:cs="PMingLiU" w:hint="eastAsia"/>
          <w:color w:val="000000"/>
          <w:sz w:val="20"/>
          <w:szCs w:val="21"/>
          <w:u w:val="single"/>
        </w:rPr>
        <w:t xml:space="preserve">                </w:t>
      </w:r>
      <w:r>
        <w:rPr>
          <w:rFonts w:ascii="仿宋_GB2312" w:eastAsia="仿宋_GB2312" w:hAnsi="仿宋" w:cs="PMingLiU" w:hint="eastAsia"/>
          <w:color w:val="000000"/>
          <w:sz w:val="20"/>
          <w:szCs w:val="21"/>
        </w:rPr>
        <w:t xml:space="preserve">                          乙方（签章</w:t>
      </w:r>
      <w:r>
        <w:rPr>
          <w:rFonts w:ascii="仿宋_GB2312" w:eastAsia="仿宋_GB2312" w:hAnsi="仿宋" w:cs="PMingLiU" w:hint="eastAsia"/>
          <w:color w:val="000000"/>
          <w:sz w:val="20"/>
          <w:szCs w:val="21"/>
          <w:lang w:bidi="en-US"/>
        </w:rPr>
        <w:t>）：</w:t>
      </w:r>
      <w:r>
        <w:rPr>
          <w:rFonts w:ascii="仿宋_GB2312" w:eastAsia="仿宋_GB2312" w:hAnsi="仿宋" w:cs="PMingLiU" w:hint="eastAsia"/>
          <w:color w:val="000000"/>
          <w:sz w:val="20"/>
          <w:szCs w:val="21"/>
          <w:u w:val="single"/>
        </w:rPr>
        <w:t xml:space="preserve">                </w:t>
      </w:r>
    </w:p>
    <w:p w:rsidR="00800760" w:rsidRDefault="00235733">
      <w:pPr>
        <w:tabs>
          <w:tab w:val="left" w:leader="underscore" w:pos="1737"/>
        </w:tabs>
        <w:spacing w:line="360" w:lineRule="auto"/>
        <w:ind w:left="460" w:firstLineChars="250" w:firstLine="530"/>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_GB2312" w:eastAsia="仿宋_GB2312" w:hAnsi="仿宋" w:cs="PMingLiU" w:hint="eastAsia"/>
          <w:color w:val="000000"/>
          <w:sz w:val="2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p>
    <w:p w:rsidR="00800760" w:rsidRDefault="00235733">
      <w:pPr>
        <w:spacing w:line="360" w:lineRule="auto"/>
        <w:ind w:firstLineChars="0" w:firstLine="0"/>
        <w:rPr>
          <w:rFonts w:ascii="仿宋_GB2312" w:eastAsia="仿宋_GB2312" w:hAnsi="宋体"/>
          <w:color w:val="000000"/>
          <w:spacing w:val="6"/>
          <w:sz w:val="20"/>
          <w:szCs w:val="21"/>
        </w:rPr>
      </w:pPr>
      <w:r>
        <w:rPr>
          <w:rFonts w:ascii="仿宋_GB2312" w:eastAsia="仿宋_GB2312" w:hAnsi="宋体" w:hint="eastAsia"/>
          <w:color w:val="000000"/>
          <w:spacing w:val="6"/>
          <w:sz w:val="20"/>
          <w:szCs w:val="21"/>
        </w:rPr>
        <w:br w:type="page"/>
      </w:r>
    </w:p>
    <w:p w:rsidR="00800760" w:rsidRDefault="00235733">
      <w:pPr>
        <w:spacing w:line="360" w:lineRule="auto"/>
        <w:ind w:firstLineChars="0" w:firstLine="422"/>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w:t>
      </w:r>
      <w:r>
        <w:rPr>
          <w:rFonts w:ascii="方正小标宋简体" w:eastAsia="方正小标宋简体" w:hAnsi="宋体"/>
          <w:color w:val="000000"/>
          <w:spacing w:val="6"/>
          <w:sz w:val="36"/>
          <w:szCs w:val="36"/>
        </w:rPr>
        <w:t>专利侵权纠纷和解协议书</w:t>
      </w:r>
    </w:p>
    <w:p w:rsidR="00800760" w:rsidRDefault="00800760">
      <w:pPr>
        <w:spacing w:line="360" w:lineRule="auto"/>
        <w:ind w:firstLineChars="0" w:firstLine="744"/>
        <w:jc w:val="center"/>
        <w:rPr>
          <w:rFonts w:ascii="仿宋_GB2312" w:eastAsia="仿宋_GB2312" w:hAnsi="宋体"/>
          <w:color w:val="000000"/>
          <w:spacing w:val="6"/>
          <w:sz w:val="36"/>
          <w:szCs w:val="36"/>
        </w:rPr>
      </w:pP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甲方</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请求人</w:t>
      </w:r>
      <w:r>
        <w:rPr>
          <w:rFonts w:ascii="仿宋_GB2312" w:eastAsia="仿宋_GB2312" w:hAnsi="仿宋" w:hint="eastAsia"/>
          <w:color w:val="000000"/>
          <w:sz w:val="20"/>
          <w:szCs w:val="21"/>
          <w:lang w:bidi="en-US"/>
        </w:rPr>
        <w:t>）：</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法定代表人</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负责人</w:t>
      </w:r>
      <w:r>
        <w:rPr>
          <w:rFonts w:ascii="仿宋_GB2312" w:eastAsia="仿宋_GB2312" w:hAnsi="仿宋" w:hint="eastAsia"/>
          <w:color w:val="000000"/>
          <w:sz w:val="20"/>
          <w:szCs w:val="21"/>
          <w:lang w:bidi="en-US"/>
        </w:rPr>
        <w:t>）：</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住　　所：</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委托代理机构及代理人：</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乙方（被请求人）：</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法定代表人</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负责人</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住　　所：</w:t>
      </w:r>
    </w:p>
    <w:p w:rsidR="00800760" w:rsidRDefault="00235733">
      <w:pPr>
        <w:spacing w:line="360" w:lineRule="auto"/>
        <w:ind w:left="460"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rPr>
        <w:t>委托代理机构及代理人：</w:t>
      </w:r>
    </w:p>
    <w:p w:rsidR="00800760" w:rsidRDefault="00235733">
      <w:pPr>
        <w:tabs>
          <w:tab w:val="left" w:leader="underscore" w:pos="3341"/>
        </w:tabs>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甲方就“</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”专利（专利号：</w:t>
      </w:r>
      <w:r>
        <w:rPr>
          <w:rFonts w:ascii="仿宋_GB2312" w:eastAsia="仿宋_GB2312" w:hAnsi="仿宋" w:hint="eastAsia"/>
          <w:color w:val="000000"/>
          <w:sz w:val="20"/>
          <w:szCs w:val="21"/>
          <w:u w:val="single"/>
          <w:lang w:bidi="en-US"/>
        </w:rPr>
        <w:t xml:space="preserve">                  </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与乙方</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的专利侵权纠纷，经协商一致，双方自愿达成如下和解协议：</w:t>
      </w:r>
    </w:p>
    <w:p w:rsidR="00800760" w:rsidRDefault="00235733">
      <w:pPr>
        <w:tabs>
          <w:tab w:val="left" w:leader="underscore" w:pos="3341"/>
        </w:tabs>
        <w:spacing w:line="360" w:lineRule="auto"/>
        <w:ind w:firstLine="400"/>
        <w:rPr>
          <w:rFonts w:ascii="仿宋_GB2312" w:eastAsia="仿宋_GB2312"/>
          <w:color w:val="000000"/>
          <w:sz w:val="20"/>
          <w:szCs w:val="21"/>
        </w:rPr>
      </w:pPr>
      <w:r>
        <w:rPr>
          <w:rFonts w:ascii="仿宋_GB2312" w:eastAsia="仿宋_GB2312" w:hint="eastAsia"/>
          <w:color w:val="000000"/>
          <w:sz w:val="20"/>
          <w:szCs w:val="21"/>
        </w:rPr>
        <w:t>1.……</w:t>
      </w:r>
    </w:p>
    <w:p w:rsidR="00800760" w:rsidRDefault="00235733">
      <w:pPr>
        <w:tabs>
          <w:tab w:val="left" w:leader="underscore" w:pos="3341"/>
        </w:tabs>
        <w:spacing w:line="360" w:lineRule="auto"/>
        <w:ind w:firstLine="400"/>
        <w:rPr>
          <w:rFonts w:ascii="仿宋_GB2312" w:eastAsia="仿宋_GB2312"/>
          <w:color w:val="000000"/>
          <w:sz w:val="20"/>
          <w:szCs w:val="21"/>
        </w:rPr>
      </w:pPr>
      <w:r>
        <w:rPr>
          <w:rFonts w:ascii="仿宋_GB2312" w:eastAsia="仿宋_GB2312" w:hint="eastAsia"/>
          <w:color w:val="000000"/>
          <w:sz w:val="20"/>
          <w:szCs w:val="21"/>
        </w:rPr>
        <w:t>2.……</w:t>
      </w:r>
    </w:p>
    <w:p w:rsidR="00800760" w:rsidRDefault="00235733">
      <w:pPr>
        <w:tabs>
          <w:tab w:val="left" w:leader="underscore" w:pos="3341"/>
        </w:tabs>
        <w:spacing w:line="360" w:lineRule="auto"/>
        <w:ind w:firstLine="400"/>
        <w:rPr>
          <w:rFonts w:ascii="仿宋_GB2312" w:eastAsia="仿宋_GB2312"/>
          <w:color w:val="000000"/>
          <w:sz w:val="20"/>
          <w:szCs w:val="21"/>
        </w:rPr>
      </w:pPr>
      <w:r>
        <w:rPr>
          <w:rFonts w:ascii="仿宋_GB2312" w:eastAsia="仿宋_GB2312" w:hint="eastAsia"/>
          <w:color w:val="000000"/>
          <w:sz w:val="20"/>
          <w:szCs w:val="21"/>
        </w:rPr>
        <w:t>……</w:t>
      </w:r>
    </w:p>
    <w:p w:rsidR="00800760" w:rsidRDefault="00235733">
      <w:pPr>
        <w:tabs>
          <w:tab w:val="left" w:leader="underscore" w:pos="3341"/>
        </w:tabs>
        <w:spacing w:line="360" w:lineRule="auto"/>
        <w:ind w:firstLine="400"/>
        <w:rPr>
          <w:rFonts w:ascii="仿宋_GB2312" w:eastAsia="仿宋_GB2312" w:hAnsi="仿宋"/>
          <w:color w:val="000000"/>
          <w:sz w:val="20"/>
          <w:szCs w:val="21"/>
        </w:rPr>
      </w:pPr>
      <w:r>
        <w:rPr>
          <w:rFonts w:ascii="仿宋_GB2312" w:eastAsia="仿宋_GB2312" w:hAnsi="仿宋" w:hint="eastAsia"/>
          <w:color w:val="000000"/>
          <w:sz w:val="20"/>
          <w:szCs w:val="21"/>
        </w:rPr>
        <w:t>本和解协议书自双方签章之日起生效，共一式</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份，双方各执一份，报送国家知识产权局留存一份。</w:t>
      </w:r>
    </w:p>
    <w:p w:rsidR="00800760" w:rsidRDefault="00800760">
      <w:pPr>
        <w:tabs>
          <w:tab w:val="left" w:leader="underscore" w:pos="3341"/>
        </w:tabs>
        <w:spacing w:line="360" w:lineRule="auto"/>
        <w:ind w:firstLineChars="0" w:firstLine="0"/>
        <w:rPr>
          <w:rFonts w:ascii="仿宋_GB2312" w:eastAsia="仿宋_GB2312" w:hAnsi="仿宋"/>
          <w:color w:val="000000"/>
          <w:sz w:val="20"/>
          <w:szCs w:val="21"/>
        </w:rPr>
      </w:pPr>
    </w:p>
    <w:p w:rsidR="00800760" w:rsidRDefault="00800760">
      <w:pPr>
        <w:tabs>
          <w:tab w:val="left" w:leader="underscore" w:pos="2261"/>
        </w:tabs>
        <w:spacing w:line="360" w:lineRule="auto"/>
        <w:ind w:firstLineChars="0" w:firstLine="0"/>
        <w:rPr>
          <w:rFonts w:ascii="仿宋_GB2312" w:eastAsia="仿宋_GB2312" w:hAnsi="仿宋"/>
          <w:color w:val="000000"/>
          <w:sz w:val="20"/>
          <w:szCs w:val="21"/>
        </w:rPr>
      </w:pPr>
    </w:p>
    <w:p w:rsidR="00800760" w:rsidRDefault="00235733">
      <w:pPr>
        <w:tabs>
          <w:tab w:val="left" w:leader="underscore" w:pos="8222"/>
        </w:tabs>
        <w:spacing w:line="360" w:lineRule="auto"/>
        <w:ind w:firstLineChars="0" w:firstLine="400"/>
        <w:rPr>
          <w:rFonts w:ascii="仿宋_GB2312" w:eastAsia="仿宋_GB2312" w:hAnsi="仿宋"/>
          <w:color w:val="000000"/>
          <w:sz w:val="20"/>
          <w:szCs w:val="21"/>
        </w:rPr>
      </w:pPr>
      <w:r>
        <w:rPr>
          <w:rStyle w:val="MSGENFONTSTYLENAMETEMPLATEROLENUMBERMSGENFONTSTYLENAMEBYROLETEXT2Exact"/>
          <w:rFonts w:ascii="仿宋_GB2312" w:eastAsia="仿宋_GB2312" w:hAnsi="仿宋" w:hint="eastAsia"/>
          <w:color w:val="000000"/>
          <w:szCs w:val="21"/>
        </w:rPr>
        <w:t>甲方（签章</w:t>
      </w:r>
      <w:r>
        <w:rPr>
          <w:rStyle w:val="MSGENFONTSTYLENAMETEMPLATEROLENUMBERMSGENFONTSTYLENAMEBYROLETEXT2Exact"/>
          <w:rFonts w:ascii="仿宋_GB2312" w:eastAsia="仿宋_GB2312" w:hAnsi="仿宋" w:hint="eastAsia"/>
          <w:color w:val="000000"/>
          <w:szCs w:val="21"/>
          <w:lang w:bidi="en-US"/>
        </w:rPr>
        <w:t>）：</w:t>
      </w:r>
      <w:r>
        <w:rPr>
          <w:rStyle w:val="MSGENFONTSTYLENAMETEMPLATEROLENUMBERMSGENFONTSTYLENAMEBYROLETEXT2Exact"/>
          <w:rFonts w:ascii="仿宋_GB2312" w:eastAsia="仿宋_GB2312" w:hAnsi="仿宋" w:hint="eastAsia"/>
          <w:color w:val="000000"/>
          <w:szCs w:val="21"/>
          <w:u w:val="single"/>
        </w:rPr>
        <w:t xml:space="preserve">                </w:t>
      </w:r>
      <w:r>
        <w:rPr>
          <w:rStyle w:val="MSGENFONTSTYLENAMETEMPLATEROLENUMBERMSGENFONTSTYLENAMEBYROLETEXT2Exact"/>
          <w:rFonts w:ascii="仿宋_GB2312" w:eastAsia="仿宋_GB2312" w:hAnsi="仿宋" w:hint="eastAsia"/>
          <w:color w:val="000000"/>
          <w:szCs w:val="21"/>
        </w:rPr>
        <w:t xml:space="preserve">                    乙方（签章</w:t>
      </w:r>
      <w:r>
        <w:rPr>
          <w:rStyle w:val="MSGENFONTSTYLENAMETEMPLATEROLENUMBERMSGENFONTSTYLENAMEBYROLETEXT2Exact"/>
          <w:rFonts w:ascii="仿宋_GB2312" w:eastAsia="仿宋_GB2312" w:hAnsi="仿宋" w:hint="eastAsia"/>
          <w:color w:val="000000"/>
          <w:szCs w:val="21"/>
          <w:lang w:bidi="en-US"/>
        </w:rPr>
        <w:t>）：</w:t>
      </w:r>
      <w:r>
        <w:rPr>
          <w:rStyle w:val="MSGENFONTSTYLENAMETEMPLATEROLENUMBERMSGENFONTSTYLENAMEBYROLETEXT2Exact"/>
          <w:rFonts w:ascii="仿宋_GB2312" w:eastAsia="仿宋_GB2312" w:hAnsi="仿宋" w:hint="eastAsia"/>
          <w:color w:val="000000"/>
          <w:szCs w:val="21"/>
          <w:u w:val="single"/>
        </w:rPr>
        <w:t xml:space="preserve">                </w:t>
      </w:r>
    </w:p>
    <w:p w:rsidR="00800760" w:rsidRDefault="00235733">
      <w:pPr>
        <w:tabs>
          <w:tab w:val="left" w:leader="underscore" w:pos="1737"/>
        </w:tabs>
        <w:spacing w:line="360" w:lineRule="auto"/>
        <w:ind w:left="460" w:firstLineChars="250" w:firstLine="530"/>
        <w:rPr>
          <w:rFonts w:ascii="仿宋_GB2312" w:eastAsia="仿宋_GB2312" w:hAnsi="仿宋"/>
          <w:color w:val="000000"/>
          <w:sz w:val="20"/>
          <w:szCs w:val="21"/>
        </w:rPr>
      </w:pP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Style w:val="MSGENFONTSTYLENAMETEMPLATEROLENUMBERMSGENFONTSTYLENAMEBYROLETEXT2Exact"/>
          <w:rFonts w:ascii="仿宋_GB2312" w:eastAsia="仿宋_GB2312" w:hAnsi="仿宋" w:hint="eastAsia"/>
          <w:color w:val="000000"/>
          <w:szCs w:val="21"/>
        </w:rPr>
        <w:t xml:space="preserve">                         </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p>
    <w:p w:rsidR="00800760" w:rsidRDefault="00800760">
      <w:pPr>
        <w:widowControl w:val="0"/>
        <w:spacing w:line="360" w:lineRule="auto"/>
        <w:ind w:left="440"/>
        <w:rPr>
          <w:rFonts w:ascii="仿宋_GB2312" w:eastAsia="仿宋_GB2312" w:hAnsi="宋体" w:cs="Microsoft JhengHei"/>
          <w:color w:val="000000"/>
          <w:kern w:val="2"/>
          <w:szCs w:val="21"/>
          <w:lang w:val="en-US"/>
        </w:rPr>
      </w:pPr>
    </w:p>
    <w:p w:rsidR="00800760" w:rsidRDefault="00800760">
      <w:pPr>
        <w:tabs>
          <w:tab w:val="left" w:leader="underscore" w:pos="1737"/>
        </w:tabs>
        <w:spacing w:line="360" w:lineRule="auto"/>
        <w:ind w:left="460" w:firstLineChars="250" w:firstLine="500"/>
        <w:rPr>
          <w:rFonts w:ascii="仿宋_GB2312" w:eastAsia="仿宋_GB2312" w:hAnsi="仿宋"/>
          <w:color w:val="000000"/>
          <w:sz w:val="20"/>
          <w:szCs w:val="21"/>
        </w:rPr>
      </w:pPr>
    </w:p>
    <w:p w:rsidR="00800760" w:rsidRDefault="00235733" w:rsidP="00C22A7B">
      <w:pPr>
        <w:spacing w:beforeLines="50" w:afterLines="50" w:line="360" w:lineRule="auto"/>
        <w:ind w:firstLineChars="0" w:firstLine="0"/>
        <w:jc w:val="center"/>
        <w:rPr>
          <w:rFonts w:ascii="方正小标宋_GBK" w:eastAsia="方正小标宋_GBK" w:hAnsi="宋体"/>
          <w:color w:val="000000"/>
          <w:spacing w:val="6"/>
          <w:sz w:val="36"/>
          <w:szCs w:val="36"/>
        </w:rPr>
      </w:pPr>
      <w:r>
        <w:rPr>
          <w:rFonts w:ascii="仿宋_GB2312" w:eastAsia="仿宋_GB2312" w:hAnsi="宋体" w:hint="eastAsia"/>
          <w:b/>
          <w:color w:val="000000"/>
          <w:sz w:val="20"/>
          <w:szCs w:val="21"/>
        </w:rPr>
        <w:br w:type="page"/>
      </w:r>
      <w:r>
        <w:rPr>
          <w:rFonts w:ascii="方正小标宋_GBK" w:eastAsia="方正小标宋_GBK" w:hAnsi="宋体"/>
          <w:color w:val="000000"/>
          <w:spacing w:val="6"/>
          <w:sz w:val="36"/>
          <w:szCs w:val="36"/>
        </w:rPr>
        <w:t>专利侵权纠纷</w:t>
      </w:r>
      <w:r>
        <w:rPr>
          <w:rFonts w:ascii="方正小标宋_GBK" w:eastAsia="方正小标宋_GBK" w:hAnsi="宋体" w:hint="eastAsia"/>
          <w:color w:val="000000"/>
          <w:spacing w:val="6"/>
          <w:sz w:val="36"/>
          <w:szCs w:val="36"/>
        </w:rPr>
        <w:t>行政裁决</w:t>
      </w:r>
      <w:r>
        <w:rPr>
          <w:rFonts w:ascii="方正小标宋_GBK" w:eastAsia="方正小标宋_GBK" w:hAnsi="宋体"/>
          <w:color w:val="000000"/>
          <w:spacing w:val="6"/>
          <w:sz w:val="36"/>
          <w:szCs w:val="36"/>
        </w:rPr>
        <w:t>强制执行请求书</w:t>
      </w:r>
    </w:p>
    <w:p w:rsidR="00800760" w:rsidRDefault="00235733">
      <w:pPr>
        <w:spacing w:line="360" w:lineRule="auto"/>
        <w:ind w:firstLineChars="0" w:firstLine="0"/>
        <w:jc w:val="right"/>
        <w:rPr>
          <w:rFonts w:ascii="仿宋_GB2312" w:eastAsia="仿宋_GB2312" w:hAnsi="仿宋"/>
          <w:color w:val="000000"/>
          <w:sz w:val="20"/>
          <w:szCs w:val="21"/>
        </w:rPr>
      </w:pPr>
      <w:r>
        <w:rPr>
          <w:rFonts w:ascii="仿宋_GB2312" w:eastAsia="仿宋_GB2312" w:hAnsi="仿宋" w:hint="eastAsia"/>
          <w:color w:val="000000"/>
          <w:sz w:val="20"/>
          <w:szCs w:val="21"/>
        </w:rPr>
        <w:t>案号：____________________</w:t>
      </w:r>
    </w:p>
    <w:p w:rsidR="00800760" w:rsidRDefault="00235733">
      <w:pPr>
        <w:spacing w:line="360" w:lineRule="auto"/>
        <w:ind w:firstLineChars="0" w:firstLine="0"/>
        <w:rPr>
          <w:rFonts w:ascii="仿宋_GB2312" w:eastAsia="仿宋_GB2312" w:hAnsi="仿宋"/>
          <w:color w:val="000000"/>
          <w:sz w:val="20"/>
          <w:szCs w:val="21"/>
        </w:rPr>
      </w:pP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知识产权局：</w:t>
      </w:r>
    </w:p>
    <w:p w:rsidR="00800760" w:rsidRDefault="00235733" w:rsidP="00235733">
      <w:pPr>
        <w:tabs>
          <w:tab w:val="left" w:leader="underscore" w:pos="0"/>
        </w:tabs>
        <w:spacing w:line="360" w:lineRule="auto"/>
        <w:ind w:firstLineChars="255" w:firstLine="510"/>
        <w:rPr>
          <w:rFonts w:ascii="仿宋_GB2312" w:eastAsia="仿宋_GB2312" w:hAnsi="仿宋"/>
          <w:color w:val="000000"/>
          <w:sz w:val="20"/>
          <w:szCs w:val="21"/>
        </w:rPr>
      </w:pPr>
      <w:r>
        <w:rPr>
          <w:rFonts w:ascii="仿宋_GB2312" w:eastAsia="仿宋_GB2312" w:hAnsi="仿宋" w:hint="eastAsia"/>
          <w:color w:val="000000"/>
          <w:sz w:val="20"/>
          <w:szCs w:val="21"/>
        </w:rPr>
        <w:t>对贵局于</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年</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月</w:t>
      </w:r>
      <w:r>
        <w:rPr>
          <w:rFonts w:ascii="仿宋_GB2312" w:eastAsia="仿宋_GB2312" w:hAnsi="宋体" w:hint="eastAsia"/>
          <w:color w:val="000000"/>
          <w:spacing w:val="6"/>
          <w:sz w:val="20"/>
          <w:szCs w:val="21"/>
          <w:u w:val="single"/>
        </w:rPr>
        <w:t xml:space="preserve">    </w:t>
      </w:r>
      <w:r>
        <w:rPr>
          <w:rFonts w:ascii="仿宋_GB2312" w:eastAsia="仿宋_GB2312" w:hAnsi="宋体" w:hint="eastAsia"/>
          <w:color w:val="000000"/>
          <w:spacing w:val="6"/>
          <w:sz w:val="20"/>
          <w:szCs w:val="21"/>
        </w:rPr>
        <w:t>日</w:t>
      </w:r>
      <w:r>
        <w:rPr>
          <w:rFonts w:ascii="仿宋_GB2312" w:eastAsia="仿宋_GB2312" w:hAnsi="仿宋" w:hint="eastAsia"/>
          <w:color w:val="000000"/>
          <w:sz w:val="20"/>
          <w:szCs w:val="21"/>
        </w:rPr>
        <w:t>作出的</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号专利侵权纠纷行政裁决，我（单位</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rPr>
        <w:t>发现侵权人</w:t>
      </w:r>
      <w:r>
        <w:rPr>
          <w:rFonts w:ascii="仿宋_GB2312" w:eastAsia="仿宋_GB2312" w:hAnsi="仿宋" w:hint="eastAsia"/>
          <w:color w:val="000000"/>
          <w:sz w:val="20"/>
          <w:szCs w:val="21"/>
          <w:u w:val="single"/>
        </w:rPr>
        <w:t xml:space="preserve">                        </w:t>
      </w:r>
      <w:r>
        <w:rPr>
          <w:rFonts w:ascii="仿宋_GB2312" w:eastAsia="仿宋_GB2312" w:hAnsi="仿宋" w:hint="eastAsia"/>
          <w:color w:val="000000"/>
          <w:sz w:val="20"/>
          <w:szCs w:val="21"/>
        </w:rPr>
        <w:t>既未在收到行政裁决之日起的</w:t>
      </w:r>
      <w:r>
        <w:rPr>
          <w:rFonts w:ascii="仿宋_GB2312" w:eastAsia="仿宋_GB2312" w:hint="eastAsia"/>
          <w:color w:val="000000"/>
          <w:sz w:val="20"/>
          <w:szCs w:val="21"/>
        </w:rPr>
        <w:t>15</w:t>
      </w:r>
      <w:r>
        <w:rPr>
          <w:rFonts w:ascii="仿宋_GB2312" w:eastAsia="仿宋_GB2312" w:hAnsi="仿宋" w:hint="eastAsia"/>
          <w:color w:val="000000"/>
          <w:sz w:val="20"/>
          <w:szCs w:val="21"/>
        </w:rPr>
        <w:t>日之内向人民法院起诉，又未停止专利侵权行为。根据《中华人民共和国专利法》第六十条的规定，特请求贵局向人民法院提出强制执行申请。</w:t>
      </w:r>
    </w:p>
    <w:p w:rsidR="00800760" w:rsidRDefault="00800760" w:rsidP="00235733">
      <w:pPr>
        <w:tabs>
          <w:tab w:val="left" w:leader="underscore" w:pos="0"/>
        </w:tabs>
        <w:spacing w:line="360" w:lineRule="auto"/>
        <w:ind w:firstLineChars="255" w:firstLine="510"/>
        <w:rPr>
          <w:rFonts w:ascii="仿宋_GB2312" w:eastAsia="仿宋_GB2312" w:hAnsi="仿宋"/>
          <w:color w:val="000000"/>
          <w:sz w:val="20"/>
          <w:szCs w:val="21"/>
        </w:rPr>
      </w:pPr>
    </w:p>
    <w:p w:rsidR="00800760" w:rsidRDefault="00800760" w:rsidP="00235733">
      <w:pPr>
        <w:tabs>
          <w:tab w:val="left" w:leader="underscore" w:pos="0"/>
        </w:tabs>
        <w:spacing w:line="360" w:lineRule="auto"/>
        <w:ind w:firstLineChars="255" w:firstLine="510"/>
        <w:rPr>
          <w:rFonts w:ascii="仿宋_GB2312" w:eastAsia="仿宋_GB2312" w:hAnsi="仿宋"/>
          <w:color w:val="000000"/>
          <w:sz w:val="20"/>
          <w:szCs w:val="21"/>
        </w:rPr>
      </w:pPr>
    </w:p>
    <w:p w:rsidR="00800760" w:rsidRDefault="00800760" w:rsidP="00235733">
      <w:pPr>
        <w:tabs>
          <w:tab w:val="left" w:leader="underscore" w:pos="0"/>
        </w:tabs>
        <w:spacing w:line="360" w:lineRule="auto"/>
        <w:ind w:firstLineChars="255" w:firstLine="510"/>
        <w:rPr>
          <w:rFonts w:ascii="仿宋_GB2312" w:eastAsia="仿宋_GB2312" w:hAnsi="仿宋"/>
          <w:color w:val="000000"/>
          <w:sz w:val="20"/>
          <w:szCs w:val="21"/>
        </w:rPr>
      </w:pPr>
    </w:p>
    <w:p w:rsidR="00800760" w:rsidRDefault="00800760" w:rsidP="00235733">
      <w:pPr>
        <w:tabs>
          <w:tab w:val="left" w:leader="underscore" w:pos="0"/>
        </w:tabs>
        <w:spacing w:line="360" w:lineRule="auto"/>
        <w:ind w:firstLineChars="255" w:firstLine="510"/>
        <w:rPr>
          <w:rFonts w:ascii="仿宋_GB2312" w:eastAsia="仿宋_GB2312" w:hAnsi="仿宋"/>
          <w:color w:val="000000"/>
          <w:sz w:val="20"/>
          <w:szCs w:val="21"/>
        </w:rPr>
      </w:pPr>
    </w:p>
    <w:p w:rsidR="00800760" w:rsidRDefault="00235733">
      <w:pPr>
        <w:spacing w:line="360" w:lineRule="auto"/>
        <w:ind w:firstLineChars="2450" w:firstLine="4900"/>
        <w:rPr>
          <w:rFonts w:ascii="仿宋_GB2312" w:eastAsia="仿宋_GB2312" w:hAnsi="仿宋"/>
          <w:color w:val="000000"/>
          <w:sz w:val="20"/>
          <w:szCs w:val="21"/>
          <w:u w:val="single"/>
          <w:lang w:bidi="en-US"/>
        </w:rPr>
      </w:pPr>
      <w:r>
        <w:rPr>
          <w:rFonts w:ascii="仿宋_GB2312" w:eastAsia="仿宋_GB2312" w:hAnsi="仿宋" w:hint="eastAsia"/>
          <w:color w:val="000000"/>
          <w:sz w:val="20"/>
          <w:szCs w:val="21"/>
        </w:rPr>
        <w:t>请求人（签章</w:t>
      </w:r>
      <w:r>
        <w:rPr>
          <w:rFonts w:ascii="仿宋_GB2312" w:eastAsia="仿宋_GB2312" w:hAnsi="仿宋" w:hint="eastAsia"/>
          <w:color w:val="000000"/>
          <w:sz w:val="20"/>
          <w:szCs w:val="21"/>
          <w:lang w:bidi="en-US"/>
        </w:rPr>
        <w:t>）：</w:t>
      </w:r>
      <w:r>
        <w:rPr>
          <w:rFonts w:ascii="仿宋_GB2312" w:eastAsia="仿宋_GB2312" w:hAnsi="仿宋" w:hint="eastAsia"/>
          <w:color w:val="000000"/>
          <w:sz w:val="20"/>
          <w:szCs w:val="21"/>
          <w:u w:val="single"/>
          <w:lang w:bidi="en-US"/>
        </w:rPr>
        <w:t xml:space="preserve">              </w:t>
      </w:r>
    </w:p>
    <w:p w:rsidR="00800760" w:rsidRDefault="00235733">
      <w:pPr>
        <w:spacing w:line="360" w:lineRule="auto"/>
        <w:ind w:leftChars="1000" w:left="2100" w:firstLineChars="1750" w:firstLine="3710"/>
        <w:rPr>
          <w:rFonts w:ascii="仿宋_GB2312" w:eastAsia="仿宋_GB2312" w:hAnsi="宋体" w:cs="PMingLiU"/>
          <w:color w:val="000000"/>
          <w:spacing w:val="6"/>
          <w:sz w:val="20"/>
          <w:szCs w:val="21"/>
        </w:rPr>
      </w:pPr>
      <w:r>
        <w:rPr>
          <w:rFonts w:ascii="仿宋_GB2312" w:eastAsia="仿宋_GB2312" w:hAnsi="宋体" w:cs="PMingLiU" w:hint="eastAsia"/>
          <w:color w:val="000000"/>
          <w:spacing w:val="6"/>
          <w:sz w:val="20"/>
          <w:szCs w:val="21"/>
          <w:u w:val="single"/>
        </w:rPr>
        <w:t xml:space="preserve">      </w:t>
      </w:r>
      <w:r>
        <w:rPr>
          <w:rFonts w:ascii="仿宋_GB2312" w:eastAsia="仿宋_GB2312" w:hAnsi="宋体" w:cs="PMingLiU" w:hint="eastAsia"/>
          <w:color w:val="000000"/>
          <w:spacing w:val="6"/>
          <w:sz w:val="20"/>
          <w:szCs w:val="21"/>
        </w:rPr>
        <w:t>年</w:t>
      </w:r>
      <w:r>
        <w:rPr>
          <w:rFonts w:ascii="仿宋_GB2312" w:eastAsia="仿宋_GB2312" w:hAnsi="宋体" w:cs="PMingLiU" w:hint="eastAsia"/>
          <w:color w:val="000000"/>
          <w:spacing w:val="6"/>
          <w:sz w:val="20"/>
          <w:szCs w:val="21"/>
          <w:u w:val="single"/>
        </w:rPr>
        <w:t xml:space="preserve">    </w:t>
      </w:r>
      <w:r>
        <w:rPr>
          <w:rFonts w:ascii="仿宋_GB2312" w:eastAsia="仿宋_GB2312" w:hAnsi="宋体" w:cs="PMingLiU" w:hint="eastAsia"/>
          <w:color w:val="000000"/>
          <w:spacing w:val="6"/>
          <w:sz w:val="20"/>
          <w:szCs w:val="21"/>
        </w:rPr>
        <w:t>月</w:t>
      </w:r>
      <w:r>
        <w:rPr>
          <w:rFonts w:ascii="仿宋_GB2312" w:eastAsia="仿宋_GB2312" w:hAnsi="宋体" w:cs="PMingLiU" w:hint="eastAsia"/>
          <w:color w:val="000000"/>
          <w:spacing w:val="6"/>
          <w:sz w:val="20"/>
          <w:szCs w:val="21"/>
          <w:u w:val="single"/>
        </w:rPr>
        <w:t xml:space="preserve">    </w:t>
      </w:r>
      <w:r>
        <w:rPr>
          <w:rFonts w:ascii="仿宋_GB2312" w:eastAsia="仿宋_GB2312" w:hAnsi="宋体" w:cs="PMingLiU" w:hint="eastAsia"/>
          <w:color w:val="000000"/>
          <w:spacing w:val="6"/>
          <w:sz w:val="20"/>
          <w:szCs w:val="21"/>
        </w:rPr>
        <w:t>日</w:t>
      </w:r>
    </w:p>
    <w:p w:rsidR="00800760" w:rsidRDefault="00235733">
      <w:pPr>
        <w:spacing w:line="360" w:lineRule="auto"/>
        <w:ind w:firstLineChars="0" w:firstLine="0"/>
        <w:jc w:val="center"/>
        <w:rPr>
          <w:rFonts w:ascii="方正小标宋简体" w:eastAsia="方正小标宋简体" w:hAnsi="宋体"/>
          <w:color w:val="000000"/>
          <w:spacing w:val="6"/>
          <w:sz w:val="36"/>
          <w:szCs w:val="36"/>
        </w:rPr>
      </w:pPr>
      <w:r>
        <w:rPr>
          <w:rFonts w:ascii="仿宋_GB2312" w:eastAsia="仿宋_GB2312" w:hAnsi="宋体" w:cs="Courier New" w:hint="eastAsia"/>
          <w:color w:val="000000"/>
          <w:spacing w:val="6"/>
          <w:sz w:val="20"/>
          <w:szCs w:val="21"/>
        </w:rPr>
        <w:br w:type="page"/>
      </w:r>
      <w:r>
        <w:rPr>
          <w:rFonts w:ascii="方正小标宋简体" w:eastAsia="方正小标宋简体" w:hAnsi="宋体" w:hint="eastAsia"/>
          <w:color w:val="000000"/>
          <w:spacing w:val="6"/>
          <w:sz w:val="36"/>
          <w:szCs w:val="36"/>
        </w:rPr>
        <w:t>重大专利侵权纠纷行政裁决强制执行请求书</w:t>
      </w:r>
    </w:p>
    <w:p w:rsidR="00800760" w:rsidRDefault="00800760">
      <w:pPr>
        <w:spacing w:line="480" w:lineRule="auto"/>
        <w:ind w:firstLineChars="0" w:firstLine="0"/>
        <w:jc w:val="right"/>
        <w:rPr>
          <w:rFonts w:ascii="仿宋_GB2312" w:eastAsia="仿宋_GB2312" w:hAnsi="仿宋"/>
          <w:color w:val="000000"/>
          <w:sz w:val="20"/>
        </w:rPr>
      </w:pPr>
    </w:p>
    <w:p w:rsidR="00800760" w:rsidRDefault="00235733">
      <w:pPr>
        <w:spacing w:line="480" w:lineRule="auto"/>
        <w:ind w:firstLineChars="0" w:firstLine="0"/>
        <w:jc w:val="right"/>
        <w:rPr>
          <w:rFonts w:ascii="仿宋_GB2312" w:eastAsia="仿宋_GB2312" w:hAnsi="仿宋"/>
          <w:color w:val="000000"/>
          <w:sz w:val="20"/>
        </w:rPr>
      </w:pPr>
      <w:r>
        <w:rPr>
          <w:rFonts w:ascii="仿宋_GB2312" w:eastAsia="仿宋_GB2312" w:hAnsi="仿宋" w:hint="eastAsia"/>
          <w:color w:val="000000"/>
          <w:sz w:val="20"/>
        </w:rPr>
        <w:t>案号：____________________</w:t>
      </w:r>
    </w:p>
    <w:p w:rsidR="00800760" w:rsidRDefault="00235733">
      <w:pPr>
        <w:spacing w:line="480" w:lineRule="auto"/>
        <w:ind w:firstLineChars="0" w:firstLine="0"/>
        <w:rPr>
          <w:rFonts w:ascii="仿宋_GB2312" w:eastAsia="仿宋_GB2312" w:hAnsi="仿宋"/>
          <w:color w:val="000000"/>
          <w:sz w:val="20"/>
        </w:rPr>
      </w:pPr>
      <w:r>
        <w:rPr>
          <w:rFonts w:ascii="仿宋_GB2312" w:eastAsia="仿宋_GB2312" w:hAnsi="仿宋" w:hint="eastAsia"/>
          <w:color w:val="000000"/>
          <w:sz w:val="20"/>
        </w:rPr>
        <w:t>国家知识产权局：</w:t>
      </w:r>
    </w:p>
    <w:p w:rsidR="00800760" w:rsidRDefault="00235733" w:rsidP="00235733">
      <w:pPr>
        <w:tabs>
          <w:tab w:val="left" w:leader="underscore" w:pos="0"/>
        </w:tabs>
        <w:spacing w:line="480" w:lineRule="auto"/>
        <w:ind w:firstLineChars="255" w:firstLine="510"/>
        <w:rPr>
          <w:rFonts w:ascii="仿宋_GB2312" w:eastAsia="仿宋_GB2312" w:hAnsi="仿宋"/>
          <w:color w:val="000000"/>
          <w:sz w:val="20"/>
        </w:rPr>
      </w:pPr>
      <w:r>
        <w:rPr>
          <w:rFonts w:ascii="仿宋_GB2312" w:eastAsia="仿宋_GB2312" w:hAnsi="仿宋" w:hint="eastAsia"/>
          <w:color w:val="000000"/>
          <w:sz w:val="20"/>
        </w:rPr>
        <w:t>对贵局于</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年</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月</w:t>
      </w:r>
      <w:r>
        <w:rPr>
          <w:rFonts w:ascii="仿宋_GB2312" w:eastAsia="仿宋_GB2312" w:hAnsi="宋体" w:hint="eastAsia"/>
          <w:color w:val="000000"/>
          <w:spacing w:val="6"/>
          <w:sz w:val="20"/>
          <w:u w:val="single"/>
        </w:rPr>
        <w:t xml:space="preserve">    </w:t>
      </w:r>
      <w:r>
        <w:rPr>
          <w:rFonts w:ascii="仿宋_GB2312" w:eastAsia="仿宋_GB2312" w:hAnsi="宋体" w:hint="eastAsia"/>
          <w:color w:val="000000"/>
          <w:spacing w:val="6"/>
          <w:sz w:val="20"/>
        </w:rPr>
        <w:t>日</w:t>
      </w:r>
      <w:r>
        <w:rPr>
          <w:rFonts w:ascii="仿宋_GB2312" w:eastAsia="仿宋_GB2312" w:hAnsi="仿宋" w:hint="eastAsia"/>
          <w:color w:val="000000"/>
          <w:sz w:val="20"/>
        </w:rPr>
        <w:t>作出的</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号重大专利侵权纠纷行政裁决，我（单位</w:t>
      </w:r>
      <w:r>
        <w:rPr>
          <w:rFonts w:ascii="仿宋_GB2312" w:eastAsia="仿宋_GB2312" w:hAnsi="仿宋" w:hint="eastAsia"/>
          <w:color w:val="000000"/>
          <w:sz w:val="20"/>
          <w:lang w:bidi="en-US"/>
        </w:rPr>
        <w:t>）</w:t>
      </w:r>
      <w:r>
        <w:rPr>
          <w:rFonts w:ascii="仿宋_GB2312" w:eastAsia="仿宋_GB2312" w:hAnsi="仿宋" w:hint="eastAsia"/>
          <w:color w:val="000000"/>
          <w:sz w:val="20"/>
        </w:rPr>
        <w:t>发现侵权人</w:t>
      </w:r>
      <w:r>
        <w:rPr>
          <w:rFonts w:ascii="仿宋_GB2312" w:eastAsia="仿宋_GB2312" w:hAnsi="仿宋" w:hint="eastAsia"/>
          <w:color w:val="000000"/>
          <w:sz w:val="20"/>
          <w:u w:val="single"/>
        </w:rPr>
        <w:t xml:space="preserve">                        </w:t>
      </w:r>
      <w:r>
        <w:rPr>
          <w:rFonts w:ascii="仿宋_GB2312" w:eastAsia="仿宋_GB2312" w:hAnsi="仿宋" w:hint="eastAsia"/>
          <w:color w:val="000000"/>
          <w:sz w:val="20"/>
        </w:rPr>
        <w:t>未在收到行政裁决之日起的</w:t>
      </w:r>
      <w:r>
        <w:rPr>
          <w:rFonts w:ascii="仿宋_GB2312" w:eastAsia="仿宋_GB2312" w:hint="eastAsia"/>
          <w:color w:val="000000"/>
          <w:sz w:val="20"/>
        </w:rPr>
        <w:t>15</w:t>
      </w:r>
      <w:r>
        <w:rPr>
          <w:rFonts w:ascii="仿宋_GB2312" w:eastAsia="仿宋_GB2312" w:hAnsi="仿宋" w:hint="eastAsia"/>
          <w:color w:val="000000"/>
          <w:sz w:val="20"/>
        </w:rPr>
        <w:t>日之内向人民法院起诉，也未停止专利侵权行为。根据《中华人民共和国专利法》第六十条的规定，特请求贵局向人民法院提出强制执行申请。</w:t>
      </w:r>
    </w:p>
    <w:p w:rsidR="00800760" w:rsidRDefault="00800760" w:rsidP="00235733">
      <w:pPr>
        <w:tabs>
          <w:tab w:val="left" w:leader="underscore" w:pos="0"/>
        </w:tabs>
        <w:spacing w:line="480" w:lineRule="auto"/>
        <w:ind w:firstLineChars="255" w:firstLine="510"/>
        <w:rPr>
          <w:rFonts w:ascii="仿宋_GB2312" w:eastAsia="仿宋_GB2312" w:hAnsi="仿宋"/>
          <w:color w:val="000000"/>
          <w:sz w:val="20"/>
        </w:rPr>
      </w:pPr>
    </w:p>
    <w:p w:rsidR="00800760" w:rsidRDefault="00800760" w:rsidP="00235733">
      <w:pPr>
        <w:tabs>
          <w:tab w:val="left" w:leader="underscore" w:pos="0"/>
        </w:tabs>
        <w:spacing w:line="480" w:lineRule="auto"/>
        <w:ind w:firstLineChars="255" w:firstLine="510"/>
        <w:rPr>
          <w:rFonts w:ascii="仿宋_GB2312" w:eastAsia="仿宋_GB2312" w:hAnsi="仿宋"/>
          <w:color w:val="000000"/>
          <w:sz w:val="20"/>
        </w:rPr>
      </w:pPr>
    </w:p>
    <w:p w:rsidR="00800760" w:rsidRDefault="00800760" w:rsidP="00235733">
      <w:pPr>
        <w:tabs>
          <w:tab w:val="left" w:leader="underscore" w:pos="0"/>
        </w:tabs>
        <w:spacing w:line="480" w:lineRule="auto"/>
        <w:ind w:firstLineChars="255" w:firstLine="510"/>
        <w:rPr>
          <w:rFonts w:ascii="仿宋_GB2312" w:eastAsia="仿宋_GB2312" w:hAnsi="仿宋"/>
          <w:color w:val="000000"/>
          <w:sz w:val="20"/>
        </w:rPr>
      </w:pPr>
    </w:p>
    <w:p w:rsidR="00800760" w:rsidRDefault="00800760" w:rsidP="00235733">
      <w:pPr>
        <w:tabs>
          <w:tab w:val="left" w:leader="underscore" w:pos="0"/>
        </w:tabs>
        <w:spacing w:line="480" w:lineRule="auto"/>
        <w:ind w:firstLineChars="255" w:firstLine="510"/>
        <w:rPr>
          <w:rFonts w:ascii="仿宋_GB2312" w:eastAsia="仿宋_GB2312" w:hAnsi="仿宋"/>
          <w:color w:val="000000"/>
          <w:sz w:val="20"/>
        </w:rPr>
      </w:pPr>
    </w:p>
    <w:p w:rsidR="00800760" w:rsidRDefault="00235733">
      <w:pPr>
        <w:spacing w:line="480" w:lineRule="auto"/>
        <w:ind w:firstLineChars="2350" w:firstLine="4700"/>
        <w:rPr>
          <w:rFonts w:ascii="仿宋_GB2312" w:eastAsia="仿宋_GB2312" w:hAnsi="仿宋"/>
          <w:color w:val="000000"/>
          <w:sz w:val="20"/>
          <w:u w:val="single"/>
          <w:lang w:bidi="en-US"/>
        </w:rPr>
      </w:pPr>
      <w:r>
        <w:rPr>
          <w:rFonts w:ascii="仿宋_GB2312" w:eastAsia="仿宋_GB2312" w:hAnsi="仿宋" w:hint="eastAsia"/>
          <w:color w:val="000000"/>
          <w:sz w:val="20"/>
        </w:rPr>
        <w:t>请求人（签章</w:t>
      </w:r>
      <w:r>
        <w:rPr>
          <w:rFonts w:ascii="仿宋_GB2312" w:eastAsia="仿宋_GB2312" w:hAnsi="仿宋" w:hint="eastAsia"/>
          <w:color w:val="000000"/>
          <w:sz w:val="20"/>
          <w:lang w:bidi="en-US"/>
        </w:rPr>
        <w:t>）：</w:t>
      </w:r>
      <w:r>
        <w:rPr>
          <w:rFonts w:ascii="仿宋_GB2312" w:eastAsia="仿宋_GB2312" w:hAnsi="仿宋" w:hint="eastAsia"/>
          <w:color w:val="000000"/>
          <w:sz w:val="20"/>
          <w:u w:val="single"/>
          <w:lang w:bidi="en-US"/>
        </w:rPr>
        <w:t xml:space="preserve">              </w:t>
      </w:r>
    </w:p>
    <w:p w:rsidR="00800760" w:rsidRDefault="00235733">
      <w:pPr>
        <w:widowControl w:val="0"/>
        <w:spacing w:line="480" w:lineRule="auto"/>
        <w:ind w:leftChars="1000" w:left="2100" w:firstLineChars="1750" w:firstLine="3710"/>
        <w:rPr>
          <w:rFonts w:ascii="仿宋_GB2312" w:eastAsia="仿宋_GB2312" w:hAnsi="PMingLiU" w:cs="PMingLiU"/>
          <w:kern w:val="2"/>
          <w:sz w:val="20"/>
          <w:lang w:val="en-US"/>
        </w:rPr>
      </w:pP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年</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月</w:t>
      </w:r>
      <w:r>
        <w:rPr>
          <w:rFonts w:ascii="仿宋_GB2312" w:eastAsia="仿宋_GB2312" w:hAnsi="宋体" w:cs="PMingLiU" w:hint="eastAsia"/>
          <w:color w:val="000000"/>
          <w:spacing w:val="6"/>
          <w:kern w:val="2"/>
          <w:sz w:val="20"/>
          <w:u w:val="single"/>
          <w:lang w:val="en-US"/>
        </w:rPr>
        <w:t xml:space="preserve">    </w:t>
      </w:r>
      <w:r>
        <w:rPr>
          <w:rFonts w:ascii="仿宋_GB2312" w:eastAsia="仿宋_GB2312" w:hAnsi="宋体" w:cs="PMingLiU" w:hint="eastAsia"/>
          <w:color w:val="000000"/>
          <w:spacing w:val="6"/>
          <w:kern w:val="2"/>
          <w:sz w:val="20"/>
          <w:lang w:val="en-US"/>
        </w:rPr>
        <w:t>日</w:t>
      </w:r>
    </w:p>
    <w:p w:rsidR="00800760" w:rsidRDefault="00235733">
      <w:pPr>
        <w:spacing w:line="480" w:lineRule="auto"/>
        <w:ind w:firstLineChars="0" w:firstLine="0"/>
        <w:rPr>
          <w:rFonts w:ascii="仿宋_GB2312" w:eastAsia="仿宋_GB2312" w:hAnsi="宋体"/>
          <w:color w:val="000000"/>
          <w:spacing w:val="6"/>
          <w:sz w:val="20"/>
        </w:rPr>
      </w:pPr>
      <w:r>
        <w:rPr>
          <w:rFonts w:ascii="仿宋_GB2312" w:eastAsia="仿宋_GB2312" w:hAnsi="宋体" w:hint="eastAsia"/>
          <w:color w:val="000000"/>
          <w:spacing w:val="6"/>
          <w:sz w:val="20"/>
        </w:rPr>
        <w:br w:type="page"/>
      </w:r>
    </w:p>
    <w:p w:rsidR="00800760" w:rsidRDefault="00235733">
      <w:pPr>
        <w:tabs>
          <w:tab w:val="center" w:pos="4153"/>
          <w:tab w:val="right" w:pos="8306"/>
        </w:tabs>
        <w:spacing w:line="360" w:lineRule="auto"/>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药品专利纠纷行政裁决请求书</w:t>
      </w:r>
    </w:p>
    <w:tbl>
      <w:tblPr>
        <w:tblW w:w="7978" w:type="dxa"/>
        <w:jc w:val="center"/>
        <w:tblLayout w:type="fixed"/>
        <w:tblCellMar>
          <w:left w:w="10" w:type="dxa"/>
          <w:right w:w="10" w:type="dxa"/>
        </w:tblCellMar>
        <w:tblLook w:val="04A0"/>
      </w:tblPr>
      <w:tblGrid>
        <w:gridCol w:w="97"/>
        <w:gridCol w:w="716"/>
        <w:gridCol w:w="905"/>
        <w:gridCol w:w="193"/>
        <w:gridCol w:w="1032"/>
        <w:gridCol w:w="992"/>
        <w:gridCol w:w="426"/>
        <w:gridCol w:w="654"/>
        <w:gridCol w:w="1614"/>
        <w:gridCol w:w="494"/>
        <w:gridCol w:w="14"/>
        <w:gridCol w:w="841"/>
      </w:tblGrid>
      <w:tr w:rsidR="00800760" w:rsidTr="00B30D69">
        <w:trPr>
          <w:gridBefore w:val="1"/>
          <w:wBefore w:w="97" w:type="dxa"/>
          <w:trHeight w:val="142"/>
          <w:jc w:val="center"/>
        </w:trPr>
        <w:tc>
          <w:tcPr>
            <w:tcW w:w="3838" w:type="dxa"/>
            <w:gridSpan w:val="5"/>
            <w:tcBorders>
              <w:bottom w:val="single" w:sz="4" w:space="0" w:color="auto"/>
            </w:tcBorders>
            <w:shd w:val="clear" w:color="auto" w:fill="FFFFFF"/>
            <w:vAlign w:val="center"/>
          </w:tcPr>
          <w:p w:rsidR="00800760" w:rsidRDefault="00235733">
            <w:pPr>
              <w:keepNext/>
              <w:keepLines/>
              <w:spacing w:line="360" w:lineRule="auto"/>
              <w:ind w:firstLineChars="0" w:firstLine="480"/>
              <w:rPr>
                <w:rFonts w:ascii="仿宋_GB2312" w:eastAsia="仿宋_GB2312" w:hAnsi="宋体"/>
                <w:b/>
                <w:sz w:val="20"/>
              </w:rPr>
            </w:pPr>
            <w:r>
              <w:rPr>
                <w:rFonts w:ascii="仿宋_GB2312" w:eastAsia="仿宋_GB2312" w:hAnsi="PMingLiU" w:cs="PMingLiU" w:hint="eastAsia"/>
                <w:sz w:val="20"/>
              </w:rPr>
              <w:br w:type="page"/>
            </w:r>
            <w:r>
              <w:rPr>
                <w:rFonts w:ascii="仿宋_GB2312" w:eastAsia="仿宋_GB2312" w:hAnsi="PMingLiU" w:cs="PMingLiU" w:hint="eastAsia"/>
                <w:sz w:val="20"/>
              </w:rPr>
              <w:br w:type="page"/>
            </w:r>
            <w:bookmarkStart w:id="9342" w:name="_Toc1210"/>
            <w:bookmarkStart w:id="9343" w:name="_Toc12874"/>
            <w:bookmarkStart w:id="9344" w:name="_Toc28668"/>
            <w:bookmarkStart w:id="9345" w:name="_Toc23898"/>
            <w:bookmarkStart w:id="9346" w:name="_Toc6189"/>
            <w:bookmarkStart w:id="9347" w:name="_Toc10194"/>
            <w:bookmarkStart w:id="9348" w:name="_Toc26071"/>
            <w:bookmarkStart w:id="9349" w:name="_Toc29756"/>
            <w:bookmarkStart w:id="9350" w:name="_Toc25661"/>
            <w:bookmarkStart w:id="9351" w:name="_Toc28337"/>
            <w:bookmarkStart w:id="9352" w:name="_Toc16283"/>
            <w:bookmarkStart w:id="9353" w:name="_Toc10836"/>
            <w:bookmarkStart w:id="9354" w:name="_Toc2001"/>
            <w:bookmarkStart w:id="9355" w:name="_Toc23773"/>
            <w:bookmarkStart w:id="9356" w:name="_Toc24404"/>
            <w:bookmarkStart w:id="9357" w:name="_Toc32144"/>
            <w:bookmarkStart w:id="9358" w:name="_Toc18009"/>
            <w:bookmarkStart w:id="9359" w:name="_Toc8299"/>
            <w:bookmarkStart w:id="9360" w:name="_Toc25267"/>
            <w:bookmarkStart w:id="9361" w:name="_Toc27164"/>
            <w:bookmarkStart w:id="9362" w:name="_Toc13737"/>
            <w:bookmarkStart w:id="9363" w:name="_Toc6707"/>
            <w:r>
              <w:rPr>
                <w:rFonts w:ascii="仿宋_GB2312" w:eastAsia="仿宋_GB2312" w:hint="eastAsia"/>
                <w:sz w:val="20"/>
              </w:rPr>
              <w:t>请按照 “注意事项”正确填写本表各栏</w:t>
            </w:r>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p>
        </w:tc>
        <w:tc>
          <w:tcPr>
            <w:tcW w:w="4043" w:type="dxa"/>
            <w:gridSpan w:val="6"/>
            <w:shd w:val="clear" w:color="auto" w:fill="FFFFFF"/>
          </w:tcPr>
          <w:p w:rsidR="00800760" w:rsidRDefault="00800760">
            <w:pPr>
              <w:spacing w:line="360" w:lineRule="auto"/>
              <w:ind w:firstLineChars="0" w:firstLine="0"/>
              <w:rPr>
                <w:rFonts w:ascii="仿宋_GB2312" w:eastAsia="仿宋_GB2312" w:hAnsi="宋体"/>
                <w:sz w:val="20"/>
              </w:rPr>
            </w:pPr>
          </w:p>
        </w:tc>
      </w:tr>
      <w:tr w:rsidR="00800760" w:rsidTr="00B30D69">
        <w:trPr>
          <w:gridBefore w:val="1"/>
          <w:wBefore w:w="97" w:type="dxa"/>
          <w:trHeight w:val="1286"/>
          <w:jc w:val="center"/>
        </w:trPr>
        <w:tc>
          <w:tcPr>
            <w:tcW w:w="716" w:type="dxa"/>
            <w:vMerge w:val="restart"/>
            <w:tcBorders>
              <w:top w:val="single" w:sz="4" w:space="0" w:color="auto"/>
              <w:left w:val="single" w:sz="4" w:space="0" w:color="auto"/>
              <w:bottom w:val="single" w:sz="6" w:space="0" w:color="auto"/>
              <w:right w:val="single" w:sz="6" w:space="0" w:color="auto"/>
            </w:tcBorders>
            <w:shd w:val="clear" w:color="auto" w:fill="FFFFFF"/>
            <w:vAlign w:val="center"/>
          </w:tcPr>
          <w:p w:rsidR="00800760" w:rsidRDefault="00C22A7B">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fldChar w:fldCharType="begin"/>
            </w:r>
            <w:r w:rsidR="00235733">
              <w:rPr>
                <w:rStyle w:val="MSGENFONTSTYLENAMETEMPLATEROLENUMBERMSGENFONTSTYLENAMEBYROLETEXT2MSGENFONTSTYLEMODIFERNAMEPMingLiU"/>
                <w:rFonts w:ascii="仿宋_GB2312" w:eastAsia="仿宋_GB2312" w:hAnsi="宋体" w:hint="eastAsia"/>
                <w:sz w:val="20"/>
                <w:szCs w:val="20"/>
              </w:rPr>
              <w:instrText xml:space="preserve"> = 2 \* GB3 </w:instrText>
            </w:r>
            <w:r>
              <w:rPr>
                <w:rStyle w:val="MSGENFONTSTYLENAMETEMPLATEROLENUMBERMSGENFONTSTYLENAMEBYROLETEXT2MSGENFONTSTYLEMODIFERNAMEPMingLiU"/>
                <w:rFonts w:ascii="仿宋_GB2312" w:eastAsia="仿宋_GB2312" w:hAnsi="宋体" w:hint="eastAsia"/>
                <w:sz w:val="20"/>
                <w:szCs w:val="20"/>
              </w:rPr>
              <w:fldChar w:fldCharType="separate"/>
            </w:r>
            <w:r w:rsidR="00235733">
              <w:rPr>
                <w:rStyle w:val="MSGENFONTSTYLENAMETEMPLATEROLENUMBERMSGENFONTSTYLENAMEBYROLETEXT2MSGENFONTSTYLEMODIFERNAMEPMingLiU"/>
                <w:rFonts w:ascii="仿宋_GB2312" w:eastAsia="仿宋_GB2312" w:hAnsi="宋体" w:hint="eastAsia"/>
                <w:sz w:val="20"/>
                <w:szCs w:val="20"/>
              </w:rPr>
              <w:t>②</w:t>
            </w:r>
            <w:r>
              <w:rPr>
                <w:rStyle w:val="MSGENFONTSTYLENAMETEMPLATEROLENUMBERMSGENFONTSTYLENAMEBYROLETEXT2MSGENFONTSTYLEMODIFERNAMEPMingLiU"/>
                <w:rFonts w:ascii="仿宋_GB2312" w:eastAsia="仿宋_GB2312" w:hAnsi="宋体" w:hint="eastAsia"/>
                <w:sz w:val="20"/>
                <w:szCs w:val="20"/>
              </w:rPr>
              <w:fldChar w:fldCharType="end"/>
            </w:r>
          </w:p>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专</w:t>
            </w:r>
          </w:p>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利</w:t>
            </w:r>
          </w:p>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权</w:t>
            </w:r>
          </w:p>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信</w:t>
            </w:r>
          </w:p>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息</w:t>
            </w:r>
          </w:p>
        </w:tc>
        <w:tc>
          <w:tcPr>
            <w:tcW w:w="2130"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专利号</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4043" w:type="dxa"/>
            <w:gridSpan w:val="6"/>
            <w:tcBorders>
              <w:top w:val="single" w:sz="4" w:space="0" w:color="auto"/>
              <w:left w:val="single" w:sz="4" w:space="0" w:color="auto"/>
              <w:bottom w:val="single" w:sz="4" w:space="0" w:color="auto"/>
              <w:right w:val="single" w:sz="4" w:space="0" w:color="auto"/>
            </w:tcBorders>
            <w:shd w:val="clear" w:color="auto" w:fill="FFFFFF"/>
          </w:tcPr>
          <w:p w:rsidR="00800760" w:rsidRDefault="00235733">
            <w:pPr>
              <w:spacing w:line="360" w:lineRule="auto"/>
              <w:ind w:firstLineChars="0" w:firstLine="0"/>
              <w:rPr>
                <w:rFonts w:ascii="仿宋_GB2312" w:eastAsia="仿宋_GB2312" w:hAnsi="宋体"/>
                <w:sz w:val="20"/>
              </w:rPr>
            </w:pPr>
            <w:r>
              <w:rPr>
                <w:rFonts w:ascii="仿宋_GB2312" w:eastAsia="仿宋_GB2312" w:hint="eastAsia"/>
                <w:sz w:val="20"/>
              </w:rPr>
              <w:t>此框内容由国家知识产权局填写</w:t>
            </w:r>
          </w:p>
          <w:p w:rsidR="00800760" w:rsidRDefault="00235733">
            <w:pPr>
              <w:spacing w:line="360" w:lineRule="auto"/>
              <w:ind w:firstLineChars="0" w:firstLine="0"/>
              <w:rPr>
                <w:rFonts w:ascii="仿宋_GB2312" w:eastAsia="仿宋_GB2312" w:hAnsi="宋体"/>
                <w:sz w:val="20"/>
                <w:lang w:eastAsia="en-US"/>
              </w:rPr>
            </w:pPr>
            <w:r>
              <w:rPr>
                <w:rFonts w:ascii="仿宋_GB2312" w:eastAsia="仿宋_GB2312" w:hint="eastAsia"/>
                <w:sz w:val="20"/>
                <w:lang w:eastAsia="en-US"/>
              </w:rPr>
              <w:t>①案件编号</w:t>
            </w:r>
          </w:p>
        </w:tc>
      </w:tr>
      <w:tr w:rsidR="00800760" w:rsidTr="00B30D69">
        <w:trPr>
          <w:gridBefore w:val="1"/>
          <w:wBefore w:w="97" w:type="dxa"/>
          <w:trHeight w:val="558"/>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4"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发明创造名称</w:t>
            </w:r>
          </w:p>
        </w:tc>
        <w:tc>
          <w:tcPr>
            <w:tcW w:w="5035" w:type="dxa"/>
            <w:gridSpan w:val="7"/>
            <w:tcBorders>
              <w:top w:val="single" w:sz="4" w:space="0" w:color="auto"/>
              <w:left w:val="single" w:sz="4" w:space="0" w:color="auto"/>
              <w:bottom w:val="single" w:sz="4"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50"/>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专利权人</w:t>
            </w:r>
          </w:p>
        </w:tc>
        <w:tc>
          <w:tcPr>
            <w:tcW w:w="5035" w:type="dxa"/>
            <w:gridSpan w:val="7"/>
            <w:tcBorders>
              <w:top w:val="single" w:sz="4"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药品上市许可持有人</w:t>
            </w:r>
          </w:p>
        </w:tc>
        <w:tc>
          <w:tcPr>
            <w:tcW w:w="5035" w:type="dxa"/>
            <w:gridSpan w:val="7"/>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rPr>
            </w:pPr>
            <w:r>
              <w:rPr>
                <w:rStyle w:val="MSGENFONTSTYLENAMETEMPLATEROLENUMBERMSGENFONTSTYLENAMEBYROLETEXT2MSGENFONTSTYLEMODIFERNAMEPMingLiU"/>
                <w:rFonts w:ascii="仿宋_GB2312" w:eastAsia="仿宋_GB2312" w:hAnsi="宋体" w:hint="eastAsia"/>
                <w:sz w:val="20"/>
                <w:szCs w:val="20"/>
              </w:rPr>
              <w:t>中国上市药品专利信息登记平台登记</w:t>
            </w:r>
          </w:p>
        </w:tc>
        <w:tc>
          <w:tcPr>
            <w:tcW w:w="5035" w:type="dxa"/>
            <w:gridSpan w:val="7"/>
            <w:tcBorders>
              <w:top w:val="single" w:sz="6" w:space="0" w:color="auto"/>
              <w:left w:val="single" w:sz="6" w:space="0" w:color="auto"/>
              <w:bottom w:val="single" w:sz="6" w:space="0" w:color="auto"/>
              <w:right w:val="single" w:sz="4" w:space="0" w:color="auto"/>
            </w:tcBorders>
            <w:shd w:val="clear" w:color="auto" w:fill="FFFFFF"/>
          </w:tcPr>
          <w:p w:rsidR="00800760" w:rsidRDefault="00235733">
            <w:pPr>
              <w:spacing w:line="360" w:lineRule="auto"/>
              <w:ind w:firstLineChars="0" w:firstLine="500"/>
              <w:rPr>
                <w:rFonts w:ascii="仿宋_GB2312" w:eastAsia="仿宋_GB2312" w:hAnsi="宋体"/>
                <w:sz w:val="20"/>
                <w:lang w:eastAsia="en-US"/>
              </w:rPr>
            </w:pPr>
            <w:r>
              <w:rPr>
                <w:rFonts w:ascii="仿宋_GB2312" w:eastAsia="仿宋_GB2312" w:hAnsi="宋体" w:hint="eastAsia"/>
                <w:spacing w:val="20"/>
                <w:sz w:val="20"/>
              </w:rPr>
              <w:t xml:space="preserve"> </w:t>
            </w:r>
            <w:r w:rsidR="00C22A7B">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Pr>
                <w:rFonts w:ascii="仿宋_GB2312" w:eastAsia="仿宋_GB2312" w:hAnsi="宋体" w:hint="eastAsia"/>
                <w:sz w:val="20"/>
                <w:lang w:eastAsia="en-US"/>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z w:val="20"/>
                <w:lang w:eastAsia="en-US"/>
              </w:rPr>
              <w:t xml:space="preserve">已登记          </w:t>
            </w:r>
            <w:r>
              <w:rPr>
                <w:rFonts w:ascii="仿宋_GB2312" w:eastAsia="仿宋_GB2312" w:hAnsi="宋体" w:hint="eastAsia"/>
                <w:spacing w:val="20"/>
                <w:sz w:val="20"/>
                <w:lang w:eastAsia="en-US"/>
              </w:rPr>
              <w:t xml:space="preserve"> </w:t>
            </w:r>
            <w:r w:rsidR="00C22A7B">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Pr>
                <w:rFonts w:ascii="仿宋_GB2312" w:eastAsia="仿宋_GB2312" w:hAnsi="宋体" w:hint="eastAsia"/>
                <w:sz w:val="20"/>
                <w:lang w:eastAsia="en-US"/>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pacing w:val="20"/>
                <w:sz w:val="20"/>
                <w:lang w:eastAsia="en-US"/>
              </w:rPr>
              <w:t>未登记</w:t>
            </w: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针对的权利要求项</w:t>
            </w:r>
          </w:p>
        </w:tc>
        <w:tc>
          <w:tcPr>
            <w:tcW w:w="5035" w:type="dxa"/>
            <w:gridSpan w:val="7"/>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val="restart"/>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C22A7B">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fldChar w:fldCharType="begin"/>
            </w:r>
            <w:r w:rsidR="00235733">
              <w:rPr>
                <w:rStyle w:val="MSGENFONTSTYLENAMETEMPLATEROLENUMBERMSGENFONTSTYLENAMEBYROLETEXT2MSGENFONTSTYLEMODIFERNAMEPMingLiU"/>
                <w:rFonts w:ascii="仿宋_GB2312" w:eastAsia="仿宋_GB2312" w:hAnsi="宋体" w:hint="eastAsia"/>
                <w:sz w:val="20"/>
                <w:szCs w:val="20"/>
              </w:rPr>
              <w:instrText xml:space="preserve"> = 3 \* GB3 </w:instrText>
            </w:r>
            <w:r>
              <w:rPr>
                <w:rStyle w:val="MSGENFONTSTYLENAMETEMPLATEROLENUMBERMSGENFONTSTYLENAMEBYROLETEXT2MSGENFONTSTYLEMODIFERNAMEPMingLiU"/>
                <w:rFonts w:ascii="仿宋_GB2312" w:eastAsia="仿宋_GB2312" w:hAnsi="宋体" w:hint="eastAsia"/>
                <w:sz w:val="20"/>
                <w:szCs w:val="20"/>
              </w:rPr>
              <w:fldChar w:fldCharType="separate"/>
            </w:r>
            <w:r w:rsidR="00235733">
              <w:rPr>
                <w:rStyle w:val="MSGENFONTSTYLENAMETEMPLATEROLENUMBERMSGENFONTSTYLENAMEBYROLETEXT2MSGENFONTSTYLEMODIFERNAMEPMingLiU"/>
                <w:rFonts w:ascii="仿宋_GB2312" w:eastAsia="仿宋_GB2312" w:hAnsi="宋体" w:hint="eastAsia"/>
                <w:sz w:val="20"/>
                <w:szCs w:val="20"/>
              </w:rPr>
              <w:t>③</w:t>
            </w:r>
            <w:r>
              <w:rPr>
                <w:rStyle w:val="MSGENFONTSTYLENAMETEMPLATEROLENUMBERMSGENFONTSTYLENAMEBYROLETEXT2MSGENFONTSTYLEMODIFERNAMEPMingLiU"/>
                <w:rFonts w:ascii="仿宋_GB2312" w:eastAsia="仿宋_GB2312" w:hAnsi="宋体" w:hint="eastAsia"/>
                <w:sz w:val="20"/>
                <w:szCs w:val="20"/>
              </w:rPr>
              <w:fldChar w:fldCharType="end"/>
            </w:r>
          </w:p>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上市</w:t>
            </w:r>
          </w:p>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许可</w:t>
            </w:r>
          </w:p>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申请</w:t>
            </w:r>
          </w:p>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药品</w:t>
            </w:r>
          </w:p>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信息</w:t>
            </w: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rPr>
            </w:pPr>
            <w:r>
              <w:rPr>
                <w:rStyle w:val="MSGENFONTSTYLENAMETEMPLATEROLENUMBERMSGENFONTSTYLENAMEBYROLETEXT2MSGENFONTSTYLEMODIFERNAMEPMingLiU"/>
                <w:rFonts w:ascii="仿宋_GB2312" w:eastAsia="仿宋_GB2312" w:hAnsi="宋体" w:hint="eastAsia"/>
                <w:sz w:val="20"/>
                <w:szCs w:val="20"/>
              </w:rPr>
              <w:t>药品名称、规格、剂型</w:t>
            </w:r>
          </w:p>
        </w:tc>
        <w:tc>
          <w:tcPr>
            <w:tcW w:w="5035" w:type="dxa"/>
            <w:gridSpan w:val="7"/>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药品上市许可申请人</w:t>
            </w:r>
          </w:p>
        </w:tc>
        <w:tc>
          <w:tcPr>
            <w:tcW w:w="5035" w:type="dxa"/>
            <w:gridSpan w:val="7"/>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666"/>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500"/>
              <w:jc w:val="center"/>
              <w:rPr>
                <w:rFonts w:ascii="仿宋_GB2312" w:eastAsia="仿宋_GB2312" w:hAnsi="宋体"/>
                <w:spacing w:val="20"/>
                <w:sz w:val="20"/>
              </w:rPr>
            </w:pPr>
            <w:r>
              <w:rPr>
                <w:rFonts w:ascii="仿宋_GB2312" w:eastAsia="仿宋_GB2312" w:hAnsi="宋体" w:hint="eastAsia"/>
                <w:spacing w:val="20"/>
                <w:sz w:val="20"/>
              </w:rPr>
              <w:t>药品上市许可申请公示时间</w:t>
            </w:r>
          </w:p>
        </w:tc>
        <w:tc>
          <w:tcPr>
            <w:tcW w:w="5035" w:type="dxa"/>
            <w:gridSpan w:val="7"/>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4"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rPr>
            </w:pPr>
          </w:p>
        </w:tc>
        <w:tc>
          <w:tcPr>
            <w:tcW w:w="2130" w:type="dxa"/>
            <w:gridSpan w:val="3"/>
            <w:tcBorders>
              <w:top w:val="single" w:sz="6" w:space="0" w:color="auto"/>
              <w:left w:val="single" w:sz="6" w:space="0" w:color="auto"/>
              <w:bottom w:val="single" w:sz="4" w:space="0" w:color="auto"/>
              <w:right w:val="single" w:sz="6" w:space="0" w:color="auto"/>
            </w:tcBorders>
            <w:shd w:val="clear" w:color="auto" w:fill="FFFFFF"/>
            <w:vAlign w:val="center"/>
          </w:tcPr>
          <w:p w:rsidR="00800760" w:rsidRDefault="00235733">
            <w:pPr>
              <w:spacing w:line="360" w:lineRule="auto"/>
              <w:ind w:firstLineChars="0" w:firstLine="500"/>
              <w:jc w:val="center"/>
              <w:rPr>
                <w:rFonts w:ascii="仿宋_GB2312" w:eastAsia="仿宋_GB2312" w:hAnsi="宋体"/>
                <w:spacing w:val="20"/>
                <w:sz w:val="20"/>
                <w:lang w:eastAsia="en-US"/>
              </w:rPr>
            </w:pPr>
            <w:r>
              <w:rPr>
                <w:rFonts w:ascii="仿宋_GB2312" w:eastAsia="仿宋_GB2312" w:hAnsi="宋体" w:hint="eastAsia"/>
                <w:spacing w:val="20"/>
                <w:sz w:val="20"/>
                <w:lang w:eastAsia="en-US"/>
              </w:rPr>
              <w:t>提出第四类声明情况</w:t>
            </w:r>
          </w:p>
        </w:tc>
        <w:tc>
          <w:tcPr>
            <w:tcW w:w="5035" w:type="dxa"/>
            <w:gridSpan w:val="7"/>
            <w:tcBorders>
              <w:top w:val="single" w:sz="6" w:space="0" w:color="auto"/>
              <w:left w:val="single" w:sz="6" w:space="0" w:color="auto"/>
              <w:bottom w:val="single" w:sz="4" w:space="0" w:color="auto"/>
              <w:right w:val="single" w:sz="4" w:space="0" w:color="auto"/>
            </w:tcBorders>
            <w:shd w:val="clear" w:color="auto" w:fill="FFFFFF"/>
          </w:tcPr>
          <w:p w:rsidR="00800760" w:rsidRDefault="00C22A7B">
            <w:pPr>
              <w:spacing w:line="360" w:lineRule="auto"/>
              <w:ind w:firstLineChars="0" w:firstLine="0"/>
              <w:rPr>
                <w:rFonts w:ascii="仿宋_GB2312" w:eastAsia="仿宋_GB2312" w:hAnsi="宋体"/>
                <w:sz w:val="20"/>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rPr>
              <w:t xml:space="preserve">专利权应当被宣告无效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pacing w:val="20"/>
                <w:sz w:val="20"/>
              </w:rPr>
              <w:t>未落入专利权保护范围</w:t>
            </w:r>
          </w:p>
        </w:tc>
      </w:tr>
      <w:tr w:rsidR="00800760" w:rsidTr="00B30D69">
        <w:trPr>
          <w:gridBefore w:val="1"/>
          <w:wBefore w:w="97" w:type="dxa"/>
          <w:trHeight w:val="4234"/>
          <w:jc w:val="center"/>
        </w:trPr>
        <w:tc>
          <w:tcPr>
            <w:tcW w:w="716" w:type="dxa"/>
            <w:vMerge w:val="restart"/>
            <w:tcBorders>
              <w:top w:val="single" w:sz="4" w:space="0" w:color="auto"/>
              <w:left w:val="single" w:sz="4" w:space="0" w:color="auto"/>
              <w:bottom w:val="single" w:sz="6" w:space="0" w:color="auto"/>
              <w:right w:val="single" w:sz="6" w:space="0" w:color="auto"/>
            </w:tcBorders>
            <w:shd w:val="clear" w:color="auto" w:fill="FFFFFF"/>
            <w:vAlign w:val="center"/>
          </w:tcPr>
          <w:p w:rsidR="00800760" w:rsidRDefault="00C22A7B">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fldChar w:fldCharType="begin"/>
            </w:r>
            <w:r w:rsidR="00235733">
              <w:rPr>
                <w:rStyle w:val="MSGENFONTSTYLENAMETEMPLATEROLENUMBERMSGENFONTSTYLENAMEBYROLETEXT2MSGENFONTSTYLEMODIFERNAMEPMingLiU"/>
                <w:rFonts w:ascii="仿宋_GB2312" w:eastAsia="仿宋_GB2312" w:hAnsi="宋体" w:hint="eastAsia"/>
                <w:sz w:val="20"/>
                <w:szCs w:val="20"/>
              </w:rPr>
              <w:instrText xml:space="preserve"> = 4 \* GB3 </w:instrText>
            </w:r>
            <w:r>
              <w:rPr>
                <w:rStyle w:val="MSGENFONTSTYLENAMETEMPLATEROLENUMBERMSGENFONTSTYLENAMEBYROLETEXT2MSGENFONTSTYLEMODIFERNAMEPMingLiU"/>
                <w:rFonts w:ascii="仿宋_GB2312" w:eastAsia="仿宋_GB2312" w:hAnsi="宋体" w:hint="eastAsia"/>
                <w:sz w:val="20"/>
                <w:szCs w:val="20"/>
              </w:rPr>
              <w:fldChar w:fldCharType="separate"/>
            </w:r>
            <w:r w:rsidR="00235733">
              <w:rPr>
                <w:rStyle w:val="MSGENFONTSTYLENAMETEMPLATEROLENUMBERMSGENFONTSTYLENAMEBYROLETEXT2MSGENFONTSTYLEMODIFERNAMEPMingLiU"/>
                <w:rFonts w:ascii="仿宋_GB2312" w:eastAsia="仿宋_GB2312" w:hAnsi="宋体" w:hint="eastAsia"/>
                <w:sz w:val="20"/>
                <w:szCs w:val="20"/>
              </w:rPr>
              <w:t>④</w:t>
            </w:r>
            <w:r>
              <w:rPr>
                <w:rStyle w:val="MSGENFONTSTYLENAMETEMPLATEROLENUMBERMSGENFONTSTYLENAMEBYROLETEXT2MSGENFONTSTYLEMODIFERNAMEPMingLiU"/>
                <w:rFonts w:ascii="仿宋_GB2312" w:eastAsia="仿宋_GB2312" w:hAnsi="宋体" w:hint="eastAsia"/>
                <w:sz w:val="20"/>
                <w:szCs w:val="20"/>
              </w:rPr>
              <w:fldChar w:fldCharType="end"/>
            </w:r>
          </w:p>
          <w:p w:rsidR="00800760" w:rsidRDefault="00235733">
            <w:pPr>
              <w:spacing w:line="360" w:lineRule="auto"/>
              <w:ind w:left="1"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请</w:t>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求</w:t>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人</w:t>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信</w:t>
            </w:r>
          </w:p>
          <w:p w:rsidR="00800760" w:rsidRDefault="00235733">
            <w:pPr>
              <w:spacing w:line="360" w:lineRule="auto"/>
              <w:ind w:left="1" w:firstLineChars="0" w:firstLine="0"/>
              <w:jc w:val="center"/>
              <w:rPr>
                <w:rFonts w:ascii="仿宋_GB2312" w:eastAsia="仿宋_GB2312" w:hAnsi="宋体" w:cs="PMingLiU"/>
                <w:sz w:val="20"/>
                <w:lang w:eastAsia="en-US"/>
              </w:rPr>
            </w:pPr>
            <w:r>
              <w:rPr>
                <w:rStyle w:val="MSGENFONTSTYLENAMETEMPLATEROLENUMBERMSGENFONTSTYLENAMEBYROLETEXT2MSGENFONTSTYLEMODIFERNAMEPMingLiU"/>
                <w:rFonts w:ascii="仿宋_GB2312" w:eastAsia="仿宋_GB2312" w:hAnsi="宋体" w:hint="eastAsia"/>
                <w:sz w:val="20"/>
                <w:szCs w:val="20"/>
              </w:rPr>
              <w:t>息</w:t>
            </w:r>
          </w:p>
        </w:tc>
        <w:tc>
          <w:tcPr>
            <w:tcW w:w="2130" w:type="dxa"/>
            <w:gridSpan w:val="3"/>
            <w:tcBorders>
              <w:top w:val="single" w:sz="4"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left="180" w:firstLineChars="0" w:firstLine="0"/>
              <w:jc w:val="center"/>
              <w:rPr>
                <w:rFonts w:ascii="仿宋_GB2312" w:eastAsia="仿宋_GB2312" w:hAnsi="宋体"/>
                <w:sz w:val="20"/>
                <w:lang w:eastAsia="en-US"/>
              </w:rPr>
            </w:pPr>
            <w:r>
              <w:rPr>
                <w:rFonts w:ascii="仿宋_GB2312" w:eastAsia="仿宋_GB2312" w:hAnsi="宋体" w:hint="eastAsia"/>
                <w:sz w:val="20"/>
                <w:lang w:eastAsia="en-US"/>
              </w:rPr>
              <w:t>类型</w:t>
            </w:r>
          </w:p>
        </w:tc>
        <w:tc>
          <w:tcPr>
            <w:tcW w:w="5035" w:type="dxa"/>
            <w:gridSpan w:val="7"/>
            <w:tcBorders>
              <w:top w:val="single" w:sz="4" w:space="0" w:color="auto"/>
              <w:left w:val="single" w:sz="6" w:space="0" w:color="auto"/>
              <w:bottom w:val="single" w:sz="6" w:space="0" w:color="auto"/>
              <w:right w:val="single" w:sz="4" w:space="0" w:color="auto"/>
            </w:tcBorders>
            <w:shd w:val="clear" w:color="auto" w:fill="FFFFFF"/>
          </w:tcPr>
          <w:p w:rsidR="00800760" w:rsidRDefault="00235733">
            <w:pPr>
              <w:spacing w:line="360" w:lineRule="auto"/>
              <w:ind w:firstLineChars="0" w:firstLine="0"/>
              <w:rPr>
                <w:rFonts w:ascii="仿宋_GB2312" w:eastAsia="仿宋_GB2312" w:hAnsi="宋体"/>
                <w:sz w:val="20"/>
              </w:rPr>
            </w:pPr>
            <w:r>
              <w:rPr>
                <w:rFonts w:ascii="仿宋_GB2312" w:eastAsia="仿宋_GB2312" w:hAnsi="宋体" w:hint="eastAsia"/>
                <w:sz w:val="20"/>
              </w:rPr>
              <w:t xml:space="preserve"> </w:t>
            </w:r>
            <w:r w:rsidR="00C22A7B">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Pr>
                <w:rFonts w:ascii="仿宋_GB2312" w:eastAsia="仿宋_GB2312" w:hAnsi="宋体" w:hint="eastAsia"/>
                <w:sz w:val="20"/>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z w:val="20"/>
              </w:rPr>
              <w:t xml:space="preserve">专利权人 </w:t>
            </w:r>
          </w:p>
          <w:p w:rsidR="00800760" w:rsidRDefault="00235733">
            <w:pPr>
              <w:spacing w:line="360" w:lineRule="auto"/>
              <w:ind w:firstLineChars="0" w:firstLine="0"/>
              <w:rPr>
                <w:rFonts w:ascii="仿宋_GB2312" w:eastAsia="仿宋_GB2312" w:hAnsi="宋体"/>
                <w:spacing w:val="20"/>
                <w:sz w:val="20"/>
              </w:rPr>
            </w:pPr>
            <w:r>
              <w:rPr>
                <w:rFonts w:ascii="仿宋_GB2312" w:eastAsia="仿宋_GB2312" w:hAnsi="宋体" w:hint="eastAsia"/>
                <w:sz w:val="20"/>
              </w:rPr>
              <w:t xml:space="preserve"> </w:t>
            </w:r>
            <w:r w:rsidR="00C22A7B">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Pr>
                <w:rFonts w:ascii="仿宋_GB2312" w:eastAsia="仿宋_GB2312" w:hAnsi="宋体" w:hint="eastAsia"/>
                <w:sz w:val="20"/>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pacing w:val="20"/>
                <w:sz w:val="20"/>
              </w:rPr>
              <w:t xml:space="preserve">单独专利权人  </w:t>
            </w:r>
          </w:p>
          <w:p w:rsidR="00800760" w:rsidRDefault="00C22A7B">
            <w:pPr>
              <w:spacing w:line="360" w:lineRule="auto"/>
              <w:ind w:firstLineChars="50" w:firstLine="100"/>
              <w:rPr>
                <w:rFonts w:ascii="仿宋_GB2312" w:eastAsia="仿宋_GB2312" w:hAnsi="宋体"/>
                <w:sz w:val="18"/>
                <w:szCs w:val="18"/>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pacing w:val="20"/>
                <w:sz w:val="20"/>
              </w:rPr>
              <w:t>共有专利权人</w:t>
            </w:r>
            <w:r w:rsidR="00235733">
              <w:rPr>
                <w:rFonts w:ascii="仿宋_GB2312" w:eastAsia="仿宋_GB2312" w:hAnsi="宋体" w:hint="eastAsia"/>
                <w:sz w:val="20"/>
              </w:rPr>
              <w:t xml:space="preserve">   </w:t>
            </w:r>
          </w:p>
          <w:p w:rsidR="00800760" w:rsidRDefault="00235733">
            <w:pPr>
              <w:spacing w:line="360" w:lineRule="auto"/>
              <w:ind w:firstLineChars="0" w:firstLine="0"/>
              <w:rPr>
                <w:rFonts w:ascii="仿宋_GB2312" w:eastAsia="仿宋_GB2312" w:hAnsi="宋体"/>
                <w:sz w:val="20"/>
              </w:rPr>
            </w:pPr>
            <w:r>
              <w:rPr>
                <w:rFonts w:ascii="仿宋_GB2312" w:eastAsia="仿宋_GB2312" w:hAnsi="宋体" w:hint="eastAsia"/>
                <w:sz w:val="20"/>
              </w:rPr>
              <w:t xml:space="preserve"> </w:t>
            </w:r>
            <w:r w:rsidR="00C22A7B">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Pr>
                <w:rFonts w:ascii="仿宋_GB2312" w:eastAsia="仿宋_GB2312" w:hAnsi="宋体" w:hint="eastAsia"/>
                <w:sz w:val="20"/>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z w:val="20"/>
              </w:rPr>
              <w:t xml:space="preserve">利害关系人 </w:t>
            </w:r>
          </w:p>
          <w:p w:rsidR="00800760" w:rsidRDefault="00235733">
            <w:pPr>
              <w:spacing w:line="360" w:lineRule="auto"/>
              <w:ind w:firstLineChars="0" w:firstLine="0"/>
              <w:rPr>
                <w:rFonts w:ascii="仿宋_GB2312" w:eastAsia="仿宋_GB2312" w:hAnsi="宋体"/>
                <w:spacing w:val="20"/>
                <w:sz w:val="20"/>
              </w:rPr>
            </w:pPr>
            <w:r>
              <w:rPr>
                <w:rFonts w:ascii="仿宋_GB2312" w:eastAsia="仿宋_GB2312" w:hAnsi="宋体" w:hint="eastAsia"/>
                <w:sz w:val="20"/>
              </w:rPr>
              <w:t xml:space="preserve"> </w:t>
            </w:r>
            <w:r w:rsidR="00C22A7B">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Pr>
                <w:rFonts w:ascii="仿宋_GB2312" w:eastAsia="仿宋_GB2312" w:hAnsi="宋体" w:hint="eastAsia"/>
                <w:sz w:val="20"/>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pacing w:val="20"/>
                <w:sz w:val="20"/>
              </w:rPr>
              <w:t>独占实施许可合同被许可人</w:t>
            </w:r>
          </w:p>
          <w:p w:rsidR="00800760" w:rsidRDefault="00C22A7B">
            <w:pPr>
              <w:spacing w:line="360" w:lineRule="auto"/>
              <w:ind w:firstLineChars="50" w:firstLine="100"/>
              <w:rPr>
                <w:rFonts w:ascii="仿宋_GB2312" w:eastAsia="仿宋_GB2312" w:hAnsi="宋体"/>
                <w:spacing w:val="20"/>
                <w:sz w:val="18"/>
                <w:szCs w:val="18"/>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pacing w:val="20"/>
                <w:sz w:val="20"/>
              </w:rPr>
              <w:t>排他实施许可合同被许可人</w:t>
            </w:r>
          </w:p>
          <w:p w:rsidR="00800760" w:rsidRDefault="00C22A7B">
            <w:pPr>
              <w:spacing w:line="360" w:lineRule="auto"/>
              <w:ind w:firstLineChars="50" w:firstLine="100"/>
              <w:rPr>
                <w:rFonts w:ascii="仿宋_GB2312" w:eastAsia="仿宋_GB2312" w:hAnsi="宋体"/>
                <w:spacing w:val="20"/>
                <w:sz w:val="18"/>
                <w:szCs w:val="18"/>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pacing w:val="20"/>
                <w:sz w:val="20"/>
              </w:rPr>
              <w:t>药品上市许可持有人</w:t>
            </w:r>
          </w:p>
          <w:p w:rsidR="00800760" w:rsidRDefault="00235733">
            <w:pPr>
              <w:spacing w:line="360" w:lineRule="auto"/>
              <w:ind w:firstLineChars="0" w:firstLine="0"/>
              <w:rPr>
                <w:rFonts w:ascii="仿宋_GB2312" w:eastAsia="仿宋_GB2312" w:hAnsi="宋体"/>
                <w:sz w:val="20"/>
              </w:rPr>
            </w:pPr>
            <w:r>
              <w:rPr>
                <w:rFonts w:ascii="仿宋_GB2312" w:eastAsia="仿宋_GB2312" w:hAnsi="宋体" w:hint="eastAsia"/>
                <w:sz w:val="20"/>
              </w:rPr>
              <w:t xml:space="preserve"> </w:t>
            </w:r>
            <w:r w:rsidR="00C22A7B">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Pr>
                <w:rFonts w:ascii="仿宋_GB2312" w:eastAsia="仿宋_GB2312" w:hAnsi="宋体" w:hint="eastAsia"/>
                <w:sz w:val="20"/>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z w:val="20"/>
              </w:rPr>
              <w:t>药品上市许可申请人</w:t>
            </w:r>
          </w:p>
          <w:p w:rsidR="00800760" w:rsidRDefault="00C22A7B">
            <w:pPr>
              <w:spacing w:line="360" w:lineRule="auto"/>
              <w:ind w:firstLineChars="50" w:firstLine="100"/>
              <w:rPr>
                <w:rFonts w:ascii="仿宋_GB2312" w:eastAsia="仿宋_GB2312" w:hAnsi="宋体"/>
                <w:spacing w:val="20"/>
                <w:sz w:val="18"/>
                <w:szCs w:val="18"/>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pacing w:val="20"/>
                <w:sz w:val="20"/>
              </w:rPr>
              <w:t>化学仿制药许可申请人</w:t>
            </w:r>
          </w:p>
          <w:p w:rsidR="00800760" w:rsidRDefault="00C22A7B">
            <w:pPr>
              <w:spacing w:line="360" w:lineRule="auto"/>
              <w:ind w:firstLineChars="50" w:firstLine="100"/>
              <w:rPr>
                <w:rFonts w:ascii="仿宋_GB2312" w:eastAsia="仿宋_GB2312" w:hAnsi="宋体"/>
                <w:spacing w:val="20"/>
                <w:sz w:val="18"/>
                <w:szCs w:val="18"/>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pacing w:val="20"/>
                <w:sz w:val="20"/>
              </w:rPr>
              <w:t>生物类似药许可申请人</w:t>
            </w:r>
          </w:p>
          <w:p w:rsidR="00800760" w:rsidRDefault="00C22A7B">
            <w:pPr>
              <w:spacing w:line="360" w:lineRule="auto"/>
              <w:ind w:firstLineChars="50" w:firstLine="100"/>
              <w:rPr>
                <w:rFonts w:ascii="仿宋_GB2312" w:eastAsia="仿宋_GB2312" w:hAnsi="宋体"/>
                <w:spacing w:val="20"/>
                <w:sz w:val="18"/>
                <w:szCs w:val="18"/>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pacing w:val="20"/>
                <w:sz w:val="20"/>
              </w:rPr>
              <w:t>中药同名同方药许可申请人</w:t>
            </w:r>
          </w:p>
        </w:tc>
      </w:tr>
      <w:tr w:rsidR="00800760" w:rsidTr="00B30D69">
        <w:trPr>
          <w:gridBefore w:val="1"/>
          <w:wBefore w:w="97" w:type="dxa"/>
          <w:trHeight w:val="495"/>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left="180"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姓名或者名称</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277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tabs>
                <w:tab w:val="left" w:pos="399"/>
              </w:tabs>
              <w:spacing w:line="360" w:lineRule="auto"/>
              <w:ind w:leftChars="-11" w:left="-23" w:firstLineChars="0" w:firstLine="0"/>
              <w:jc w:val="center"/>
              <w:rPr>
                <w:rStyle w:val="MSGENFONTSTYLENAMETEMPLATEROLENUMBERMSGENFONTSTYLENAMEBYROLETEXT2MSGENFONTSTYLEMODIFERNAMEPMingLiU"/>
                <w:rFonts w:ascii="仿宋_GB2312" w:eastAsia="仿宋_GB2312" w:hAnsi="宋体"/>
                <w:sz w:val="20"/>
                <w:szCs w:val="20"/>
              </w:rPr>
            </w:pPr>
            <w:r>
              <w:rPr>
                <w:rStyle w:val="MSGENFONTSTYLENAMETEMPLATEROLENUMBERMSGENFONTSTYLENAMEBYROLETEXT2MSGENFONTSTYLEMODIFERNAMEPMingLiU"/>
                <w:rFonts w:ascii="仿宋_GB2312" w:eastAsia="仿宋_GB2312" w:hAnsi="宋体" w:hint="eastAsia"/>
                <w:sz w:val="20"/>
                <w:szCs w:val="20"/>
              </w:rPr>
              <w:t>身份证号或者统一社会信用代码</w:t>
            </w:r>
          </w:p>
        </w:tc>
        <w:tc>
          <w:tcPr>
            <w:tcW w:w="841" w:type="dxa"/>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rPr>
            </w:pPr>
          </w:p>
        </w:tc>
      </w:tr>
      <w:tr w:rsidR="00800760" w:rsidTr="00B30D69">
        <w:trPr>
          <w:gridBefore w:val="1"/>
          <w:wBefore w:w="97" w:type="dxa"/>
          <w:trHeight w:val="561"/>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tabs>
                <w:tab w:val="left" w:pos="399"/>
              </w:tabs>
              <w:spacing w:line="360" w:lineRule="auto"/>
              <w:ind w:leftChars="-11" w:left="-23"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法定代表人</w:t>
            </w:r>
          </w:p>
          <w:p w:rsidR="00800760" w:rsidRDefault="00235733">
            <w:pPr>
              <w:spacing w:line="360" w:lineRule="auto"/>
              <w:ind w:left="180"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 xml:space="preserve"> (负责人）</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277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tabs>
                <w:tab w:val="left" w:pos="399"/>
              </w:tabs>
              <w:spacing w:line="360" w:lineRule="auto"/>
              <w:ind w:leftChars="-11" w:left="-23"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电子邮箱</w:t>
            </w:r>
          </w:p>
        </w:tc>
        <w:tc>
          <w:tcPr>
            <w:tcW w:w="841" w:type="dxa"/>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55"/>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Fonts w:ascii="仿宋_GB2312" w:eastAsia="仿宋_GB2312" w:hAnsi="宋体"/>
                <w:sz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联系地址</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Fonts w:ascii="仿宋_GB2312" w:eastAsia="仿宋_GB2312" w:hAnsi="宋体"/>
                <w:sz w:val="20"/>
                <w:lang w:eastAsia="en-US"/>
              </w:rPr>
            </w:pPr>
          </w:p>
        </w:tc>
        <w:tc>
          <w:tcPr>
            <w:tcW w:w="277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邮政编码</w:t>
            </w:r>
          </w:p>
        </w:tc>
        <w:tc>
          <w:tcPr>
            <w:tcW w:w="841" w:type="dxa"/>
            <w:tcBorders>
              <w:top w:val="single" w:sz="6" w:space="0" w:color="auto"/>
              <w:left w:val="single" w:sz="6" w:space="0" w:color="auto"/>
              <w:bottom w:val="single" w:sz="6" w:space="0" w:color="auto"/>
              <w:right w:val="single" w:sz="4" w:space="0" w:color="auto"/>
            </w:tcBorders>
            <w:shd w:val="clear" w:color="auto" w:fill="FFFFFF"/>
            <w:vAlign w:val="center"/>
          </w:tcPr>
          <w:p w:rsidR="00800760" w:rsidRDefault="00800760">
            <w:pPr>
              <w:spacing w:line="360" w:lineRule="auto"/>
              <w:ind w:firstLineChars="0" w:firstLine="0"/>
              <w:jc w:val="center"/>
              <w:rPr>
                <w:rFonts w:ascii="仿宋_GB2312" w:eastAsia="仿宋_GB2312" w:hAnsi="宋体"/>
                <w:sz w:val="20"/>
                <w:lang w:eastAsia="en-US"/>
              </w:rPr>
            </w:pPr>
          </w:p>
        </w:tc>
      </w:tr>
      <w:tr w:rsidR="00800760" w:rsidTr="00B30D69">
        <w:trPr>
          <w:gridBefore w:val="1"/>
          <w:wBefore w:w="97" w:type="dxa"/>
          <w:trHeight w:val="549"/>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Fonts w:ascii="仿宋_GB2312" w:eastAsia="仿宋_GB2312" w:hAnsi="宋体"/>
                <w:sz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联系人</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277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联系电话</w:t>
            </w:r>
          </w:p>
        </w:tc>
        <w:tc>
          <w:tcPr>
            <w:tcW w:w="841" w:type="dxa"/>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val="restart"/>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C22A7B">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fldChar w:fldCharType="begin"/>
            </w:r>
            <w:r w:rsidR="00235733">
              <w:rPr>
                <w:rStyle w:val="MSGENFONTSTYLENAMETEMPLATEROLENUMBERMSGENFONTSTYLENAMEBYROLETEXT2MSGENFONTSTYLEMODIFERNAMEPMingLiU"/>
                <w:rFonts w:ascii="仿宋_GB2312" w:eastAsia="仿宋_GB2312" w:hAnsi="宋体" w:hint="eastAsia"/>
                <w:sz w:val="20"/>
                <w:szCs w:val="20"/>
              </w:rPr>
              <w:instrText xml:space="preserve"> = 5 \* GB3 </w:instrText>
            </w:r>
            <w:r>
              <w:rPr>
                <w:rStyle w:val="MSGENFONTSTYLENAMETEMPLATEROLENUMBERMSGENFONTSTYLENAMEBYROLETEXT2MSGENFONTSTYLEMODIFERNAMEPMingLiU"/>
                <w:rFonts w:ascii="仿宋_GB2312" w:eastAsia="仿宋_GB2312" w:hAnsi="宋体" w:hint="eastAsia"/>
                <w:sz w:val="20"/>
                <w:szCs w:val="20"/>
              </w:rPr>
              <w:fldChar w:fldCharType="separate"/>
            </w:r>
            <w:r w:rsidR="00235733">
              <w:rPr>
                <w:rStyle w:val="MSGENFONTSTYLENAMETEMPLATEROLENUMBERMSGENFONTSTYLENAMEBYROLETEXT2MSGENFONTSTYLEMODIFERNAMEPMingLiU"/>
                <w:rFonts w:ascii="仿宋_GB2312" w:eastAsia="仿宋_GB2312" w:hAnsi="宋体" w:hint="eastAsia"/>
                <w:sz w:val="20"/>
                <w:szCs w:val="20"/>
              </w:rPr>
              <w:t>⑤</w:t>
            </w:r>
            <w:r>
              <w:rPr>
                <w:rStyle w:val="MSGENFONTSTYLENAMETEMPLATEROLENUMBERMSGENFONTSTYLENAMEBYROLETEXT2MSGENFONTSTYLEMODIFERNAMEPMingLiU"/>
                <w:rFonts w:ascii="仿宋_GB2312" w:eastAsia="仿宋_GB2312" w:hAnsi="宋体" w:hint="eastAsia"/>
                <w:sz w:val="20"/>
                <w:szCs w:val="20"/>
              </w:rPr>
              <w:fldChar w:fldCharType="end"/>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代</w:t>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理</w:t>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机</w:t>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构</w:t>
            </w: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 xml:space="preserve"> 机构名称</w:t>
            </w:r>
          </w:p>
        </w:tc>
        <w:tc>
          <w:tcPr>
            <w:tcW w:w="5035" w:type="dxa"/>
            <w:gridSpan w:val="7"/>
            <w:tcBorders>
              <w:top w:val="single" w:sz="6" w:space="0" w:color="auto"/>
              <w:left w:val="single" w:sz="6" w:space="0" w:color="auto"/>
              <w:bottom w:val="single" w:sz="6" w:space="0" w:color="auto"/>
              <w:right w:val="single" w:sz="4" w:space="0" w:color="auto"/>
            </w:tcBorders>
            <w:shd w:val="clear" w:color="auto" w:fill="FFFFFF"/>
            <w:vAlign w:val="center"/>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 xml:space="preserve"> 地址</w:t>
            </w:r>
          </w:p>
        </w:tc>
        <w:tc>
          <w:tcPr>
            <w:tcW w:w="5035" w:type="dxa"/>
            <w:gridSpan w:val="7"/>
            <w:tcBorders>
              <w:top w:val="single" w:sz="6" w:space="0" w:color="auto"/>
              <w:left w:val="single" w:sz="6" w:space="0" w:color="auto"/>
              <w:bottom w:val="single" w:sz="6" w:space="0" w:color="auto"/>
              <w:right w:val="single" w:sz="4" w:space="0" w:color="auto"/>
            </w:tcBorders>
            <w:shd w:val="clear" w:color="auto" w:fill="FFFFFF"/>
            <w:vAlign w:val="center"/>
          </w:tcPr>
          <w:p w:rsidR="00800760" w:rsidRDefault="00800760">
            <w:pPr>
              <w:spacing w:line="36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 xml:space="preserve"> 邮政编码</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277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电话</w:t>
            </w:r>
          </w:p>
        </w:tc>
        <w:tc>
          <w:tcPr>
            <w:tcW w:w="841" w:type="dxa"/>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 xml:space="preserve"> 电子邮箱</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277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联系人</w:t>
            </w:r>
          </w:p>
        </w:tc>
        <w:tc>
          <w:tcPr>
            <w:tcW w:w="841" w:type="dxa"/>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90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代理人</w:t>
            </w:r>
          </w:p>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（1）</w:t>
            </w:r>
          </w:p>
        </w:tc>
        <w:tc>
          <w:tcPr>
            <w:tcW w:w="122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姓名</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654"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代理人</w:t>
            </w:r>
          </w:p>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（2）</w:t>
            </w:r>
          </w:p>
        </w:tc>
        <w:tc>
          <w:tcPr>
            <w:tcW w:w="2122"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姓名</w:t>
            </w:r>
          </w:p>
        </w:tc>
        <w:tc>
          <w:tcPr>
            <w:tcW w:w="841" w:type="dxa"/>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90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122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执业证号</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65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22"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执业证号</w:t>
            </w:r>
          </w:p>
        </w:tc>
        <w:tc>
          <w:tcPr>
            <w:tcW w:w="841" w:type="dxa"/>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905" w:type="dxa"/>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122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电话</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654" w:type="dxa"/>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22"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电话</w:t>
            </w:r>
          </w:p>
        </w:tc>
        <w:tc>
          <w:tcPr>
            <w:tcW w:w="841" w:type="dxa"/>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val="restart"/>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C22A7B">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fldChar w:fldCharType="begin"/>
            </w:r>
            <w:r w:rsidR="00235733">
              <w:rPr>
                <w:rStyle w:val="MSGENFONTSTYLENAMETEMPLATEROLENUMBERMSGENFONTSTYLENAMEBYROLETEXT2MSGENFONTSTYLEMODIFERNAMEPMingLiU"/>
                <w:rFonts w:ascii="仿宋_GB2312" w:eastAsia="仿宋_GB2312" w:hAnsi="宋体" w:hint="eastAsia"/>
                <w:sz w:val="20"/>
                <w:szCs w:val="20"/>
              </w:rPr>
              <w:instrText xml:space="preserve"> = 6 \* GB3 </w:instrText>
            </w:r>
            <w:r>
              <w:rPr>
                <w:rStyle w:val="MSGENFONTSTYLENAMETEMPLATEROLENUMBERMSGENFONTSTYLENAMEBYROLETEXT2MSGENFONTSTYLEMODIFERNAMEPMingLiU"/>
                <w:rFonts w:ascii="仿宋_GB2312" w:eastAsia="仿宋_GB2312" w:hAnsi="宋体" w:hint="eastAsia"/>
                <w:sz w:val="20"/>
                <w:szCs w:val="20"/>
              </w:rPr>
              <w:fldChar w:fldCharType="separate"/>
            </w:r>
            <w:r w:rsidR="00235733">
              <w:rPr>
                <w:rStyle w:val="MSGENFONTSTYLENAMETEMPLATEROLENUMBERMSGENFONTSTYLENAMEBYROLETEXT2MSGENFONTSTYLEMODIFERNAMEPMingLiU"/>
                <w:rFonts w:ascii="仿宋_GB2312" w:eastAsia="仿宋_GB2312" w:hAnsi="宋体" w:hint="eastAsia"/>
                <w:sz w:val="20"/>
                <w:szCs w:val="20"/>
              </w:rPr>
              <w:t>⑥</w:t>
            </w:r>
            <w:r>
              <w:rPr>
                <w:rStyle w:val="MSGENFONTSTYLENAMETEMPLATEROLENUMBERMSGENFONTSTYLENAMEBYROLETEXT2MSGENFONTSTYLEMODIFERNAMEPMingLiU"/>
                <w:rFonts w:ascii="仿宋_GB2312" w:eastAsia="仿宋_GB2312" w:hAnsi="宋体" w:hint="eastAsia"/>
                <w:sz w:val="20"/>
                <w:szCs w:val="20"/>
              </w:rPr>
              <w:fldChar w:fldCharType="end"/>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被</w:t>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请</w:t>
            </w:r>
          </w:p>
          <w:p w:rsidR="00800760" w:rsidRDefault="00235733">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求</w:t>
            </w:r>
          </w:p>
          <w:p w:rsidR="00800760" w:rsidRDefault="00235733">
            <w:pPr>
              <w:spacing w:line="360" w:lineRule="auto"/>
              <w:ind w:left="1"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人</w:t>
            </w: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left="180" w:firstLineChars="0" w:firstLine="0"/>
              <w:rPr>
                <w:rFonts w:ascii="仿宋_GB2312" w:eastAsia="仿宋_GB2312" w:hAnsi="宋体" w:cs="PMingLiU"/>
                <w:sz w:val="20"/>
                <w:lang w:eastAsia="en-US"/>
              </w:rPr>
            </w:pPr>
            <w:r>
              <w:rPr>
                <w:rStyle w:val="MSGENFONTSTYLENAMETEMPLATEROLENUMBERMSGENFONTSTYLENAMEBYROLETEXT2MSGENFONTSTYLEMODIFERNAMEPMingLiU"/>
                <w:rFonts w:ascii="仿宋_GB2312" w:eastAsia="仿宋_GB2312" w:hAnsi="宋体" w:hint="eastAsia"/>
                <w:sz w:val="20"/>
                <w:szCs w:val="20"/>
              </w:rPr>
              <w:t>类型</w:t>
            </w:r>
          </w:p>
        </w:tc>
        <w:tc>
          <w:tcPr>
            <w:tcW w:w="5035" w:type="dxa"/>
            <w:gridSpan w:val="7"/>
            <w:tcBorders>
              <w:top w:val="single" w:sz="6" w:space="0" w:color="auto"/>
              <w:left w:val="single" w:sz="6" w:space="0" w:color="auto"/>
              <w:bottom w:val="single" w:sz="6" w:space="0" w:color="auto"/>
              <w:right w:val="single" w:sz="4" w:space="0" w:color="auto"/>
            </w:tcBorders>
            <w:shd w:val="clear" w:color="auto" w:fill="FFFFFF"/>
            <w:vAlign w:val="center"/>
          </w:tcPr>
          <w:p w:rsidR="00800760" w:rsidRDefault="00C22A7B">
            <w:pPr>
              <w:spacing w:line="360" w:lineRule="auto"/>
              <w:ind w:firstLineChars="0" w:firstLine="0"/>
              <w:rPr>
                <w:rFonts w:ascii="仿宋_GB2312" w:eastAsia="仿宋_GB2312" w:hAnsi="宋体"/>
                <w:sz w:val="20"/>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rPr>
              <w:t xml:space="preserve">专利权人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rPr>
              <w:t>药品上市许可申请人</w:t>
            </w:r>
          </w:p>
        </w:tc>
      </w:tr>
      <w:tr w:rsidR="00800760" w:rsidTr="00DC3A0E">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rPr>
            </w:pPr>
          </w:p>
        </w:tc>
        <w:tc>
          <w:tcPr>
            <w:tcW w:w="10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姓名</w:t>
            </w:r>
          </w:p>
          <w:p w:rsidR="00800760" w:rsidRDefault="00235733">
            <w:pPr>
              <w:spacing w:line="360" w:lineRule="auto"/>
              <w:ind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或者名称</w:t>
            </w:r>
          </w:p>
        </w:tc>
        <w:tc>
          <w:tcPr>
            <w:tcW w:w="2450" w:type="dxa"/>
            <w:gridSpan w:val="3"/>
            <w:tcBorders>
              <w:top w:val="single" w:sz="6" w:space="0" w:color="auto"/>
              <w:left w:val="single" w:sz="6" w:space="0" w:color="auto"/>
              <w:bottom w:val="single" w:sz="6" w:space="0" w:color="auto"/>
              <w:right w:val="single" w:sz="6" w:space="0" w:color="auto"/>
            </w:tcBorders>
            <w:shd w:val="clear" w:color="auto" w:fill="FFFFFF"/>
          </w:tcPr>
          <w:p w:rsidR="00800760" w:rsidRDefault="00800760">
            <w:pPr>
              <w:tabs>
                <w:tab w:val="left" w:pos="399"/>
              </w:tabs>
              <w:spacing w:line="360" w:lineRule="auto"/>
              <w:ind w:leftChars="-11" w:left="-23" w:firstLineChars="0" w:firstLine="0"/>
              <w:jc w:val="center"/>
              <w:rPr>
                <w:rFonts w:ascii="仿宋_GB2312" w:eastAsia="仿宋_GB2312" w:hAnsi="宋体"/>
                <w:sz w:val="20"/>
                <w:lang w:eastAsia="en-US"/>
              </w:rPr>
            </w:pPr>
          </w:p>
        </w:tc>
        <w:tc>
          <w:tcPr>
            <w:tcW w:w="2762" w:type="dxa"/>
            <w:gridSpan w:val="3"/>
            <w:tcBorders>
              <w:top w:val="single" w:sz="6" w:space="0" w:color="auto"/>
              <w:left w:val="single" w:sz="6" w:space="0" w:color="auto"/>
              <w:bottom w:val="single" w:sz="6" w:space="0" w:color="auto"/>
              <w:right w:val="single" w:sz="6" w:space="0" w:color="auto"/>
            </w:tcBorders>
            <w:shd w:val="clear" w:color="auto" w:fill="FFFFFF"/>
          </w:tcPr>
          <w:p w:rsidR="00800760" w:rsidRDefault="00235733">
            <w:pPr>
              <w:spacing w:line="360" w:lineRule="auto"/>
              <w:ind w:firstLineChars="0" w:firstLine="0"/>
              <w:jc w:val="center"/>
              <w:rPr>
                <w:rFonts w:ascii="仿宋_GB2312" w:eastAsia="仿宋_GB2312" w:hAnsi="宋体"/>
                <w:sz w:val="20"/>
              </w:rPr>
            </w:pPr>
            <w:r>
              <w:rPr>
                <w:rStyle w:val="MSGENFONTSTYLENAMETEMPLATEROLENUMBERMSGENFONTSTYLENAMEBYROLETEXT2MSGENFONTSTYLEMODIFERNAMEPMingLiU"/>
                <w:rFonts w:ascii="仿宋_GB2312" w:eastAsia="仿宋_GB2312" w:hAnsi="宋体" w:hint="eastAsia"/>
                <w:sz w:val="20"/>
                <w:szCs w:val="20"/>
              </w:rPr>
              <w:t>身份证号或者统一社会信用代码</w:t>
            </w:r>
          </w:p>
        </w:tc>
        <w:tc>
          <w:tcPr>
            <w:tcW w:w="855" w:type="dxa"/>
            <w:gridSpan w:val="2"/>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rPr>
            </w:pPr>
          </w:p>
        </w:tc>
      </w:tr>
      <w:tr w:rsidR="00800760" w:rsidTr="00DC3A0E">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rPr>
            </w:pPr>
          </w:p>
        </w:tc>
        <w:tc>
          <w:tcPr>
            <w:tcW w:w="10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tabs>
                <w:tab w:val="left" w:pos="399"/>
              </w:tabs>
              <w:spacing w:line="360" w:lineRule="auto"/>
              <w:ind w:leftChars="-11" w:left="-23"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法定代表人</w:t>
            </w:r>
          </w:p>
          <w:p w:rsidR="00800760" w:rsidRDefault="00235733">
            <w:pPr>
              <w:spacing w:line="360" w:lineRule="auto"/>
              <w:ind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 xml:space="preserve"> (负责人）</w:t>
            </w:r>
          </w:p>
        </w:tc>
        <w:tc>
          <w:tcPr>
            <w:tcW w:w="2450" w:type="dxa"/>
            <w:gridSpan w:val="3"/>
            <w:tcBorders>
              <w:top w:val="single" w:sz="6" w:space="0" w:color="auto"/>
              <w:left w:val="single" w:sz="6" w:space="0" w:color="auto"/>
              <w:bottom w:val="single" w:sz="6" w:space="0" w:color="auto"/>
              <w:right w:val="single" w:sz="6" w:space="0" w:color="auto"/>
            </w:tcBorders>
            <w:shd w:val="clear" w:color="auto" w:fill="FFFFFF"/>
          </w:tcPr>
          <w:p w:rsidR="00800760" w:rsidRDefault="00800760">
            <w:pPr>
              <w:tabs>
                <w:tab w:val="left" w:pos="399"/>
              </w:tabs>
              <w:spacing w:line="360" w:lineRule="auto"/>
              <w:ind w:leftChars="-11" w:left="-23"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762" w:type="dxa"/>
            <w:gridSpan w:val="3"/>
            <w:tcBorders>
              <w:top w:val="single" w:sz="6" w:space="0" w:color="auto"/>
              <w:left w:val="single" w:sz="6" w:space="0" w:color="auto"/>
              <w:bottom w:val="single" w:sz="6" w:space="0" w:color="auto"/>
              <w:right w:val="single" w:sz="6" w:space="0" w:color="auto"/>
            </w:tcBorders>
            <w:shd w:val="clear" w:color="auto" w:fill="FFFFFF"/>
          </w:tcPr>
          <w:p w:rsidR="00800760" w:rsidRDefault="00235733">
            <w:pPr>
              <w:spacing w:line="360" w:lineRule="auto"/>
              <w:ind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电子邮箱</w:t>
            </w:r>
          </w:p>
        </w:tc>
        <w:tc>
          <w:tcPr>
            <w:tcW w:w="855" w:type="dxa"/>
            <w:gridSpan w:val="2"/>
            <w:tcBorders>
              <w:top w:val="single" w:sz="6" w:space="0" w:color="auto"/>
              <w:left w:val="single" w:sz="6" w:space="0" w:color="auto"/>
              <w:bottom w:val="single" w:sz="6"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6" w:space="0" w:color="auto"/>
              <w:right w:val="single" w:sz="6" w:space="0" w:color="auto"/>
            </w:tcBorders>
            <w:shd w:val="clear" w:color="auto" w:fill="FFFFFF"/>
            <w:vAlign w:val="center"/>
          </w:tcPr>
          <w:p w:rsidR="00800760" w:rsidRDefault="00800760">
            <w:pPr>
              <w:spacing w:line="360" w:lineRule="auto"/>
              <w:ind w:left="1" w:firstLineChars="0" w:firstLine="0"/>
              <w:jc w:val="center"/>
              <w:rPr>
                <w:rStyle w:val="MSGENFONTSTYLENAMETEMPLATEROLENUMBERMSGENFONTSTYLENAMEBYROLETEXT2MSGENFONTSTYLEMODIFERNAMEPMingLiU"/>
                <w:rFonts w:ascii="仿宋_GB2312" w:eastAsia="仿宋_GB2312" w:hAnsi="宋体"/>
                <w:sz w:val="20"/>
                <w:szCs w:val="20"/>
                <w:lang w:eastAsia="en-US"/>
              </w:rPr>
            </w:pPr>
          </w:p>
        </w:tc>
        <w:tc>
          <w:tcPr>
            <w:tcW w:w="2130"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地址</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800760">
            <w:pPr>
              <w:spacing w:line="360" w:lineRule="auto"/>
              <w:ind w:firstLineChars="0" w:firstLine="0"/>
              <w:jc w:val="center"/>
              <w:rPr>
                <w:rFonts w:ascii="仿宋_GB2312" w:eastAsia="仿宋_GB2312" w:hAnsi="宋体"/>
                <w:sz w:val="20"/>
                <w:lang w:eastAsia="en-US"/>
              </w:rPr>
            </w:pPr>
          </w:p>
        </w:tc>
        <w:tc>
          <w:tcPr>
            <w:tcW w:w="2776"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邮政编码</w:t>
            </w:r>
          </w:p>
        </w:tc>
        <w:tc>
          <w:tcPr>
            <w:tcW w:w="841" w:type="dxa"/>
            <w:tcBorders>
              <w:top w:val="single" w:sz="6" w:space="0" w:color="auto"/>
              <w:left w:val="single" w:sz="6" w:space="0" w:color="auto"/>
              <w:bottom w:val="single" w:sz="6" w:space="0" w:color="auto"/>
              <w:right w:val="single" w:sz="4" w:space="0" w:color="auto"/>
            </w:tcBorders>
            <w:shd w:val="clear" w:color="auto" w:fill="FFFFFF"/>
            <w:vAlign w:val="center"/>
          </w:tcPr>
          <w:p w:rsidR="00800760" w:rsidRDefault="00800760">
            <w:pPr>
              <w:spacing w:line="360" w:lineRule="auto"/>
              <w:ind w:firstLineChars="0" w:firstLine="0"/>
              <w:jc w:val="center"/>
              <w:rPr>
                <w:rFonts w:ascii="仿宋_GB2312" w:eastAsia="仿宋_GB2312" w:hAnsi="宋体"/>
                <w:sz w:val="20"/>
                <w:lang w:eastAsia="en-US"/>
              </w:rPr>
            </w:pPr>
          </w:p>
        </w:tc>
      </w:tr>
      <w:tr w:rsidR="00800760" w:rsidTr="00B30D69">
        <w:trPr>
          <w:gridBefore w:val="1"/>
          <w:wBefore w:w="97" w:type="dxa"/>
          <w:trHeight w:val="567"/>
          <w:jc w:val="center"/>
        </w:trPr>
        <w:tc>
          <w:tcPr>
            <w:tcW w:w="716" w:type="dxa"/>
            <w:vMerge/>
            <w:tcBorders>
              <w:top w:val="single" w:sz="6" w:space="0" w:color="auto"/>
              <w:left w:val="single" w:sz="4" w:space="0" w:color="auto"/>
              <w:bottom w:val="single" w:sz="4" w:space="0" w:color="auto"/>
              <w:right w:val="single" w:sz="6" w:space="0" w:color="auto"/>
            </w:tcBorders>
            <w:shd w:val="clear" w:color="auto" w:fill="FFFFFF"/>
            <w:vAlign w:val="center"/>
          </w:tcPr>
          <w:p w:rsidR="00800760" w:rsidRDefault="00800760">
            <w:pPr>
              <w:spacing w:line="360" w:lineRule="auto"/>
              <w:ind w:firstLineChars="0" w:firstLine="0"/>
              <w:jc w:val="center"/>
              <w:rPr>
                <w:rFonts w:ascii="仿宋_GB2312" w:eastAsia="仿宋_GB2312" w:hAnsi="宋体"/>
                <w:sz w:val="20"/>
                <w:lang w:eastAsia="en-US"/>
              </w:rPr>
            </w:pPr>
          </w:p>
        </w:tc>
        <w:tc>
          <w:tcPr>
            <w:tcW w:w="2130" w:type="dxa"/>
            <w:gridSpan w:val="3"/>
            <w:tcBorders>
              <w:top w:val="single" w:sz="6" w:space="0" w:color="auto"/>
              <w:left w:val="single" w:sz="6" w:space="0" w:color="auto"/>
              <w:bottom w:val="single" w:sz="4"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联系人</w:t>
            </w:r>
          </w:p>
        </w:tc>
        <w:tc>
          <w:tcPr>
            <w:tcW w:w="1418" w:type="dxa"/>
            <w:gridSpan w:val="2"/>
            <w:tcBorders>
              <w:top w:val="single" w:sz="6" w:space="0" w:color="auto"/>
              <w:left w:val="single" w:sz="6" w:space="0" w:color="auto"/>
              <w:bottom w:val="single" w:sz="4" w:space="0" w:color="auto"/>
              <w:right w:val="single" w:sz="6"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c>
          <w:tcPr>
            <w:tcW w:w="2776" w:type="dxa"/>
            <w:gridSpan w:val="4"/>
            <w:tcBorders>
              <w:top w:val="single" w:sz="6" w:space="0" w:color="auto"/>
              <w:left w:val="single" w:sz="6" w:space="0" w:color="auto"/>
              <w:bottom w:val="single" w:sz="4" w:space="0" w:color="auto"/>
              <w:right w:val="single" w:sz="6" w:space="0" w:color="auto"/>
            </w:tcBorders>
            <w:shd w:val="clear" w:color="auto" w:fill="FFFFFF"/>
            <w:vAlign w:val="center"/>
          </w:tcPr>
          <w:p w:rsidR="00800760" w:rsidRDefault="00235733">
            <w:pPr>
              <w:spacing w:line="360" w:lineRule="auto"/>
              <w:ind w:firstLineChars="0" w:firstLine="0"/>
              <w:jc w:val="center"/>
              <w:rPr>
                <w:rFonts w:ascii="仿宋_GB2312" w:eastAsia="仿宋_GB2312" w:hAnsi="宋体"/>
                <w:sz w:val="20"/>
                <w:lang w:eastAsia="en-US"/>
              </w:rPr>
            </w:pPr>
            <w:r>
              <w:rPr>
                <w:rStyle w:val="MSGENFONTSTYLENAMETEMPLATEROLENUMBERMSGENFONTSTYLENAMEBYROLETEXT2MSGENFONTSTYLEMODIFERNAMEPMingLiU"/>
                <w:rFonts w:ascii="仿宋_GB2312" w:eastAsia="仿宋_GB2312" w:hAnsi="宋体" w:hint="eastAsia"/>
                <w:sz w:val="20"/>
                <w:szCs w:val="20"/>
              </w:rPr>
              <w:t>联系电话</w:t>
            </w:r>
          </w:p>
        </w:tc>
        <w:tc>
          <w:tcPr>
            <w:tcW w:w="841" w:type="dxa"/>
            <w:tcBorders>
              <w:top w:val="single" w:sz="6" w:space="0" w:color="auto"/>
              <w:left w:val="single" w:sz="6" w:space="0" w:color="auto"/>
              <w:bottom w:val="single" w:sz="4" w:space="0" w:color="auto"/>
              <w:right w:val="single" w:sz="4" w:space="0" w:color="auto"/>
            </w:tcBorders>
            <w:shd w:val="clear" w:color="auto" w:fill="FFFFFF"/>
          </w:tcPr>
          <w:p w:rsidR="00800760" w:rsidRDefault="00800760">
            <w:pPr>
              <w:spacing w:line="360" w:lineRule="auto"/>
              <w:ind w:firstLineChars="0" w:firstLine="0"/>
              <w:rPr>
                <w:rFonts w:ascii="仿宋_GB2312" w:eastAsia="仿宋_GB2312" w:hAnsi="宋体"/>
                <w:sz w:val="20"/>
                <w:lang w:eastAsia="en-US"/>
              </w:rPr>
            </w:pPr>
          </w:p>
        </w:tc>
      </w:tr>
      <w:tr w:rsidR="00800760">
        <w:trPr>
          <w:gridBefore w:val="1"/>
          <w:wBefore w:w="97" w:type="dxa"/>
          <w:trHeight w:val="2035"/>
          <w:jc w:val="center"/>
        </w:trPr>
        <w:tc>
          <w:tcPr>
            <w:tcW w:w="7881" w:type="dxa"/>
            <w:gridSpan w:val="11"/>
            <w:tcBorders>
              <w:top w:val="single" w:sz="4" w:space="0" w:color="auto"/>
              <w:left w:val="single" w:sz="4" w:space="0" w:color="auto"/>
              <w:bottom w:val="single" w:sz="4" w:space="0" w:color="auto"/>
              <w:right w:val="single" w:sz="4" w:space="0" w:color="auto"/>
            </w:tcBorders>
            <w:shd w:val="clear" w:color="auto" w:fill="FFFFFF"/>
          </w:tcPr>
          <w:p w:rsidR="00800760" w:rsidRDefault="00C22A7B" w:rsidP="00C22A7B">
            <w:pPr>
              <w:spacing w:beforeLines="50" w:line="360" w:lineRule="auto"/>
              <w:ind w:firstLineChars="0" w:firstLine="0"/>
              <w:jc w:val="both"/>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fldChar w:fldCharType="begin"/>
            </w:r>
            <w:r w:rsidR="00235733">
              <w:rPr>
                <w:rStyle w:val="MSGENFONTSTYLENAMETEMPLATEROLENUMBERMSGENFONTSTYLENAMEBYROLETEXT2MSGENFONTSTYLEMODIFERNAMEPMingLiU"/>
                <w:rFonts w:ascii="仿宋_GB2312" w:eastAsia="仿宋_GB2312" w:hAnsi="宋体" w:hint="eastAsia"/>
                <w:sz w:val="20"/>
                <w:szCs w:val="20"/>
              </w:rPr>
              <w:instrText xml:space="preserve"> = 7 \* GB3 </w:instrText>
            </w:r>
            <w:r>
              <w:rPr>
                <w:rStyle w:val="MSGENFONTSTYLENAMETEMPLATEROLENUMBERMSGENFONTSTYLENAMEBYROLETEXT2MSGENFONTSTYLEMODIFERNAMEPMingLiU"/>
                <w:rFonts w:ascii="仿宋_GB2312" w:eastAsia="仿宋_GB2312" w:hAnsi="宋体" w:hint="eastAsia"/>
                <w:sz w:val="20"/>
                <w:szCs w:val="20"/>
              </w:rPr>
              <w:fldChar w:fldCharType="separate"/>
            </w:r>
            <w:r w:rsidR="00235733">
              <w:rPr>
                <w:rStyle w:val="MSGENFONTSTYLENAMETEMPLATEROLENUMBERMSGENFONTSTYLENAMEBYROLETEXT2MSGENFONTSTYLEMODIFERNAMEPMingLiU"/>
                <w:rFonts w:ascii="仿宋_GB2312" w:eastAsia="仿宋_GB2312" w:hAnsi="宋体" w:hint="eastAsia"/>
                <w:sz w:val="20"/>
                <w:szCs w:val="20"/>
              </w:rPr>
              <w:t>⑦</w:t>
            </w:r>
            <w:r>
              <w:rPr>
                <w:rStyle w:val="MSGENFONTSTYLENAMETEMPLATEROLENUMBERMSGENFONTSTYLENAMEBYROLETEXT2MSGENFONTSTYLEMODIFERNAMEPMingLiU"/>
                <w:rFonts w:ascii="仿宋_GB2312" w:eastAsia="仿宋_GB2312" w:hAnsi="宋体" w:hint="eastAsia"/>
                <w:sz w:val="20"/>
                <w:szCs w:val="20"/>
              </w:rPr>
              <w:fldChar w:fldCharType="end"/>
            </w:r>
            <w:r w:rsidR="00235733">
              <w:rPr>
                <w:rStyle w:val="MSGENFONTSTYLENAMETEMPLATEROLENUMBERMSGENFONTSTYLENAMEBYROLETEXT2MSGENFONTSTYLEMODIFERNAMEPMingLiU"/>
                <w:rFonts w:ascii="仿宋_GB2312" w:eastAsia="仿宋_GB2312" w:hAnsi="宋体" w:hint="eastAsia"/>
                <w:sz w:val="20"/>
                <w:szCs w:val="20"/>
              </w:rPr>
              <w:t>请求行政裁决的事项：</w:t>
            </w:r>
          </w:p>
          <w:p w:rsidR="00800760" w:rsidRDefault="00C22A7B" w:rsidP="00C22A7B">
            <w:pPr>
              <w:spacing w:beforeLines="50" w:line="360" w:lineRule="auto"/>
              <w:ind w:firstLineChars="0" w:firstLine="0"/>
              <w:jc w:val="both"/>
              <w:rPr>
                <w:rFonts w:ascii="仿宋_GB2312" w:eastAsia="仿宋_GB2312" w:hAnsi="宋体"/>
                <w:sz w:val="20"/>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rPr>
              <w:t>确认上市许可申请的药品相关技术方案落入相关专利权保护范围。</w:t>
            </w:r>
          </w:p>
          <w:p w:rsidR="00800760" w:rsidRDefault="00C22A7B" w:rsidP="00C22A7B">
            <w:pPr>
              <w:spacing w:beforeLines="50" w:line="360" w:lineRule="auto"/>
              <w:ind w:firstLineChars="0" w:firstLine="0"/>
              <w:jc w:val="both"/>
              <w:rPr>
                <w:rFonts w:ascii="仿宋_GB2312" w:eastAsia="仿宋_GB2312" w:hAnsi="宋体"/>
                <w:sz w:val="18"/>
                <w:szCs w:val="18"/>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rPr>
              <w:t>确认上市许可申请的药品相关技术方案未落入相关专利权保护范围。</w:t>
            </w:r>
          </w:p>
        </w:tc>
      </w:tr>
      <w:tr w:rsidR="00800760">
        <w:trPr>
          <w:gridBefore w:val="1"/>
          <w:wBefore w:w="97" w:type="dxa"/>
          <w:trHeight w:val="1098"/>
          <w:jc w:val="center"/>
        </w:trPr>
        <w:tc>
          <w:tcPr>
            <w:tcW w:w="7881" w:type="dxa"/>
            <w:gridSpan w:val="11"/>
            <w:tcBorders>
              <w:top w:val="single" w:sz="4" w:space="0" w:color="auto"/>
              <w:left w:val="single" w:sz="4" w:space="0" w:color="auto"/>
              <w:bottom w:val="single" w:sz="4" w:space="0" w:color="auto"/>
              <w:right w:val="single" w:sz="4" w:space="0" w:color="auto"/>
            </w:tcBorders>
            <w:shd w:val="clear" w:color="auto" w:fill="FFFFFF"/>
          </w:tcPr>
          <w:p w:rsidR="00800760" w:rsidRDefault="00C22A7B">
            <w:pPr>
              <w:spacing w:line="360" w:lineRule="auto"/>
              <w:ind w:firstLineChars="0" w:firstLine="0"/>
              <w:jc w:val="both"/>
              <w:rPr>
                <w:rFonts w:ascii="仿宋_GB2312" w:eastAsia="仿宋_GB2312" w:hAnsi="宋体"/>
                <w:sz w:val="20"/>
              </w:rPr>
            </w:pPr>
            <w:r>
              <w:rPr>
                <w:rFonts w:ascii="仿宋_GB2312" w:eastAsia="仿宋_GB2312" w:hAnsi="宋体" w:hint="eastAsia"/>
                <w:sz w:val="20"/>
                <w:lang w:eastAsia="en-US"/>
              </w:rPr>
              <w:fldChar w:fldCharType="begin"/>
            </w:r>
            <w:r w:rsidR="00235733">
              <w:rPr>
                <w:rFonts w:ascii="仿宋_GB2312" w:eastAsia="仿宋_GB2312" w:hAnsi="宋体" w:hint="eastAsia"/>
                <w:sz w:val="20"/>
              </w:rPr>
              <w:instrText xml:space="preserve"> = 8 \* GB3 </w:instrText>
            </w:r>
            <w:r>
              <w:rPr>
                <w:rFonts w:ascii="仿宋_GB2312" w:eastAsia="仿宋_GB2312" w:hAnsi="宋体" w:hint="eastAsia"/>
                <w:sz w:val="20"/>
                <w:lang w:eastAsia="en-US"/>
              </w:rPr>
              <w:fldChar w:fldCharType="separate"/>
            </w:r>
            <w:r w:rsidR="00235733">
              <w:rPr>
                <w:rFonts w:ascii="仿宋_GB2312" w:eastAsia="仿宋_GB2312" w:hAnsi="宋体" w:hint="eastAsia"/>
                <w:sz w:val="20"/>
              </w:rPr>
              <w:t>⑧</w:t>
            </w:r>
            <w:r>
              <w:rPr>
                <w:rFonts w:ascii="仿宋_GB2312" w:eastAsia="仿宋_GB2312" w:hAnsi="宋体" w:hint="eastAsia"/>
                <w:sz w:val="20"/>
                <w:lang w:eastAsia="en-US"/>
              </w:rPr>
              <w:fldChar w:fldCharType="end"/>
            </w:r>
            <w:r w:rsidR="00235733">
              <w:rPr>
                <w:rFonts w:ascii="仿宋_GB2312" w:eastAsia="仿宋_GB2312" w:hAnsi="宋体" w:hint="eastAsia"/>
                <w:sz w:val="20"/>
              </w:rPr>
              <w:t>附件清单（共　　份附件）：</w:t>
            </w:r>
          </w:p>
        </w:tc>
      </w:tr>
      <w:tr w:rsidR="00800760" w:rsidTr="00B30D69">
        <w:trPr>
          <w:gridBefore w:val="1"/>
          <w:wBefore w:w="97" w:type="dxa"/>
          <w:trHeight w:val="433"/>
          <w:jc w:val="center"/>
        </w:trPr>
        <w:tc>
          <w:tcPr>
            <w:tcW w:w="3838" w:type="dxa"/>
            <w:gridSpan w:val="5"/>
            <w:tcBorders>
              <w:top w:val="single" w:sz="4" w:space="0" w:color="auto"/>
              <w:left w:val="single" w:sz="4" w:space="0" w:color="auto"/>
              <w:bottom w:val="single" w:sz="4" w:space="0" w:color="auto"/>
              <w:right w:val="single" w:sz="4" w:space="0" w:color="auto"/>
            </w:tcBorders>
            <w:shd w:val="clear" w:color="auto" w:fill="FFFFFF"/>
          </w:tcPr>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文  件  名  称</w:t>
            </w:r>
          </w:p>
        </w:tc>
        <w:tc>
          <w:tcPr>
            <w:tcW w:w="2694" w:type="dxa"/>
            <w:gridSpan w:val="3"/>
            <w:tcBorders>
              <w:top w:val="single" w:sz="4" w:space="0" w:color="auto"/>
              <w:left w:val="single" w:sz="4" w:space="0" w:color="auto"/>
              <w:bottom w:val="single" w:sz="4" w:space="0" w:color="auto"/>
              <w:right w:val="single" w:sz="4" w:space="0" w:color="auto"/>
            </w:tcBorders>
            <w:shd w:val="clear" w:color="auto" w:fill="FFFFFF"/>
          </w:tcPr>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份数及页数</w:t>
            </w:r>
          </w:p>
        </w:tc>
        <w:tc>
          <w:tcPr>
            <w:tcW w:w="1349" w:type="dxa"/>
            <w:gridSpan w:val="3"/>
            <w:tcBorders>
              <w:top w:val="single" w:sz="4" w:space="0" w:color="auto"/>
              <w:left w:val="single" w:sz="4" w:space="0" w:color="auto"/>
              <w:bottom w:val="single" w:sz="4" w:space="0" w:color="auto"/>
              <w:right w:val="single" w:sz="4" w:space="0" w:color="auto"/>
            </w:tcBorders>
            <w:shd w:val="clear" w:color="auto" w:fill="FFFFFF"/>
          </w:tcPr>
          <w:p w:rsidR="00800760" w:rsidRDefault="00235733">
            <w:pPr>
              <w:spacing w:line="36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是否涉及保密信息</w:t>
            </w:r>
          </w:p>
        </w:tc>
      </w:tr>
      <w:tr w:rsidR="00800760" w:rsidTr="00B30D69">
        <w:trPr>
          <w:gridBefore w:val="1"/>
          <w:wBefore w:w="97" w:type="dxa"/>
          <w:trHeight w:val="510"/>
          <w:jc w:val="center"/>
        </w:trPr>
        <w:tc>
          <w:tcPr>
            <w:tcW w:w="3838" w:type="dxa"/>
            <w:gridSpan w:val="5"/>
            <w:tcBorders>
              <w:top w:val="single" w:sz="4" w:space="0" w:color="auto"/>
              <w:left w:val="single" w:sz="4" w:space="0" w:color="auto"/>
              <w:bottom w:val="single" w:sz="4" w:space="0" w:color="auto"/>
              <w:right w:val="single" w:sz="4" w:space="0" w:color="auto"/>
            </w:tcBorders>
            <w:shd w:val="clear" w:color="auto" w:fill="FFFFFF"/>
          </w:tcPr>
          <w:p w:rsidR="00800760" w:rsidRDefault="00C22A7B">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附件1</w:t>
            </w:r>
          </w:p>
        </w:tc>
        <w:tc>
          <w:tcPr>
            <w:tcW w:w="2694" w:type="dxa"/>
            <w:gridSpan w:val="3"/>
            <w:tcBorders>
              <w:top w:val="single" w:sz="4" w:space="0" w:color="auto"/>
              <w:left w:val="single" w:sz="4" w:space="0" w:color="auto"/>
              <w:bottom w:val="single" w:sz="4" w:space="0" w:color="auto"/>
              <w:right w:val="single" w:sz="4" w:space="0" w:color="auto"/>
            </w:tcBorders>
            <w:shd w:val="clear" w:color="auto" w:fill="FFFFFF"/>
          </w:tcPr>
          <w:p w:rsidR="00800760" w:rsidRDefault="00235733">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t xml:space="preserve">    份，每份   页</w:t>
            </w:r>
          </w:p>
        </w:tc>
        <w:tc>
          <w:tcPr>
            <w:tcW w:w="1349" w:type="dxa"/>
            <w:gridSpan w:val="3"/>
            <w:tcBorders>
              <w:top w:val="single" w:sz="4" w:space="0" w:color="auto"/>
              <w:left w:val="single" w:sz="4" w:space="0" w:color="auto"/>
              <w:bottom w:val="single" w:sz="4" w:space="0" w:color="auto"/>
              <w:right w:val="single" w:sz="4" w:space="0" w:color="auto"/>
            </w:tcBorders>
            <w:shd w:val="clear" w:color="auto" w:fill="FFFFFF"/>
          </w:tcPr>
          <w:p w:rsidR="00800760" w:rsidRDefault="00C22A7B">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 xml:space="preserve">是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否</w:t>
            </w:r>
          </w:p>
        </w:tc>
      </w:tr>
      <w:tr w:rsidR="00800760" w:rsidTr="00B30D69">
        <w:trPr>
          <w:gridBefore w:val="1"/>
          <w:wBefore w:w="97" w:type="dxa"/>
          <w:trHeight w:val="510"/>
          <w:jc w:val="center"/>
        </w:trPr>
        <w:tc>
          <w:tcPr>
            <w:tcW w:w="3838" w:type="dxa"/>
            <w:gridSpan w:val="5"/>
            <w:tcBorders>
              <w:top w:val="single" w:sz="4" w:space="0" w:color="auto"/>
              <w:left w:val="single" w:sz="4" w:space="0" w:color="auto"/>
              <w:bottom w:val="single" w:sz="4" w:space="0" w:color="auto"/>
              <w:right w:val="single" w:sz="4" w:space="0" w:color="auto"/>
            </w:tcBorders>
            <w:shd w:val="clear" w:color="auto" w:fill="FFFFFF"/>
          </w:tcPr>
          <w:p w:rsidR="00800760" w:rsidRDefault="00C22A7B">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附件2</w:t>
            </w:r>
          </w:p>
        </w:tc>
        <w:tc>
          <w:tcPr>
            <w:tcW w:w="2694" w:type="dxa"/>
            <w:gridSpan w:val="3"/>
            <w:tcBorders>
              <w:top w:val="single" w:sz="4" w:space="0" w:color="auto"/>
              <w:left w:val="single" w:sz="4" w:space="0" w:color="auto"/>
              <w:bottom w:val="single" w:sz="4" w:space="0" w:color="auto"/>
              <w:right w:val="single" w:sz="4" w:space="0" w:color="auto"/>
            </w:tcBorders>
            <w:shd w:val="clear" w:color="auto" w:fill="FFFFFF"/>
          </w:tcPr>
          <w:p w:rsidR="00800760" w:rsidRDefault="00235733">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t xml:space="preserve">    份，每份   页</w:t>
            </w:r>
          </w:p>
        </w:tc>
        <w:tc>
          <w:tcPr>
            <w:tcW w:w="1349" w:type="dxa"/>
            <w:gridSpan w:val="3"/>
            <w:tcBorders>
              <w:top w:val="single" w:sz="4" w:space="0" w:color="auto"/>
              <w:left w:val="single" w:sz="4" w:space="0" w:color="auto"/>
              <w:bottom w:val="single" w:sz="4" w:space="0" w:color="auto"/>
              <w:right w:val="single" w:sz="4" w:space="0" w:color="auto"/>
            </w:tcBorders>
            <w:shd w:val="clear" w:color="auto" w:fill="FFFFFF"/>
          </w:tcPr>
          <w:p w:rsidR="00800760" w:rsidRDefault="00C22A7B">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 xml:space="preserve">是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否</w:t>
            </w:r>
          </w:p>
        </w:tc>
      </w:tr>
      <w:tr w:rsidR="00800760" w:rsidTr="00B30D69">
        <w:trPr>
          <w:gridBefore w:val="1"/>
          <w:wBefore w:w="97" w:type="dxa"/>
          <w:trHeight w:val="510"/>
          <w:jc w:val="center"/>
        </w:trPr>
        <w:tc>
          <w:tcPr>
            <w:tcW w:w="3838" w:type="dxa"/>
            <w:gridSpan w:val="5"/>
            <w:tcBorders>
              <w:top w:val="single" w:sz="4" w:space="0" w:color="auto"/>
              <w:left w:val="single" w:sz="4" w:space="0" w:color="auto"/>
              <w:bottom w:val="single" w:sz="4" w:space="0" w:color="auto"/>
              <w:right w:val="single" w:sz="4" w:space="0" w:color="auto"/>
            </w:tcBorders>
            <w:shd w:val="clear" w:color="auto" w:fill="FFFFFF"/>
          </w:tcPr>
          <w:p w:rsidR="00800760" w:rsidRDefault="00C22A7B">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附件3</w:t>
            </w:r>
          </w:p>
        </w:tc>
        <w:tc>
          <w:tcPr>
            <w:tcW w:w="2694" w:type="dxa"/>
            <w:gridSpan w:val="3"/>
            <w:tcBorders>
              <w:top w:val="single" w:sz="4" w:space="0" w:color="auto"/>
              <w:left w:val="single" w:sz="4" w:space="0" w:color="auto"/>
              <w:bottom w:val="single" w:sz="4" w:space="0" w:color="auto"/>
              <w:right w:val="single" w:sz="4" w:space="0" w:color="auto"/>
            </w:tcBorders>
            <w:shd w:val="clear" w:color="auto" w:fill="FFFFFF"/>
          </w:tcPr>
          <w:p w:rsidR="00800760" w:rsidRDefault="00235733">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t xml:space="preserve">    份，每份   页</w:t>
            </w:r>
          </w:p>
        </w:tc>
        <w:tc>
          <w:tcPr>
            <w:tcW w:w="1349" w:type="dxa"/>
            <w:gridSpan w:val="3"/>
            <w:tcBorders>
              <w:top w:val="single" w:sz="4" w:space="0" w:color="auto"/>
              <w:left w:val="single" w:sz="4" w:space="0" w:color="auto"/>
              <w:bottom w:val="single" w:sz="4" w:space="0" w:color="auto"/>
              <w:right w:val="single" w:sz="4" w:space="0" w:color="auto"/>
            </w:tcBorders>
            <w:shd w:val="clear" w:color="auto" w:fill="FFFFFF"/>
          </w:tcPr>
          <w:p w:rsidR="00800760" w:rsidRDefault="00C22A7B">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 xml:space="preserve">是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否</w:t>
            </w:r>
          </w:p>
        </w:tc>
      </w:tr>
      <w:tr w:rsidR="00800760">
        <w:trPr>
          <w:gridBefore w:val="1"/>
          <w:wBefore w:w="97" w:type="dxa"/>
          <w:trHeight w:val="510"/>
          <w:jc w:val="center"/>
        </w:trPr>
        <w:tc>
          <w:tcPr>
            <w:tcW w:w="7881" w:type="dxa"/>
            <w:gridSpan w:val="11"/>
            <w:tcBorders>
              <w:top w:val="single" w:sz="4" w:space="0" w:color="auto"/>
              <w:left w:val="single" w:sz="4" w:space="0" w:color="auto"/>
              <w:bottom w:val="single" w:sz="4" w:space="0" w:color="auto"/>
              <w:right w:val="single" w:sz="4" w:space="0" w:color="auto"/>
            </w:tcBorders>
            <w:shd w:val="clear" w:color="auto" w:fill="FFFFFF"/>
          </w:tcPr>
          <w:p w:rsidR="00800760" w:rsidRDefault="00C22A7B">
            <w:pPr>
              <w:spacing w:line="360" w:lineRule="auto"/>
              <w:ind w:firstLineChars="0" w:firstLine="0"/>
              <w:jc w:val="both"/>
              <w:rPr>
                <w:rFonts w:ascii="仿宋_GB2312" w:eastAsia="仿宋_GB2312" w:hAnsi="宋体"/>
                <w:sz w:val="20"/>
                <w:lang w:eastAsia="en-US"/>
              </w:rPr>
            </w:pPr>
            <w:r>
              <w:rPr>
                <w:rFonts w:ascii="仿宋_GB2312" w:eastAsia="仿宋_GB2312" w:hAnsi="宋体" w:hint="eastAsia"/>
                <w:sz w:val="20"/>
                <w:lang w:eastAsia="en-US"/>
              </w:rPr>
              <w:fldChar w:fldCharType="begin"/>
            </w:r>
            <w:r w:rsidR="00235733">
              <w:rPr>
                <w:rFonts w:ascii="仿宋_GB2312" w:eastAsia="仿宋_GB2312" w:hAnsi="宋体" w:hint="eastAsia"/>
                <w:sz w:val="20"/>
                <w:lang w:eastAsia="en-US"/>
              </w:rPr>
              <w:instrText xml:space="preserve"> = 9 \* GB3 </w:instrText>
            </w:r>
            <w:r>
              <w:rPr>
                <w:rFonts w:ascii="仿宋_GB2312" w:eastAsia="仿宋_GB2312" w:hAnsi="宋体" w:hint="eastAsia"/>
                <w:sz w:val="20"/>
                <w:lang w:eastAsia="en-US"/>
              </w:rPr>
              <w:fldChar w:fldCharType="separate"/>
            </w:r>
            <w:r w:rsidR="00235733">
              <w:rPr>
                <w:rFonts w:ascii="仿宋_GB2312" w:eastAsia="仿宋_GB2312" w:hAnsi="宋体" w:hint="eastAsia"/>
                <w:sz w:val="20"/>
                <w:lang w:eastAsia="en-US"/>
              </w:rPr>
              <w:t>⑨</w:t>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人民法院立案信息</w:t>
            </w:r>
          </w:p>
        </w:tc>
      </w:tr>
      <w:tr w:rsidR="00800760">
        <w:trPr>
          <w:gridBefore w:val="1"/>
          <w:wBefore w:w="97" w:type="dxa"/>
          <w:trHeight w:val="510"/>
          <w:jc w:val="center"/>
        </w:trPr>
        <w:tc>
          <w:tcPr>
            <w:tcW w:w="7881" w:type="dxa"/>
            <w:gridSpan w:val="11"/>
            <w:tcBorders>
              <w:top w:val="single" w:sz="4" w:space="0" w:color="auto"/>
              <w:left w:val="single" w:sz="4" w:space="0" w:color="auto"/>
              <w:bottom w:val="single" w:sz="4" w:space="0" w:color="auto"/>
              <w:right w:val="single" w:sz="4" w:space="0" w:color="auto"/>
            </w:tcBorders>
            <w:shd w:val="clear" w:color="auto" w:fill="FFFFFF"/>
          </w:tcPr>
          <w:p w:rsidR="00800760" w:rsidRDefault="00C22A7B">
            <w:pPr>
              <w:spacing w:line="360" w:lineRule="auto"/>
              <w:ind w:firstLineChars="0" w:firstLine="0"/>
              <w:jc w:val="both"/>
              <w:rPr>
                <w:rFonts w:ascii="仿宋_GB2312" w:eastAsia="仿宋_GB2312" w:hAnsi="宋体"/>
                <w:sz w:val="20"/>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rPr>
              <w:t xml:space="preserve">请求人未向人民法院提起诉讼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rPr>
              <w:t>请求人未收到人民法院的立案通知书</w:t>
            </w:r>
          </w:p>
        </w:tc>
      </w:tr>
      <w:tr w:rsidR="008007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3483"/>
          <w:jc w:val="center"/>
        </w:trPr>
        <w:tc>
          <w:tcPr>
            <w:tcW w:w="7978" w:type="dxa"/>
            <w:gridSpan w:val="12"/>
          </w:tcPr>
          <w:p w:rsidR="00800760" w:rsidRDefault="00C22A7B" w:rsidP="00C22A7B">
            <w:pPr>
              <w:spacing w:beforeLines="50" w:line="360" w:lineRule="auto"/>
              <w:ind w:firstLineChars="0" w:firstLine="0"/>
              <w:rPr>
                <w:rFonts w:ascii="仿宋_GB2312" w:eastAsia="仿宋_GB2312" w:hAnsi="宋体"/>
                <w:sz w:val="20"/>
              </w:rPr>
            </w:pPr>
            <w:r>
              <w:rPr>
                <w:rFonts w:ascii="仿宋_GB2312" w:eastAsia="仿宋_GB2312" w:hAnsi="宋体" w:hint="eastAsia"/>
                <w:sz w:val="20"/>
                <w:lang w:eastAsia="en-US"/>
              </w:rPr>
              <w:fldChar w:fldCharType="begin"/>
            </w:r>
            <w:r w:rsidR="00235733">
              <w:rPr>
                <w:rFonts w:ascii="仿宋_GB2312" w:eastAsia="仿宋_GB2312" w:hAnsi="宋体" w:hint="eastAsia"/>
                <w:sz w:val="20"/>
              </w:rPr>
              <w:instrText xml:space="preserve"> = 10 \* GB3 </w:instrText>
            </w:r>
            <w:r>
              <w:rPr>
                <w:rFonts w:ascii="仿宋_GB2312" w:eastAsia="仿宋_GB2312" w:hAnsi="宋体" w:hint="eastAsia"/>
                <w:sz w:val="20"/>
                <w:lang w:eastAsia="en-US"/>
              </w:rPr>
              <w:fldChar w:fldCharType="separate"/>
            </w:r>
            <w:r w:rsidR="00235733">
              <w:rPr>
                <w:rFonts w:ascii="仿宋_GB2312" w:eastAsia="仿宋_GB2312" w:hAnsi="宋体" w:hint="eastAsia"/>
                <w:sz w:val="20"/>
              </w:rPr>
              <w:t>⑩</w:t>
            </w:r>
            <w:r>
              <w:rPr>
                <w:rFonts w:ascii="仿宋_GB2312" w:eastAsia="仿宋_GB2312" w:hAnsi="宋体" w:hint="eastAsia"/>
                <w:sz w:val="20"/>
                <w:lang w:eastAsia="en-US"/>
              </w:rPr>
              <w:fldChar w:fldCharType="end"/>
            </w:r>
            <w:r w:rsidR="00235733">
              <w:rPr>
                <w:rFonts w:ascii="仿宋_GB2312" w:eastAsia="仿宋_GB2312" w:hAnsi="宋体" w:hint="eastAsia"/>
                <w:sz w:val="20"/>
              </w:rPr>
              <w:t>请求理由（结合证据说明理由）：</w:t>
            </w: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235733">
            <w:pPr>
              <w:tabs>
                <w:tab w:val="left" w:pos="2975"/>
              </w:tabs>
              <w:spacing w:line="240" w:lineRule="auto"/>
              <w:ind w:firstLineChars="0" w:firstLine="0"/>
              <w:rPr>
                <w:rFonts w:ascii="仿宋_GB2312" w:eastAsia="仿宋_GB2312" w:hAnsi="宋体"/>
                <w:sz w:val="20"/>
              </w:rPr>
            </w:pPr>
            <w:r>
              <w:rPr>
                <w:rFonts w:ascii="仿宋_GB2312" w:eastAsia="仿宋_GB2312" w:hAnsi="宋体"/>
                <w:sz w:val="20"/>
              </w:rPr>
              <w:tab/>
            </w:r>
          </w:p>
        </w:tc>
      </w:tr>
      <w:tr w:rsidR="008007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3685"/>
          <w:jc w:val="center"/>
        </w:trPr>
        <w:tc>
          <w:tcPr>
            <w:tcW w:w="7978" w:type="dxa"/>
            <w:gridSpan w:val="12"/>
          </w:tcPr>
          <w:p w:rsidR="00800760" w:rsidRDefault="00235733">
            <w:pPr>
              <w:spacing w:line="360" w:lineRule="auto"/>
              <w:ind w:firstLineChars="0" w:firstLine="0"/>
              <w:rPr>
                <w:rFonts w:ascii="仿宋_GB2312" w:eastAsia="仿宋_GB2312" w:hAnsi="宋体"/>
                <w:sz w:val="20"/>
              </w:rPr>
            </w:pPr>
            <w:r>
              <w:rPr>
                <w:rFonts w:ascii="仿宋_GB2312" w:eastAsia="仿宋_GB2312" w:hAnsi="Cambria Math" w:cs="Cambria Math" w:hint="eastAsia"/>
                <w:sz w:val="20"/>
                <w:lang w:eastAsia="en-US"/>
              </w:rPr>
              <w:t>⑪</w:t>
            </w:r>
            <w:r>
              <w:rPr>
                <w:rFonts w:ascii="仿宋_GB2312" w:eastAsia="仿宋_GB2312" w:hAnsi="宋体" w:hint="eastAsia"/>
                <w:sz w:val="20"/>
                <w:lang w:eastAsia="en-US"/>
              </w:rPr>
              <w:t>备注：</w:t>
            </w:r>
          </w:p>
        </w:tc>
      </w:tr>
      <w:tr w:rsidR="00800760" w:rsidTr="00B30D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90"/>
          <w:jc w:val="center"/>
        </w:trPr>
        <w:tc>
          <w:tcPr>
            <w:tcW w:w="3935" w:type="dxa"/>
            <w:gridSpan w:val="6"/>
          </w:tcPr>
          <w:p w:rsidR="00800760" w:rsidRDefault="00235733">
            <w:pPr>
              <w:spacing w:after="140" w:line="360" w:lineRule="auto"/>
              <w:ind w:firstLineChars="0" w:firstLine="0"/>
              <w:rPr>
                <w:rFonts w:ascii="仿宋_GB2312" w:eastAsia="仿宋_GB2312" w:hAnsi="宋体"/>
                <w:sz w:val="20"/>
              </w:rPr>
            </w:pPr>
            <w:r>
              <w:rPr>
                <w:rFonts w:ascii="仿宋_GB2312" w:eastAsia="仿宋_GB2312" w:hAnsi="Cambria Math" w:cs="Cambria Math" w:hint="eastAsia"/>
                <w:sz w:val="20"/>
              </w:rPr>
              <w:t>⑫</w:t>
            </w:r>
            <w:r>
              <w:rPr>
                <w:rFonts w:ascii="仿宋_GB2312" w:eastAsia="仿宋_GB2312" w:hAnsi="宋体" w:hint="eastAsia"/>
                <w:sz w:val="20"/>
              </w:rPr>
              <w:t>请求人或代理机构签章：</w:t>
            </w:r>
          </w:p>
          <w:p w:rsidR="00800760" w:rsidRDefault="00800760">
            <w:pPr>
              <w:spacing w:after="140" w:line="360" w:lineRule="auto"/>
              <w:ind w:firstLineChars="0" w:firstLine="0"/>
              <w:rPr>
                <w:rFonts w:ascii="仿宋_GB2312" w:eastAsia="仿宋_GB2312" w:hAnsi="宋体"/>
                <w:sz w:val="20"/>
                <w:u w:val="single"/>
              </w:rPr>
            </w:pPr>
          </w:p>
          <w:p w:rsidR="00800760" w:rsidRDefault="00800760">
            <w:pPr>
              <w:spacing w:after="140" w:line="360" w:lineRule="auto"/>
              <w:ind w:leftChars="50" w:left="105" w:firstLineChars="300" w:firstLine="600"/>
              <w:rPr>
                <w:rFonts w:ascii="仿宋_GB2312" w:eastAsia="仿宋_GB2312" w:hAnsi="宋体"/>
                <w:sz w:val="20"/>
                <w:u w:val="single"/>
              </w:rPr>
            </w:pPr>
          </w:p>
          <w:p w:rsidR="00800760" w:rsidRDefault="00235733">
            <w:pPr>
              <w:spacing w:after="140" w:line="360" w:lineRule="auto"/>
              <w:ind w:leftChars="50" w:left="105" w:firstLineChars="300" w:firstLine="600"/>
              <w:rPr>
                <w:rFonts w:ascii="仿宋_GB2312" w:eastAsia="仿宋_GB2312" w:hAnsi="宋体"/>
                <w:sz w:val="20"/>
                <w:u w:val="single"/>
                <w:lang w:eastAsia="en-US"/>
              </w:rPr>
            </w:pPr>
            <w:r>
              <w:rPr>
                <w:rFonts w:ascii="仿宋_GB2312" w:eastAsia="仿宋_GB2312" w:hAnsi="宋体" w:hint="eastAsia"/>
                <w:sz w:val="20"/>
              </w:rPr>
              <w:t xml:space="preserve">     </w:t>
            </w:r>
            <w:r>
              <w:rPr>
                <w:rFonts w:ascii="仿宋_GB2312" w:eastAsia="仿宋_GB2312" w:hAnsi="宋体" w:hint="eastAsia"/>
                <w:sz w:val="20"/>
                <w:u w:val="single"/>
              </w:rPr>
              <w:t xml:space="preserve">    </w:t>
            </w:r>
            <w:r>
              <w:rPr>
                <w:rFonts w:ascii="仿宋_GB2312" w:eastAsia="仿宋_GB2312" w:hAnsi="宋体" w:hint="eastAsia"/>
                <w:sz w:val="20"/>
                <w:lang w:eastAsia="en-US"/>
              </w:rPr>
              <w:t>年</w:t>
            </w:r>
            <w:r>
              <w:rPr>
                <w:rFonts w:ascii="仿宋_GB2312" w:eastAsia="仿宋_GB2312" w:hAnsi="宋体" w:hint="eastAsia"/>
                <w:sz w:val="20"/>
                <w:u w:val="single"/>
                <w:lang w:eastAsia="en-US"/>
              </w:rPr>
              <w:t xml:space="preserve">    </w:t>
            </w:r>
            <w:r>
              <w:rPr>
                <w:rFonts w:ascii="仿宋_GB2312" w:eastAsia="仿宋_GB2312" w:hAnsi="宋体" w:hint="eastAsia"/>
                <w:sz w:val="20"/>
                <w:lang w:eastAsia="en-US"/>
              </w:rPr>
              <w:t>月</w:t>
            </w:r>
            <w:r>
              <w:rPr>
                <w:rFonts w:ascii="仿宋_GB2312" w:eastAsia="仿宋_GB2312" w:hAnsi="宋体" w:hint="eastAsia"/>
                <w:sz w:val="20"/>
                <w:u w:val="single"/>
                <w:lang w:eastAsia="en-US"/>
              </w:rPr>
              <w:t xml:space="preserve">    </w:t>
            </w:r>
            <w:r>
              <w:rPr>
                <w:rFonts w:ascii="仿宋_GB2312" w:eastAsia="仿宋_GB2312" w:hAnsi="宋体" w:hint="eastAsia"/>
                <w:sz w:val="20"/>
                <w:lang w:eastAsia="en-US"/>
              </w:rPr>
              <w:t xml:space="preserve">日 </w:t>
            </w:r>
          </w:p>
        </w:tc>
        <w:tc>
          <w:tcPr>
            <w:tcW w:w="4043" w:type="dxa"/>
            <w:gridSpan w:val="6"/>
          </w:tcPr>
          <w:p w:rsidR="00800760" w:rsidRDefault="00235733">
            <w:pPr>
              <w:spacing w:after="140" w:line="360" w:lineRule="auto"/>
              <w:ind w:firstLineChars="0" w:firstLine="0"/>
              <w:rPr>
                <w:rFonts w:ascii="仿宋_GB2312" w:eastAsia="仿宋_GB2312" w:hAnsi="宋体"/>
                <w:sz w:val="20"/>
              </w:rPr>
            </w:pPr>
            <w:r>
              <w:rPr>
                <w:rFonts w:ascii="仿宋_GB2312" w:eastAsia="仿宋_GB2312" w:hAnsi="Cambria Math" w:cs="Cambria Math" w:hint="eastAsia"/>
                <w:sz w:val="20"/>
              </w:rPr>
              <w:t>⑬</w:t>
            </w:r>
            <w:r>
              <w:rPr>
                <w:rFonts w:ascii="仿宋_GB2312" w:eastAsia="仿宋_GB2312" w:hAnsi="宋体" w:hint="eastAsia"/>
                <w:sz w:val="20"/>
              </w:rPr>
              <w:t>国家知识产权局处理意见：</w:t>
            </w:r>
          </w:p>
          <w:p w:rsidR="00800760" w:rsidRDefault="00235733">
            <w:pPr>
              <w:spacing w:after="140" w:line="360" w:lineRule="auto"/>
              <w:ind w:leftChars="50" w:left="105" w:firstLineChars="300" w:firstLine="600"/>
              <w:rPr>
                <w:rFonts w:ascii="仿宋_GB2312" w:eastAsia="仿宋_GB2312" w:hAnsi="宋体"/>
                <w:sz w:val="20"/>
              </w:rPr>
            </w:pPr>
            <w:r>
              <w:rPr>
                <w:rFonts w:ascii="仿宋_GB2312" w:eastAsia="仿宋_GB2312" w:hAnsi="宋体" w:hint="eastAsia"/>
                <w:sz w:val="20"/>
              </w:rPr>
              <w:t xml:space="preserve"> </w:t>
            </w:r>
          </w:p>
          <w:p w:rsidR="00800760" w:rsidRDefault="00800760">
            <w:pPr>
              <w:spacing w:after="140" w:line="360" w:lineRule="auto"/>
              <w:ind w:leftChars="50" w:left="105" w:firstLineChars="300" w:firstLine="600"/>
              <w:rPr>
                <w:rFonts w:ascii="仿宋_GB2312" w:eastAsia="仿宋_GB2312" w:hAnsi="宋体"/>
                <w:sz w:val="20"/>
              </w:rPr>
            </w:pPr>
          </w:p>
          <w:p w:rsidR="00800760" w:rsidRDefault="00235733">
            <w:pPr>
              <w:spacing w:after="140" w:line="360" w:lineRule="auto"/>
              <w:ind w:leftChars="50" w:left="105" w:firstLineChars="300" w:firstLine="600"/>
              <w:rPr>
                <w:rFonts w:ascii="仿宋_GB2312" w:eastAsia="仿宋_GB2312" w:hAnsi="宋体"/>
                <w:sz w:val="20"/>
                <w:u w:val="single"/>
                <w:lang w:eastAsia="en-US"/>
              </w:rPr>
            </w:pPr>
            <w:r>
              <w:rPr>
                <w:rFonts w:ascii="仿宋_GB2312" w:eastAsia="仿宋_GB2312" w:hAnsi="宋体" w:hint="eastAsia"/>
                <w:sz w:val="20"/>
              </w:rPr>
              <w:t xml:space="preserve">      </w:t>
            </w:r>
            <w:r>
              <w:rPr>
                <w:rFonts w:ascii="仿宋_GB2312" w:eastAsia="仿宋_GB2312" w:hAnsi="宋体" w:hint="eastAsia"/>
                <w:sz w:val="20"/>
                <w:u w:val="single"/>
              </w:rPr>
              <w:t xml:space="preserve">    </w:t>
            </w:r>
            <w:r>
              <w:rPr>
                <w:rFonts w:ascii="仿宋_GB2312" w:eastAsia="仿宋_GB2312" w:hAnsi="宋体" w:hint="eastAsia"/>
                <w:sz w:val="20"/>
                <w:lang w:eastAsia="en-US"/>
              </w:rPr>
              <w:t>年</w:t>
            </w:r>
            <w:r>
              <w:rPr>
                <w:rFonts w:ascii="仿宋_GB2312" w:eastAsia="仿宋_GB2312" w:hAnsi="宋体" w:hint="eastAsia"/>
                <w:sz w:val="20"/>
                <w:u w:val="single"/>
                <w:lang w:eastAsia="en-US"/>
              </w:rPr>
              <w:t xml:space="preserve">    </w:t>
            </w:r>
            <w:r>
              <w:rPr>
                <w:rFonts w:ascii="仿宋_GB2312" w:eastAsia="仿宋_GB2312" w:hAnsi="宋体" w:hint="eastAsia"/>
                <w:sz w:val="20"/>
                <w:lang w:eastAsia="en-US"/>
              </w:rPr>
              <w:t>月</w:t>
            </w:r>
            <w:r>
              <w:rPr>
                <w:rFonts w:ascii="仿宋_GB2312" w:eastAsia="仿宋_GB2312" w:hAnsi="宋体" w:hint="eastAsia"/>
                <w:sz w:val="20"/>
                <w:u w:val="single"/>
                <w:lang w:eastAsia="en-US"/>
              </w:rPr>
              <w:t xml:space="preserve">    </w:t>
            </w:r>
            <w:r>
              <w:rPr>
                <w:rFonts w:ascii="仿宋_GB2312" w:eastAsia="仿宋_GB2312" w:hAnsi="宋体" w:hint="eastAsia"/>
                <w:sz w:val="20"/>
                <w:lang w:eastAsia="en-US"/>
              </w:rPr>
              <w:t xml:space="preserve">日 </w:t>
            </w:r>
          </w:p>
        </w:tc>
      </w:tr>
    </w:tbl>
    <w:p w:rsidR="00800760" w:rsidRDefault="00235733">
      <w:pPr>
        <w:spacing w:line="240" w:lineRule="auto"/>
        <w:ind w:firstLineChars="0" w:firstLine="0"/>
        <w:rPr>
          <w:rFonts w:ascii="仿宋_GB2312" w:eastAsia="仿宋_GB2312"/>
          <w:sz w:val="20"/>
        </w:rPr>
      </w:pPr>
      <w:r>
        <w:rPr>
          <w:rFonts w:ascii="仿宋_GB2312" w:eastAsia="仿宋_GB2312" w:hint="eastAsia"/>
          <w:sz w:val="20"/>
          <w:lang w:eastAsia="en-US"/>
        </w:rPr>
        <w:br w:type="page"/>
      </w:r>
    </w:p>
    <w:p w:rsidR="00800760" w:rsidRDefault="00235733">
      <w:pPr>
        <w:tabs>
          <w:tab w:val="center" w:pos="4153"/>
          <w:tab w:val="right" w:pos="8306"/>
        </w:tabs>
        <w:spacing w:line="360" w:lineRule="auto"/>
        <w:ind w:firstLineChars="0" w:firstLine="48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注意事项</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1.本表及其附件应使用中文准确填写，一式两份，电脑输入文字，字迹为黑色。</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2.“专利权信息”一栏应填写该行政裁决请求所针对专利权的专利号、专利名称、专利权人（涉及多个专利权人的，应填写所有共有权人）和药品上市许可持有人，标明该专利权是否已在中国上市药品专利信息登记平台登记，并填写请求进行裁决的该专利权中的具体权利要求项。同时应提交如下证据：①该专利的授权公告文本、或被宣告部分无效后维持有效的公告文本；②中国上市药品专利信息登记平台已登记该专利的证明材料。</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3.“上市许可申请药品信息”一栏应填写裁决请求涉及的申请上市许可的药品的名称和规格，药品上市许可申请人的名称，该药品上市许可申请在国家药品审评机构信息平台上公示的时间，药品上市许可申请人提交上市申请时提出第四类声明的情况。同时应提交国家药品审评机构信息平台对该药品上市许可申请及相应第四类声明的公示信息的证明材料。</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4.“请求人信息”一栏应首先勾选请求人所属类型，并填写请求人的姓名或单位全称、法定代表人（负责人）、电子邮箱、联系地址、邮政编码、联系人和联系电话。</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专利权属于多个专利权人共有的，应当由全体专利权人或者其代表人共同提出请求，部分共有专利权人明确表示放弃有关实体权利的除外。药品上市许可持有人或独占实施许可合同的被许可人可以以自己的名义提出请求；排他实施许可合同的被许可人在专利权人不提出请求的情况下，可以以自己的名义提出请求。请求人为多方的，该栏中仅填写第一请求人信息，其他请求人信息填写至表格第3页“备注”栏。</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请求人应同时提交如下主体资格证明材料：</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 xml:space="preserve">①请求人为自然人的,应当提交身份证或其他有效证明文件的复印件；请求人是法人或其他组织的,应当提交营业执照、事业单位法人证书或者其他相关证明材料的复印件并加盖公章。 </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②请求人为利害关系人中的独占、排他实施许可合同被许可人的，还应当提供有关专利实施许可合同及其在国家知识产权局备案的证明材料,未经备案的应当提交专利权人的证明,或者证明其享有权利的其他证据。</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③请求人为登记的药品上市许可持有人的，还应当提交国务院药品监督管理部门出具的能够证明其为该药品上市许可持有人的相关证明材料。</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④请求人为药品上市许可申请人的，还应当提交国家药品审评机构信息平台公示的药品上市许可申请人信息的相关证明材料。</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5.“代理机构信息”一栏应填写请求人委托的代理机构名称、地址、邮政编码、电话、电子邮箱和联系人，代理机构指定的代理人不得超过两人，应注明代理人姓名、执业证号和联系电话。</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6.“被请求人信息”一栏应首先勾选被请求人的类型，专利权人或其利害关系人提起积极确认请求的，应当以药品上市许可申请人作为被请求人；药品上市许可申请人提起消极确认请求的，应当以专利权人作为被请求人。应注明被请求人的姓名或单位全称、法定代表人、电子邮箱、地址、邮政编码、联系人和联系电话。以上信息应当为中国上市药品专利信息登记平台或者国家药品审评机构信息平台上登记的信息。</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7.“请求行政裁决的事项”一栏，应勾选请求裁决的事项类型，即请求确认</w:t>
      </w:r>
      <w:r>
        <w:rPr>
          <w:rFonts w:ascii="仿宋_GB2312" w:eastAsia="仿宋_GB2312" w:hAnsi="宋体" w:hint="eastAsia"/>
          <w:sz w:val="20"/>
        </w:rPr>
        <w:t>上市许可申请的药品相关技术方案落入相关专利权保护范围、或者请求</w:t>
      </w:r>
      <w:r>
        <w:rPr>
          <w:rStyle w:val="MSGENFONTSTYLENAMETEMPLATEROLENUMBERMSGENFONTSTYLENAMEBYROLETEXT2MSGENFONTSTYLEMODIFERNAMEPMingLiU"/>
          <w:rFonts w:ascii="仿宋_GB2312" w:eastAsia="仿宋_GB2312" w:hAnsi="宋体" w:hint="eastAsia"/>
          <w:sz w:val="20"/>
          <w:szCs w:val="20"/>
        </w:rPr>
        <w:t>确认</w:t>
      </w:r>
      <w:r>
        <w:rPr>
          <w:rFonts w:ascii="仿宋_GB2312" w:eastAsia="仿宋_GB2312" w:hAnsi="宋体" w:hint="eastAsia"/>
          <w:sz w:val="20"/>
        </w:rPr>
        <w:t>上市许可申请的药品相关技术方案未落入相关专利权保护范围。</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Fonts w:ascii="仿宋_GB2312" w:eastAsia="仿宋_GB2312" w:hAnsi="宋体" w:hint="eastAsia"/>
          <w:sz w:val="20"/>
        </w:rPr>
        <w:t>8.“附件清单”一栏应填写根据前述要求提交的相应证明材料目录，注明序号、材料名称、所要证明的事实、原件或复印件、页数。证明材料为英文的，应当一并提交相应的中文译文。</w:t>
      </w:r>
    </w:p>
    <w:p w:rsidR="00800760" w:rsidRDefault="00235733" w:rsidP="00C22A7B">
      <w:pPr>
        <w:spacing w:beforeLines="50" w:line="240" w:lineRule="auto"/>
        <w:ind w:firstLineChars="0" w:firstLine="0"/>
        <w:rPr>
          <w:rFonts w:ascii="仿宋_GB2312" w:eastAsia="仿宋_GB2312" w:hAnsi="宋体"/>
          <w:sz w:val="20"/>
        </w:rPr>
      </w:pPr>
      <w:r>
        <w:rPr>
          <w:rFonts w:ascii="仿宋_GB2312" w:eastAsia="仿宋_GB2312" w:hAnsi="宋体" w:hint="eastAsia"/>
          <w:sz w:val="20"/>
        </w:rPr>
        <w:t>药品上市许可申请人作为请求人提出消极确认请求的，提交材料中还应包含其向国家药品审评机构提交的相关药品申报技术材料，并注明相关技术材料在申报材料中的页码位置。附件涉及保密信息的，应当单独提交并注明。同时需要在请求书中对相关附件是否涉及保密信息作出明确标记。</w:t>
      </w:r>
    </w:p>
    <w:p w:rsidR="00800760" w:rsidRDefault="00235733" w:rsidP="00C22A7B">
      <w:pPr>
        <w:spacing w:beforeLines="50" w:line="240" w:lineRule="auto"/>
        <w:ind w:firstLineChars="0" w:firstLine="0"/>
        <w:rPr>
          <w:rFonts w:ascii="仿宋_GB2312" w:eastAsia="仿宋_GB2312" w:hAnsi="宋体"/>
          <w:sz w:val="20"/>
        </w:rPr>
      </w:pPr>
      <w:r>
        <w:rPr>
          <w:rFonts w:ascii="仿宋_GB2312" w:eastAsia="仿宋_GB2312" w:hAnsi="宋体" w:hint="eastAsia"/>
          <w:sz w:val="20"/>
        </w:rPr>
        <w:t>9.“人民法院立案信息”一栏应当根据实际情况，对请求人是否向人民法院提起诉讼或者是否收到人民法院的立案通知书情况进行勾选。</w:t>
      </w:r>
    </w:p>
    <w:p w:rsidR="00800760" w:rsidRDefault="00235733" w:rsidP="00C22A7B">
      <w:pPr>
        <w:spacing w:beforeLines="50" w:line="240" w:lineRule="auto"/>
        <w:ind w:firstLineChars="0" w:firstLine="0"/>
        <w:rPr>
          <w:rFonts w:ascii="仿宋_GB2312" w:eastAsia="仿宋_GB2312" w:hAnsi="宋体"/>
          <w:sz w:val="20"/>
        </w:rPr>
      </w:pPr>
      <w:r>
        <w:rPr>
          <w:rFonts w:ascii="仿宋_GB2312" w:eastAsia="仿宋_GB2312" w:hAnsi="宋体" w:hint="eastAsia"/>
          <w:sz w:val="20"/>
        </w:rPr>
        <w:t>10.“请求理由”一栏应结合证据，对申请上市许可的药品相关技术方案落入或者未落入专利权保护范围的具体理由进行阐述。药品上市许可申请人提起消极确认请求的，应当结合其向国家药品审评机构申报的相关技术资料，采用特征对比表的形式，具体说明未落入专利权保护范围的理由。</w:t>
      </w:r>
    </w:p>
    <w:p w:rsidR="00800760" w:rsidRDefault="00235733" w:rsidP="00C22A7B">
      <w:pPr>
        <w:spacing w:beforeLines="50" w:line="240" w:lineRule="auto"/>
        <w:ind w:firstLineChars="0" w:firstLine="0"/>
        <w:rPr>
          <w:rFonts w:ascii="仿宋_GB2312" w:eastAsia="仿宋_GB2312" w:hAnsi="宋体"/>
          <w:sz w:val="20"/>
        </w:rPr>
      </w:pPr>
      <w:r>
        <w:rPr>
          <w:rFonts w:ascii="仿宋_GB2312" w:eastAsia="仿宋_GB2312" w:hAnsi="宋体" w:hint="eastAsia"/>
          <w:sz w:val="20"/>
        </w:rPr>
        <w:t>11.“备注”一栏可填写其他需要说明的情况。涉及多方</w:t>
      </w:r>
      <w:r>
        <w:rPr>
          <w:rStyle w:val="MSGENFONTSTYLENAMETEMPLATEROLENUMBERMSGENFONTSTYLENAMEBYROLETEXT2MSGENFONTSTYLEMODIFERNAMEPMingLiU"/>
          <w:rFonts w:ascii="仿宋_GB2312" w:eastAsia="仿宋_GB2312" w:hAnsi="宋体" w:hint="eastAsia"/>
          <w:sz w:val="20"/>
          <w:szCs w:val="20"/>
        </w:rPr>
        <w:t>请求人的，该栏中填写除第一请求人之外的其他请求人信息，具体信息项参见“请求人”栏。</w:t>
      </w:r>
    </w:p>
    <w:p w:rsidR="00800760" w:rsidRDefault="00235733" w:rsidP="00C22A7B">
      <w:pPr>
        <w:spacing w:beforeLines="50" w:line="240" w:lineRule="auto"/>
        <w:ind w:firstLineChars="0" w:firstLine="0"/>
        <w:rPr>
          <w:rFonts w:ascii="仿宋_GB2312" w:eastAsia="仿宋_GB2312" w:hAnsi="宋体"/>
          <w:sz w:val="20"/>
        </w:rPr>
      </w:pPr>
      <w:r>
        <w:rPr>
          <w:rStyle w:val="MSGENFONTSTYLENAMETEMPLATEROLENUMBERMSGENFONTSTYLENAMEBYROLETEXT2MSGENFONTSTYLEMODIFERNAMEPMingLiU"/>
          <w:rFonts w:ascii="仿宋_GB2312" w:eastAsia="仿宋_GB2312" w:hAnsi="宋体" w:hint="eastAsia"/>
          <w:sz w:val="20"/>
          <w:szCs w:val="20"/>
        </w:rPr>
        <w:t>12.“请求人或代理机构签章”一栏，委托代理机构的，应当由代理机构加盖公章，未委托代理机构的，请求人为个人的应由本人签字或盖名章；请求人是单位的，应加盖单位公章。</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lang w:eastAsia="en-US"/>
        </w:rPr>
      </w:pPr>
      <w:r>
        <w:rPr>
          <w:rStyle w:val="MSGENFONTSTYLENAMETEMPLATEROLENUMBERMSGENFONTSTYLENAMEBYROLETEXT2MSGENFONTSTYLEMODIFERNAMEPMingLiU"/>
          <w:rFonts w:ascii="仿宋_GB2312" w:eastAsia="仿宋_GB2312" w:hAnsi="宋体" w:hint="eastAsia"/>
          <w:sz w:val="20"/>
          <w:szCs w:val="20"/>
        </w:rPr>
        <w:t>13.本表“附件清单”“请求理由”“备注”栏填写不下时，可以使用附页A4纸张续写。</w:t>
      </w:r>
    </w:p>
    <w:p w:rsidR="00800760" w:rsidRDefault="00235733" w:rsidP="00C22A7B">
      <w:pPr>
        <w:spacing w:beforeLines="50" w:line="240" w:lineRule="auto"/>
        <w:ind w:firstLineChars="0" w:firstLine="0"/>
        <w:rPr>
          <w:rStyle w:val="MSGENFONTSTYLENAMETEMPLATEROLENUMBERMSGENFONTSTYLENAMEBYROLETEXT2MSGENFONTSTYLEMODIFERNAMEPMingLiU"/>
          <w:rFonts w:ascii="仿宋_GB2312" w:eastAsia="仿宋_GB2312" w:hAnsi="宋体"/>
          <w:sz w:val="20"/>
          <w:szCs w:val="20"/>
        </w:rPr>
      </w:pPr>
      <w:r>
        <w:rPr>
          <w:rStyle w:val="MSGENFONTSTYLENAMETEMPLATEROLENUMBERMSGENFONTSTYLENAMEBYROLETEXT2MSGENFONTSTYLEMODIFERNAMEPMingLiU"/>
          <w:rFonts w:ascii="仿宋_GB2312" w:eastAsia="仿宋_GB2312" w:hAnsi="宋体" w:hint="eastAsia"/>
          <w:sz w:val="20"/>
          <w:szCs w:val="20"/>
        </w:rPr>
        <w:t>14.一项行政裁决请求应当仅限于确认一个申请上市许可的药品技术方案是否落入一项专利的保护范围，涉及多个药品或多项专利的，应分别提出请求。</w:t>
      </w: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0"/>
        <w:rPr>
          <w:rFonts w:ascii="仿宋_GB2312" w:eastAsia="仿宋_GB2312" w:hAnsi="宋体"/>
          <w:sz w:val="20"/>
        </w:rPr>
      </w:pPr>
    </w:p>
    <w:p w:rsidR="00800760" w:rsidRDefault="00235733">
      <w:pPr>
        <w:spacing w:line="240" w:lineRule="auto"/>
        <w:ind w:firstLineChars="0" w:firstLine="0"/>
        <w:rPr>
          <w:rFonts w:ascii="仿宋_GB2312" w:eastAsia="仿宋_GB2312" w:hAnsi="宋体"/>
          <w:sz w:val="20"/>
        </w:rPr>
      </w:pPr>
      <w:r>
        <w:rPr>
          <w:rFonts w:ascii="仿宋_GB2312" w:eastAsia="仿宋_GB2312" w:hAnsi="宋体"/>
          <w:sz w:val="20"/>
        </w:rPr>
        <w:br w:type="page"/>
      </w:r>
    </w:p>
    <w:p w:rsidR="00800760" w:rsidRDefault="00235733">
      <w:pPr>
        <w:spacing w:line="660" w:lineRule="exact"/>
        <w:ind w:firstLineChars="0" w:firstLine="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药品专利纠纷行政裁决补正书</w:t>
      </w:r>
    </w:p>
    <w:p w:rsidR="00800760" w:rsidRDefault="00800760">
      <w:pPr>
        <w:widowControl w:val="0"/>
        <w:tabs>
          <w:tab w:val="center" w:pos="4153"/>
          <w:tab w:val="right" w:pos="8306"/>
        </w:tabs>
        <w:spacing w:line="240" w:lineRule="auto"/>
        <w:ind w:firstLineChars="0" w:firstLine="0"/>
        <w:rPr>
          <w:rFonts w:ascii="仿宋_GB2312" w:eastAsia="仿宋_GB2312" w:hAnsi="宋体" w:cs="宋体"/>
          <w:sz w:val="20"/>
        </w:rPr>
      </w:pPr>
    </w:p>
    <w:p w:rsidR="00800760" w:rsidRDefault="00235733">
      <w:pPr>
        <w:widowControl w:val="0"/>
        <w:tabs>
          <w:tab w:val="center" w:pos="4153"/>
          <w:tab w:val="right" w:pos="8306"/>
        </w:tabs>
        <w:spacing w:line="240" w:lineRule="auto"/>
        <w:ind w:firstLineChars="0" w:firstLine="0"/>
        <w:rPr>
          <w:rFonts w:ascii="仿宋_GB2312" w:eastAsia="仿宋_GB2312" w:hAnsi="宋体" w:cs="宋体"/>
          <w:sz w:val="20"/>
        </w:rPr>
      </w:pPr>
      <w:r>
        <w:rPr>
          <w:rFonts w:ascii="仿宋_GB2312" w:eastAsia="仿宋_GB2312" w:hAnsi="宋体" w:cs="宋体" w:hint="eastAsia"/>
          <w:sz w:val="20"/>
        </w:rPr>
        <w:t>请按照 “注意事项”正确填写本表各栏</w:t>
      </w:r>
    </w:p>
    <w:tbl>
      <w:tblPr>
        <w:tblpPr w:leftFromText="180" w:rightFromText="180" w:vertAnchor="text" w:horzAnchor="page" w:tblpXSpec="center" w:tblpY="504"/>
        <w:tblOverlap w:val="neve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646"/>
        <w:gridCol w:w="709"/>
        <w:gridCol w:w="569"/>
        <w:gridCol w:w="1800"/>
        <w:gridCol w:w="600"/>
        <w:gridCol w:w="433"/>
        <w:gridCol w:w="709"/>
        <w:gridCol w:w="2410"/>
      </w:tblGrid>
      <w:tr w:rsidR="00800760">
        <w:trPr>
          <w:cantSplit/>
          <w:trHeight w:val="802"/>
        </w:trPr>
        <w:tc>
          <w:tcPr>
            <w:tcW w:w="1242" w:type="dxa"/>
            <w:gridSpan w:val="2"/>
            <w:vMerge w:val="restart"/>
            <w:tcBorders>
              <w:top w:val="single" w:sz="8" w:space="0" w:color="auto"/>
              <w:left w:val="single" w:sz="8" w:space="0" w:color="auto"/>
              <w:right w:val="single" w:sz="4"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②</w:t>
            </w:r>
          </w:p>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专    信</w:t>
            </w:r>
          </w:p>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利</w:t>
            </w:r>
          </w:p>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 xml:space="preserve">权    息                                                      </w:t>
            </w:r>
          </w:p>
        </w:tc>
        <w:tc>
          <w:tcPr>
            <w:tcW w:w="4820" w:type="dxa"/>
            <w:gridSpan w:val="6"/>
            <w:tcBorders>
              <w:top w:val="single" w:sz="8" w:space="0" w:color="auto"/>
              <w:left w:val="single" w:sz="4" w:space="0" w:color="auto"/>
              <w:right w:val="single" w:sz="8" w:space="0" w:color="auto"/>
            </w:tcBorders>
          </w:tcPr>
          <w:p w:rsidR="00800760" w:rsidRDefault="00800760">
            <w:pPr>
              <w:spacing w:line="240" w:lineRule="auto"/>
              <w:ind w:firstLineChars="0" w:firstLine="0"/>
              <w:rPr>
                <w:rFonts w:ascii="仿宋_GB2312" w:eastAsia="仿宋_GB2312"/>
                <w:sz w:val="20"/>
                <w:lang w:eastAsia="en-US"/>
              </w:rPr>
            </w:pPr>
          </w:p>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 xml:space="preserve">专利号   </w:t>
            </w:r>
          </w:p>
        </w:tc>
        <w:tc>
          <w:tcPr>
            <w:tcW w:w="2410" w:type="dxa"/>
            <w:tcBorders>
              <w:top w:val="single" w:sz="8" w:space="0" w:color="auto"/>
              <w:left w:val="single" w:sz="4" w:space="0" w:color="auto"/>
              <w:right w:val="single" w:sz="8" w:space="0" w:color="auto"/>
            </w:tcBorders>
          </w:tcPr>
          <w:p w:rsidR="00800760" w:rsidRDefault="00235733">
            <w:pPr>
              <w:widowControl w:val="0"/>
              <w:numPr>
                <w:ilvl w:val="0"/>
                <w:numId w:val="4"/>
              </w:numPr>
              <w:spacing w:line="240" w:lineRule="auto"/>
              <w:ind w:firstLineChars="0" w:firstLine="420"/>
              <w:rPr>
                <w:rFonts w:ascii="仿宋_GB2312" w:eastAsia="仿宋_GB2312"/>
                <w:sz w:val="20"/>
                <w:lang w:eastAsia="en-US"/>
              </w:rPr>
            </w:pPr>
            <w:r>
              <w:rPr>
                <w:rFonts w:ascii="仿宋_GB2312" w:eastAsia="仿宋_GB2312" w:hint="eastAsia"/>
                <w:sz w:val="20"/>
                <w:lang w:eastAsia="en-US"/>
              </w:rPr>
              <w:t>案件编号</w:t>
            </w:r>
          </w:p>
        </w:tc>
      </w:tr>
      <w:tr w:rsidR="00800760">
        <w:trPr>
          <w:cantSplit/>
          <w:trHeight w:val="771"/>
        </w:trPr>
        <w:tc>
          <w:tcPr>
            <w:tcW w:w="1242" w:type="dxa"/>
            <w:gridSpan w:val="2"/>
            <w:vMerge/>
            <w:tcBorders>
              <w:top w:val="nil"/>
              <w:left w:val="single" w:sz="8" w:space="0" w:color="auto"/>
              <w:right w:val="single" w:sz="4" w:space="0" w:color="auto"/>
            </w:tcBorders>
          </w:tcPr>
          <w:p w:rsidR="00800760" w:rsidRDefault="00800760">
            <w:pPr>
              <w:spacing w:line="240" w:lineRule="auto"/>
              <w:ind w:firstLineChars="0" w:firstLine="0"/>
              <w:rPr>
                <w:rFonts w:ascii="仿宋_GB2312" w:eastAsia="仿宋_GB2312"/>
                <w:sz w:val="20"/>
                <w:lang w:eastAsia="en-US"/>
              </w:rPr>
            </w:pPr>
          </w:p>
        </w:tc>
        <w:tc>
          <w:tcPr>
            <w:tcW w:w="7230" w:type="dxa"/>
            <w:gridSpan w:val="7"/>
            <w:tcBorders>
              <w:top w:val="single" w:sz="4" w:space="0" w:color="auto"/>
              <w:left w:val="single" w:sz="4" w:space="0" w:color="auto"/>
              <w:right w:val="single" w:sz="8"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发明创造名称</w:t>
            </w:r>
          </w:p>
        </w:tc>
      </w:tr>
      <w:tr w:rsidR="00800760">
        <w:trPr>
          <w:cantSplit/>
          <w:trHeight w:val="445"/>
        </w:trPr>
        <w:tc>
          <w:tcPr>
            <w:tcW w:w="1242" w:type="dxa"/>
            <w:gridSpan w:val="2"/>
            <w:vMerge w:val="restart"/>
            <w:tcBorders>
              <w:top w:val="single" w:sz="4" w:space="0" w:color="auto"/>
              <w:left w:val="single" w:sz="8" w:space="0" w:color="auto"/>
              <w:right w:val="single" w:sz="4" w:space="0" w:color="auto"/>
            </w:tcBorders>
          </w:tcPr>
          <w:p w:rsidR="00800760" w:rsidRDefault="00235733">
            <w:pPr>
              <w:widowControl w:val="0"/>
              <w:numPr>
                <w:ilvl w:val="0"/>
                <w:numId w:val="5"/>
              </w:numPr>
              <w:spacing w:line="240" w:lineRule="auto"/>
              <w:ind w:firstLineChars="0" w:firstLine="420"/>
              <w:jc w:val="both"/>
              <w:rPr>
                <w:rFonts w:ascii="仿宋_GB2312" w:eastAsia="仿宋_GB2312"/>
                <w:sz w:val="20"/>
                <w:lang w:eastAsia="en-US"/>
              </w:rPr>
            </w:pPr>
            <w:r>
              <w:rPr>
                <w:rFonts w:ascii="仿宋_GB2312" w:eastAsia="仿宋_GB2312" w:hint="eastAsia"/>
                <w:sz w:val="20"/>
                <w:lang w:eastAsia="en-US"/>
              </w:rPr>
              <w:t>补</w:t>
            </w:r>
          </w:p>
          <w:p w:rsidR="00800760" w:rsidRDefault="00235733">
            <w:pPr>
              <w:spacing w:line="240" w:lineRule="auto"/>
              <w:ind w:left="420" w:firstLineChars="0" w:firstLine="0"/>
              <w:rPr>
                <w:rFonts w:ascii="仿宋_GB2312" w:eastAsia="仿宋_GB2312"/>
                <w:sz w:val="20"/>
                <w:lang w:eastAsia="en-US"/>
              </w:rPr>
            </w:pPr>
            <w:r>
              <w:rPr>
                <w:rFonts w:ascii="仿宋_GB2312" w:eastAsia="仿宋_GB2312" w:hint="eastAsia"/>
                <w:sz w:val="20"/>
                <w:lang w:eastAsia="en-US"/>
              </w:rPr>
              <w:t>正</w:t>
            </w:r>
          </w:p>
          <w:p w:rsidR="00800760" w:rsidRDefault="00235733">
            <w:pPr>
              <w:spacing w:line="240" w:lineRule="auto"/>
              <w:ind w:left="420" w:firstLineChars="0" w:firstLine="0"/>
              <w:rPr>
                <w:rFonts w:ascii="仿宋_GB2312" w:eastAsia="仿宋_GB2312"/>
                <w:sz w:val="20"/>
                <w:lang w:eastAsia="en-US"/>
              </w:rPr>
            </w:pPr>
            <w:r>
              <w:rPr>
                <w:rFonts w:ascii="仿宋_GB2312" w:eastAsia="仿宋_GB2312" w:hint="eastAsia"/>
                <w:sz w:val="20"/>
                <w:lang w:eastAsia="en-US"/>
              </w:rPr>
              <w:t xml:space="preserve">人  </w:t>
            </w:r>
          </w:p>
        </w:tc>
        <w:tc>
          <w:tcPr>
            <w:tcW w:w="7230" w:type="dxa"/>
            <w:gridSpan w:val="7"/>
            <w:tcBorders>
              <w:top w:val="single" w:sz="4" w:space="0" w:color="auto"/>
              <w:left w:val="single" w:sz="4" w:space="0" w:color="auto"/>
              <w:bottom w:val="single" w:sz="2" w:space="0" w:color="auto"/>
              <w:right w:val="single" w:sz="8" w:space="0" w:color="auto"/>
            </w:tcBorders>
          </w:tcPr>
          <w:p w:rsidR="00800760" w:rsidRDefault="00235733">
            <w:pPr>
              <w:spacing w:before="120" w:after="120" w:line="240" w:lineRule="auto"/>
              <w:ind w:firstLineChars="0" w:firstLine="0"/>
              <w:rPr>
                <w:rFonts w:ascii="仿宋_GB2312" w:eastAsia="仿宋_GB2312"/>
                <w:sz w:val="20"/>
                <w:lang w:eastAsia="en-US"/>
              </w:rPr>
            </w:pPr>
            <w:r>
              <w:rPr>
                <w:rFonts w:ascii="仿宋_GB2312" w:eastAsia="仿宋_GB2312" w:hint="eastAsia"/>
                <w:sz w:val="20"/>
                <w:lang w:eastAsia="en-US"/>
              </w:rPr>
              <w:t xml:space="preserve">  </w:t>
            </w:r>
            <w:r w:rsidR="00C22A7B">
              <w:rPr>
                <w:rFonts w:ascii="仿宋_GB2312" w:eastAsia="仿宋_GB2312" w:hint="eastAsia"/>
                <w:sz w:val="20"/>
                <w:lang w:eastAsia="en-US"/>
              </w:rPr>
              <w:fldChar w:fldCharType="begin">
                <w:ffData>
                  <w:name w:val="Check3"/>
                  <w:enabled/>
                  <w:calcOnExit w:val="0"/>
                  <w:checkBox>
                    <w:sizeAuto/>
                    <w:default w:val="0"/>
                    <w:checked w:val="0"/>
                  </w:checkBox>
                </w:ffData>
              </w:fldChar>
            </w:r>
            <w:r>
              <w:rPr>
                <w:rFonts w:ascii="仿宋_GB2312" w:eastAsia="仿宋_GB2312" w:hint="eastAsia"/>
                <w:sz w:val="20"/>
                <w:lang w:eastAsia="en-US"/>
              </w:rPr>
              <w:instrText xml:space="preserve"> FORMCHECKBOX </w:instrText>
            </w:r>
            <w:r w:rsidR="00C22A7B">
              <w:rPr>
                <w:rFonts w:ascii="仿宋_GB2312" w:eastAsia="仿宋_GB2312"/>
                <w:sz w:val="20"/>
                <w:lang w:eastAsia="en-US"/>
              </w:rPr>
            </w:r>
            <w:r w:rsidR="00C22A7B">
              <w:rPr>
                <w:rFonts w:ascii="仿宋_GB2312" w:eastAsia="仿宋_GB2312"/>
                <w:sz w:val="20"/>
                <w:lang w:eastAsia="en-US"/>
              </w:rPr>
              <w:fldChar w:fldCharType="separate"/>
            </w:r>
            <w:r w:rsidR="00C22A7B">
              <w:rPr>
                <w:rFonts w:ascii="仿宋_GB2312" w:eastAsia="仿宋_GB2312" w:hint="eastAsia"/>
                <w:sz w:val="20"/>
                <w:lang w:eastAsia="en-US"/>
              </w:rPr>
              <w:fldChar w:fldCharType="end"/>
            </w:r>
            <w:r>
              <w:rPr>
                <w:rFonts w:ascii="仿宋_GB2312" w:eastAsia="仿宋_GB2312" w:hint="eastAsia"/>
                <w:sz w:val="20"/>
                <w:lang w:eastAsia="en-US"/>
              </w:rPr>
              <w:t xml:space="preserve">请求人               </w:t>
            </w:r>
            <w:r w:rsidR="00C22A7B">
              <w:rPr>
                <w:rFonts w:ascii="仿宋_GB2312" w:eastAsia="仿宋_GB2312" w:hint="eastAsia"/>
                <w:sz w:val="20"/>
                <w:lang w:eastAsia="en-US"/>
              </w:rPr>
              <w:fldChar w:fldCharType="begin">
                <w:ffData>
                  <w:name w:val="Check3"/>
                  <w:enabled/>
                  <w:calcOnExit w:val="0"/>
                  <w:checkBox>
                    <w:sizeAuto/>
                    <w:default w:val="0"/>
                    <w:checked w:val="0"/>
                  </w:checkBox>
                </w:ffData>
              </w:fldChar>
            </w:r>
            <w:r>
              <w:rPr>
                <w:rFonts w:ascii="仿宋_GB2312" w:eastAsia="仿宋_GB2312" w:hint="eastAsia"/>
                <w:sz w:val="20"/>
                <w:lang w:eastAsia="en-US"/>
              </w:rPr>
              <w:instrText xml:space="preserve"> FORMCHECKBOX </w:instrText>
            </w:r>
            <w:r w:rsidR="00C22A7B">
              <w:rPr>
                <w:rFonts w:ascii="仿宋_GB2312" w:eastAsia="仿宋_GB2312"/>
                <w:sz w:val="20"/>
                <w:lang w:eastAsia="en-US"/>
              </w:rPr>
            </w:r>
            <w:r w:rsidR="00C22A7B">
              <w:rPr>
                <w:rFonts w:ascii="仿宋_GB2312" w:eastAsia="仿宋_GB2312"/>
                <w:sz w:val="20"/>
                <w:lang w:eastAsia="en-US"/>
              </w:rPr>
              <w:fldChar w:fldCharType="separate"/>
            </w:r>
            <w:r w:rsidR="00C22A7B">
              <w:rPr>
                <w:rFonts w:ascii="仿宋_GB2312" w:eastAsia="仿宋_GB2312" w:hint="eastAsia"/>
                <w:sz w:val="20"/>
                <w:lang w:eastAsia="en-US"/>
              </w:rPr>
              <w:fldChar w:fldCharType="end"/>
            </w:r>
            <w:r>
              <w:rPr>
                <w:rFonts w:ascii="仿宋_GB2312" w:eastAsia="仿宋_GB2312" w:hint="eastAsia"/>
                <w:sz w:val="20"/>
                <w:lang w:eastAsia="en-US"/>
              </w:rPr>
              <w:t>被请求人</w:t>
            </w:r>
          </w:p>
        </w:tc>
      </w:tr>
      <w:tr w:rsidR="00800760">
        <w:trPr>
          <w:cantSplit/>
          <w:trHeight w:val="445"/>
        </w:trPr>
        <w:tc>
          <w:tcPr>
            <w:tcW w:w="1242" w:type="dxa"/>
            <w:gridSpan w:val="2"/>
            <w:vMerge/>
            <w:tcBorders>
              <w:left w:val="single" w:sz="8" w:space="0" w:color="auto"/>
              <w:right w:val="single" w:sz="4" w:space="0" w:color="auto"/>
            </w:tcBorders>
          </w:tcPr>
          <w:p w:rsidR="00800760" w:rsidRDefault="00800760">
            <w:pPr>
              <w:spacing w:line="240" w:lineRule="auto"/>
              <w:ind w:firstLineChars="0" w:firstLine="0"/>
              <w:rPr>
                <w:rFonts w:ascii="仿宋_GB2312" w:eastAsia="仿宋_GB2312"/>
                <w:sz w:val="20"/>
                <w:lang w:eastAsia="en-US"/>
              </w:rPr>
            </w:pPr>
          </w:p>
        </w:tc>
        <w:tc>
          <w:tcPr>
            <w:tcW w:w="4820" w:type="dxa"/>
            <w:gridSpan w:val="6"/>
            <w:tcBorders>
              <w:top w:val="single" w:sz="4" w:space="0" w:color="auto"/>
              <w:left w:val="single" w:sz="4" w:space="0" w:color="auto"/>
              <w:bottom w:val="single" w:sz="2" w:space="0" w:color="auto"/>
              <w:right w:val="single" w:sz="8"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姓名或名称</w:t>
            </w:r>
          </w:p>
        </w:tc>
        <w:tc>
          <w:tcPr>
            <w:tcW w:w="2410" w:type="dxa"/>
            <w:tcBorders>
              <w:top w:val="single" w:sz="4" w:space="0" w:color="auto"/>
              <w:left w:val="single" w:sz="4" w:space="0" w:color="auto"/>
              <w:bottom w:val="single" w:sz="2" w:space="0" w:color="auto"/>
              <w:right w:val="single" w:sz="8"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电话</w:t>
            </w:r>
          </w:p>
        </w:tc>
      </w:tr>
      <w:tr w:rsidR="00800760">
        <w:trPr>
          <w:cantSplit/>
          <w:trHeight w:val="365"/>
        </w:trPr>
        <w:tc>
          <w:tcPr>
            <w:tcW w:w="1242" w:type="dxa"/>
            <w:gridSpan w:val="2"/>
            <w:vMerge w:val="restart"/>
            <w:tcBorders>
              <w:left w:val="single" w:sz="8" w:space="0" w:color="auto"/>
              <w:right w:val="single" w:sz="4"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④</w:t>
            </w:r>
          </w:p>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代</w:t>
            </w: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理</w:t>
            </w: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机</w:t>
            </w: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构</w:t>
            </w:r>
          </w:p>
          <w:p w:rsidR="00800760" w:rsidRDefault="00800760">
            <w:pPr>
              <w:spacing w:line="240" w:lineRule="auto"/>
              <w:ind w:firstLineChars="0" w:firstLine="0"/>
              <w:rPr>
                <w:rFonts w:ascii="仿宋_GB2312" w:eastAsia="仿宋_GB2312"/>
                <w:sz w:val="20"/>
                <w:lang w:eastAsia="en-US"/>
              </w:rPr>
            </w:pPr>
          </w:p>
        </w:tc>
        <w:tc>
          <w:tcPr>
            <w:tcW w:w="4111" w:type="dxa"/>
            <w:gridSpan w:val="5"/>
            <w:tcBorders>
              <w:top w:val="single" w:sz="2" w:space="0" w:color="auto"/>
              <w:left w:val="single" w:sz="4" w:space="0" w:color="auto"/>
              <w:right w:val="single" w:sz="8" w:space="0" w:color="auto"/>
            </w:tcBorders>
          </w:tcPr>
          <w:p w:rsidR="00800760" w:rsidRDefault="00800760">
            <w:pPr>
              <w:spacing w:line="240" w:lineRule="auto"/>
              <w:ind w:firstLineChars="0" w:firstLine="0"/>
              <w:rPr>
                <w:rFonts w:ascii="仿宋_GB2312" w:eastAsia="仿宋_GB2312"/>
                <w:sz w:val="20"/>
                <w:lang w:eastAsia="en-US"/>
              </w:rPr>
            </w:pPr>
          </w:p>
          <w:p w:rsidR="00800760" w:rsidRDefault="00235733">
            <w:pPr>
              <w:spacing w:line="240" w:lineRule="auto"/>
              <w:ind w:firstLineChars="0" w:firstLine="0"/>
              <w:rPr>
                <w:rFonts w:ascii="仿宋_GB2312" w:eastAsia="仿宋_GB2312"/>
                <w:sz w:val="20"/>
              </w:rPr>
            </w:pPr>
            <w:r>
              <w:rPr>
                <w:rFonts w:ascii="仿宋_GB2312" w:eastAsia="仿宋_GB2312" w:hint="eastAsia"/>
                <w:sz w:val="20"/>
                <w:lang w:eastAsia="en-US"/>
              </w:rPr>
              <w:t>名称</w:t>
            </w:r>
          </w:p>
        </w:tc>
        <w:tc>
          <w:tcPr>
            <w:tcW w:w="3119" w:type="dxa"/>
            <w:gridSpan w:val="2"/>
            <w:tcBorders>
              <w:top w:val="single" w:sz="2" w:space="0" w:color="auto"/>
              <w:left w:val="single" w:sz="4" w:space="0" w:color="auto"/>
              <w:right w:val="single" w:sz="8" w:space="0" w:color="auto"/>
            </w:tcBorders>
          </w:tcPr>
          <w:p w:rsidR="00800760" w:rsidRDefault="00800760">
            <w:pPr>
              <w:spacing w:line="240" w:lineRule="auto"/>
              <w:ind w:firstLineChars="0" w:firstLine="0"/>
              <w:rPr>
                <w:rFonts w:ascii="仿宋_GB2312" w:eastAsia="仿宋_GB2312"/>
                <w:sz w:val="20"/>
                <w:lang w:eastAsia="en-US"/>
              </w:rPr>
            </w:pPr>
          </w:p>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机构代码</w:t>
            </w:r>
          </w:p>
        </w:tc>
      </w:tr>
      <w:tr w:rsidR="00800760">
        <w:trPr>
          <w:cantSplit/>
          <w:trHeight w:val="355"/>
        </w:trPr>
        <w:tc>
          <w:tcPr>
            <w:tcW w:w="1242" w:type="dxa"/>
            <w:gridSpan w:val="2"/>
            <w:vMerge/>
            <w:tcBorders>
              <w:left w:val="single" w:sz="8" w:space="0" w:color="auto"/>
              <w:right w:val="single" w:sz="4"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709" w:type="dxa"/>
            <w:vMerge w:val="restart"/>
            <w:tcBorders>
              <w:top w:val="single" w:sz="2" w:space="0" w:color="auto"/>
              <w:left w:val="single" w:sz="4" w:space="0" w:color="auto"/>
              <w:right w:val="single" w:sz="8" w:space="0" w:color="auto"/>
            </w:tcBorders>
          </w:tcPr>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代</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理</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人</w:t>
            </w: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Ansi="宋体" w:hint="eastAsia"/>
                <w:sz w:val="20"/>
                <w:lang w:eastAsia="en-US"/>
              </w:rPr>
              <w:t>（1）</w:t>
            </w:r>
          </w:p>
        </w:tc>
        <w:tc>
          <w:tcPr>
            <w:tcW w:w="3402" w:type="dxa"/>
            <w:gridSpan w:val="4"/>
            <w:tcBorders>
              <w:left w:val="single" w:sz="4" w:space="0" w:color="auto"/>
              <w:bottom w:val="single" w:sz="4" w:space="0" w:color="auto"/>
              <w:right w:val="single" w:sz="8"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姓    名</w:t>
            </w:r>
          </w:p>
          <w:p w:rsidR="00800760" w:rsidRDefault="00800760">
            <w:pPr>
              <w:spacing w:line="240" w:lineRule="auto"/>
              <w:ind w:firstLineChars="0" w:firstLine="0"/>
              <w:rPr>
                <w:rFonts w:ascii="仿宋_GB2312" w:eastAsia="仿宋_GB2312"/>
                <w:sz w:val="20"/>
                <w:lang w:eastAsia="en-US"/>
              </w:rPr>
            </w:pPr>
          </w:p>
        </w:tc>
        <w:tc>
          <w:tcPr>
            <w:tcW w:w="709" w:type="dxa"/>
            <w:vMerge w:val="restart"/>
            <w:tcBorders>
              <w:left w:val="single" w:sz="4" w:space="0" w:color="auto"/>
              <w:right w:val="single" w:sz="8" w:space="0" w:color="auto"/>
            </w:tcBorders>
          </w:tcPr>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代</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理</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人</w:t>
            </w: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Ansi="宋体" w:hint="eastAsia"/>
                <w:sz w:val="20"/>
                <w:lang w:eastAsia="en-US"/>
              </w:rPr>
              <w:t>（2）</w:t>
            </w:r>
          </w:p>
        </w:tc>
        <w:tc>
          <w:tcPr>
            <w:tcW w:w="2410" w:type="dxa"/>
            <w:tcBorders>
              <w:left w:val="single" w:sz="4" w:space="0" w:color="auto"/>
              <w:bottom w:val="single" w:sz="4" w:space="0" w:color="auto"/>
              <w:right w:val="single" w:sz="8"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姓    名</w:t>
            </w:r>
          </w:p>
        </w:tc>
      </w:tr>
      <w:tr w:rsidR="00800760">
        <w:trPr>
          <w:cantSplit/>
          <w:trHeight w:val="355"/>
        </w:trPr>
        <w:tc>
          <w:tcPr>
            <w:tcW w:w="1242" w:type="dxa"/>
            <w:gridSpan w:val="2"/>
            <w:vMerge/>
            <w:tcBorders>
              <w:left w:val="single" w:sz="8" w:space="0" w:color="auto"/>
              <w:right w:val="single" w:sz="4"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709" w:type="dxa"/>
            <w:vMerge/>
            <w:tcBorders>
              <w:left w:val="single" w:sz="4" w:space="0" w:color="auto"/>
              <w:right w:val="single" w:sz="8" w:space="0" w:color="auto"/>
            </w:tcBorders>
          </w:tcPr>
          <w:p w:rsidR="00800760" w:rsidRDefault="00800760">
            <w:pPr>
              <w:spacing w:line="240" w:lineRule="auto"/>
              <w:ind w:firstLineChars="0" w:firstLine="0"/>
              <w:jc w:val="center"/>
              <w:rPr>
                <w:rFonts w:ascii="仿宋_GB2312" w:eastAsia="仿宋_GB2312"/>
                <w:sz w:val="20"/>
                <w:lang w:eastAsia="en-US"/>
              </w:rPr>
            </w:pPr>
          </w:p>
        </w:tc>
        <w:tc>
          <w:tcPr>
            <w:tcW w:w="3402" w:type="dxa"/>
            <w:gridSpan w:val="4"/>
            <w:tcBorders>
              <w:left w:val="single" w:sz="4" w:space="0" w:color="auto"/>
              <w:bottom w:val="single" w:sz="4" w:space="0" w:color="auto"/>
              <w:right w:val="single" w:sz="8"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执业证号</w:t>
            </w:r>
          </w:p>
          <w:p w:rsidR="00800760" w:rsidRDefault="00800760">
            <w:pPr>
              <w:spacing w:line="240" w:lineRule="auto"/>
              <w:ind w:firstLineChars="0" w:firstLine="0"/>
              <w:rPr>
                <w:rFonts w:ascii="仿宋_GB2312" w:eastAsia="仿宋_GB2312"/>
                <w:sz w:val="20"/>
                <w:lang w:eastAsia="en-US"/>
              </w:rPr>
            </w:pPr>
          </w:p>
        </w:tc>
        <w:tc>
          <w:tcPr>
            <w:tcW w:w="709" w:type="dxa"/>
            <w:vMerge/>
            <w:tcBorders>
              <w:left w:val="single" w:sz="4" w:space="0" w:color="auto"/>
              <w:right w:val="single" w:sz="8" w:space="0" w:color="auto"/>
            </w:tcBorders>
          </w:tcPr>
          <w:p w:rsidR="00800760" w:rsidRDefault="00800760">
            <w:pPr>
              <w:spacing w:line="240" w:lineRule="auto"/>
              <w:ind w:firstLineChars="0" w:firstLine="0"/>
              <w:rPr>
                <w:rFonts w:ascii="仿宋_GB2312" w:eastAsia="仿宋_GB2312"/>
                <w:sz w:val="20"/>
                <w:lang w:eastAsia="en-US"/>
              </w:rPr>
            </w:pPr>
          </w:p>
        </w:tc>
        <w:tc>
          <w:tcPr>
            <w:tcW w:w="2410" w:type="dxa"/>
            <w:tcBorders>
              <w:left w:val="single" w:sz="4" w:space="0" w:color="auto"/>
              <w:bottom w:val="single" w:sz="4" w:space="0" w:color="auto"/>
              <w:right w:val="single" w:sz="8"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执业证号</w:t>
            </w:r>
          </w:p>
        </w:tc>
      </w:tr>
      <w:tr w:rsidR="00800760">
        <w:trPr>
          <w:cantSplit/>
          <w:trHeight w:val="355"/>
        </w:trPr>
        <w:tc>
          <w:tcPr>
            <w:tcW w:w="1242" w:type="dxa"/>
            <w:gridSpan w:val="2"/>
            <w:vMerge/>
            <w:tcBorders>
              <w:left w:val="single" w:sz="8" w:space="0" w:color="auto"/>
              <w:bottom w:val="single" w:sz="4" w:space="0" w:color="auto"/>
              <w:right w:val="single" w:sz="4"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709" w:type="dxa"/>
            <w:vMerge/>
            <w:tcBorders>
              <w:left w:val="single" w:sz="4" w:space="0" w:color="auto"/>
              <w:bottom w:val="single" w:sz="4" w:space="0" w:color="auto"/>
              <w:right w:val="single" w:sz="8" w:space="0" w:color="auto"/>
            </w:tcBorders>
          </w:tcPr>
          <w:p w:rsidR="00800760" w:rsidRDefault="00800760">
            <w:pPr>
              <w:spacing w:line="240" w:lineRule="auto"/>
              <w:ind w:firstLineChars="0" w:firstLine="0"/>
              <w:jc w:val="center"/>
              <w:rPr>
                <w:rFonts w:ascii="仿宋_GB2312" w:eastAsia="仿宋_GB2312"/>
                <w:sz w:val="20"/>
                <w:lang w:eastAsia="en-US"/>
              </w:rPr>
            </w:pPr>
          </w:p>
        </w:tc>
        <w:tc>
          <w:tcPr>
            <w:tcW w:w="3402" w:type="dxa"/>
            <w:gridSpan w:val="4"/>
            <w:tcBorders>
              <w:left w:val="single" w:sz="4" w:space="0" w:color="auto"/>
              <w:bottom w:val="single" w:sz="4" w:space="0" w:color="auto"/>
              <w:right w:val="single" w:sz="8"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电    话</w:t>
            </w:r>
          </w:p>
          <w:p w:rsidR="00800760" w:rsidRDefault="00800760">
            <w:pPr>
              <w:spacing w:line="240" w:lineRule="auto"/>
              <w:ind w:firstLineChars="0" w:firstLine="0"/>
              <w:rPr>
                <w:rFonts w:ascii="仿宋_GB2312" w:eastAsia="仿宋_GB2312"/>
                <w:sz w:val="20"/>
                <w:lang w:eastAsia="en-US"/>
              </w:rPr>
            </w:pPr>
          </w:p>
        </w:tc>
        <w:tc>
          <w:tcPr>
            <w:tcW w:w="709" w:type="dxa"/>
            <w:vMerge/>
            <w:tcBorders>
              <w:left w:val="single" w:sz="4" w:space="0" w:color="auto"/>
              <w:bottom w:val="single" w:sz="4" w:space="0" w:color="auto"/>
              <w:right w:val="single" w:sz="8" w:space="0" w:color="auto"/>
            </w:tcBorders>
          </w:tcPr>
          <w:p w:rsidR="00800760" w:rsidRDefault="00800760">
            <w:pPr>
              <w:spacing w:line="240" w:lineRule="auto"/>
              <w:ind w:firstLineChars="0" w:firstLine="0"/>
              <w:rPr>
                <w:rFonts w:ascii="仿宋_GB2312" w:eastAsia="仿宋_GB2312"/>
                <w:sz w:val="20"/>
                <w:lang w:eastAsia="en-US"/>
              </w:rPr>
            </w:pPr>
          </w:p>
        </w:tc>
        <w:tc>
          <w:tcPr>
            <w:tcW w:w="2410" w:type="dxa"/>
            <w:tcBorders>
              <w:left w:val="single" w:sz="4" w:space="0" w:color="auto"/>
              <w:bottom w:val="single" w:sz="4" w:space="0" w:color="auto"/>
              <w:right w:val="single" w:sz="8" w:space="0" w:color="auto"/>
            </w:tcBorders>
          </w:tcPr>
          <w:p w:rsidR="00800760" w:rsidRDefault="00235733">
            <w:pPr>
              <w:spacing w:line="240" w:lineRule="auto"/>
              <w:ind w:firstLineChars="0" w:firstLine="0"/>
              <w:rPr>
                <w:rFonts w:ascii="仿宋_GB2312" w:eastAsia="仿宋_GB2312"/>
                <w:sz w:val="20"/>
                <w:lang w:eastAsia="en-US"/>
              </w:rPr>
            </w:pPr>
            <w:r>
              <w:rPr>
                <w:rFonts w:ascii="仿宋_GB2312" w:eastAsia="仿宋_GB2312" w:hint="eastAsia"/>
                <w:sz w:val="20"/>
                <w:lang w:eastAsia="en-US"/>
              </w:rPr>
              <w:t>电    话</w:t>
            </w:r>
          </w:p>
        </w:tc>
      </w:tr>
      <w:tr w:rsidR="00800760">
        <w:trPr>
          <w:cantSplit/>
          <w:trHeight w:val="1054"/>
        </w:trPr>
        <w:tc>
          <w:tcPr>
            <w:tcW w:w="8472" w:type="dxa"/>
            <w:gridSpan w:val="9"/>
            <w:tcBorders>
              <w:left w:val="single" w:sz="8" w:space="0" w:color="auto"/>
              <w:bottom w:val="nil"/>
              <w:right w:val="single" w:sz="8" w:space="0" w:color="auto"/>
            </w:tcBorders>
          </w:tcPr>
          <w:p w:rsidR="00800760" w:rsidRDefault="00235733">
            <w:pPr>
              <w:spacing w:line="240" w:lineRule="auto"/>
              <w:ind w:left="420" w:firstLineChars="0" w:firstLine="0"/>
              <w:rPr>
                <w:rFonts w:ascii="仿宋_GB2312" w:eastAsia="仿宋_GB2312"/>
                <w:sz w:val="20"/>
              </w:rPr>
            </w:pPr>
            <w:r>
              <w:rPr>
                <w:rFonts w:ascii="仿宋_GB2312" w:eastAsia="仿宋_GB2312" w:hAnsi="宋体" w:hint="eastAsia"/>
                <w:sz w:val="20"/>
                <w:lang w:eastAsia="en-US"/>
              </w:rPr>
              <w:t>⑤</w:t>
            </w:r>
            <w:r>
              <w:rPr>
                <w:rFonts w:ascii="仿宋_GB2312" w:eastAsia="仿宋_GB2312" w:hint="eastAsia"/>
                <w:sz w:val="20"/>
                <w:lang w:eastAsia="en-US"/>
              </w:rPr>
              <w:t xml:space="preserve">  补正原因</w:t>
            </w:r>
          </w:p>
          <w:p w:rsidR="00800760" w:rsidRDefault="00235733">
            <w:pPr>
              <w:spacing w:line="240" w:lineRule="auto"/>
              <w:ind w:left="420" w:firstLineChars="0" w:firstLine="0"/>
              <w:rPr>
                <w:rFonts w:ascii="仿宋_GB2312" w:eastAsia="仿宋_GB2312"/>
                <w:sz w:val="20"/>
              </w:rPr>
            </w:pPr>
            <w:r>
              <w:rPr>
                <w:rFonts w:ascii="仿宋_GB2312" w:eastAsia="仿宋_GB2312" w:hint="eastAsia"/>
                <w:sz w:val="20"/>
              </w:rPr>
              <w:t>针对</w:t>
            </w:r>
            <w:r w:rsidR="00C22A7B">
              <w:rPr>
                <w:rFonts w:ascii="仿宋_GB2312" w:eastAsia="仿宋_GB2312" w:hint="eastAsia"/>
                <w:sz w:val="20"/>
                <w:u w:val="single"/>
                <w:lang w:eastAsia="en-US"/>
              </w:rPr>
              <w:fldChar w:fldCharType="begin">
                <w:ffData>
                  <w:name w:val="Text1"/>
                  <w:enabled/>
                  <w:calcOnExit w:val="0"/>
                  <w:textInput/>
                </w:ffData>
              </w:fldChar>
            </w:r>
            <w:bookmarkStart w:id="9364" w:name="Text1"/>
            <w:r>
              <w:rPr>
                <w:rFonts w:ascii="仿宋_GB2312" w:eastAsia="仿宋_GB2312" w:hint="eastAsia"/>
                <w:sz w:val="20"/>
                <w:u w:val="single"/>
              </w:rPr>
              <w:instrText xml:space="preserve"> FORMTEXT </w:instrText>
            </w:r>
            <w:r w:rsidR="00C22A7B">
              <w:rPr>
                <w:rFonts w:ascii="仿宋_GB2312" w:eastAsia="仿宋_GB2312" w:hint="eastAsia"/>
                <w:sz w:val="20"/>
                <w:u w:val="single"/>
                <w:lang w:eastAsia="en-US"/>
              </w:rPr>
            </w:r>
            <w:r w:rsidR="00C22A7B">
              <w:rPr>
                <w:rFonts w:ascii="仿宋_GB2312" w:eastAsia="仿宋_GB2312" w:hint="eastAsia"/>
                <w:sz w:val="20"/>
                <w:u w:val="single"/>
                <w:lang w:eastAsia="en-US"/>
              </w:rPr>
              <w:fldChar w:fldCharType="separate"/>
            </w:r>
            <w:r>
              <w:rPr>
                <w:rFonts w:ascii="仿宋_GB2312" w:eastAsia="仿宋_GB2312" w:hint="eastAsia"/>
                <w:sz w:val="20"/>
                <w:u w:val="single"/>
              </w:rPr>
              <w:t>     </w:t>
            </w:r>
            <w:r w:rsidR="00C22A7B">
              <w:rPr>
                <w:rFonts w:ascii="仿宋_GB2312" w:eastAsia="仿宋_GB2312" w:hint="eastAsia"/>
                <w:sz w:val="20"/>
                <w:u w:val="single"/>
                <w:lang w:eastAsia="en-US"/>
              </w:rPr>
              <w:fldChar w:fldCharType="end"/>
            </w:r>
            <w:bookmarkEnd w:id="9364"/>
            <w:r>
              <w:rPr>
                <w:rFonts w:ascii="仿宋_GB2312" w:eastAsia="仿宋_GB2312" w:hint="eastAsia"/>
                <w:sz w:val="20"/>
              </w:rPr>
              <w:t>年</w:t>
            </w:r>
            <w:r w:rsidR="00C22A7B">
              <w:rPr>
                <w:rFonts w:ascii="仿宋_GB2312" w:eastAsia="仿宋_GB2312" w:hint="eastAsia"/>
                <w:sz w:val="20"/>
                <w:u w:val="single"/>
                <w:lang w:eastAsia="en-US"/>
              </w:rPr>
              <w:fldChar w:fldCharType="begin">
                <w:ffData>
                  <w:name w:val="Text2"/>
                  <w:enabled/>
                  <w:calcOnExit w:val="0"/>
                  <w:textInput/>
                </w:ffData>
              </w:fldChar>
            </w:r>
            <w:bookmarkStart w:id="9365" w:name="Text2"/>
            <w:r>
              <w:rPr>
                <w:rFonts w:ascii="仿宋_GB2312" w:eastAsia="仿宋_GB2312" w:hint="eastAsia"/>
                <w:sz w:val="20"/>
                <w:u w:val="single"/>
              </w:rPr>
              <w:instrText xml:space="preserve"> FORMTEXT </w:instrText>
            </w:r>
            <w:r w:rsidR="00C22A7B">
              <w:rPr>
                <w:rFonts w:ascii="仿宋_GB2312" w:eastAsia="仿宋_GB2312" w:hint="eastAsia"/>
                <w:sz w:val="20"/>
                <w:u w:val="single"/>
                <w:lang w:eastAsia="en-US"/>
              </w:rPr>
            </w:r>
            <w:r w:rsidR="00C22A7B">
              <w:rPr>
                <w:rFonts w:ascii="仿宋_GB2312" w:eastAsia="仿宋_GB2312" w:hint="eastAsia"/>
                <w:sz w:val="20"/>
                <w:u w:val="single"/>
                <w:lang w:eastAsia="en-US"/>
              </w:rPr>
              <w:fldChar w:fldCharType="separate"/>
            </w:r>
            <w:r>
              <w:rPr>
                <w:rFonts w:ascii="仿宋_GB2312" w:eastAsia="仿宋_GB2312" w:hint="eastAsia"/>
                <w:sz w:val="20"/>
                <w:u w:val="single"/>
              </w:rPr>
              <w:t>     </w:t>
            </w:r>
            <w:r w:rsidR="00C22A7B">
              <w:rPr>
                <w:rFonts w:ascii="仿宋_GB2312" w:eastAsia="仿宋_GB2312" w:hint="eastAsia"/>
                <w:sz w:val="20"/>
                <w:u w:val="single"/>
                <w:lang w:eastAsia="en-US"/>
              </w:rPr>
              <w:fldChar w:fldCharType="end"/>
            </w:r>
            <w:bookmarkEnd w:id="9365"/>
            <w:r>
              <w:rPr>
                <w:rFonts w:ascii="仿宋_GB2312" w:eastAsia="仿宋_GB2312" w:hint="eastAsia"/>
                <w:sz w:val="20"/>
              </w:rPr>
              <w:t>月</w:t>
            </w:r>
            <w:r w:rsidR="00C22A7B">
              <w:rPr>
                <w:rFonts w:ascii="仿宋_GB2312" w:eastAsia="仿宋_GB2312" w:hint="eastAsia"/>
                <w:sz w:val="20"/>
                <w:u w:val="single"/>
                <w:lang w:eastAsia="en-US"/>
              </w:rPr>
              <w:fldChar w:fldCharType="begin">
                <w:ffData>
                  <w:name w:val="Text3"/>
                  <w:enabled/>
                  <w:calcOnExit w:val="0"/>
                  <w:textInput/>
                </w:ffData>
              </w:fldChar>
            </w:r>
            <w:bookmarkStart w:id="9366" w:name="Text3"/>
            <w:r>
              <w:rPr>
                <w:rFonts w:ascii="仿宋_GB2312" w:eastAsia="仿宋_GB2312" w:hint="eastAsia"/>
                <w:sz w:val="20"/>
                <w:u w:val="single"/>
              </w:rPr>
              <w:instrText xml:space="preserve"> FORMTEXT </w:instrText>
            </w:r>
            <w:r w:rsidR="00C22A7B">
              <w:rPr>
                <w:rFonts w:ascii="仿宋_GB2312" w:eastAsia="仿宋_GB2312" w:hint="eastAsia"/>
                <w:sz w:val="20"/>
                <w:u w:val="single"/>
                <w:lang w:eastAsia="en-US"/>
              </w:rPr>
            </w:r>
            <w:r w:rsidR="00C22A7B">
              <w:rPr>
                <w:rFonts w:ascii="仿宋_GB2312" w:eastAsia="仿宋_GB2312" w:hint="eastAsia"/>
                <w:sz w:val="20"/>
                <w:u w:val="single"/>
                <w:lang w:eastAsia="en-US"/>
              </w:rPr>
              <w:fldChar w:fldCharType="separate"/>
            </w:r>
            <w:r>
              <w:rPr>
                <w:rFonts w:ascii="仿宋_GB2312" w:eastAsia="仿宋_GB2312" w:hint="eastAsia"/>
                <w:sz w:val="20"/>
                <w:u w:val="single"/>
              </w:rPr>
              <w:t>     </w:t>
            </w:r>
            <w:r w:rsidR="00C22A7B">
              <w:rPr>
                <w:rFonts w:ascii="仿宋_GB2312" w:eastAsia="仿宋_GB2312" w:hint="eastAsia"/>
                <w:sz w:val="20"/>
                <w:u w:val="single"/>
                <w:lang w:eastAsia="en-US"/>
              </w:rPr>
              <w:fldChar w:fldCharType="end"/>
            </w:r>
            <w:bookmarkEnd w:id="9366"/>
            <w:r>
              <w:rPr>
                <w:rFonts w:ascii="仿宋_GB2312" w:eastAsia="仿宋_GB2312" w:hint="eastAsia"/>
                <w:sz w:val="20"/>
              </w:rPr>
              <w:t>日国家知识产权局发出的</w:t>
            </w:r>
            <w:r w:rsidR="00C22A7B">
              <w:rPr>
                <w:rFonts w:ascii="仿宋_GB2312" w:eastAsia="仿宋_GB2312" w:hint="eastAsia"/>
                <w:sz w:val="20"/>
                <w:u w:val="single"/>
                <w:lang w:eastAsia="en-US"/>
              </w:rPr>
              <w:fldChar w:fldCharType="begin">
                <w:ffData>
                  <w:name w:val="Text5"/>
                  <w:enabled/>
                  <w:calcOnExit w:val="0"/>
                  <w:textInput/>
                </w:ffData>
              </w:fldChar>
            </w:r>
            <w:r>
              <w:rPr>
                <w:rFonts w:ascii="仿宋_GB2312" w:eastAsia="仿宋_GB2312" w:hint="eastAsia"/>
                <w:sz w:val="20"/>
                <w:u w:val="single"/>
              </w:rPr>
              <w:instrText xml:space="preserve"> FORMTEXT </w:instrText>
            </w:r>
            <w:r w:rsidR="00C22A7B">
              <w:rPr>
                <w:rFonts w:ascii="仿宋_GB2312" w:eastAsia="仿宋_GB2312" w:hint="eastAsia"/>
                <w:sz w:val="20"/>
                <w:u w:val="single"/>
                <w:lang w:eastAsia="en-US"/>
              </w:rPr>
            </w:r>
            <w:r w:rsidR="00C22A7B">
              <w:rPr>
                <w:rFonts w:ascii="仿宋_GB2312" w:eastAsia="仿宋_GB2312" w:hint="eastAsia"/>
                <w:sz w:val="20"/>
                <w:u w:val="single"/>
                <w:lang w:eastAsia="en-US"/>
              </w:rPr>
              <w:fldChar w:fldCharType="separate"/>
            </w:r>
            <w:r>
              <w:rPr>
                <w:rFonts w:ascii="仿宋_GB2312" w:eastAsia="仿宋_GB2312" w:hint="eastAsia"/>
                <w:sz w:val="20"/>
                <w:u w:val="single"/>
              </w:rPr>
              <w:t>     </w:t>
            </w:r>
            <w:r w:rsidR="00C22A7B">
              <w:rPr>
                <w:rFonts w:ascii="仿宋_GB2312" w:eastAsia="仿宋_GB2312" w:hint="eastAsia"/>
                <w:sz w:val="20"/>
                <w:u w:val="single"/>
                <w:lang w:eastAsia="en-US"/>
              </w:rPr>
              <w:fldChar w:fldCharType="end"/>
            </w:r>
            <w:r>
              <w:rPr>
                <w:rFonts w:ascii="仿宋_GB2312" w:eastAsia="仿宋_GB2312" w:hint="eastAsia"/>
                <w:sz w:val="20"/>
              </w:rPr>
              <w:t>通知书进行补正。</w:t>
            </w:r>
          </w:p>
        </w:tc>
      </w:tr>
      <w:tr w:rsidR="00800760">
        <w:trPr>
          <w:cantSplit/>
          <w:trHeight w:val="627"/>
        </w:trPr>
        <w:tc>
          <w:tcPr>
            <w:tcW w:w="596" w:type="dxa"/>
            <w:vMerge w:val="restart"/>
            <w:tcBorders>
              <w:left w:val="single" w:sz="8" w:space="0" w:color="auto"/>
            </w:tcBorders>
          </w:tcPr>
          <w:p w:rsidR="00800760" w:rsidRDefault="00235733">
            <w:pPr>
              <w:spacing w:line="240" w:lineRule="auto"/>
              <w:ind w:firstLineChars="0" w:firstLine="0"/>
              <w:rPr>
                <w:rFonts w:ascii="仿宋_GB2312" w:eastAsia="仿宋_GB2312"/>
                <w:sz w:val="20"/>
              </w:rPr>
            </w:pPr>
            <w:r>
              <w:rPr>
                <w:rFonts w:ascii="仿宋_GB2312" w:eastAsia="仿宋_GB2312" w:hAnsi="宋体" w:hint="eastAsia"/>
                <w:sz w:val="20"/>
                <w:lang w:eastAsia="en-US"/>
              </w:rPr>
              <w:t>⑥</w:t>
            </w: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补</w:t>
            </w:r>
          </w:p>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正</w:t>
            </w:r>
          </w:p>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内</w:t>
            </w:r>
          </w:p>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容</w:t>
            </w:r>
          </w:p>
        </w:tc>
        <w:tc>
          <w:tcPr>
            <w:tcW w:w="1924" w:type="dxa"/>
            <w:gridSpan w:val="3"/>
            <w:tcBorders>
              <w:bottom w:val="single" w:sz="4" w:space="0" w:color="auto"/>
            </w:tcBorders>
          </w:tcPr>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文件名称</w:t>
            </w:r>
          </w:p>
        </w:tc>
        <w:tc>
          <w:tcPr>
            <w:tcW w:w="1800" w:type="dxa"/>
          </w:tcPr>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210"/>
              <w:rPr>
                <w:rFonts w:ascii="仿宋_GB2312" w:eastAsia="仿宋_GB2312"/>
                <w:sz w:val="20"/>
                <w:lang w:eastAsia="en-US"/>
              </w:rPr>
            </w:pPr>
            <w:r>
              <w:rPr>
                <w:rFonts w:ascii="仿宋_GB2312" w:eastAsia="仿宋_GB2312" w:hint="eastAsia"/>
                <w:sz w:val="20"/>
                <w:lang w:eastAsia="en-US"/>
              </w:rPr>
              <w:t>文件中的位置</w:t>
            </w:r>
          </w:p>
        </w:tc>
        <w:tc>
          <w:tcPr>
            <w:tcW w:w="1742" w:type="dxa"/>
            <w:gridSpan w:val="3"/>
          </w:tcPr>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补 正 前</w:t>
            </w:r>
          </w:p>
        </w:tc>
        <w:tc>
          <w:tcPr>
            <w:tcW w:w="2410" w:type="dxa"/>
            <w:tcBorders>
              <w:right w:val="single" w:sz="8" w:space="0" w:color="auto"/>
            </w:tcBorders>
          </w:tcPr>
          <w:p w:rsidR="00800760" w:rsidRDefault="00800760">
            <w:pPr>
              <w:spacing w:line="240" w:lineRule="auto"/>
              <w:ind w:firstLineChars="0" w:firstLine="0"/>
              <w:jc w:val="center"/>
              <w:rPr>
                <w:rFonts w:ascii="仿宋_GB2312" w:eastAsia="仿宋_GB2312"/>
                <w:sz w:val="20"/>
                <w:lang w:eastAsia="en-US"/>
              </w:rPr>
            </w:pP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lang w:eastAsia="en-US"/>
              </w:rPr>
              <w:t>补 正 后</w:t>
            </w:r>
          </w:p>
        </w:tc>
      </w:tr>
      <w:tr w:rsidR="00800760">
        <w:trPr>
          <w:cantSplit/>
          <w:trHeight w:val="959"/>
        </w:trPr>
        <w:tc>
          <w:tcPr>
            <w:tcW w:w="596" w:type="dxa"/>
            <w:vMerge/>
            <w:tcBorders>
              <w:left w:val="single" w:sz="8" w:space="0" w:color="auto"/>
              <w:bottom w:val="nil"/>
            </w:tcBorders>
          </w:tcPr>
          <w:p w:rsidR="00800760" w:rsidRDefault="00800760">
            <w:pPr>
              <w:spacing w:line="240" w:lineRule="auto"/>
              <w:ind w:firstLineChars="0" w:firstLine="0"/>
              <w:rPr>
                <w:rFonts w:ascii="仿宋_GB2312" w:eastAsia="仿宋_GB2312" w:hAnsi="宋体"/>
                <w:sz w:val="20"/>
                <w:lang w:eastAsia="en-US"/>
              </w:rPr>
            </w:pPr>
          </w:p>
        </w:tc>
        <w:tc>
          <w:tcPr>
            <w:tcW w:w="1924" w:type="dxa"/>
            <w:gridSpan w:val="3"/>
            <w:tcBorders>
              <w:bottom w:val="single" w:sz="4" w:space="0" w:color="auto"/>
            </w:tcBorders>
          </w:tcPr>
          <w:p w:rsidR="00800760" w:rsidRDefault="00800760">
            <w:pPr>
              <w:spacing w:line="240" w:lineRule="auto"/>
              <w:ind w:firstLineChars="0" w:firstLine="0"/>
              <w:rPr>
                <w:rFonts w:ascii="仿宋_GB2312" w:eastAsia="仿宋_GB2312"/>
                <w:sz w:val="20"/>
                <w:lang w:eastAsia="en-US"/>
              </w:rPr>
            </w:pPr>
          </w:p>
        </w:tc>
        <w:tc>
          <w:tcPr>
            <w:tcW w:w="1800" w:type="dxa"/>
            <w:tcBorders>
              <w:bottom w:val="single" w:sz="4" w:space="0" w:color="auto"/>
            </w:tcBorders>
          </w:tcPr>
          <w:p w:rsidR="00800760" w:rsidRDefault="00800760">
            <w:pPr>
              <w:spacing w:line="240" w:lineRule="auto"/>
              <w:ind w:firstLineChars="0" w:firstLine="0"/>
              <w:rPr>
                <w:rFonts w:ascii="仿宋_GB2312" w:eastAsia="仿宋_GB2312"/>
                <w:sz w:val="20"/>
                <w:lang w:eastAsia="en-US"/>
              </w:rPr>
            </w:pPr>
          </w:p>
        </w:tc>
        <w:tc>
          <w:tcPr>
            <w:tcW w:w="1742" w:type="dxa"/>
            <w:gridSpan w:val="3"/>
            <w:tcBorders>
              <w:bottom w:val="single" w:sz="4" w:space="0" w:color="auto"/>
            </w:tcBorders>
          </w:tcPr>
          <w:p w:rsidR="00800760" w:rsidRDefault="00800760">
            <w:pPr>
              <w:spacing w:line="240" w:lineRule="auto"/>
              <w:ind w:firstLineChars="0" w:firstLine="0"/>
              <w:rPr>
                <w:rFonts w:ascii="仿宋_GB2312" w:eastAsia="仿宋_GB2312"/>
                <w:sz w:val="20"/>
                <w:lang w:eastAsia="en-US"/>
              </w:rPr>
            </w:pPr>
          </w:p>
        </w:tc>
        <w:tc>
          <w:tcPr>
            <w:tcW w:w="2410" w:type="dxa"/>
            <w:tcBorders>
              <w:bottom w:val="single" w:sz="4" w:space="0" w:color="auto"/>
              <w:right w:val="single" w:sz="8" w:space="0" w:color="auto"/>
            </w:tcBorders>
          </w:tcPr>
          <w:p w:rsidR="00800760" w:rsidRDefault="00800760">
            <w:pPr>
              <w:spacing w:line="240" w:lineRule="auto"/>
              <w:ind w:firstLineChars="0" w:firstLine="0"/>
              <w:rPr>
                <w:rFonts w:ascii="仿宋_GB2312" w:eastAsia="仿宋_GB2312"/>
                <w:sz w:val="20"/>
                <w:lang w:eastAsia="en-US"/>
              </w:rPr>
            </w:pPr>
          </w:p>
        </w:tc>
      </w:tr>
      <w:tr w:rsidR="00800760">
        <w:trPr>
          <w:cantSplit/>
          <w:trHeight w:val="498"/>
        </w:trPr>
        <w:tc>
          <w:tcPr>
            <w:tcW w:w="8472" w:type="dxa"/>
            <w:gridSpan w:val="9"/>
            <w:tcBorders>
              <w:left w:val="single" w:sz="8" w:space="0" w:color="auto"/>
              <w:bottom w:val="single" w:sz="4" w:space="0" w:color="auto"/>
              <w:right w:val="single" w:sz="8"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⑦ 附件清单</w:t>
            </w:r>
          </w:p>
          <w:p w:rsidR="00800760" w:rsidRDefault="00C22A7B">
            <w:pPr>
              <w:spacing w:line="240" w:lineRule="auto"/>
              <w:ind w:firstLineChars="0" w:firstLine="0"/>
              <w:rPr>
                <w:rFonts w:ascii="仿宋_GB2312" w:eastAsia="仿宋_GB2312" w:hAnsi="宋体"/>
                <w:sz w:val="20"/>
              </w:rPr>
            </w:pPr>
            <w:r>
              <w:rPr>
                <w:rFonts w:ascii="仿宋_GB2312" w:eastAsia="仿宋_GB2312" w:hAnsi="宋体" w:hint="eastAsia"/>
                <w:sz w:val="20"/>
                <w:lang w:eastAsia="en-US"/>
              </w:rPr>
              <w:fldChar w:fldCharType="begin">
                <w:ffData>
                  <w:name w:val="复选框型2"/>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p>
        </w:tc>
      </w:tr>
      <w:tr w:rsidR="00800760">
        <w:trPr>
          <w:cantSplit/>
          <w:trHeight w:val="1256"/>
        </w:trPr>
        <w:tc>
          <w:tcPr>
            <w:tcW w:w="4920" w:type="dxa"/>
            <w:gridSpan w:val="6"/>
            <w:tcBorders>
              <w:left w:val="single" w:sz="8" w:space="0" w:color="auto"/>
              <w:bottom w:val="single" w:sz="8" w:space="0" w:color="auto"/>
              <w:right w:val="single" w:sz="8" w:space="0" w:color="auto"/>
            </w:tcBorders>
          </w:tcPr>
          <w:p w:rsidR="00800760" w:rsidRDefault="00235733">
            <w:pPr>
              <w:spacing w:line="240" w:lineRule="auto"/>
              <w:ind w:firstLineChars="0" w:firstLine="0"/>
              <w:rPr>
                <w:rFonts w:ascii="仿宋_GB2312" w:eastAsia="仿宋_GB2312"/>
                <w:sz w:val="20"/>
              </w:rPr>
            </w:pPr>
            <w:r>
              <w:rPr>
                <w:rFonts w:ascii="仿宋_GB2312" w:eastAsia="仿宋_GB2312" w:hAnsi="宋体" w:hint="eastAsia"/>
                <w:sz w:val="20"/>
              </w:rPr>
              <w:t>⑧</w:t>
            </w:r>
            <w:r>
              <w:rPr>
                <w:rFonts w:ascii="仿宋_GB2312" w:eastAsia="仿宋_GB2312" w:hint="eastAsia"/>
                <w:sz w:val="20"/>
              </w:rPr>
              <w:t xml:space="preserve"> 补正人或代理机构签字或者盖章</w:t>
            </w:r>
          </w:p>
          <w:p w:rsidR="00800760" w:rsidRDefault="00800760">
            <w:pPr>
              <w:spacing w:line="240" w:lineRule="auto"/>
              <w:ind w:firstLineChars="0" w:firstLine="0"/>
              <w:rPr>
                <w:rFonts w:ascii="仿宋_GB2312" w:eastAsia="仿宋_GB2312"/>
                <w:sz w:val="20"/>
              </w:rPr>
            </w:pPr>
          </w:p>
          <w:p w:rsidR="00800760" w:rsidRDefault="00800760">
            <w:pPr>
              <w:spacing w:line="240" w:lineRule="auto"/>
              <w:ind w:firstLineChars="0" w:firstLine="0"/>
              <w:jc w:val="center"/>
              <w:rPr>
                <w:rFonts w:ascii="仿宋_GB2312" w:eastAsia="仿宋_GB2312"/>
                <w:sz w:val="20"/>
              </w:rPr>
            </w:pPr>
          </w:p>
          <w:p w:rsidR="00800760" w:rsidRDefault="00800760">
            <w:pPr>
              <w:spacing w:line="240" w:lineRule="auto"/>
              <w:ind w:firstLineChars="0" w:firstLine="0"/>
              <w:jc w:val="center"/>
              <w:rPr>
                <w:rFonts w:ascii="仿宋_GB2312" w:eastAsia="仿宋_GB2312"/>
                <w:sz w:val="20"/>
              </w:rPr>
            </w:pP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rPr>
              <w:t xml:space="preserve">                            </w:t>
            </w:r>
            <w:r>
              <w:rPr>
                <w:rFonts w:ascii="仿宋_GB2312" w:eastAsia="仿宋_GB2312" w:hint="eastAsia"/>
                <w:sz w:val="20"/>
                <w:lang w:eastAsia="en-US"/>
              </w:rPr>
              <w:t>年   月   日</w:t>
            </w:r>
          </w:p>
        </w:tc>
        <w:tc>
          <w:tcPr>
            <w:tcW w:w="3552" w:type="dxa"/>
            <w:gridSpan w:val="3"/>
            <w:tcBorders>
              <w:left w:val="single" w:sz="8" w:space="0" w:color="auto"/>
              <w:bottom w:val="single" w:sz="8" w:space="0" w:color="auto"/>
              <w:right w:val="single" w:sz="8" w:space="0" w:color="auto"/>
            </w:tcBorders>
          </w:tcPr>
          <w:p w:rsidR="00800760" w:rsidRDefault="00235733">
            <w:pPr>
              <w:spacing w:line="240" w:lineRule="auto"/>
              <w:ind w:firstLineChars="0" w:firstLine="0"/>
              <w:rPr>
                <w:rFonts w:ascii="仿宋_GB2312" w:eastAsia="仿宋_GB2312"/>
                <w:sz w:val="20"/>
              </w:rPr>
            </w:pPr>
            <w:r>
              <w:rPr>
                <w:rFonts w:ascii="仿宋_GB2312" w:eastAsia="仿宋_GB2312" w:hAnsi="宋体" w:hint="eastAsia"/>
                <w:sz w:val="20"/>
              </w:rPr>
              <w:t xml:space="preserve">⑨ </w:t>
            </w:r>
            <w:r>
              <w:rPr>
                <w:rFonts w:ascii="仿宋_GB2312" w:eastAsia="仿宋_GB2312" w:hint="eastAsia"/>
                <w:sz w:val="20"/>
              </w:rPr>
              <w:t>国家知识产权局处理意见</w:t>
            </w:r>
          </w:p>
          <w:p w:rsidR="00800760" w:rsidRDefault="00235733">
            <w:pPr>
              <w:spacing w:line="240" w:lineRule="auto"/>
              <w:ind w:firstLineChars="0" w:firstLine="0"/>
              <w:jc w:val="center"/>
              <w:rPr>
                <w:rFonts w:ascii="仿宋_GB2312" w:eastAsia="仿宋_GB2312"/>
                <w:sz w:val="20"/>
              </w:rPr>
            </w:pPr>
            <w:r>
              <w:rPr>
                <w:rFonts w:ascii="仿宋_GB2312" w:eastAsia="仿宋_GB2312" w:hint="eastAsia"/>
                <w:sz w:val="20"/>
              </w:rPr>
              <w:t xml:space="preserve">                                                                               </w:t>
            </w:r>
          </w:p>
          <w:p w:rsidR="00800760" w:rsidRDefault="00800760">
            <w:pPr>
              <w:spacing w:line="240" w:lineRule="auto"/>
              <w:ind w:firstLineChars="0" w:firstLine="0"/>
              <w:jc w:val="center"/>
              <w:rPr>
                <w:rFonts w:ascii="仿宋_GB2312" w:eastAsia="仿宋_GB2312"/>
                <w:sz w:val="20"/>
              </w:rPr>
            </w:pPr>
          </w:p>
          <w:p w:rsidR="00800760" w:rsidRDefault="00800760">
            <w:pPr>
              <w:spacing w:line="240" w:lineRule="auto"/>
              <w:ind w:firstLineChars="0" w:firstLine="0"/>
              <w:jc w:val="center"/>
              <w:rPr>
                <w:rFonts w:ascii="仿宋_GB2312" w:eastAsia="仿宋_GB2312"/>
                <w:sz w:val="20"/>
              </w:rPr>
            </w:pPr>
          </w:p>
          <w:p w:rsidR="00800760" w:rsidRDefault="00235733">
            <w:pPr>
              <w:spacing w:line="240" w:lineRule="auto"/>
              <w:ind w:firstLineChars="0" w:firstLine="0"/>
              <w:jc w:val="center"/>
              <w:rPr>
                <w:rFonts w:ascii="仿宋_GB2312" w:eastAsia="仿宋_GB2312"/>
                <w:sz w:val="20"/>
                <w:lang w:eastAsia="en-US"/>
              </w:rPr>
            </w:pPr>
            <w:r>
              <w:rPr>
                <w:rFonts w:ascii="仿宋_GB2312" w:eastAsia="仿宋_GB2312" w:hint="eastAsia"/>
                <w:sz w:val="20"/>
              </w:rPr>
              <w:t xml:space="preserve">                        </w:t>
            </w:r>
            <w:r>
              <w:rPr>
                <w:rFonts w:ascii="仿宋_GB2312" w:eastAsia="仿宋_GB2312" w:hint="eastAsia"/>
                <w:sz w:val="20"/>
                <w:lang w:eastAsia="en-US"/>
              </w:rPr>
              <w:t>年   月   日</w:t>
            </w:r>
          </w:p>
        </w:tc>
      </w:tr>
    </w:tbl>
    <w:p w:rsidR="00800760" w:rsidRDefault="00800760">
      <w:pPr>
        <w:tabs>
          <w:tab w:val="center" w:pos="4153"/>
          <w:tab w:val="right" w:pos="8306"/>
        </w:tabs>
        <w:spacing w:line="360" w:lineRule="auto"/>
        <w:ind w:firstLineChars="0" w:firstLine="0"/>
        <w:rPr>
          <w:rFonts w:ascii="仿宋_GB2312" w:eastAsia="仿宋_GB2312" w:hAnsi="宋体"/>
          <w:color w:val="000000"/>
          <w:spacing w:val="6"/>
          <w:sz w:val="20"/>
        </w:rPr>
      </w:pPr>
    </w:p>
    <w:p w:rsidR="00800760" w:rsidRDefault="00800760">
      <w:pPr>
        <w:tabs>
          <w:tab w:val="center" w:pos="4153"/>
          <w:tab w:val="right" w:pos="8306"/>
        </w:tabs>
        <w:spacing w:line="360" w:lineRule="auto"/>
        <w:ind w:firstLineChars="0" w:firstLine="480"/>
        <w:jc w:val="center"/>
        <w:rPr>
          <w:rFonts w:ascii="方正小标宋简体" w:eastAsia="方正小标宋简体" w:hAnsi="宋体"/>
          <w:color w:val="000000"/>
          <w:spacing w:val="6"/>
          <w:sz w:val="36"/>
          <w:szCs w:val="36"/>
        </w:rPr>
      </w:pPr>
    </w:p>
    <w:p w:rsidR="00800760" w:rsidRDefault="00235733">
      <w:pPr>
        <w:tabs>
          <w:tab w:val="center" w:pos="4153"/>
          <w:tab w:val="right" w:pos="8306"/>
        </w:tabs>
        <w:spacing w:line="360" w:lineRule="auto"/>
        <w:ind w:firstLineChars="0" w:firstLine="48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注意事项</w:t>
      </w:r>
    </w:p>
    <w:p w:rsidR="00800760" w:rsidRDefault="00235733">
      <w:pPr>
        <w:spacing w:line="360" w:lineRule="auto"/>
        <w:ind w:firstLineChars="0" w:firstLine="0"/>
        <w:rPr>
          <w:rFonts w:ascii="仿宋_GB2312" w:eastAsia="仿宋_GB2312"/>
          <w:sz w:val="20"/>
        </w:rPr>
      </w:pPr>
      <w:r>
        <w:rPr>
          <w:rFonts w:ascii="仿宋_GB2312" w:eastAsia="仿宋_GB2312" w:hint="eastAsia"/>
          <w:sz w:val="20"/>
        </w:rPr>
        <w:t>一、本表</w:t>
      </w:r>
      <w:r>
        <w:rPr>
          <w:rFonts w:ascii="仿宋_GB2312" w:eastAsia="仿宋_GB2312" w:hAnsi="宋体" w:hint="eastAsia"/>
          <w:sz w:val="20"/>
        </w:rPr>
        <w:t>应当</w:t>
      </w:r>
      <w:r>
        <w:rPr>
          <w:rFonts w:ascii="仿宋_GB2312" w:eastAsia="仿宋_GB2312" w:hint="eastAsia"/>
          <w:sz w:val="20"/>
        </w:rPr>
        <w:t>使用中文准确填写，字迹为黑色，文字</w:t>
      </w:r>
      <w:r>
        <w:rPr>
          <w:rFonts w:ascii="仿宋_GB2312" w:eastAsia="仿宋_GB2312" w:hAnsi="宋体" w:hint="eastAsia"/>
          <w:sz w:val="20"/>
        </w:rPr>
        <w:t>应当</w:t>
      </w:r>
      <w:r>
        <w:rPr>
          <w:rFonts w:ascii="仿宋_GB2312" w:eastAsia="仿宋_GB2312" w:hint="eastAsia"/>
          <w:sz w:val="20"/>
        </w:rPr>
        <w:t>打字或印刷，提交一式两份。</w:t>
      </w:r>
    </w:p>
    <w:p w:rsidR="00800760" w:rsidRDefault="00235733">
      <w:pPr>
        <w:spacing w:line="360" w:lineRule="auto"/>
        <w:ind w:firstLineChars="0" w:firstLine="0"/>
        <w:rPr>
          <w:rFonts w:ascii="仿宋_GB2312" w:eastAsia="仿宋_GB2312"/>
          <w:sz w:val="20"/>
        </w:rPr>
      </w:pPr>
      <w:r>
        <w:rPr>
          <w:rFonts w:ascii="仿宋_GB2312" w:eastAsia="仿宋_GB2312" w:hint="eastAsia"/>
          <w:sz w:val="20"/>
        </w:rPr>
        <w:t>二、补正书必须填写案件编号及专利号。</w:t>
      </w:r>
    </w:p>
    <w:p w:rsidR="00800760" w:rsidRDefault="00235733">
      <w:pPr>
        <w:tabs>
          <w:tab w:val="left" w:pos="360"/>
        </w:tabs>
        <w:spacing w:line="360" w:lineRule="auto"/>
        <w:ind w:left="342" w:hangingChars="171" w:hanging="342"/>
        <w:rPr>
          <w:rFonts w:ascii="仿宋_GB2312" w:eastAsia="仿宋_GB2312"/>
          <w:sz w:val="20"/>
        </w:rPr>
      </w:pPr>
      <w:r>
        <w:rPr>
          <w:rFonts w:ascii="仿宋_GB2312" w:eastAsia="仿宋_GB2312" w:hint="eastAsia"/>
          <w:sz w:val="20"/>
        </w:rPr>
        <w:t>三、本表第</w:t>
      </w:r>
      <w:r>
        <w:rPr>
          <w:rFonts w:ascii="仿宋_GB2312" w:eastAsia="仿宋_GB2312" w:hAnsi="宋体" w:hint="eastAsia"/>
          <w:sz w:val="20"/>
        </w:rPr>
        <w:t>③、⑤</w:t>
      </w:r>
      <w:r>
        <w:rPr>
          <w:rFonts w:ascii="仿宋_GB2312" w:eastAsia="仿宋_GB2312" w:hint="eastAsia"/>
          <w:sz w:val="20"/>
        </w:rPr>
        <w:t>栏中的方格供填表人选择使用，若有方格后所述的情况的，</w:t>
      </w:r>
      <w:r>
        <w:rPr>
          <w:rFonts w:ascii="仿宋_GB2312" w:eastAsia="仿宋_GB2312" w:hAnsi="宋体" w:hint="eastAsia"/>
          <w:sz w:val="20"/>
        </w:rPr>
        <w:t>应当</w:t>
      </w:r>
      <w:r>
        <w:rPr>
          <w:rFonts w:ascii="仿宋_GB2312" w:eastAsia="仿宋_GB2312" w:hint="eastAsia"/>
          <w:sz w:val="20"/>
        </w:rPr>
        <w:t>在方格内标注。</w:t>
      </w:r>
    </w:p>
    <w:p w:rsidR="00800760" w:rsidRDefault="00235733">
      <w:pPr>
        <w:spacing w:line="360" w:lineRule="auto"/>
        <w:ind w:left="342" w:hangingChars="171" w:hanging="342"/>
        <w:rPr>
          <w:rFonts w:ascii="仿宋_GB2312" w:eastAsia="仿宋_GB2312" w:hAnsi="宋体"/>
          <w:sz w:val="20"/>
        </w:rPr>
      </w:pPr>
      <w:r>
        <w:rPr>
          <w:rFonts w:ascii="仿宋_GB2312" w:eastAsia="仿宋_GB2312" w:hint="eastAsia"/>
          <w:sz w:val="20"/>
        </w:rPr>
        <w:t>四、本表第</w:t>
      </w:r>
      <w:r>
        <w:rPr>
          <w:rFonts w:ascii="仿宋_GB2312" w:eastAsia="仿宋_GB2312" w:hAnsi="宋体" w:hint="eastAsia"/>
          <w:sz w:val="20"/>
        </w:rPr>
        <w:t>⑧</w:t>
      </w:r>
      <w:r>
        <w:rPr>
          <w:rFonts w:ascii="仿宋_GB2312" w:eastAsia="仿宋_GB2312" w:hint="eastAsia"/>
          <w:sz w:val="20"/>
        </w:rPr>
        <w:t>栏，委托代理机构的，应当由代理机构加盖公章，未委托代理机构的，补正人为个人的应当由本人签字或者盖章；补正人为单位的应当加盖单位公章。有多个补正人的应当由全体补正人签字或者盖章。</w:t>
      </w:r>
    </w:p>
    <w:p w:rsidR="00800760" w:rsidRDefault="00800760">
      <w:pPr>
        <w:spacing w:line="360" w:lineRule="auto"/>
        <w:ind w:left="342" w:hangingChars="171" w:hanging="342"/>
        <w:rPr>
          <w:rFonts w:ascii="仿宋_GB2312" w:eastAsia="仿宋_GB2312"/>
          <w:sz w:val="20"/>
        </w:rPr>
      </w:pPr>
    </w:p>
    <w:p w:rsidR="00800760" w:rsidRDefault="00800760">
      <w:pPr>
        <w:spacing w:line="240" w:lineRule="auto"/>
        <w:ind w:firstLineChars="0" w:firstLine="480"/>
        <w:rPr>
          <w:rFonts w:ascii="仿宋_GB2312" w:eastAsia="仿宋_GB2312" w:hAnsi="宋体" w:cs="宋体"/>
          <w:sz w:val="20"/>
        </w:rPr>
      </w:pPr>
    </w:p>
    <w:p w:rsidR="00800760" w:rsidRDefault="00800760">
      <w:pPr>
        <w:spacing w:line="360" w:lineRule="auto"/>
        <w:ind w:firstLineChars="0" w:firstLine="480"/>
        <w:rPr>
          <w:rFonts w:ascii="仿宋_GB2312" w:eastAsia="仿宋_GB2312" w:hAnsi="宋体" w:cs="宋体"/>
          <w:sz w:val="20"/>
        </w:rPr>
      </w:pPr>
    </w:p>
    <w:p w:rsidR="00800760" w:rsidRDefault="00235733">
      <w:pPr>
        <w:spacing w:line="240" w:lineRule="auto"/>
        <w:ind w:firstLineChars="0" w:firstLine="0"/>
        <w:jc w:val="center"/>
        <w:rPr>
          <w:rFonts w:ascii="仿宋_GB2312" w:eastAsia="仿宋_GB2312" w:hAnsi="宋体" w:cs="宋体"/>
          <w:sz w:val="32"/>
          <w:szCs w:val="32"/>
        </w:rPr>
      </w:pPr>
      <w:r>
        <w:rPr>
          <w:rFonts w:ascii="仿宋_GB2312" w:eastAsia="仿宋_GB2312" w:hAnsi="宋体" w:cs="宋体"/>
          <w:sz w:val="20"/>
        </w:rPr>
        <w:br w:type="page"/>
      </w:r>
      <w:r>
        <w:rPr>
          <w:rFonts w:ascii="方正小标宋简体" w:eastAsia="方正小标宋简体" w:hAnsi="宋体" w:hint="eastAsia"/>
          <w:color w:val="000000"/>
          <w:spacing w:val="6"/>
          <w:sz w:val="32"/>
          <w:szCs w:val="32"/>
        </w:rPr>
        <w:t>药品专利纠纷行政裁决意见陈述书</w:t>
      </w:r>
    </w:p>
    <w:p w:rsidR="00800760" w:rsidRDefault="00800760">
      <w:pPr>
        <w:spacing w:line="240" w:lineRule="auto"/>
        <w:ind w:firstLineChars="0" w:firstLine="480"/>
        <w:rPr>
          <w:rFonts w:ascii="仿宋_GB2312" w:eastAsia="仿宋_GB2312" w:hAnsi="PMingLiU" w:cs="PMingLiU"/>
          <w:sz w:val="20"/>
        </w:rPr>
      </w:pPr>
    </w:p>
    <w:p w:rsidR="00800760" w:rsidRDefault="00235733">
      <w:pPr>
        <w:spacing w:line="240" w:lineRule="auto"/>
        <w:ind w:firstLineChars="0" w:firstLine="480"/>
        <w:rPr>
          <w:rFonts w:ascii="仿宋_GB2312" w:eastAsia="仿宋_GB2312" w:hAnsi="PMingLiU" w:cs="PMingLiU"/>
          <w:sz w:val="20"/>
        </w:rPr>
      </w:pPr>
      <w:r>
        <w:rPr>
          <w:rFonts w:ascii="仿宋_GB2312" w:eastAsia="仿宋_GB2312" w:hAnsi="PMingLiU" w:cs="PMingLiU" w:hint="eastAsia"/>
          <w:sz w:val="20"/>
        </w:rPr>
        <w:t>请按照“注意事项”正确填写本表各栏</w:t>
      </w:r>
    </w:p>
    <w:tbl>
      <w:tblPr>
        <w:tblW w:w="8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55"/>
        <w:gridCol w:w="621"/>
        <w:gridCol w:w="1823"/>
        <w:gridCol w:w="1197"/>
        <w:gridCol w:w="400"/>
        <w:gridCol w:w="542"/>
        <w:gridCol w:w="615"/>
        <w:gridCol w:w="850"/>
        <w:gridCol w:w="1520"/>
      </w:tblGrid>
      <w:tr w:rsidR="00800760">
        <w:trPr>
          <w:cantSplit/>
          <w:trHeight w:val="763"/>
          <w:jc w:val="center"/>
        </w:trPr>
        <w:tc>
          <w:tcPr>
            <w:tcW w:w="1155" w:type="dxa"/>
            <w:vMerge w:val="restart"/>
            <w:tcBorders>
              <w:top w:val="single" w:sz="6" w:space="0" w:color="auto"/>
              <w:left w:val="single" w:sz="6" w:space="0" w:color="auto"/>
              <w:bottom w:val="single" w:sz="6" w:space="0" w:color="auto"/>
              <w:right w:val="single" w:sz="6" w:space="0" w:color="auto"/>
            </w:tcBorders>
            <w:vAlign w:val="center"/>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②</w:t>
            </w:r>
          </w:p>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专    信</w:t>
            </w:r>
          </w:p>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利</w:t>
            </w:r>
          </w:p>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权    息</w:t>
            </w:r>
          </w:p>
          <w:p w:rsidR="00800760" w:rsidRDefault="00800760">
            <w:pPr>
              <w:spacing w:line="240" w:lineRule="auto"/>
              <w:ind w:firstLineChars="0" w:firstLine="0"/>
              <w:rPr>
                <w:rFonts w:ascii="仿宋_GB2312" w:eastAsia="仿宋_GB2312" w:hAnsi="宋体"/>
                <w:sz w:val="20"/>
                <w:lang w:eastAsia="en-US"/>
              </w:rPr>
            </w:pPr>
          </w:p>
        </w:tc>
        <w:tc>
          <w:tcPr>
            <w:tcW w:w="5198" w:type="dxa"/>
            <w:gridSpan w:val="6"/>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专利号</w:t>
            </w:r>
          </w:p>
        </w:tc>
        <w:tc>
          <w:tcPr>
            <w:tcW w:w="2370" w:type="dxa"/>
            <w:gridSpan w:val="2"/>
            <w:tcBorders>
              <w:top w:val="single" w:sz="6" w:space="0" w:color="auto"/>
              <w:left w:val="single" w:sz="6" w:space="0" w:color="auto"/>
              <w:bottom w:val="single" w:sz="6" w:space="0" w:color="auto"/>
              <w:right w:val="single" w:sz="6" w:space="0" w:color="auto"/>
            </w:tcBorders>
          </w:tcPr>
          <w:p w:rsidR="00800760" w:rsidRDefault="00235733">
            <w:pPr>
              <w:widowControl w:val="0"/>
              <w:numPr>
                <w:ilvl w:val="0"/>
                <w:numId w:val="6"/>
              </w:numPr>
              <w:spacing w:line="240" w:lineRule="auto"/>
              <w:ind w:firstLineChars="0" w:firstLine="420"/>
              <w:jc w:val="both"/>
              <w:rPr>
                <w:rFonts w:ascii="仿宋_GB2312" w:eastAsia="仿宋_GB2312" w:hAnsi="宋体"/>
                <w:sz w:val="20"/>
                <w:lang w:eastAsia="en-US"/>
              </w:rPr>
            </w:pPr>
            <w:r>
              <w:rPr>
                <w:rFonts w:ascii="仿宋_GB2312" w:eastAsia="仿宋_GB2312" w:hAnsi="宋体" w:hint="eastAsia"/>
                <w:sz w:val="20"/>
                <w:lang w:eastAsia="en-US"/>
              </w:rPr>
              <w:t>案件编号</w:t>
            </w:r>
          </w:p>
        </w:tc>
      </w:tr>
      <w:tr w:rsidR="00800760">
        <w:trPr>
          <w:cantSplit/>
          <w:trHeight w:val="772"/>
          <w:jc w:val="center"/>
        </w:trPr>
        <w:tc>
          <w:tcPr>
            <w:tcW w:w="1155" w:type="dxa"/>
            <w:vMerge/>
            <w:tcBorders>
              <w:top w:val="single" w:sz="4" w:space="0" w:color="auto"/>
              <w:left w:val="single" w:sz="6" w:space="0" w:color="auto"/>
              <w:bottom w:val="single" w:sz="6" w:space="0" w:color="auto"/>
              <w:right w:val="single" w:sz="6"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7568" w:type="dxa"/>
            <w:gridSpan w:val="8"/>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发明创造名称</w:t>
            </w:r>
          </w:p>
          <w:p w:rsidR="00800760" w:rsidRDefault="00800760">
            <w:pPr>
              <w:spacing w:line="240" w:lineRule="auto"/>
              <w:ind w:firstLineChars="0" w:firstLine="0"/>
              <w:rPr>
                <w:rFonts w:ascii="仿宋_GB2312" w:eastAsia="仿宋_GB2312" w:hAnsi="宋体"/>
                <w:sz w:val="20"/>
                <w:lang w:eastAsia="en-US"/>
              </w:rPr>
            </w:pPr>
          </w:p>
        </w:tc>
      </w:tr>
      <w:tr w:rsidR="00800760">
        <w:trPr>
          <w:cantSplit/>
          <w:trHeight w:val="340"/>
          <w:jc w:val="center"/>
        </w:trPr>
        <w:tc>
          <w:tcPr>
            <w:tcW w:w="1155" w:type="dxa"/>
            <w:vMerge w:val="restart"/>
            <w:tcBorders>
              <w:top w:val="single" w:sz="6" w:space="0" w:color="auto"/>
              <w:left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③  意</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见</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陈</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述</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人</w:t>
            </w:r>
          </w:p>
        </w:tc>
        <w:tc>
          <w:tcPr>
            <w:tcW w:w="7568" w:type="dxa"/>
            <w:gridSpan w:val="8"/>
            <w:tcBorders>
              <w:top w:val="single" w:sz="6" w:space="0" w:color="auto"/>
              <w:left w:val="single" w:sz="6" w:space="0" w:color="auto"/>
              <w:bottom w:val="single" w:sz="6" w:space="0" w:color="auto"/>
              <w:right w:val="single" w:sz="6" w:space="0" w:color="auto"/>
            </w:tcBorders>
          </w:tcPr>
          <w:p w:rsidR="00800760" w:rsidRDefault="00C22A7B">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 xml:space="preserve"> 请求人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 xml:space="preserve">被请求人            </w:t>
            </w:r>
          </w:p>
          <w:p w:rsidR="00800760" w:rsidRDefault="00800760">
            <w:pPr>
              <w:spacing w:line="240" w:lineRule="auto"/>
              <w:ind w:firstLineChars="0" w:firstLine="0"/>
              <w:rPr>
                <w:rFonts w:ascii="仿宋_GB2312" w:eastAsia="仿宋_GB2312" w:hAnsi="宋体"/>
                <w:sz w:val="20"/>
                <w:lang w:eastAsia="en-US"/>
              </w:rPr>
            </w:pPr>
          </w:p>
        </w:tc>
      </w:tr>
      <w:tr w:rsidR="00800760">
        <w:trPr>
          <w:cantSplit/>
          <w:trHeight w:val="659"/>
          <w:jc w:val="center"/>
        </w:trPr>
        <w:tc>
          <w:tcPr>
            <w:tcW w:w="1155" w:type="dxa"/>
            <w:vMerge/>
            <w:tcBorders>
              <w:left w:val="single" w:sz="6" w:space="0" w:color="auto"/>
              <w:right w:val="single" w:sz="6"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5198" w:type="dxa"/>
            <w:gridSpan w:val="6"/>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姓名或名称</w:t>
            </w:r>
          </w:p>
        </w:tc>
        <w:tc>
          <w:tcPr>
            <w:tcW w:w="2370" w:type="dxa"/>
            <w:gridSpan w:val="2"/>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电话</w:t>
            </w:r>
          </w:p>
        </w:tc>
      </w:tr>
      <w:tr w:rsidR="00800760">
        <w:trPr>
          <w:cantSplit/>
          <w:trHeight w:val="365"/>
          <w:jc w:val="center"/>
        </w:trPr>
        <w:tc>
          <w:tcPr>
            <w:tcW w:w="1155" w:type="dxa"/>
            <w:vMerge w:val="restart"/>
            <w:tcBorders>
              <w:top w:val="single" w:sz="6" w:space="0" w:color="auto"/>
              <w:left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④</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代</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理</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机</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构</w:t>
            </w:r>
          </w:p>
        </w:tc>
        <w:tc>
          <w:tcPr>
            <w:tcW w:w="4583" w:type="dxa"/>
            <w:gridSpan w:val="5"/>
            <w:tcBorders>
              <w:top w:val="single" w:sz="6" w:space="0" w:color="auto"/>
              <w:left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名称</w:t>
            </w:r>
          </w:p>
          <w:p w:rsidR="00800760" w:rsidRDefault="00800760">
            <w:pPr>
              <w:spacing w:line="240" w:lineRule="auto"/>
              <w:ind w:firstLineChars="0" w:firstLine="0"/>
              <w:rPr>
                <w:rFonts w:ascii="仿宋_GB2312" w:eastAsia="仿宋_GB2312" w:hAnsi="宋体"/>
                <w:sz w:val="20"/>
                <w:lang w:eastAsia="en-US"/>
              </w:rPr>
            </w:pPr>
          </w:p>
        </w:tc>
        <w:tc>
          <w:tcPr>
            <w:tcW w:w="2985" w:type="dxa"/>
            <w:gridSpan w:val="3"/>
            <w:tcBorders>
              <w:top w:val="single" w:sz="6" w:space="0" w:color="auto"/>
              <w:left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机构代码</w:t>
            </w:r>
          </w:p>
        </w:tc>
      </w:tr>
      <w:tr w:rsidR="00800760">
        <w:trPr>
          <w:cantSplit/>
          <w:trHeight w:val="365"/>
          <w:jc w:val="center"/>
        </w:trPr>
        <w:tc>
          <w:tcPr>
            <w:tcW w:w="1155" w:type="dxa"/>
            <w:vMerge/>
            <w:tcBorders>
              <w:left w:val="single" w:sz="6" w:space="0" w:color="auto"/>
              <w:right w:val="single" w:sz="6"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621" w:type="dxa"/>
            <w:vMerge w:val="restart"/>
            <w:tcBorders>
              <w:top w:val="single" w:sz="6" w:space="0" w:color="auto"/>
              <w:left w:val="single" w:sz="6" w:space="0" w:color="auto"/>
              <w:right w:val="single" w:sz="6" w:space="0" w:color="auto"/>
            </w:tcBorders>
          </w:tcPr>
          <w:p w:rsidR="00800760" w:rsidRDefault="00800760">
            <w:pPr>
              <w:spacing w:line="240" w:lineRule="auto"/>
              <w:ind w:firstLineChars="0" w:firstLine="0"/>
              <w:rPr>
                <w:rFonts w:ascii="仿宋_GB2312" w:eastAsia="仿宋_GB2312" w:hAnsi="宋体"/>
                <w:sz w:val="20"/>
                <w:lang w:eastAsia="en-US"/>
              </w:rPr>
            </w:pP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代理人 </w:t>
            </w: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(1)</w:t>
            </w:r>
          </w:p>
        </w:tc>
        <w:tc>
          <w:tcPr>
            <w:tcW w:w="3420"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姓    名</w:t>
            </w:r>
          </w:p>
          <w:p w:rsidR="00800760" w:rsidRDefault="00800760">
            <w:pPr>
              <w:spacing w:line="240" w:lineRule="auto"/>
              <w:ind w:firstLineChars="0" w:firstLine="0"/>
              <w:rPr>
                <w:rFonts w:ascii="仿宋_GB2312" w:eastAsia="仿宋_GB2312" w:hAnsi="宋体"/>
                <w:sz w:val="20"/>
                <w:lang w:eastAsia="en-US"/>
              </w:rPr>
            </w:pPr>
          </w:p>
        </w:tc>
        <w:tc>
          <w:tcPr>
            <w:tcW w:w="542" w:type="dxa"/>
            <w:vMerge w:val="restart"/>
            <w:tcBorders>
              <w:top w:val="single" w:sz="6" w:space="0" w:color="auto"/>
              <w:left w:val="single" w:sz="6" w:space="0" w:color="auto"/>
              <w:right w:val="single" w:sz="6" w:space="0" w:color="auto"/>
            </w:tcBorders>
          </w:tcPr>
          <w:p w:rsidR="00800760" w:rsidRDefault="00800760">
            <w:pPr>
              <w:spacing w:line="240" w:lineRule="auto"/>
              <w:ind w:firstLineChars="0" w:firstLine="0"/>
              <w:jc w:val="center"/>
              <w:rPr>
                <w:rFonts w:ascii="仿宋_GB2312" w:eastAsia="仿宋_GB2312" w:hAnsi="宋体"/>
                <w:sz w:val="20"/>
                <w:lang w:eastAsia="en-US"/>
              </w:rPr>
            </w:pPr>
          </w:p>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代理人(2)</w:t>
            </w:r>
          </w:p>
        </w:tc>
        <w:tc>
          <w:tcPr>
            <w:tcW w:w="2985"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姓    名</w:t>
            </w:r>
          </w:p>
        </w:tc>
      </w:tr>
      <w:tr w:rsidR="00800760">
        <w:trPr>
          <w:cantSplit/>
          <w:trHeight w:val="365"/>
          <w:jc w:val="center"/>
        </w:trPr>
        <w:tc>
          <w:tcPr>
            <w:tcW w:w="1155" w:type="dxa"/>
            <w:vMerge/>
            <w:tcBorders>
              <w:left w:val="single" w:sz="6" w:space="0" w:color="auto"/>
              <w:right w:val="single" w:sz="6"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621" w:type="dxa"/>
            <w:vMerge/>
            <w:tcBorders>
              <w:left w:val="single" w:sz="6" w:space="0" w:color="auto"/>
              <w:right w:val="single" w:sz="6" w:space="0" w:color="auto"/>
            </w:tcBorders>
          </w:tcPr>
          <w:p w:rsidR="00800760" w:rsidRDefault="00800760">
            <w:pPr>
              <w:spacing w:line="240" w:lineRule="auto"/>
              <w:ind w:firstLineChars="0" w:firstLine="0"/>
              <w:jc w:val="center"/>
              <w:rPr>
                <w:rFonts w:ascii="仿宋_GB2312" w:eastAsia="仿宋_GB2312" w:hAnsi="宋体"/>
                <w:sz w:val="20"/>
                <w:lang w:eastAsia="en-US"/>
              </w:rPr>
            </w:pPr>
          </w:p>
        </w:tc>
        <w:tc>
          <w:tcPr>
            <w:tcW w:w="3420"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执业证号</w:t>
            </w:r>
          </w:p>
          <w:p w:rsidR="00800760" w:rsidRDefault="00800760">
            <w:pPr>
              <w:spacing w:line="240" w:lineRule="auto"/>
              <w:ind w:firstLineChars="0" w:firstLine="0"/>
              <w:rPr>
                <w:rFonts w:ascii="仿宋_GB2312" w:eastAsia="仿宋_GB2312" w:hAnsi="宋体"/>
                <w:sz w:val="20"/>
                <w:lang w:eastAsia="en-US"/>
              </w:rPr>
            </w:pPr>
          </w:p>
        </w:tc>
        <w:tc>
          <w:tcPr>
            <w:tcW w:w="542" w:type="dxa"/>
            <w:vMerge/>
            <w:tcBorders>
              <w:left w:val="single" w:sz="6" w:space="0" w:color="auto"/>
              <w:right w:val="single" w:sz="6"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2985"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执业证号</w:t>
            </w:r>
          </w:p>
        </w:tc>
      </w:tr>
      <w:tr w:rsidR="00800760">
        <w:trPr>
          <w:cantSplit/>
          <w:trHeight w:val="365"/>
          <w:jc w:val="center"/>
        </w:trPr>
        <w:tc>
          <w:tcPr>
            <w:tcW w:w="1155" w:type="dxa"/>
            <w:vMerge/>
            <w:tcBorders>
              <w:left w:val="single" w:sz="6" w:space="0" w:color="auto"/>
              <w:bottom w:val="single" w:sz="6" w:space="0" w:color="auto"/>
              <w:right w:val="single" w:sz="6"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621" w:type="dxa"/>
            <w:vMerge/>
            <w:tcBorders>
              <w:left w:val="single" w:sz="6" w:space="0" w:color="auto"/>
              <w:bottom w:val="single" w:sz="6" w:space="0" w:color="auto"/>
              <w:right w:val="single" w:sz="6" w:space="0" w:color="auto"/>
            </w:tcBorders>
          </w:tcPr>
          <w:p w:rsidR="00800760" w:rsidRDefault="00800760">
            <w:pPr>
              <w:spacing w:line="240" w:lineRule="auto"/>
              <w:ind w:firstLineChars="0" w:firstLine="0"/>
              <w:jc w:val="center"/>
              <w:rPr>
                <w:rFonts w:ascii="仿宋_GB2312" w:eastAsia="仿宋_GB2312" w:hAnsi="宋体"/>
                <w:sz w:val="20"/>
                <w:lang w:eastAsia="en-US"/>
              </w:rPr>
            </w:pPr>
          </w:p>
        </w:tc>
        <w:tc>
          <w:tcPr>
            <w:tcW w:w="3420"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电    话</w:t>
            </w:r>
          </w:p>
          <w:p w:rsidR="00800760" w:rsidRDefault="00800760">
            <w:pPr>
              <w:spacing w:line="240" w:lineRule="auto"/>
              <w:ind w:firstLineChars="0" w:firstLine="0"/>
              <w:rPr>
                <w:rFonts w:ascii="仿宋_GB2312" w:eastAsia="仿宋_GB2312" w:hAnsi="宋体"/>
                <w:sz w:val="20"/>
                <w:lang w:eastAsia="en-US"/>
              </w:rPr>
            </w:pPr>
          </w:p>
        </w:tc>
        <w:tc>
          <w:tcPr>
            <w:tcW w:w="542" w:type="dxa"/>
            <w:vMerge/>
            <w:tcBorders>
              <w:left w:val="single" w:sz="6" w:space="0" w:color="auto"/>
              <w:bottom w:val="single" w:sz="6" w:space="0" w:color="auto"/>
              <w:right w:val="single" w:sz="6" w:space="0" w:color="auto"/>
            </w:tcBorders>
          </w:tcPr>
          <w:p w:rsidR="00800760" w:rsidRDefault="00800760">
            <w:pPr>
              <w:spacing w:line="240" w:lineRule="auto"/>
              <w:ind w:firstLineChars="0" w:firstLine="0"/>
              <w:rPr>
                <w:rFonts w:ascii="仿宋_GB2312" w:eastAsia="仿宋_GB2312" w:hAnsi="宋体"/>
                <w:sz w:val="20"/>
                <w:lang w:eastAsia="en-US"/>
              </w:rPr>
            </w:pPr>
          </w:p>
        </w:tc>
        <w:tc>
          <w:tcPr>
            <w:tcW w:w="2985"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电    话</w:t>
            </w:r>
          </w:p>
        </w:tc>
      </w:tr>
      <w:tr w:rsidR="00800760">
        <w:trPr>
          <w:cantSplit/>
          <w:trHeight w:val="1202"/>
          <w:jc w:val="center"/>
        </w:trPr>
        <w:tc>
          <w:tcPr>
            <w:tcW w:w="8723" w:type="dxa"/>
            <w:gridSpan w:val="9"/>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 xml:space="preserve">                                                     </w:t>
            </w:r>
          </w:p>
          <w:p w:rsidR="00800760" w:rsidRDefault="00235733">
            <w:pPr>
              <w:spacing w:line="240" w:lineRule="auto"/>
              <w:ind w:firstLineChars="0" w:firstLine="0"/>
              <w:rPr>
                <w:rFonts w:ascii="仿宋_GB2312" w:eastAsia="仿宋_GB2312" w:hAnsi="宋体"/>
                <w:sz w:val="20"/>
              </w:rPr>
            </w:pPr>
            <w:r>
              <w:rPr>
                <w:rFonts w:ascii="仿宋_GB2312" w:eastAsia="仿宋_GB2312" w:hAnsi="宋体" w:hint="eastAsia"/>
                <w:sz w:val="20"/>
              </w:rPr>
              <w:t>⑤</w:t>
            </w:r>
            <w:r w:rsidR="00C22A7B">
              <w:rPr>
                <w:rFonts w:ascii="仿宋_GB2312" w:eastAsia="仿宋_GB2312" w:hAnsi="宋体" w:hint="eastAsia"/>
                <w:sz w:val="20"/>
                <w:lang w:eastAsia="en-US"/>
              </w:rPr>
              <w:fldChar w:fldCharType="begin">
                <w:ffData>
                  <w:name w:val="Check4"/>
                  <w:enabled/>
                  <w:calcOnExit w:val="0"/>
                  <w:checkBox>
                    <w:sizeAuto/>
                    <w:default w:val="0"/>
                    <w:checked w:val="0"/>
                  </w:checkBox>
                </w:ffData>
              </w:fldChar>
            </w:r>
            <w:r>
              <w:rPr>
                <w:rFonts w:ascii="仿宋_GB2312" w:eastAsia="仿宋_GB2312" w:hAnsi="宋体" w:hint="eastAsia"/>
                <w:sz w:val="20"/>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z w:val="20"/>
              </w:rPr>
              <w:t>针对国家知识产权局于</w:t>
            </w:r>
            <w:r>
              <w:rPr>
                <w:rFonts w:ascii="仿宋_GB2312" w:eastAsia="仿宋_GB2312" w:hAnsi="宋体" w:hint="eastAsia"/>
                <w:sz w:val="20"/>
                <w:u w:val="single"/>
              </w:rPr>
              <w:t xml:space="preserve">     </w:t>
            </w:r>
            <w:r>
              <w:rPr>
                <w:rFonts w:ascii="仿宋_GB2312" w:eastAsia="仿宋_GB2312" w:hAnsi="宋体" w:hint="eastAsia"/>
                <w:sz w:val="20"/>
              </w:rPr>
              <w:t xml:space="preserve"> 年</w:t>
            </w:r>
            <w:r>
              <w:rPr>
                <w:rFonts w:ascii="仿宋_GB2312" w:eastAsia="仿宋_GB2312" w:hAnsi="宋体" w:hint="eastAsia"/>
                <w:sz w:val="20"/>
                <w:u w:val="single"/>
              </w:rPr>
              <w:t xml:space="preserve">   </w:t>
            </w:r>
            <w:r>
              <w:rPr>
                <w:rFonts w:ascii="仿宋_GB2312" w:eastAsia="仿宋_GB2312" w:hAnsi="宋体" w:hint="eastAsia"/>
                <w:sz w:val="20"/>
              </w:rPr>
              <w:t>月</w:t>
            </w:r>
            <w:r>
              <w:rPr>
                <w:rFonts w:ascii="仿宋_GB2312" w:eastAsia="仿宋_GB2312" w:hAnsi="宋体" w:hint="eastAsia"/>
                <w:sz w:val="20"/>
                <w:u w:val="single"/>
              </w:rPr>
              <w:t xml:space="preserve">   </w:t>
            </w:r>
            <w:r>
              <w:rPr>
                <w:rFonts w:ascii="仿宋_GB2312" w:eastAsia="仿宋_GB2312" w:hAnsi="宋体" w:hint="eastAsia"/>
                <w:sz w:val="20"/>
              </w:rPr>
              <w:t>日发出的上述案件的</w:t>
            </w:r>
            <w:r>
              <w:rPr>
                <w:rFonts w:ascii="仿宋_GB2312" w:eastAsia="仿宋_GB2312" w:hAnsi="宋体" w:hint="eastAsia"/>
                <w:sz w:val="20"/>
                <w:u w:val="single"/>
              </w:rPr>
              <w:t xml:space="preserve">                </w:t>
            </w:r>
            <w:r>
              <w:rPr>
                <w:rFonts w:ascii="仿宋_GB2312" w:eastAsia="仿宋_GB2312" w:hAnsi="宋体" w:hint="eastAsia"/>
                <w:sz w:val="20"/>
              </w:rPr>
              <w:t xml:space="preserve">通知书陈述意见。  </w:t>
            </w:r>
          </w:p>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rPr>
              <w:t xml:space="preserve">  </w:t>
            </w:r>
            <w:r w:rsidR="00C22A7B">
              <w:rPr>
                <w:rFonts w:ascii="仿宋_GB2312" w:eastAsia="仿宋_GB2312" w:hAnsi="宋体" w:hint="eastAsia"/>
                <w:sz w:val="20"/>
                <w:lang w:eastAsia="en-US"/>
              </w:rPr>
              <w:fldChar w:fldCharType="begin">
                <w:ffData>
                  <w:name w:val="Check4"/>
                  <w:enabled/>
                  <w:calcOnExit w:val="0"/>
                  <w:checkBox>
                    <w:sizeAuto/>
                    <w:default w:val="0"/>
                    <w:checked w:val="0"/>
                  </w:checkBox>
                </w:ffData>
              </w:fldChar>
            </w:r>
            <w:r>
              <w:rPr>
                <w:rFonts w:ascii="仿宋_GB2312" w:eastAsia="仿宋_GB2312" w:hAnsi="宋体" w:hint="eastAsia"/>
                <w:sz w:val="20"/>
                <w:lang w:eastAsia="en-US"/>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p>
        </w:tc>
      </w:tr>
      <w:tr w:rsidR="00800760">
        <w:trPr>
          <w:cantSplit/>
          <w:trHeight w:val="681"/>
          <w:jc w:val="center"/>
        </w:trPr>
        <w:tc>
          <w:tcPr>
            <w:tcW w:w="8723" w:type="dxa"/>
            <w:gridSpan w:val="9"/>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rPr>
            </w:pPr>
            <w:r>
              <w:rPr>
                <w:rFonts w:ascii="仿宋_GB2312" w:eastAsia="仿宋_GB2312" w:hAnsi="宋体" w:hint="eastAsia"/>
                <w:sz w:val="20"/>
                <w:lang w:eastAsia="en-US"/>
              </w:rPr>
              <w:t>⑥具体陈述意见：</w:t>
            </w:r>
          </w:p>
        </w:tc>
      </w:tr>
      <w:tr w:rsidR="00800760">
        <w:trPr>
          <w:cantSplit/>
          <w:trHeight w:val="397"/>
          <w:jc w:val="center"/>
        </w:trPr>
        <w:tc>
          <w:tcPr>
            <w:tcW w:w="8723" w:type="dxa"/>
            <w:gridSpan w:val="9"/>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⑦附件清单</w:t>
            </w:r>
          </w:p>
        </w:tc>
      </w:tr>
      <w:tr w:rsidR="00800760">
        <w:trPr>
          <w:cantSplit/>
          <w:trHeight w:val="397"/>
          <w:jc w:val="center"/>
        </w:trPr>
        <w:tc>
          <w:tcPr>
            <w:tcW w:w="3599"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文  件  名  称</w:t>
            </w:r>
          </w:p>
        </w:tc>
        <w:tc>
          <w:tcPr>
            <w:tcW w:w="3604" w:type="dxa"/>
            <w:gridSpan w:val="5"/>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份数及页数</w:t>
            </w:r>
          </w:p>
        </w:tc>
        <w:tc>
          <w:tcPr>
            <w:tcW w:w="1520" w:type="dxa"/>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是否涉及保密信息</w:t>
            </w:r>
          </w:p>
        </w:tc>
      </w:tr>
      <w:tr w:rsidR="00800760">
        <w:trPr>
          <w:cantSplit/>
          <w:trHeight w:val="397"/>
          <w:jc w:val="center"/>
        </w:trPr>
        <w:tc>
          <w:tcPr>
            <w:tcW w:w="3599"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 xml:space="preserve"> </w:t>
            </w:r>
            <w:r w:rsidR="00C22A7B">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Pr>
                <w:rFonts w:ascii="仿宋_GB2312" w:eastAsia="仿宋_GB2312" w:hAnsi="宋体" w:hint="eastAsia"/>
                <w:sz w:val="20"/>
                <w:lang w:eastAsia="en-US"/>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z w:val="20"/>
                <w:lang w:eastAsia="en-US"/>
              </w:rPr>
              <w:t>附件1</w:t>
            </w:r>
          </w:p>
        </w:tc>
        <w:tc>
          <w:tcPr>
            <w:tcW w:w="3604" w:type="dxa"/>
            <w:gridSpan w:val="5"/>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份，每份   页</w:t>
            </w:r>
          </w:p>
        </w:tc>
        <w:tc>
          <w:tcPr>
            <w:tcW w:w="1520" w:type="dxa"/>
            <w:tcBorders>
              <w:top w:val="single" w:sz="6" w:space="0" w:color="auto"/>
              <w:left w:val="single" w:sz="6" w:space="0" w:color="auto"/>
              <w:bottom w:val="single" w:sz="6" w:space="0" w:color="auto"/>
              <w:right w:val="single" w:sz="6" w:space="0" w:color="auto"/>
            </w:tcBorders>
          </w:tcPr>
          <w:p w:rsidR="00800760" w:rsidRDefault="00C22A7B">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 xml:space="preserve">是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否</w:t>
            </w:r>
          </w:p>
        </w:tc>
      </w:tr>
      <w:tr w:rsidR="00800760">
        <w:trPr>
          <w:cantSplit/>
          <w:trHeight w:val="397"/>
          <w:jc w:val="center"/>
        </w:trPr>
        <w:tc>
          <w:tcPr>
            <w:tcW w:w="3599"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 xml:space="preserve"> </w:t>
            </w:r>
            <w:r w:rsidR="00C22A7B">
              <w:rPr>
                <w:rFonts w:ascii="仿宋_GB2312" w:eastAsia="仿宋_GB2312" w:hAnsi="宋体" w:hint="eastAsia"/>
                <w:sz w:val="20"/>
                <w:lang w:eastAsia="en-US"/>
              </w:rPr>
              <w:fldChar w:fldCharType="begin">
                <w:ffData>
                  <w:name w:val="Check4"/>
                  <w:enabled/>
                  <w:calcOnExit w:val="0"/>
                  <w:checkBox>
                    <w:sizeAuto/>
                    <w:default w:val="0"/>
                    <w:checked w:val="0"/>
                  </w:checkBox>
                </w:ffData>
              </w:fldChar>
            </w:r>
            <w:r>
              <w:rPr>
                <w:rFonts w:ascii="仿宋_GB2312" w:eastAsia="仿宋_GB2312" w:hAnsi="宋体" w:hint="eastAsia"/>
                <w:sz w:val="20"/>
                <w:lang w:eastAsia="en-US"/>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r>
              <w:rPr>
                <w:rFonts w:ascii="仿宋_GB2312" w:eastAsia="仿宋_GB2312" w:hAnsi="宋体" w:hint="eastAsia"/>
                <w:sz w:val="20"/>
                <w:lang w:eastAsia="en-US"/>
              </w:rPr>
              <w:t>附件2</w:t>
            </w:r>
          </w:p>
        </w:tc>
        <w:tc>
          <w:tcPr>
            <w:tcW w:w="3604" w:type="dxa"/>
            <w:gridSpan w:val="5"/>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份，每份   页</w:t>
            </w:r>
          </w:p>
        </w:tc>
        <w:tc>
          <w:tcPr>
            <w:tcW w:w="1520" w:type="dxa"/>
            <w:tcBorders>
              <w:top w:val="single" w:sz="6" w:space="0" w:color="auto"/>
              <w:left w:val="single" w:sz="6" w:space="0" w:color="auto"/>
              <w:bottom w:val="single" w:sz="6" w:space="0" w:color="auto"/>
              <w:right w:val="single" w:sz="6" w:space="0" w:color="auto"/>
            </w:tcBorders>
          </w:tcPr>
          <w:p w:rsidR="00800760" w:rsidRDefault="00C22A7B">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 xml:space="preserve">是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否</w:t>
            </w:r>
          </w:p>
        </w:tc>
      </w:tr>
      <w:tr w:rsidR="00800760">
        <w:trPr>
          <w:cantSplit/>
          <w:trHeight w:val="397"/>
          <w:jc w:val="center"/>
        </w:trPr>
        <w:tc>
          <w:tcPr>
            <w:tcW w:w="3599" w:type="dxa"/>
            <w:gridSpan w:val="3"/>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lang w:eastAsia="en-US"/>
              </w:rPr>
            </w:pPr>
            <w:r>
              <w:rPr>
                <w:rFonts w:ascii="仿宋_GB2312" w:eastAsia="仿宋_GB2312" w:hAnsi="宋体" w:hint="eastAsia"/>
                <w:sz w:val="20"/>
                <w:lang w:eastAsia="en-US"/>
              </w:rPr>
              <w:t xml:space="preserve"> </w:t>
            </w:r>
            <w:r w:rsidR="00C22A7B">
              <w:rPr>
                <w:rFonts w:ascii="仿宋_GB2312" w:eastAsia="仿宋_GB2312" w:hAnsi="宋体" w:hint="eastAsia"/>
                <w:sz w:val="20"/>
                <w:lang w:eastAsia="en-US"/>
              </w:rPr>
              <w:fldChar w:fldCharType="begin">
                <w:ffData>
                  <w:name w:val="Check5"/>
                  <w:enabled/>
                  <w:calcOnExit w:val="0"/>
                  <w:checkBox>
                    <w:sizeAuto/>
                    <w:default w:val="0"/>
                    <w:checked w:val="0"/>
                  </w:checkBox>
                </w:ffData>
              </w:fldChar>
            </w:r>
            <w:bookmarkStart w:id="9367" w:name="Check5"/>
            <w:r>
              <w:rPr>
                <w:rFonts w:ascii="仿宋_GB2312" w:eastAsia="仿宋_GB2312" w:hAnsi="宋体" w:hint="eastAsia"/>
                <w:sz w:val="20"/>
                <w:lang w:eastAsia="en-US"/>
              </w:rPr>
              <w:instrText xml:space="preserve"> FORMCHECKBOX </w:instrText>
            </w:r>
            <w:r w:rsidR="00C22A7B">
              <w:rPr>
                <w:rFonts w:ascii="仿宋_GB2312" w:eastAsia="仿宋_GB2312" w:hAnsi="宋体"/>
                <w:sz w:val="20"/>
                <w:lang w:eastAsia="en-US"/>
              </w:rPr>
            </w:r>
            <w:r w:rsidR="00C22A7B">
              <w:rPr>
                <w:rFonts w:ascii="仿宋_GB2312" w:eastAsia="仿宋_GB2312" w:hAnsi="宋体"/>
                <w:sz w:val="20"/>
                <w:lang w:eastAsia="en-US"/>
              </w:rPr>
              <w:fldChar w:fldCharType="separate"/>
            </w:r>
            <w:r w:rsidR="00C22A7B">
              <w:rPr>
                <w:rFonts w:ascii="仿宋_GB2312" w:eastAsia="仿宋_GB2312" w:hAnsi="宋体" w:hint="eastAsia"/>
                <w:sz w:val="20"/>
                <w:lang w:eastAsia="en-US"/>
              </w:rPr>
              <w:fldChar w:fldCharType="end"/>
            </w:r>
            <w:bookmarkEnd w:id="9367"/>
            <w:r>
              <w:rPr>
                <w:rFonts w:ascii="仿宋_GB2312" w:eastAsia="仿宋_GB2312" w:hAnsi="宋体" w:hint="eastAsia"/>
                <w:sz w:val="20"/>
                <w:lang w:eastAsia="en-US"/>
              </w:rPr>
              <w:t>附件3</w:t>
            </w:r>
          </w:p>
        </w:tc>
        <w:tc>
          <w:tcPr>
            <w:tcW w:w="3604" w:type="dxa"/>
            <w:gridSpan w:val="5"/>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t xml:space="preserve">    份，每份   页</w:t>
            </w:r>
          </w:p>
        </w:tc>
        <w:tc>
          <w:tcPr>
            <w:tcW w:w="1520" w:type="dxa"/>
            <w:tcBorders>
              <w:top w:val="single" w:sz="6" w:space="0" w:color="auto"/>
              <w:left w:val="single" w:sz="6" w:space="0" w:color="auto"/>
              <w:bottom w:val="single" w:sz="6" w:space="0" w:color="auto"/>
              <w:right w:val="single" w:sz="6" w:space="0" w:color="auto"/>
            </w:tcBorders>
          </w:tcPr>
          <w:p w:rsidR="00800760" w:rsidRDefault="00C22A7B">
            <w:pPr>
              <w:spacing w:line="240" w:lineRule="auto"/>
              <w:ind w:firstLineChars="0" w:firstLine="0"/>
              <w:jc w:val="center"/>
              <w:rPr>
                <w:rFonts w:ascii="仿宋_GB2312" w:eastAsia="仿宋_GB2312" w:hAnsi="宋体"/>
                <w:sz w:val="20"/>
                <w:lang w:eastAsia="en-US"/>
              </w:rPr>
            </w:pP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 xml:space="preserve">是　</w:t>
            </w:r>
            <w:r>
              <w:rPr>
                <w:rFonts w:ascii="仿宋_GB2312" w:eastAsia="仿宋_GB2312" w:hAnsi="宋体" w:hint="eastAsia"/>
                <w:sz w:val="20"/>
                <w:lang w:eastAsia="en-US"/>
              </w:rPr>
              <w:fldChar w:fldCharType="begin">
                <w:ffData>
                  <w:name w:val="Check3"/>
                  <w:enabled/>
                  <w:calcOnExit w:val="0"/>
                  <w:checkBox>
                    <w:sizeAuto/>
                    <w:default w:val="0"/>
                    <w:checked w:val="0"/>
                  </w:checkBox>
                </w:ffData>
              </w:fldChar>
            </w:r>
            <w:r w:rsidR="00235733">
              <w:rPr>
                <w:rFonts w:ascii="仿宋_GB2312" w:eastAsia="仿宋_GB2312" w:hAnsi="宋体" w:hint="eastAsia"/>
                <w:sz w:val="20"/>
                <w:lang w:eastAsia="en-US"/>
              </w:rPr>
              <w:instrText xml:space="preserve"> FORMCHECKBOX </w:instrText>
            </w:r>
            <w:r>
              <w:rPr>
                <w:rFonts w:ascii="仿宋_GB2312" w:eastAsia="仿宋_GB2312" w:hAnsi="宋体"/>
                <w:sz w:val="20"/>
                <w:lang w:eastAsia="en-US"/>
              </w:rPr>
            </w:r>
            <w:r>
              <w:rPr>
                <w:rFonts w:ascii="仿宋_GB2312" w:eastAsia="仿宋_GB2312" w:hAnsi="宋体"/>
                <w:sz w:val="20"/>
                <w:lang w:eastAsia="en-US"/>
              </w:rPr>
              <w:fldChar w:fldCharType="separate"/>
            </w:r>
            <w:r>
              <w:rPr>
                <w:rFonts w:ascii="仿宋_GB2312" w:eastAsia="仿宋_GB2312" w:hAnsi="宋体" w:hint="eastAsia"/>
                <w:sz w:val="20"/>
                <w:lang w:eastAsia="en-US"/>
              </w:rPr>
              <w:fldChar w:fldCharType="end"/>
            </w:r>
            <w:r w:rsidR="00235733">
              <w:rPr>
                <w:rFonts w:ascii="仿宋_GB2312" w:eastAsia="仿宋_GB2312" w:hAnsi="宋体" w:hint="eastAsia"/>
                <w:sz w:val="20"/>
                <w:lang w:eastAsia="en-US"/>
              </w:rPr>
              <w:t>否</w:t>
            </w:r>
          </w:p>
        </w:tc>
      </w:tr>
      <w:tr w:rsidR="00800760">
        <w:trPr>
          <w:cantSplit/>
          <w:trHeight w:val="1687"/>
          <w:jc w:val="center"/>
        </w:trPr>
        <w:tc>
          <w:tcPr>
            <w:tcW w:w="4796" w:type="dxa"/>
            <w:gridSpan w:val="4"/>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rPr>
            </w:pPr>
            <w:r>
              <w:rPr>
                <w:rFonts w:ascii="仿宋_GB2312" w:eastAsia="仿宋_GB2312" w:hAnsi="宋体" w:hint="eastAsia"/>
                <w:sz w:val="20"/>
              </w:rPr>
              <w:t>⑧意见陈述人或代理机构签章</w:t>
            </w:r>
          </w:p>
          <w:p w:rsidR="00800760" w:rsidRDefault="00800760">
            <w:pPr>
              <w:spacing w:line="240" w:lineRule="auto"/>
              <w:ind w:firstLineChars="0" w:firstLine="0"/>
              <w:rPr>
                <w:rFonts w:ascii="仿宋_GB2312" w:eastAsia="仿宋_GB2312" w:hAnsi="宋体"/>
                <w:sz w:val="20"/>
              </w:rPr>
            </w:pPr>
          </w:p>
          <w:p w:rsidR="00800760" w:rsidRDefault="00800760">
            <w:pPr>
              <w:spacing w:line="240" w:lineRule="auto"/>
              <w:ind w:firstLineChars="0" w:firstLine="3150"/>
              <w:rPr>
                <w:rFonts w:ascii="仿宋_GB2312" w:eastAsia="仿宋_GB2312" w:hAnsi="宋体"/>
                <w:sz w:val="20"/>
              </w:rPr>
            </w:pPr>
          </w:p>
          <w:p w:rsidR="00800760" w:rsidRDefault="00800760">
            <w:pPr>
              <w:spacing w:line="240" w:lineRule="auto"/>
              <w:ind w:firstLineChars="0" w:firstLine="3150"/>
              <w:rPr>
                <w:rFonts w:ascii="仿宋_GB2312" w:eastAsia="仿宋_GB2312" w:hAnsi="宋体"/>
                <w:sz w:val="20"/>
              </w:rPr>
            </w:pPr>
          </w:p>
          <w:p w:rsidR="00800760" w:rsidRDefault="00235733">
            <w:pPr>
              <w:spacing w:line="240" w:lineRule="auto"/>
              <w:ind w:firstLineChars="0" w:firstLine="3150"/>
              <w:rPr>
                <w:rFonts w:ascii="仿宋_GB2312" w:eastAsia="仿宋_GB2312" w:hAnsi="宋体"/>
                <w:sz w:val="20"/>
                <w:lang w:eastAsia="en-US"/>
              </w:rPr>
            </w:pPr>
            <w:r>
              <w:rPr>
                <w:rFonts w:ascii="仿宋_GB2312" w:eastAsia="仿宋_GB2312" w:hAnsi="宋体" w:hint="eastAsia"/>
                <w:sz w:val="20"/>
                <w:lang w:eastAsia="en-US"/>
              </w:rPr>
              <w:t>年   月   日</w:t>
            </w:r>
          </w:p>
        </w:tc>
        <w:tc>
          <w:tcPr>
            <w:tcW w:w="3927" w:type="dxa"/>
            <w:gridSpan w:val="5"/>
            <w:tcBorders>
              <w:top w:val="single" w:sz="6" w:space="0" w:color="auto"/>
              <w:left w:val="single" w:sz="6" w:space="0" w:color="auto"/>
              <w:bottom w:val="single" w:sz="6" w:space="0" w:color="auto"/>
              <w:right w:val="single" w:sz="6" w:space="0" w:color="auto"/>
            </w:tcBorders>
          </w:tcPr>
          <w:p w:rsidR="00800760" w:rsidRDefault="00235733">
            <w:pPr>
              <w:spacing w:line="240" w:lineRule="auto"/>
              <w:ind w:firstLineChars="0" w:firstLine="0"/>
              <w:rPr>
                <w:rFonts w:ascii="仿宋_GB2312" w:eastAsia="仿宋_GB2312" w:hAnsi="宋体"/>
                <w:sz w:val="20"/>
              </w:rPr>
            </w:pPr>
            <w:r>
              <w:rPr>
                <w:rFonts w:ascii="仿宋_GB2312" w:eastAsia="仿宋_GB2312" w:hAnsi="宋体" w:hint="eastAsia"/>
                <w:sz w:val="20"/>
              </w:rPr>
              <w:t>⑨国家知识产权局处理意见</w:t>
            </w:r>
          </w:p>
          <w:p w:rsidR="00800760" w:rsidRDefault="00235733">
            <w:pPr>
              <w:spacing w:line="240" w:lineRule="auto"/>
              <w:ind w:firstLineChars="0" w:firstLine="0"/>
              <w:jc w:val="right"/>
              <w:rPr>
                <w:rFonts w:ascii="仿宋_GB2312" w:eastAsia="仿宋_GB2312" w:hAnsi="宋体"/>
                <w:sz w:val="20"/>
              </w:rPr>
            </w:pPr>
            <w:r>
              <w:rPr>
                <w:rFonts w:ascii="仿宋_GB2312" w:eastAsia="仿宋_GB2312" w:hAnsi="宋体" w:hint="eastAsia"/>
                <w:sz w:val="20"/>
              </w:rPr>
              <w:t xml:space="preserve">                                                                   </w:t>
            </w:r>
          </w:p>
          <w:p w:rsidR="00800760" w:rsidRDefault="00800760">
            <w:pPr>
              <w:spacing w:line="240" w:lineRule="auto"/>
              <w:ind w:firstLineChars="0" w:firstLine="0"/>
              <w:jc w:val="right"/>
              <w:rPr>
                <w:rFonts w:ascii="仿宋_GB2312" w:eastAsia="仿宋_GB2312" w:hAnsi="宋体"/>
                <w:sz w:val="20"/>
              </w:rPr>
            </w:pPr>
          </w:p>
          <w:p w:rsidR="00800760" w:rsidRDefault="00800760">
            <w:pPr>
              <w:spacing w:line="240" w:lineRule="auto"/>
              <w:ind w:firstLineChars="0" w:firstLine="0"/>
              <w:jc w:val="right"/>
              <w:rPr>
                <w:rFonts w:ascii="仿宋_GB2312" w:eastAsia="仿宋_GB2312" w:hAnsi="宋体"/>
                <w:sz w:val="20"/>
              </w:rPr>
            </w:pPr>
          </w:p>
          <w:p w:rsidR="00800760" w:rsidRDefault="00235733">
            <w:pPr>
              <w:spacing w:line="240" w:lineRule="auto"/>
              <w:ind w:firstLineChars="0" w:firstLine="0"/>
              <w:jc w:val="right"/>
              <w:rPr>
                <w:rFonts w:ascii="仿宋_GB2312" w:eastAsia="仿宋_GB2312" w:hAnsi="宋体"/>
                <w:sz w:val="20"/>
                <w:lang w:eastAsia="en-US"/>
              </w:rPr>
            </w:pPr>
            <w:r>
              <w:rPr>
                <w:rFonts w:ascii="仿宋_GB2312" w:eastAsia="仿宋_GB2312" w:hAnsi="宋体" w:hint="eastAsia"/>
                <w:sz w:val="20"/>
                <w:lang w:eastAsia="en-US"/>
              </w:rPr>
              <w:t>年   月   日</w:t>
            </w:r>
          </w:p>
        </w:tc>
      </w:tr>
    </w:tbl>
    <w:p w:rsidR="00800760" w:rsidRDefault="00235733">
      <w:pPr>
        <w:tabs>
          <w:tab w:val="center" w:pos="4153"/>
          <w:tab w:val="right" w:pos="8306"/>
        </w:tabs>
        <w:spacing w:line="360" w:lineRule="auto"/>
        <w:ind w:firstLineChars="0" w:firstLine="48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注意事项</w:t>
      </w:r>
    </w:p>
    <w:p w:rsidR="00800760" w:rsidRDefault="00235733">
      <w:pPr>
        <w:spacing w:line="480" w:lineRule="auto"/>
        <w:ind w:firstLineChars="0" w:firstLine="0"/>
        <w:rPr>
          <w:rFonts w:ascii="仿宋_GB2312" w:eastAsia="仿宋_GB2312"/>
          <w:sz w:val="20"/>
        </w:rPr>
      </w:pPr>
      <w:r>
        <w:rPr>
          <w:rFonts w:ascii="仿宋_GB2312" w:eastAsia="仿宋_GB2312" w:hAnsi="宋体" w:hint="eastAsia"/>
          <w:sz w:val="20"/>
        </w:rPr>
        <w:t>一、</w:t>
      </w:r>
      <w:r>
        <w:rPr>
          <w:rFonts w:ascii="仿宋_GB2312" w:eastAsia="仿宋_GB2312" w:hint="eastAsia"/>
          <w:sz w:val="20"/>
        </w:rPr>
        <w:t>本表应当使用中文准确填写，文字应当打字或印刷，字迹为黑色，提交一式两份。</w:t>
      </w:r>
    </w:p>
    <w:p w:rsidR="00800760" w:rsidRDefault="00235733">
      <w:pPr>
        <w:spacing w:line="360" w:lineRule="auto"/>
        <w:ind w:firstLineChars="0" w:firstLine="0"/>
        <w:rPr>
          <w:rFonts w:ascii="仿宋_GB2312" w:eastAsia="仿宋_GB2312"/>
          <w:sz w:val="20"/>
        </w:rPr>
      </w:pPr>
      <w:r>
        <w:rPr>
          <w:rFonts w:ascii="仿宋_GB2312" w:eastAsia="仿宋_GB2312" w:hint="eastAsia"/>
          <w:sz w:val="20"/>
        </w:rPr>
        <w:t>二、意见陈述书必须填写案件编号及专利号。</w:t>
      </w:r>
    </w:p>
    <w:p w:rsidR="00800760" w:rsidRDefault="00235733">
      <w:pPr>
        <w:spacing w:line="360" w:lineRule="auto"/>
        <w:ind w:firstLineChars="0" w:firstLine="0"/>
        <w:rPr>
          <w:rFonts w:ascii="仿宋_GB2312" w:eastAsia="仿宋_GB2312"/>
          <w:sz w:val="20"/>
        </w:rPr>
      </w:pPr>
      <w:r>
        <w:rPr>
          <w:rFonts w:ascii="仿宋_GB2312" w:eastAsia="仿宋_GB2312" w:hint="eastAsia"/>
          <w:sz w:val="20"/>
        </w:rPr>
        <w:t>四、本表第</w:t>
      </w:r>
      <w:r>
        <w:rPr>
          <w:rFonts w:ascii="仿宋_GB2312" w:eastAsia="仿宋_GB2312" w:hAnsi="宋体" w:hint="eastAsia"/>
          <w:sz w:val="20"/>
        </w:rPr>
        <w:t>③</w:t>
      </w:r>
      <w:r>
        <w:rPr>
          <w:rFonts w:ascii="仿宋_GB2312" w:eastAsia="仿宋_GB2312" w:hint="eastAsia"/>
          <w:sz w:val="20"/>
        </w:rPr>
        <w:t>栏中的方格供填表人选择使用，若有方格后所述的情况的，应当在方格内作标记。</w:t>
      </w:r>
    </w:p>
    <w:p w:rsidR="00800760" w:rsidRDefault="00235733">
      <w:pPr>
        <w:spacing w:line="360" w:lineRule="auto"/>
        <w:ind w:left="342" w:hangingChars="171" w:hanging="342"/>
        <w:rPr>
          <w:rFonts w:ascii="仿宋_GB2312" w:eastAsia="仿宋_GB2312" w:hAnsi="宋体"/>
          <w:sz w:val="20"/>
        </w:rPr>
      </w:pPr>
      <w:r>
        <w:rPr>
          <w:rFonts w:ascii="仿宋_GB2312" w:eastAsia="仿宋_GB2312" w:hint="eastAsia"/>
          <w:sz w:val="20"/>
        </w:rPr>
        <w:t>六、本表第</w:t>
      </w:r>
      <w:r>
        <w:rPr>
          <w:rFonts w:ascii="仿宋_GB2312" w:eastAsia="仿宋_GB2312" w:hAnsi="宋体" w:hint="eastAsia"/>
          <w:sz w:val="20"/>
        </w:rPr>
        <w:t>⑥</w:t>
      </w:r>
      <w:r>
        <w:rPr>
          <w:rFonts w:ascii="仿宋_GB2312" w:eastAsia="仿宋_GB2312" w:hint="eastAsia"/>
          <w:sz w:val="20"/>
        </w:rPr>
        <w:t>栏填写不下的，应当</w:t>
      </w:r>
      <w:r>
        <w:rPr>
          <w:rFonts w:ascii="仿宋_GB2312" w:eastAsia="仿宋_GB2312" w:hAnsi="宋体" w:hint="eastAsia"/>
          <w:sz w:val="20"/>
        </w:rPr>
        <w:t>使用A4纸作为附页续写。</w:t>
      </w:r>
    </w:p>
    <w:p w:rsidR="00800760" w:rsidRDefault="00235733">
      <w:pPr>
        <w:spacing w:line="360" w:lineRule="auto"/>
        <w:ind w:left="342" w:hangingChars="171" w:hanging="342"/>
        <w:rPr>
          <w:rFonts w:ascii="仿宋_GB2312" w:eastAsia="仿宋_GB2312"/>
          <w:sz w:val="20"/>
        </w:rPr>
      </w:pPr>
      <w:r>
        <w:rPr>
          <w:rFonts w:ascii="仿宋_GB2312" w:eastAsia="仿宋_GB2312" w:hAnsi="宋体" w:hint="eastAsia"/>
          <w:sz w:val="20"/>
        </w:rPr>
        <w:t>七、本表</w:t>
      </w:r>
      <w:r>
        <w:rPr>
          <w:rFonts w:ascii="仿宋_GB2312" w:eastAsia="仿宋_GB2312" w:hint="eastAsia"/>
          <w:sz w:val="20"/>
        </w:rPr>
        <w:t>第</w:t>
      </w:r>
      <w:r>
        <w:rPr>
          <w:rFonts w:ascii="仿宋_GB2312" w:eastAsia="仿宋_GB2312" w:hAnsi="宋体" w:hint="eastAsia"/>
          <w:sz w:val="20"/>
        </w:rPr>
        <w:t>⑦</w:t>
      </w:r>
      <w:r>
        <w:rPr>
          <w:rFonts w:ascii="仿宋_GB2312" w:eastAsia="仿宋_GB2312" w:hint="eastAsia"/>
          <w:sz w:val="20"/>
        </w:rPr>
        <w:t>栏应当写明附具证明文件的名称、份数、页数、原件或复印件，涉及保密信息的，请在方格内作标记。</w:t>
      </w:r>
    </w:p>
    <w:p w:rsidR="00800760" w:rsidRDefault="00235733">
      <w:pPr>
        <w:spacing w:line="360" w:lineRule="auto"/>
        <w:ind w:left="342" w:hangingChars="171" w:hanging="342"/>
        <w:rPr>
          <w:rFonts w:ascii="仿宋_GB2312" w:eastAsia="仿宋_GB2312"/>
          <w:sz w:val="20"/>
        </w:rPr>
      </w:pPr>
      <w:r>
        <w:rPr>
          <w:rFonts w:ascii="仿宋_GB2312" w:eastAsia="仿宋_GB2312" w:hint="eastAsia"/>
          <w:sz w:val="20"/>
        </w:rPr>
        <w:t>八、本表第</w:t>
      </w:r>
      <w:r>
        <w:rPr>
          <w:rFonts w:ascii="仿宋_GB2312" w:eastAsia="仿宋_GB2312" w:hAnsi="宋体" w:hint="eastAsia"/>
          <w:sz w:val="20"/>
        </w:rPr>
        <w:t>⑧</w:t>
      </w:r>
      <w:r>
        <w:rPr>
          <w:rFonts w:ascii="仿宋_GB2312" w:eastAsia="仿宋_GB2312" w:hint="eastAsia"/>
          <w:sz w:val="20"/>
        </w:rPr>
        <w:t>栏，委托代理机构的，应当由代理机构加盖公章，未委托代理机构的，意见陈述人为个人的应当由本人签字或者盖章；意见陈述人为单位的应当加盖单位公章。有多个意见陈述人的应当由全体意见陈述人签字或者盖章。</w:t>
      </w:r>
    </w:p>
    <w:p w:rsidR="00800760" w:rsidRDefault="00800760">
      <w:pPr>
        <w:tabs>
          <w:tab w:val="left" w:pos="420"/>
        </w:tabs>
        <w:spacing w:line="360" w:lineRule="auto"/>
        <w:ind w:left="300" w:hangingChars="150" w:hanging="300"/>
        <w:rPr>
          <w:rFonts w:ascii="仿宋_GB2312" w:eastAsia="仿宋_GB2312"/>
          <w:sz w:val="20"/>
        </w:rPr>
      </w:pPr>
    </w:p>
    <w:p w:rsidR="00800760" w:rsidRDefault="00800760">
      <w:pPr>
        <w:tabs>
          <w:tab w:val="left" w:pos="2600"/>
        </w:tabs>
        <w:spacing w:line="240" w:lineRule="auto"/>
        <w:ind w:firstLineChars="0" w:firstLine="0"/>
        <w:rPr>
          <w:rFonts w:ascii="仿宋_GB2312" w:eastAsia="仿宋_GB2312"/>
          <w:color w:val="000000"/>
          <w:sz w:val="20"/>
        </w:rPr>
      </w:pPr>
    </w:p>
    <w:p w:rsidR="00800760" w:rsidRDefault="00800760">
      <w:pPr>
        <w:spacing w:line="240" w:lineRule="auto"/>
        <w:ind w:firstLineChars="0" w:firstLine="0"/>
        <w:rPr>
          <w:rFonts w:ascii="仿宋_GB2312" w:eastAsia="仿宋_GB2312" w:hAnsi="宋体"/>
          <w:color w:val="000000"/>
          <w:spacing w:val="6"/>
          <w:sz w:val="20"/>
        </w:rPr>
      </w:pPr>
    </w:p>
    <w:p w:rsidR="00800760" w:rsidRDefault="00235733">
      <w:pPr>
        <w:spacing w:before="107" w:line="219" w:lineRule="auto"/>
        <w:ind w:left="2154" w:firstLineChars="0" w:firstLine="0"/>
        <w:outlineLvl w:val="2"/>
        <w:rPr>
          <w:rFonts w:ascii="方正小标宋简体" w:eastAsia="方正小标宋简体" w:hAnsi="宋体"/>
          <w:color w:val="000000"/>
          <w:spacing w:val="6"/>
          <w:sz w:val="36"/>
          <w:szCs w:val="36"/>
        </w:rPr>
      </w:pPr>
      <w:r>
        <w:rPr>
          <w:rFonts w:ascii="方正小标宋_GBK" w:eastAsia="方正小标宋_GBK" w:hAnsi="宋体"/>
          <w:color w:val="000000"/>
          <w:spacing w:val="6"/>
          <w:sz w:val="44"/>
          <w:szCs w:val="44"/>
        </w:rPr>
        <w:br w:type="page"/>
      </w:r>
      <w:bookmarkStart w:id="9368" w:name="_Toc229225671"/>
      <w:r>
        <w:rPr>
          <w:rFonts w:ascii="方正小标宋简体" w:eastAsia="方正小标宋简体" w:hAnsi="宋体"/>
          <w:color w:val="000000"/>
          <w:spacing w:val="6"/>
          <w:sz w:val="36"/>
          <w:szCs w:val="36"/>
        </w:rPr>
        <w:t>专利纠纷行政调解请求书</w:t>
      </w:r>
      <w:bookmarkEnd w:id="9368"/>
    </w:p>
    <w:p w:rsidR="00800760" w:rsidRDefault="00800760">
      <w:pPr>
        <w:spacing w:before="26" w:line="240" w:lineRule="auto"/>
        <w:ind w:firstLineChars="0" w:firstLine="0"/>
        <w:rPr>
          <w:sz w:val="20"/>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9"/>
        <w:gridCol w:w="1967"/>
        <w:gridCol w:w="2126"/>
        <w:gridCol w:w="1701"/>
        <w:gridCol w:w="2105"/>
      </w:tblGrid>
      <w:tr w:rsidR="00800760">
        <w:trPr>
          <w:trHeight w:val="414"/>
          <w:jc w:val="center"/>
        </w:trPr>
        <w:tc>
          <w:tcPr>
            <w:tcW w:w="2706" w:type="dxa"/>
            <w:gridSpan w:val="2"/>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专利号/专利申请号</w:t>
            </w:r>
          </w:p>
        </w:tc>
        <w:tc>
          <w:tcPr>
            <w:tcW w:w="5932" w:type="dxa"/>
            <w:gridSpan w:val="3"/>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390"/>
          <w:jc w:val="center"/>
        </w:trPr>
        <w:tc>
          <w:tcPr>
            <w:tcW w:w="2706" w:type="dxa"/>
            <w:gridSpan w:val="2"/>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发明创造名称</w:t>
            </w:r>
          </w:p>
        </w:tc>
        <w:tc>
          <w:tcPr>
            <w:tcW w:w="5932" w:type="dxa"/>
            <w:gridSpan w:val="3"/>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19"/>
          <w:jc w:val="center"/>
        </w:trPr>
        <w:tc>
          <w:tcPr>
            <w:tcW w:w="2706" w:type="dxa"/>
            <w:gridSpan w:val="2"/>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专利权人/专利申请人</w:t>
            </w:r>
          </w:p>
        </w:tc>
        <w:tc>
          <w:tcPr>
            <w:tcW w:w="5932" w:type="dxa"/>
            <w:gridSpan w:val="3"/>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829"/>
          <w:jc w:val="center"/>
        </w:trPr>
        <w:tc>
          <w:tcPr>
            <w:tcW w:w="739" w:type="dxa"/>
            <w:vMerge w:val="restart"/>
            <w:tcBorders>
              <w:bottom w:val="nil"/>
            </w:tcBorders>
            <w:textDirection w:val="tbRlV"/>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调解请求人</w:t>
            </w:r>
          </w:p>
        </w:tc>
        <w:tc>
          <w:tcPr>
            <w:tcW w:w="1967"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姓名或者名称</w:t>
            </w:r>
          </w:p>
        </w:tc>
        <w:tc>
          <w:tcPr>
            <w:tcW w:w="2126"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701"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法定代表人</w:t>
            </w:r>
          </w:p>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(负责人)</w:t>
            </w:r>
          </w:p>
        </w:tc>
        <w:tc>
          <w:tcPr>
            <w:tcW w:w="2105"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09"/>
          <w:jc w:val="center"/>
        </w:trPr>
        <w:tc>
          <w:tcPr>
            <w:tcW w:w="739" w:type="dxa"/>
            <w:vMerge/>
            <w:tcBorders>
              <w:top w:val="nil"/>
              <w:bottom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住所</w:t>
            </w:r>
          </w:p>
        </w:tc>
        <w:tc>
          <w:tcPr>
            <w:tcW w:w="5932" w:type="dxa"/>
            <w:gridSpan w:val="3"/>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09"/>
          <w:jc w:val="center"/>
        </w:trPr>
        <w:tc>
          <w:tcPr>
            <w:tcW w:w="739" w:type="dxa"/>
            <w:vMerge/>
            <w:tcBorders>
              <w:top w:val="nil"/>
              <w:bottom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邮政编码</w:t>
            </w:r>
          </w:p>
        </w:tc>
        <w:tc>
          <w:tcPr>
            <w:tcW w:w="5932" w:type="dxa"/>
            <w:gridSpan w:val="3"/>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00"/>
          <w:jc w:val="center"/>
        </w:trPr>
        <w:tc>
          <w:tcPr>
            <w:tcW w:w="739" w:type="dxa"/>
            <w:vMerge/>
            <w:tcBorders>
              <w:top w:val="nil"/>
              <w:bottom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代理人姓名</w:t>
            </w:r>
          </w:p>
        </w:tc>
        <w:tc>
          <w:tcPr>
            <w:tcW w:w="2126"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701"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机构名称</w:t>
            </w:r>
          </w:p>
        </w:tc>
        <w:tc>
          <w:tcPr>
            <w:tcW w:w="2105"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10"/>
          <w:jc w:val="center"/>
        </w:trPr>
        <w:tc>
          <w:tcPr>
            <w:tcW w:w="739" w:type="dxa"/>
            <w:vMerge/>
            <w:tcBorders>
              <w:top w:val="nil"/>
              <w:bottom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住所</w:t>
            </w:r>
          </w:p>
        </w:tc>
        <w:tc>
          <w:tcPr>
            <w:tcW w:w="5932" w:type="dxa"/>
            <w:gridSpan w:val="3"/>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10"/>
          <w:jc w:val="center"/>
        </w:trPr>
        <w:tc>
          <w:tcPr>
            <w:tcW w:w="739" w:type="dxa"/>
            <w:vMerge/>
            <w:tcBorders>
              <w:top w:val="nil"/>
              <w:bottom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邮政编码</w:t>
            </w:r>
          </w:p>
        </w:tc>
        <w:tc>
          <w:tcPr>
            <w:tcW w:w="2126"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701"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电话</w:t>
            </w:r>
          </w:p>
        </w:tc>
        <w:tc>
          <w:tcPr>
            <w:tcW w:w="2105"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10"/>
          <w:jc w:val="center"/>
        </w:trPr>
        <w:tc>
          <w:tcPr>
            <w:tcW w:w="739" w:type="dxa"/>
            <w:vMerge/>
            <w:tcBorders>
              <w:top w:val="nil"/>
              <w:bottom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代理人姓名</w:t>
            </w:r>
          </w:p>
        </w:tc>
        <w:tc>
          <w:tcPr>
            <w:tcW w:w="2126"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701"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机构名称</w:t>
            </w:r>
          </w:p>
        </w:tc>
        <w:tc>
          <w:tcPr>
            <w:tcW w:w="2105"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10"/>
          <w:jc w:val="center"/>
        </w:trPr>
        <w:tc>
          <w:tcPr>
            <w:tcW w:w="739" w:type="dxa"/>
            <w:vMerge/>
            <w:tcBorders>
              <w:top w:val="nil"/>
              <w:bottom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住所</w:t>
            </w:r>
          </w:p>
        </w:tc>
        <w:tc>
          <w:tcPr>
            <w:tcW w:w="5932" w:type="dxa"/>
            <w:gridSpan w:val="3"/>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10"/>
          <w:jc w:val="center"/>
        </w:trPr>
        <w:tc>
          <w:tcPr>
            <w:tcW w:w="739" w:type="dxa"/>
            <w:vMerge/>
            <w:tcBorders>
              <w:top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邮政编码</w:t>
            </w:r>
          </w:p>
        </w:tc>
        <w:tc>
          <w:tcPr>
            <w:tcW w:w="2126"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701"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电话</w:t>
            </w:r>
          </w:p>
        </w:tc>
        <w:tc>
          <w:tcPr>
            <w:tcW w:w="2105"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819"/>
          <w:jc w:val="center"/>
        </w:trPr>
        <w:tc>
          <w:tcPr>
            <w:tcW w:w="739" w:type="dxa"/>
            <w:vMerge w:val="restart"/>
            <w:tcBorders>
              <w:bottom w:val="nil"/>
            </w:tcBorders>
            <w:textDirection w:val="tbRlV"/>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被请求人</w:t>
            </w:r>
          </w:p>
        </w:tc>
        <w:tc>
          <w:tcPr>
            <w:tcW w:w="1967"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姓名或者名称</w:t>
            </w:r>
          </w:p>
        </w:tc>
        <w:tc>
          <w:tcPr>
            <w:tcW w:w="2126"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701"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法定代表人</w:t>
            </w:r>
          </w:p>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(负责人)</w:t>
            </w:r>
          </w:p>
        </w:tc>
        <w:tc>
          <w:tcPr>
            <w:tcW w:w="2105"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09"/>
          <w:jc w:val="center"/>
        </w:trPr>
        <w:tc>
          <w:tcPr>
            <w:tcW w:w="739" w:type="dxa"/>
            <w:vMerge/>
            <w:tcBorders>
              <w:top w:val="nil"/>
              <w:bottom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住所</w:t>
            </w:r>
          </w:p>
        </w:tc>
        <w:tc>
          <w:tcPr>
            <w:tcW w:w="5932" w:type="dxa"/>
            <w:gridSpan w:val="3"/>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410"/>
          <w:jc w:val="center"/>
        </w:trPr>
        <w:tc>
          <w:tcPr>
            <w:tcW w:w="739" w:type="dxa"/>
            <w:vMerge/>
            <w:tcBorders>
              <w:top w:val="nil"/>
            </w:tcBorders>
            <w:textDirection w:val="tbRlV"/>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967"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邮政编码</w:t>
            </w:r>
          </w:p>
        </w:tc>
        <w:tc>
          <w:tcPr>
            <w:tcW w:w="2126"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c>
          <w:tcPr>
            <w:tcW w:w="1701" w:type="dxa"/>
          </w:tcPr>
          <w:p w:rsidR="00800760" w:rsidRDefault="00235733" w:rsidP="00235733">
            <w:pPr>
              <w:widowControl w:val="0"/>
              <w:spacing w:line="36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电话</w:t>
            </w:r>
          </w:p>
        </w:tc>
        <w:tc>
          <w:tcPr>
            <w:tcW w:w="2105" w:type="dxa"/>
          </w:tcPr>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tc>
      </w:tr>
      <w:tr w:rsidR="00800760">
        <w:trPr>
          <w:trHeight w:val="2792"/>
          <w:jc w:val="center"/>
        </w:trPr>
        <w:tc>
          <w:tcPr>
            <w:tcW w:w="8638" w:type="dxa"/>
            <w:gridSpan w:val="5"/>
          </w:tcPr>
          <w:p w:rsidR="00800760" w:rsidRDefault="00235733" w:rsidP="00235733">
            <w:pPr>
              <w:widowControl w:val="0"/>
              <w:spacing w:line="360" w:lineRule="auto"/>
              <w:ind w:firstLine="400"/>
              <w:rPr>
                <w:rFonts w:ascii="仿宋_GB2312" w:eastAsia="仿宋_GB2312" w:hAnsi="宋体" w:cs="Microsoft JhengHei"/>
                <w:color w:val="000000"/>
                <w:sz w:val="20"/>
              </w:rPr>
            </w:pPr>
            <w:r>
              <w:rPr>
                <w:rFonts w:ascii="仿宋_GB2312" w:eastAsia="仿宋_GB2312" w:hAnsi="宋体" w:cs="Microsoft JhengHei" w:hint="eastAsia"/>
                <w:color w:val="000000"/>
                <w:sz w:val="20"/>
              </w:rPr>
              <w:t>请求调解的事项：</w:t>
            </w:r>
          </w:p>
        </w:tc>
      </w:tr>
    </w:tbl>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235733">
      <w:pPr>
        <w:spacing w:line="360" w:lineRule="auto"/>
        <w:ind w:firstLineChars="0" w:firstLine="0"/>
        <w:rPr>
          <w:rFonts w:ascii="仿宋_GB2312" w:eastAsia="仿宋_GB2312" w:hAnsi="宋体" w:cs="Microsoft JhengHei"/>
          <w:color w:val="000000"/>
          <w:sz w:val="20"/>
        </w:rPr>
      </w:pPr>
      <w:r>
        <w:rPr>
          <w:rFonts w:ascii="仿宋_GB2312" w:eastAsia="仿宋_GB2312" w:hAnsi="宋体" w:cs="Microsoft JhengHei" w:hint="eastAsia"/>
          <w:color w:val="000000"/>
          <w:sz w:val="20"/>
          <w:lang w:eastAsia="en-US"/>
        </w:rPr>
        <w:br w:type="page"/>
      </w:r>
    </w:p>
    <w:p w:rsidR="00800760" w:rsidRDefault="00235733">
      <w:pPr>
        <w:spacing w:before="68" w:line="360" w:lineRule="auto"/>
        <w:ind w:right="30" w:firstLineChars="0" w:firstLine="0"/>
        <w:jc w:val="right"/>
        <w:rPr>
          <w:rFonts w:ascii="仿宋_GB2312" w:eastAsia="仿宋_GB2312" w:hAnsi="宋体" w:cs="宋体"/>
          <w:sz w:val="20"/>
          <w:lang w:eastAsia="en-US"/>
        </w:rPr>
      </w:pPr>
      <w:r>
        <w:rPr>
          <w:rFonts w:ascii="仿宋_GB2312" w:eastAsia="仿宋_GB2312" w:hAnsi="宋体" w:cs="宋体" w:hint="eastAsia"/>
          <w:spacing w:val="4"/>
          <w:sz w:val="20"/>
          <w:lang w:eastAsia="en-US"/>
        </w:rPr>
        <w:t>续表</w:t>
      </w:r>
    </w:p>
    <w:p w:rsidR="00800760" w:rsidRDefault="00800760">
      <w:pPr>
        <w:spacing w:line="360" w:lineRule="auto"/>
        <w:ind w:firstLineChars="0" w:firstLine="0"/>
        <w:rPr>
          <w:rFonts w:ascii="仿宋_GB2312" w:eastAsia="仿宋_GB2312"/>
          <w:sz w:val="20"/>
          <w:lang w:eastAsia="en-US"/>
        </w:rPr>
      </w:pPr>
    </w:p>
    <w:tbl>
      <w:tblPr>
        <w:tblStyle w:val="TableNormal"/>
        <w:tblW w:w="8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80"/>
      </w:tblGrid>
      <w:tr w:rsidR="00800760">
        <w:trPr>
          <w:trHeight w:val="5230"/>
        </w:trPr>
        <w:tc>
          <w:tcPr>
            <w:tcW w:w="8080" w:type="dxa"/>
          </w:tcPr>
          <w:p w:rsidR="00800760" w:rsidRDefault="00235733">
            <w:pPr>
              <w:pStyle w:val="TableText"/>
              <w:kinsoku/>
              <w:autoSpaceDE/>
              <w:autoSpaceDN/>
              <w:adjustRightInd/>
              <w:snapToGrid/>
              <w:spacing w:before="134" w:line="360" w:lineRule="auto"/>
              <w:ind w:left="11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z w:val="20"/>
                <w:szCs w:val="20"/>
                <w:lang w:eastAsia="en-US"/>
              </w:rPr>
              <w:t>事实和理由：</w:t>
            </w:r>
          </w:p>
        </w:tc>
      </w:tr>
      <w:tr w:rsidR="00800760">
        <w:trPr>
          <w:trHeight w:val="5220"/>
        </w:trPr>
        <w:tc>
          <w:tcPr>
            <w:tcW w:w="8080" w:type="dxa"/>
          </w:tcPr>
          <w:p w:rsidR="00800760" w:rsidRDefault="00235733">
            <w:pPr>
              <w:pStyle w:val="TableText"/>
              <w:kinsoku/>
              <w:autoSpaceDE/>
              <w:autoSpaceDN/>
              <w:adjustRightInd/>
              <w:snapToGrid/>
              <w:spacing w:before="132" w:line="360" w:lineRule="auto"/>
              <w:ind w:left="11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z w:val="20"/>
                <w:szCs w:val="20"/>
                <w:lang w:eastAsia="en-US"/>
              </w:rPr>
              <w:t>调解请求人签章：</w:t>
            </w:r>
          </w:p>
        </w:tc>
      </w:tr>
    </w:tbl>
    <w:p w:rsidR="00800760" w:rsidRDefault="00800760">
      <w:pPr>
        <w:pStyle w:val="a5"/>
        <w:spacing w:after="0" w:line="240" w:lineRule="auto"/>
        <w:ind w:firstLineChars="0" w:firstLine="0"/>
        <w:rPr>
          <w:sz w:val="20"/>
          <w:lang w:eastAsia="en-US"/>
        </w:rPr>
      </w:pPr>
    </w:p>
    <w:p w:rsidR="00800760" w:rsidRDefault="00235733">
      <w:pPr>
        <w:spacing w:line="240" w:lineRule="auto"/>
        <w:ind w:firstLineChars="0" w:firstLine="0"/>
        <w:rPr>
          <w:rFonts w:ascii="仿宋_GB2312" w:eastAsia="仿宋_GB2312" w:hAnsi="宋体" w:cs="Microsoft JhengHei"/>
          <w:color w:val="000000"/>
          <w:sz w:val="20"/>
          <w:szCs w:val="21"/>
        </w:rPr>
      </w:pPr>
      <w:r>
        <w:rPr>
          <w:rFonts w:ascii="仿宋_GB2312" w:eastAsia="仿宋_GB2312" w:hAnsi="宋体" w:cs="Microsoft JhengHei"/>
          <w:color w:val="000000"/>
          <w:sz w:val="20"/>
          <w:szCs w:val="21"/>
          <w:lang w:eastAsia="en-US"/>
        </w:rPr>
        <w:br w:type="page"/>
      </w:r>
    </w:p>
    <w:p w:rsidR="00800760" w:rsidRDefault="00235733">
      <w:pPr>
        <w:spacing w:before="110" w:line="220" w:lineRule="auto"/>
        <w:ind w:firstLineChars="0" w:firstLine="0"/>
        <w:jc w:val="center"/>
        <w:outlineLvl w:val="2"/>
        <w:rPr>
          <w:rFonts w:ascii="仿宋" w:eastAsia="仿宋" w:hAnsi="仿宋" w:cs="仿宋"/>
          <w:sz w:val="34"/>
          <w:szCs w:val="34"/>
        </w:rPr>
      </w:pPr>
      <w:bookmarkStart w:id="9369" w:name="_Toc229225672"/>
      <w:r>
        <w:rPr>
          <w:rFonts w:ascii="方正小标宋简体" w:eastAsia="方正小标宋简体" w:hAnsi="宋体"/>
          <w:color w:val="000000"/>
          <w:spacing w:val="6"/>
          <w:sz w:val="36"/>
          <w:szCs w:val="36"/>
        </w:rPr>
        <w:t>专利纠纷案件当事人提交证据材料清单</w:t>
      </w:r>
      <w:bookmarkEnd w:id="9369"/>
    </w:p>
    <w:p w:rsidR="00800760" w:rsidRDefault="00800760">
      <w:pPr>
        <w:pStyle w:val="a5"/>
        <w:spacing w:after="0" w:line="240" w:lineRule="auto"/>
        <w:ind w:firstLineChars="0" w:firstLine="0"/>
        <w:rPr>
          <w:rFonts w:ascii="仿宋_GB2312" w:eastAsia="仿宋_GB2312"/>
          <w:sz w:val="20"/>
        </w:rPr>
      </w:pPr>
    </w:p>
    <w:p w:rsidR="00800760" w:rsidRDefault="00235733">
      <w:pPr>
        <w:spacing w:before="69" w:line="240" w:lineRule="auto"/>
        <w:ind w:left="29" w:firstLineChars="0" w:firstLine="0"/>
        <w:rPr>
          <w:rFonts w:ascii="仿宋_GB2312" w:eastAsia="仿宋_GB2312" w:hAnsi="仿宋" w:cs="仿宋"/>
          <w:sz w:val="20"/>
        </w:rPr>
      </w:pPr>
      <w:r>
        <w:rPr>
          <w:rFonts w:ascii="仿宋_GB2312" w:eastAsia="仿宋_GB2312" w:hAnsi="仿宋" w:cs="仿宋" w:hint="eastAsia"/>
          <w:spacing w:val="-2"/>
          <w:sz w:val="20"/>
        </w:rPr>
        <w:t>专利号/专利申请号：                            案 号 ：</w:t>
      </w:r>
    </w:p>
    <w:p w:rsidR="00800760" w:rsidRDefault="00235733">
      <w:pPr>
        <w:spacing w:before="81" w:line="240" w:lineRule="auto"/>
        <w:ind w:left="20" w:firstLineChars="0" w:firstLine="0"/>
        <w:rPr>
          <w:rFonts w:ascii="仿宋_GB2312" w:eastAsia="仿宋_GB2312" w:hAnsi="仿宋" w:cs="仿宋"/>
          <w:sz w:val="20"/>
        </w:rPr>
      </w:pPr>
      <w:r>
        <w:rPr>
          <w:rFonts w:ascii="仿宋_GB2312" w:eastAsia="仿宋_GB2312" w:hAnsi="仿宋" w:cs="仿宋" w:hint="eastAsia"/>
          <w:spacing w:val="16"/>
          <w:sz w:val="20"/>
        </w:rPr>
        <w:t xml:space="preserve">□请求方□被请求方            </w:t>
      </w:r>
      <w:r>
        <w:rPr>
          <w:rFonts w:ascii="仿宋_GB2312" w:eastAsia="仿宋_GB2312" w:hAnsi="仿宋" w:cs="仿宋" w:hint="eastAsia"/>
          <w:spacing w:val="15"/>
          <w:sz w:val="20"/>
        </w:rPr>
        <w:t xml:space="preserve">      递交人(签章):</w:t>
      </w:r>
    </w:p>
    <w:p w:rsidR="00800760" w:rsidRDefault="00800760">
      <w:pPr>
        <w:spacing w:line="240" w:lineRule="auto"/>
        <w:ind w:firstLineChars="0" w:firstLine="0"/>
        <w:rPr>
          <w:rFonts w:ascii="仿宋_GB2312" w:eastAsia="仿宋_GB2312"/>
          <w:sz w:val="20"/>
        </w:rPr>
      </w:pPr>
    </w:p>
    <w:tbl>
      <w:tblPr>
        <w:tblStyle w:val="TableNormal"/>
        <w:tblW w:w="807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4"/>
        <w:gridCol w:w="1809"/>
        <w:gridCol w:w="1809"/>
        <w:gridCol w:w="1809"/>
        <w:gridCol w:w="1809"/>
      </w:tblGrid>
      <w:tr w:rsidR="00800760">
        <w:trPr>
          <w:trHeight w:val="404"/>
        </w:trPr>
        <w:tc>
          <w:tcPr>
            <w:tcW w:w="834" w:type="dxa"/>
          </w:tcPr>
          <w:p w:rsidR="00800760" w:rsidRDefault="00235733" w:rsidP="00235733">
            <w:pPr>
              <w:widowControl w:val="0"/>
              <w:spacing w:line="24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序号</w:t>
            </w:r>
          </w:p>
        </w:tc>
        <w:tc>
          <w:tcPr>
            <w:tcW w:w="1809" w:type="dxa"/>
          </w:tcPr>
          <w:p w:rsidR="00800760" w:rsidRDefault="00235733" w:rsidP="00235733">
            <w:pPr>
              <w:widowControl w:val="0"/>
              <w:spacing w:line="24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文件/证据名称</w:t>
            </w:r>
          </w:p>
        </w:tc>
        <w:tc>
          <w:tcPr>
            <w:tcW w:w="1809" w:type="dxa"/>
          </w:tcPr>
          <w:p w:rsidR="00800760" w:rsidRDefault="00235733" w:rsidP="00235733">
            <w:pPr>
              <w:widowControl w:val="0"/>
              <w:spacing w:line="24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证据所要说明的事实</w:t>
            </w:r>
          </w:p>
        </w:tc>
        <w:tc>
          <w:tcPr>
            <w:tcW w:w="1809" w:type="dxa"/>
          </w:tcPr>
          <w:p w:rsidR="00800760" w:rsidRDefault="00235733" w:rsidP="00235733">
            <w:pPr>
              <w:widowControl w:val="0"/>
              <w:spacing w:line="24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页数</w:t>
            </w:r>
          </w:p>
        </w:tc>
        <w:tc>
          <w:tcPr>
            <w:tcW w:w="1809" w:type="dxa"/>
          </w:tcPr>
          <w:p w:rsidR="00800760" w:rsidRDefault="00235733" w:rsidP="00235733">
            <w:pPr>
              <w:widowControl w:val="0"/>
              <w:spacing w:line="240" w:lineRule="auto"/>
              <w:ind w:firstLine="400"/>
              <w:jc w:val="center"/>
              <w:rPr>
                <w:rFonts w:ascii="仿宋_GB2312" w:eastAsia="仿宋_GB2312" w:hAnsi="宋体" w:cs="Microsoft JhengHei"/>
                <w:color w:val="000000"/>
                <w:sz w:val="20"/>
              </w:rPr>
            </w:pPr>
            <w:r>
              <w:rPr>
                <w:rFonts w:ascii="仿宋_GB2312" w:eastAsia="仿宋_GB2312" w:hAnsi="宋体" w:cs="Microsoft JhengHei" w:hint="eastAsia"/>
                <w:color w:val="000000"/>
                <w:sz w:val="20"/>
              </w:rPr>
              <w:t>备注</w:t>
            </w:r>
          </w:p>
        </w:tc>
      </w:tr>
      <w:tr w:rsidR="00800760">
        <w:trPr>
          <w:trHeight w:val="410"/>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0"/>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0"/>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09"/>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10"/>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19"/>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r w:rsidR="00800760">
        <w:trPr>
          <w:trHeight w:val="414"/>
        </w:trPr>
        <w:tc>
          <w:tcPr>
            <w:tcW w:w="834"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c>
          <w:tcPr>
            <w:tcW w:w="1809" w:type="dxa"/>
          </w:tcPr>
          <w:p w:rsidR="00800760" w:rsidRDefault="00800760">
            <w:pPr>
              <w:spacing w:line="240" w:lineRule="auto"/>
              <w:ind w:firstLineChars="0" w:firstLine="0"/>
              <w:rPr>
                <w:rFonts w:ascii="仿宋_GB2312" w:eastAsia="仿宋_GB2312"/>
                <w:sz w:val="20"/>
                <w:lang w:eastAsia="en-US"/>
              </w:rPr>
            </w:pPr>
          </w:p>
        </w:tc>
      </w:tr>
    </w:tbl>
    <w:p w:rsidR="00800760" w:rsidRDefault="00800760">
      <w:pPr>
        <w:pStyle w:val="a5"/>
        <w:spacing w:after="0" w:line="240" w:lineRule="auto"/>
        <w:ind w:firstLineChars="0" w:firstLine="0"/>
        <w:rPr>
          <w:rFonts w:ascii="仿宋_GB2312" w:eastAsia="仿宋_GB2312"/>
          <w:sz w:val="20"/>
          <w:lang w:eastAsia="en-US"/>
        </w:rPr>
      </w:pPr>
    </w:p>
    <w:p w:rsidR="00800760" w:rsidRDefault="00235733">
      <w:pPr>
        <w:spacing w:before="71" w:line="240" w:lineRule="auto"/>
        <w:ind w:left="4630" w:right="10" w:firstLineChars="0" w:firstLine="0"/>
        <w:rPr>
          <w:rFonts w:ascii="仿宋_GB2312" w:eastAsia="仿宋_GB2312" w:hAnsi="仿宋" w:cs="仿宋"/>
          <w:spacing w:val="12"/>
          <w:sz w:val="20"/>
        </w:rPr>
      </w:pPr>
      <w:r>
        <w:rPr>
          <w:rFonts w:ascii="仿宋_GB2312" w:eastAsia="仿宋_GB2312" w:hAnsi="仿宋" w:cs="仿宋" w:hint="eastAsia"/>
          <w:spacing w:val="15"/>
          <w:sz w:val="20"/>
        </w:rPr>
        <w:t>接收人(签章):</w:t>
      </w:r>
      <w:r>
        <w:rPr>
          <w:rFonts w:ascii="仿宋_GB2312" w:eastAsia="仿宋_GB2312" w:hAnsi="仿宋" w:cs="仿宋" w:hint="eastAsia"/>
          <w:spacing w:val="1"/>
          <w:sz w:val="20"/>
          <w:u w:val="single"/>
        </w:rPr>
        <w:t xml:space="preserve">                </w:t>
      </w:r>
      <w:r>
        <w:rPr>
          <w:rFonts w:ascii="仿宋_GB2312" w:eastAsia="仿宋_GB2312" w:hAnsi="仿宋" w:cs="仿宋" w:hint="eastAsia"/>
          <w:spacing w:val="12"/>
          <w:sz w:val="20"/>
        </w:rPr>
        <w:t xml:space="preserve"> </w:t>
      </w:r>
    </w:p>
    <w:p w:rsidR="00800760" w:rsidRDefault="00235733">
      <w:pPr>
        <w:spacing w:before="71" w:line="240" w:lineRule="auto"/>
        <w:ind w:left="4630" w:right="10" w:firstLineChars="0" w:firstLine="0"/>
        <w:rPr>
          <w:rFonts w:ascii="仿宋_GB2312" w:eastAsia="仿宋_GB2312" w:hAnsi="仿宋" w:cs="仿宋"/>
          <w:sz w:val="20"/>
        </w:rPr>
      </w:pPr>
      <w:r>
        <w:rPr>
          <w:rFonts w:ascii="仿宋_GB2312" w:eastAsia="仿宋_GB2312" w:hAnsi="仿宋" w:cs="仿宋" w:hint="eastAsia"/>
          <w:spacing w:val="-15"/>
          <w:sz w:val="20"/>
        </w:rPr>
        <w:t>接收日期：</w:t>
      </w:r>
      <w:r>
        <w:rPr>
          <w:rFonts w:ascii="仿宋_GB2312" w:eastAsia="仿宋_GB2312" w:hAnsi="仿宋" w:cs="仿宋" w:hint="eastAsia"/>
          <w:spacing w:val="13"/>
          <w:sz w:val="20"/>
          <w:u w:val="single"/>
        </w:rPr>
        <w:t xml:space="preserve">       </w:t>
      </w:r>
      <w:r>
        <w:rPr>
          <w:rFonts w:ascii="仿宋_GB2312" w:eastAsia="仿宋_GB2312" w:hAnsi="仿宋" w:cs="仿宋" w:hint="eastAsia"/>
          <w:spacing w:val="-102"/>
          <w:sz w:val="20"/>
        </w:rPr>
        <w:t xml:space="preserve"> </w:t>
      </w:r>
      <w:r>
        <w:rPr>
          <w:rFonts w:ascii="仿宋_GB2312" w:eastAsia="仿宋_GB2312" w:hAnsi="仿宋" w:cs="仿宋" w:hint="eastAsia"/>
          <w:spacing w:val="-15"/>
          <w:sz w:val="20"/>
        </w:rPr>
        <w:t>年</w:t>
      </w:r>
      <w:r>
        <w:rPr>
          <w:rFonts w:ascii="仿宋_GB2312" w:eastAsia="仿宋_GB2312" w:hAnsi="仿宋" w:cs="仿宋" w:hint="eastAsia"/>
          <w:spacing w:val="-97"/>
          <w:sz w:val="20"/>
        </w:rPr>
        <w:t xml:space="preserve"> </w:t>
      </w:r>
      <w:r>
        <w:rPr>
          <w:rFonts w:ascii="仿宋_GB2312" w:eastAsia="仿宋_GB2312" w:hAnsi="仿宋" w:cs="仿宋" w:hint="eastAsia"/>
          <w:spacing w:val="12"/>
          <w:sz w:val="20"/>
          <w:u w:val="single"/>
        </w:rPr>
        <w:t xml:space="preserve">    </w:t>
      </w:r>
      <w:r>
        <w:rPr>
          <w:rFonts w:ascii="仿宋_GB2312" w:eastAsia="仿宋_GB2312" w:hAnsi="仿宋" w:cs="仿宋" w:hint="eastAsia"/>
          <w:spacing w:val="-103"/>
          <w:sz w:val="20"/>
        </w:rPr>
        <w:t xml:space="preserve"> </w:t>
      </w:r>
      <w:r>
        <w:rPr>
          <w:rFonts w:ascii="仿宋_GB2312" w:eastAsia="仿宋_GB2312" w:hAnsi="仿宋" w:cs="仿宋" w:hint="eastAsia"/>
          <w:spacing w:val="-15"/>
          <w:sz w:val="20"/>
        </w:rPr>
        <w:t>月</w:t>
      </w:r>
      <w:r>
        <w:rPr>
          <w:rFonts w:ascii="仿宋_GB2312" w:eastAsia="仿宋_GB2312" w:hAnsi="仿宋" w:cs="仿宋" w:hint="eastAsia"/>
          <w:spacing w:val="3"/>
          <w:sz w:val="20"/>
          <w:u w:val="single"/>
        </w:rPr>
        <w:t xml:space="preserve">    </w:t>
      </w:r>
      <w:r>
        <w:rPr>
          <w:rFonts w:ascii="仿宋_GB2312" w:eastAsia="仿宋_GB2312" w:hAnsi="仿宋" w:cs="仿宋" w:hint="eastAsia"/>
          <w:spacing w:val="-15"/>
          <w:sz w:val="20"/>
        </w:rPr>
        <w:t>日</w:t>
      </w:r>
    </w:p>
    <w:p w:rsidR="00800760" w:rsidRDefault="00800760">
      <w:pPr>
        <w:pStyle w:val="a5"/>
        <w:spacing w:after="0" w:line="240" w:lineRule="auto"/>
        <w:ind w:firstLineChars="0" w:firstLine="0"/>
        <w:rPr>
          <w:rFonts w:ascii="仿宋_GB2312" w:eastAsia="仿宋_GB2312"/>
          <w:sz w:val="20"/>
        </w:rPr>
      </w:pPr>
    </w:p>
    <w:p w:rsidR="00800760" w:rsidRDefault="00800760">
      <w:pPr>
        <w:pStyle w:val="a5"/>
        <w:spacing w:after="0" w:line="240" w:lineRule="auto"/>
        <w:ind w:firstLineChars="0" w:firstLine="0"/>
        <w:rPr>
          <w:rFonts w:ascii="仿宋_GB2312" w:eastAsia="仿宋_GB2312"/>
          <w:sz w:val="20"/>
        </w:rPr>
      </w:pPr>
    </w:p>
    <w:p w:rsidR="00800760" w:rsidRDefault="00800760">
      <w:pPr>
        <w:pStyle w:val="a5"/>
        <w:spacing w:after="0" w:line="240" w:lineRule="auto"/>
        <w:ind w:firstLineChars="0" w:firstLine="0"/>
        <w:rPr>
          <w:rFonts w:ascii="仿宋_GB2312" w:eastAsia="仿宋_GB2312"/>
          <w:sz w:val="20"/>
        </w:rPr>
      </w:pPr>
    </w:p>
    <w:p w:rsidR="00800760" w:rsidRDefault="00800760">
      <w:pPr>
        <w:pStyle w:val="a5"/>
        <w:spacing w:after="0" w:line="240" w:lineRule="auto"/>
        <w:ind w:firstLineChars="0" w:firstLine="0"/>
        <w:rPr>
          <w:rFonts w:ascii="仿宋_GB2312" w:eastAsia="仿宋_GB2312"/>
          <w:sz w:val="20"/>
        </w:rPr>
      </w:pPr>
    </w:p>
    <w:p w:rsidR="00800760" w:rsidRDefault="00800760">
      <w:pPr>
        <w:spacing w:before="69" w:line="240" w:lineRule="auto"/>
        <w:ind w:firstLineChars="0" w:firstLine="0"/>
        <w:rPr>
          <w:rFonts w:ascii="仿宋_GB2312" w:eastAsia="仿宋_GB2312" w:hAnsi="仿宋" w:cs="仿宋"/>
          <w:spacing w:val="-2"/>
          <w:sz w:val="20"/>
        </w:rPr>
      </w:pPr>
    </w:p>
    <w:p w:rsidR="00800760" w:rsidRDefault="00800760">
      <w:pPr>
        <w:spacing w:before="69" w:line="240" w:lineRule="auto"/>
        <w:ind w:firstLineChars="0" w:firstLine="0"/>
        <w:rPr>
          <w:rFonts w:ascii="仿宋_GB2312" w:eastAsia="仿宋_GB2312" w:hAnsi="仿宋" w:cs="仿宋"/>
          <w:spacing w:val="-2"/>
          <w:sz w:val="20"/>
        </w:rPr>
      </w:pPr>
    </w:p>
    <w:p w:rsidR="00800760" w:rsidRDefault="00235733">
      <w:pPr>
        <w:spacing w:before="69" w:line="240" w:lineRule="auto"/>
        <w:ind w:firstLineChars="0" w:firstLine="0"/>
        <w:rPr>
          <w:rFonts w:ascii="仿宋_GB2312" w:eastAsia="仿宋_GB2312" w:hAnsi="仿宋" w:cs="仿宋"/>
          <w:sz w:val="20"/>
        </w:rPr>
      </w:pPr>
      <w:r>
        <w:rPr>
          <w:rFonts w:ascii="仿宋_GB2312" w:eastAsia="仿宋_GB2312" w:hAnsi="仿宋" w:cs="仿宋" w:hint="eastAsia"/>
          <w:spacing w:val="-2"/>
          <w:sz w:val="20"/>
        </w:rPr>
        <w:t>注：本清单一式两份，一份递交知识产权局，一份由递交人留存。</w:t>
      </w:r>
    </w:p>
    <w:p w:rsidR="00800760" w:rsidRDefault="00235733">
      <w:pPr>
        <w:spacing w:line="240" w:lineRule="auto"/>
        <w:ind w:firstLineChars="0" w:firstLine="0"/>
        <w:rPr>
          <w:rFonts w:ascii="仿宋_GB2312" w:eastAsia="仿宋_GB2312" w:hAnsi="宋体" w:cs="Microsoft JhengHei"/>
          <w:color w:val="000000"/>
          <w:sz w:val="20"/>
        </w:rPr>
      </w:pPr>
      <w:r>
        <w:rPr>
          <w:rFonts w:ascii="仿宋_GB2312" w:eastAsia="仿宋_GB2312" w:hAnsi="宋体" w:cs="Microsoft JhengHei" w:hint="eastAsia"/>
          <w:color w:val="000000"/>
          <w:sz w:val="20"/>
        </w:rPr>
        <w:br w:type="page"/>
      </w:r>
    </w:p>
    <w:p w:rsidR="00800760" w:rsidRDefault="00235733">
      <w:pPr>
        <w:spacing w:before="107" w:line="219" w:lineRule="auto"/>
        <w:ind w:firstLineChars="0" w:firstLine="0"/>
        <w:jc w:val="center"/>
        <w:outlineLvl w:val="2"/>
        <w:rPr>
          <w:rFonts w:ascii="方正小标宋简体" w:eastAsia="方正小标宋简体" w:hAnsi="宋体"/>
          <w:color w:val="000000"/>
          <w:spacing w:val="6"/>
          <w:sz w:val="36"/>
          <w:szCs w:val="36"/>
        </w:rPr>
      </w:pPr>
      <w:bookmarkStart w:id="9370" w:name="_Toc229225673"/>
      <w:r>
        <w:rPr>
          <w:rFonts w:ascii="方正小标宋简体" w:eastAsia="方正小标宋简体" w:hAnsi="宋体"/>
          <w:color w:val="000000"/>
          <w:spacing w:val="6"/>
          <w:sz w:val="36"/>
          <w:szCs w:val="36"/>
        </w:rPr>
        <w:t>意见陈述书</w:t>
      </w:r>
      <w:bookmarkEnd w:id="9370"/>
    </w:p>
    <w:p w:rsidR="00800760" w:rsidRDefault="00800760">
      <w:pPr>
        <w:pStyle w:val="a5"/>
        <w:spacing w:after="0" w:line="265" w:lineRule="auto"/>
        <w:ind w:firstLineChars="0" w:firstLine="0"/>
        <w:rPr>
          <w:rFonts w:ascii="仿宋_GB2312" w:eastAsia="仿宋_GB2312"/>
          <w:sz w:val="20"/>
          <w:lang w:eastAsia="en-US"/>
        </w:rPr>
      </w:pPr>
    </w:p>
    <w:p w:rsidR="00800760" w:rsidRDefault="00235733">
      <w:pPr>
        <w:spacing w:before="55" w:line="223" w:lineRule="auto"/>
        <w:ind w:firstLineChars="2800" w:firstLine="5152"/>
        <w:rPr>
          <w:rFonts w:ascii="仿宋_GB2312" w:eastAsia="仿宋_GB2312" w:hAnsi="仿宋" w:cs="仿宋"/>
          <w:sz w:val="20"/>
          <w:u w:val="single"/>
        </w:rPr>
      </w:pPr>
      <w:r>
        <w:rPr>
          <w:rFonts w:ascii="仿宋_GB2312" w:eastAsia="仿宋_GB2312" w:hAnsi="仿宋" w:cs="仿宋" w:hint="eastAsia"/>
          <w:spacing w:val="-8"/>
          <w:sz w:val="20"/>
          <w:lang w:eastAsia="en-US"/>
        </w:rPr>
        <w:t>案 号</w:t>
      </w:r>
      <w:r>
        <w:rPr>
          <w:rFonts w:ascii="仿宋_GB2312" w:eastAsia="仿宋_GB2312" w:hAnsi="仿宋" w:cs="仿宋" w:hint="eastAsia"/>
          <w:spacing w:val="-16"/>
          <w:sz w:val="20"/>
          <w:lang w:eastAsia="en-US"/>
        </w:rPr>
        <w:t xml:space="preserve"> </w:t>
      </w:r>
      <w:r>
        <w:rPr>
          <w:rFonts w:ascii="仿宋_GB2312" w:eastAsia="仿宋_GB2312" w:hAnsi="仿宋" w:cs="仿宋" w:hint="eastAsia"/>
          <w:spacing w:val="-8"/>
          <w:sz w:val="20"/>
          <w:lang w:eastAsia="en-US"/>
        </w:rPr>
        <w:t>：</w:t>
      </w:r>
      <w:r>
        <w:rPr>
          <w:rFonts w:ascii="仿宋_GB2312" w:eastAsia="仿宋_GB2312" w:hAnsi="仿宋" w:cs="仿宋" w:hint="eastAsia"/>
          <w:spacing w:val="-8"/>
          <w:sz w:val="20"/>
          <w:u w:val="single"/>
        </w:rPr>
        <w:t xml:space="preserve">                          </w:t>
      </w:r>
    </w:p>
    <w:p w:rsidR="00800760" w:rsidRDefault="00800760">
      <w:pPr>
        <w:spacing w:line="73" w:lineRule="exact"/>
        <w:ind w:firstLineChars="0" w:firstLine="0"/>
        <w:rPr>
          <w:rFonts w:ascii="仿宋_GB2312" w:eastAsia="仿宋_GB2312"/>
          <w:sz w:val="20"/>
          <w:lang w:eastAsia="en-US"/>
        </w:rPr>
      </w:pPr>
    </w:p>
    <w:tbl>
      <w:tblPr>
        <w:tblStyle w:val="TableNormal"/>
        <w:tblW w:w="8060"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51"/>
        <w:gridCol w:w="4909"/>
      </w:tblGrid>
      <w:tr w:rsidR="00800760">
        <w:trPr>
          <w:trHeight w:val="404"/>
        </w:trPr>
        <w:tc>
          <w:tcPr>
            <w:tcW w:w="3151" w:type="dxa"/>
          </w:tcPr>
          <w:p w:rsidR="00800760" w:rsidRDefault="00235733">
            <w:pPr>
              <w:pStyle w:val="TableText"/>
              <w:kinsoku/>
              <w:autoSpaceDE/>
              <w:autoSpaceDN/>
              <w:adjustRightInd/>
              <w:snapToGrid/>
              <w:spacing w:before="103" w:line="219" w:lineRule="auto"/>
              <w:ind w:left="675"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专利号/专利申请号</w:t>
            </w:r>
          </w:p>
        </w:tc>
        <w:tc>
          <w:tcPr>
            <w:tcW w:w="4909" w:type="dxa"/>
          </w:tcPr>
          <w:p w:rsidR="00800760" w:rsidRDefault="00800760">
            <w:pPr>
              <w:spacing w:line="240" w:lineRule="auto"/>
              <w:ind w:firstLineChars="0" w:firstLine="0"/>
              <w:rPr>
                <w:rFonts w:ascii="仿宋_GB2312" w:eastAsia="仿宋_GB2312"/>
                <w:sz w:val="20"/>
                <w:lang w:eastAsia="en-US"/>
              </w:rPr>
            </w:pPr>
          </w:p>
        </w:tc>
      </w:tr>
      <w:tr w:rsidR="00800760">
        <w:trPr>
          <w:trHeight w:val="420"/>
        </w:trPr>
        <w:tc>
          <w:tcPr>
            <w:tcW w:w="3151" w:type="dxa"/>
          </w:tcPr>
          <w:p w:rsidR="00800760" w:rsidRDefault="00235733">
            <w:pPr>
              <w:pStyle w:val="TableText"/>
              <w:kinsoku/>
              <w:autoSpaceDE/>
              <w:autoSpaceDN/>
              <w:adjustRightInd/>
              <w:snapToGrid/>
              <w:spacing w:before="109" w:line="219" w:lineRule="auto"/>
              <w:ind w:left="464" w:firstLineChars="0" w:firstLine="0"/>
              <w:textAlignment w:val="auto"/>
              <w:rPr>
                <w:rFonts w:ascii="仿宋_GB2312" w:eastAsia="仿宋_GB2312" w:hAnsi="仿宋_GB2312" w:cs="仿宋_GB2312"/>
                <w:snapToGrid/>
                <w:sz w:val="20"/>
                <w:szCs w:val="20"/>
              </w:rPr>
            </w:pPr>
            <w:r>
              <w:rPr>
                <w:rFonts w:ascii="仿宋_GB2312" w:eastAsia="仿宋_GB2312" w:hAnsi="仿宋_GB2312" w:cs="仿宋_GB2312" w:hint="eastAsia"/>
                <w:snapToGrid/>
                <w:spacing w:val="-1"/>
                <w:sz w:val="20"/>
                <w:szCs w:val="20"/>
              </w:rPr>
              <w:t>专利名称/专利申请名称</w:t>
            </w:r>
          </w:p>
        </w:tc>
        <w:tc>
          <w:tcPr>
            <w:tcW w:w="4909" w:type="dxa"/>
          </w:tcPr>
          <w:p w:rsidR="00800760" w:rsidRDefault="00800760">
            <w:pPr>
              <w:spacing w:line="240" w:lineRule="auto"/>
              <w:ind w:firstLineChars="0" w:firstLine="0"/>
              <w:rPr>
                <w:rFonts w:ascii="仿宋_GB2312" w:eastAsia="仿宋_GB2312"/>
                <w:sz w:val="20"/>
              </w:rPr>
            </w:pPr>
          </w:p>
        </w:tc>
      </w:tr>
      <w:tr w:rsidR="00800760">
        <w:trPr>
          <w:trHeight w:val="399"/>
        </w:trPr>
        <w:tc>
          <w:tcPr>
            <w:tcW w:w="3151" w:type="dxa"/>
          </w:tcPr>
          <w:p w:rsidR="00800760" w:rsidRDefault="00235733">
            <w:pPr>
              <w:pStyle w:val="TableText"/>
              <w:kinsoku/>
              <w:autoSpaceDE/>
              <w:autoSpaceDN/>
              <w:adjustRightInd/>
              <w:snapToGrid/>
              <w:spacing w:before="99" w:line="219" w:lineRule="auto"/>
              <w:ind w:left="56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专利权人/专利申请人</w:t>
            </w:r>
          </w:p>
        </w:tc>
        <w:tc>
          <w:tcPr>
            <w:tcW w:w="4909" w:type="dxa"/>
          </w:tcPr>
          <w:p w:rsidR="00800760" w:rsidRDefault="00800760">
            <w:pPr>
              <w:spacing w:line="240" w:lineRule="auto"/>
              <w:ind w:firstLineChars="0" w:firstLine="0"/>
              <w:rPr>
                <w:rFonts w:ascii="仿宋_GB2312" w:eastAsia="仿宋_GB2312"/>
                <w:sz w:val="20"/>
                <w:lang w:eastAsia="en-US"/>
              </w:rPr>
            </w:pPr>
          </w:p>
        </w:tc>
      </w:tr>
      <w:tr w:rsidR="00800760">
        <w:trPr>
          <w:trHeight w:val="420"/>
        </w:trPr>
        <w:tc>
          <w:tcPr>
            <w:tcW w:w="3151" w:type="dxa"/>
          </w:tcPr>
          <w:p w:rsidR="00800760" w:rsidRDefault="00235733">
            <w:pPr>
              <w:pStyle w:val="TableText"/>
              <w:kinsoku/>
              <w:autoSpaceDE/>
              <w:autoSpaceDN/>
              <w:adjustRightInd/>
              <w:snapToGrid/>
              <w:spacing w:before="109" w:line="219" w:lineRule="auto"/>
              <w:ind w:left="104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意见陈述人</w:t>
            </w:r>
          </w:p>
        </w:tc>
        <w:tc>
          <w:tcPr>
            <w:tcW w:w="4909" w:type="dxa"/>
          </w:tcPr>
          <w:p w:rsidR="00800760" w:rsidRDefault="00800760">
            <w:pPr>
              <w:spacing w:line="240" w:lineRule="auto"/>
              <w:ind w:firstLineChars="0" w:firstLine="0"/>
              <w:rPr>
                <w:rFonts w:ascii="仿宋_GB2312" w:eastAsia="仿宋_GB2312"/>
                <w:sz w:val="20"/>
                <w:lang w:eastAsia="en-US"/>
              </w:rPr>
            </w:pPr>
          </w:p>
        </w:tc>
      </w:tr>
      <w:tr w:rsidR="00800760">
        <w:trPr>
          <w:trHeight w:val="7527"/>
        </w:trPr>
        <w:tc>
          <w:tcPr>
            <w:tcW w:w="3151" w:type="dxa"/>
            <w:tcBorders>
              <w:right w:val="nil"/>
            </w:tcBorders>
          </w:tcPr>
          <w:p w:rsidR="00800760" w:rsidRDefault="00235733">
            <w:pPr>
              <w:pStyle w:val="TableText"/>
              <w:kinsoku/>
              <w:autoSpaceDE/>
              <w:autoSpaceDN/>
              <w:adjustRightInd/>
              <w:snapToGrid/>
              <w:spacing w:before="149" w:line="219" w:lineRule="auto"/>
              <w:ind w:left="114" w:firstLineChars="0" w:firstLine="0"/>
              <w:textAlignment w:val="auto"/>
              <w:rPr>
                <w:rFonts w:ascii="仿宋_GB2312" w:eastAsia="仿宋_GB2312" w:hAnsi="仿宋_GB2312" w:cs="仿宋_GB2312"/>
                <w:snapToGrid/>
                <w:sz w:val="20"/>
                <w:szCs w:val="20"/>
                <w:lang w:eastAsia="en-US"/>
              </w:rPr>
            </w:pPr>
            <w:r>
              <w:rPr>
                <w:rFonts w:ascii="仿宋_GB2312" w:eastAsia="仿宋_GB2312" w:hAnsi="仿宋_GB2312" w:cs="仿宋_GB2312" w:hint="eastAsia"/>
                <w:snapToGrid/>
                <w:spacing w:val="-1"/>
                <w:sz w:val="20"/>
                <w:szCs w:val="20"/>
                <w:lang w:eastAsia="en-US"/>
              </w:rPr>
              <w:t>意见陈述：</w:t>
            </w:r>
          </w:p>
        </w:tc>
        <w:tc>
          <w:tcPr>
            <w:tcW w:w="4909" w:type="dxa"/>
            <w:tcBorders>
              <w:left w:val="nil"/>
            </w:tcBorders>
          </w:tcPr>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8" w:lineRule="auto"/>
              <w:ind w:firstLineChars="0" w:firstLine="0"/>
              <w:rPr>
                <w:rFonts w:ascii="仿宋_GB2312" w:eastAsia="仿宋_GB2312"/>
                <w:sz w:val="20"/>
              </w:rPr>
            </w:pPr>
          </w:p>
          <w:p w:rsidR="00800760" w:rsidRDefault="00800760">
            <w:pPr>
              <w:spacing w:line="249" w:lineRule="auto"/>
              <w:ind w:firstLineChars="0" w:firstLine="0"/>
              <w:rPr>
                <w:rFonts w:ascii="仿宋_GB2312" w:eastAsia="仿宋_GB2312"/>
                <w:sz w:val="20"/>
              </w:rPr>
            </w:pPr>
          </w:p>
          <w:p w:rsidR="00800760" w:rsidRDefault="00800760">
            <w:pPr>
              <w:spacing w:line="249" w:lineRule="auto"/>
              <w:ind w:firstLineChars="0" w:firstLine="0"/>
              <w:rPr>
                <w:rFonts w:ascii="仿宋_GB2312" w:eastAsia="仿宋_GB2312"/>
                <w:sz w:val="20"/>
              </w:rPr>
            </w:pPr>
          </w:p>
          <w:p w:rsidR="00800760" w:rsidRDefault="00800760">
            <w:pPr>
              <w:spacing w:line="249" w:lineRule="auto"/>
              <w:ind w:firstLineChars="0" w:firstLine="0"/>
              <w:rPr>
                <w:rFonts w:ascii="仿宋_GB2312" w:eastAsia="仿宋_GB2312"/>
                <w:sz w:val="20"/>
              </w:rPr>
            </w:pPr>
          </w:p>
          <w:p w:rsidR="00800760" w:rsidRDefault="00235733">
            <w:pPr>
              <w:pStyle w:val="TableText"/>
              <w:tabs>
                <w:tab w:val="left" w:pos="2637"/>
              </w:tabs>
              <w:kinsoku/>
              <w:autoSpaceDE/>
              <w:autoSpaceDN/>
              <w:adjustRightInd/>
              <w:snapToGrid/>
              <w:spacing w:before="68" w:line="269" w:lineRule="auto"/>
              <w:ind w:right="34" w:firstLineChars="400" w:firstLine="1056"/>
              <w:textAlignment w:val="auto"/>
              <w:rPr>
                <w:rFonts w:ascii="仿宋_GB2312" w:eastAsia="仿宋_GB2312" w:hAnsi="仿宋_GB2312" w:cs="仿宋_GB2312"/>
                <w:snapToGrid/>
                <w:spacing w:val="14"/>
                <w:sz w:val="20"/>
                <w:szCs w:val="20"/>
                <w:u w:val="single"/>
              </w:rPr>
            </w:pPr>
            <w:r>
              <w:rPr>
                <w:rFonts w:ascii="仿宋_GB2312" w:eastAsia="仿宋_GB2312" w:hAnsi="仿宋_GB2312" w:cs="仿宋_GB2312" w:hint="eastAsia"/>
                <w:snapToGrid/>
                <w:spacing w:val="32"/>
                <w:sz w:val="20"/>
                <w:szCs w:val="20"/>
              </w:rPr>
              <w:t>意见陈述人(签章)</w:t>
            </w:r>
            <w:r>
              <w:rPr>
                <w:rFonts w:ascii="仿宋_GB2312" w:eastAsia="仿宋_GB2312" w:hAnsi="仿宋_GB2312" w:cs="仿宋_GB2312" w:hint="eastAsia"/>
                <w:snapToGrid/>
                <w:spacing w:val="-19"/>
                <w:sz w:val="20"/>
                <w:szCs w:val="20"/>
              </w:rPr>
              <w:t xml:space="preserve"> </w:t>
            </w:r>
            <w:r>
              <w:rPr>
                <w:rFonts w:ascii="仿宋_GB2312" w:eastAsia="仿宋_GB2312" w:hAnsi="仿宋_GB2312" w:cs="仿宋_GB2312" w:hint="eastAsia"/>
                <w:snapToGrid/>
                <w:spacing w:val="32"/>
                <w:sz w:val="20"/>
                <w:szCs w:val="20"/>
              </w:rPr>
              <w:t>:</w:t>
            </w:r>
            <w:r>
              <w:rPr>
                <w:rFonts w:ascii="仿宋_GB2312" w:eastAsia="仿宋_GB2312" w:hAnsi="仿宋_GB2312" w:cs="仿宋_GB2312" w:hint="eastAsia"/>
                <w:snapToGrid/>
                <w:spacing w:val="14"/>
                <w:sz w:val="20"/>
                <w:szCs w:val="20"/>
                <w:u w:val="single"/>
              </w:rPr>
              <w:t xml:space="preserve">      </w:t>
            </w:r>
          </w:p>
          <w:p w:rsidR="00800760" w:rsidRDefault="00235733">
            <w:pPr>
              <w:pStyle w:val="TableText"/>
              <w:tabs>
                <w:tab w:val="left" w:pos="2216"/>
              </w:tabs>
              <w:kinsoku/>
              <w:autoSpaceDE/>
              <w:autoSpaceDN/>
              <w:adjustRightInd/>
              <w:snapToGrid/>
              <w:spacing w:before="68" w:line="269" w:lineRule="auto"/>
              <w:ind w:right="34" w:firstLineChars="1000" w:firstLine="2280"/>
              <w:textAlignment w:val="auto"/>
              <w:rPr>
                <w:rFonts w:ascii="仿宋_GB2312" w:eastAsia="仿宋_GB2312" w:hAnsi="仿宋_GB2312" w:cs="仿宋_GB2312"/>
                <w:snapToGrid/>
                <w:sz w:val="20"/>
                <w:szCs w:val="20"/>
              </w:rPr>
            </w:pPr>
            <w:r>
              <w:rPr>
                <w:rFonts w:ascii="仿宋_GB2312" w:eastAsia="仿宋_GB2312" w:hAnsi="仿宋_GB2312" w:cs="仿宋_GB2312" w:hint="eastAsia"/>
                <w:snapToGrid/>
                <w:spacing w:val="14"/>
                <w:sz w:val="20"/>
                <w:szCs w:val="20"/>
                <w:u w:val="single"/>
              </w:rPr>
              <w:t xml:space="preserve">   </w:t>
            </w:r>
            <w:r>
              <w:rPr>
                <w:rFonts w:ascii="仿宋_GB2312" w:eastAsia="仿宋_GB2312" w:hAnsi="仿宋_GB2312" w:cs="仿宋_GB2312" w:hint="eastAsia"/>
                <w:snapToGrid/>
                <w:spacing w:val="-4"/>
                <w:sz w:val="20"/>
                <w:szCs w:val="20"/>
                <w:u w:val="single"/>
              </w:rPr>
              <w:t xml:space="preserve"> </w:t>
            </w:r>
            <w:r>
              <w:rPr>
                <w:rFonts w:ascii="仿宋_GB2312" w:eastAsia="仿宋_GB2312" w:hAnsi="仿宋_GB2312" w:cs="仿宋_GB2312" w:hint="eastAsia"/>
                <w:snapToGrid/>
                <w:spacing w:val="-8"/>
                <w:sz w:val="20"/>
                <w:szCs w:val="20"/>
              </w:rPr>
              <w:t>年</w:t>
            </w:r>
            <w:r>
              <w:rPr>
                <w:rFonts w:ascii="仿宋_GB2312" w:eastAsia="仿宋_GB2312" w:hAnsi="仿宋_GB2312" w:cs="仿宋_GB2312" w:hint="eastAsia"/>
                <w:snapToGrid/>
                <w:spacing w:val="14"/>
                <w:sz w:val="20"/>
                <w:szCs w:val="20"/>
                <w:u w:val="single"/>
              </w:rPr>
              <w:t xml:space="preserve">   </w:t>
            </w:r>
            <w:r>
              <w:rPr>
                <w:rFonts w:ascii="仿宋_GB2312" w:eastAsia="仿宋_GB2312" w:hAnsi="仿宋_GB2312" w:cs="仿宋_GB2312" w:hint="eastAsia"/>
                <w:snapToGrid/>
                <w:sz w:val="20"/>
                <w:szCs w:val="20"/>
                <w:u w:val="single"/>
              </w:rPr>
              <w:t xml:space="preserve"> </w:t>
            </w:r>
            <w:r>
              <w:rPr>
                <w:rFonts w:ascii="仿宋_GB2312" w:eastAsia="仿宋_GB2312" w:hAnsi="仿宋_GB2312" w:cs="仿宋_GB2312" w:hint="eastAsia"/>
                <w:snapToGrid/>
                <w:spacing w:val="-100"/>
                <w:sz w:val="20"/>
                <w:szCs w:val="20"/>
              </w:rPr>
              <w:t xml:space="preserve"> </w:t>
            </w:r>
            <w:r>
              <w:rPr>
                <w:rFonts w:ascii="仿宋_GB2312" w:eastAsia="仿宋_GB2312" w:hAnsi="仿宋_GB2312" w:cs="仿宋_GB2312" w:hint="eastAsia"/>
                <w:snapToGrid/>
                <w:spacing w:val="-8"/>
                <w:sz w:val="20"/>
                <w:szCs w:val="20"/>
              </w:rPr>
              <w:t>月</w:t>
            </w:r>
            <w:r>
              <w:rPr>
                <w:rFonts w:ascii="仿宋_GB2312" w:eastAsia="仿宋_GB2312" w:hAnsi="仿宋_GB2312" w:cs="仿宋_GB2312" w:hint="eastAsia"/>
                <w:snapToGrid/>
                <w:spacing w:val="-91"/>
                <w:sz w:val="20"/>
                <w:szCs w:val="20"/>
              </w:rPr>
              <w:t xml:space="preserve"> </w:t>
            </w:r>
            <w:r>
              <w:rPr>
                <w:rFonts w:ascii="仿宋_GB2312" w:eastAsia="仿宋_GB2312" w:hAnsi="仿宋_GB2312" w:cs="仿宋_GB2312" w:hint="eastAsia"/>
                <w:snapToGrid/>
                <w:spacing w:val="35"/>
                <w:sz w:val="20"/>
                <w:szCs w:val="20"/>
                <w:u w:val="single"/>
              </w:rPr>
              <w:t xml:space="preserve">   </w:t>
            </w:r>
            <w:r>
              <w:rPr>
                <w:rFonts w:ascii="仿宋_GB2312" w:eastAsia="仿宋_GB2312" w:hAnsi="仿宋_GB2312" w:cs="仿宋_GB2312" w:hint="eastAsia"/>
                <w:snapToGrid/>
                <w:spacing w:val="-8"/>
                <w:sz w:val="20"/>
                <w:szCs w:val="20"/>
              </w:rPr>
              <w:t>日</w:t>
            </w:r>
          </w:p>
        </w:tc>
      </w:tr>
    </w:tbl>
    <w:p w:rsidR="00800760" w:rsidRDefault="00800760" w:rsidP="00235733">
      <w:pPr>
        <w:widowControl w:val="0"/>
        <w:spacing w:line="360" w:lineRule="auto"/>
        <w:ind w:firstLine="400"/>
        <w:jc w:val="center"/>
        <w:rPr>
          <w:rFonts w:ascii="仿宋_GB2312" w:eastAsia="仿宋_GB2312" w:hAnsi="宋体" w:cs="Microsoft JhengHei"/>
          <w:color w:val="000000"/>
          <w:sz w:val="20"/>
        </w:rPr>
      </w:pPr>
    </w:p>
    <w:p w:rsidR="00800760" w:rsidRDefault="00235733">
      <w:pPr>
        <w:spacing w:before="107" w:line="222" w:lineRule="auto"/>
        <w:ind w:left="2154" w:firstLineChars="0" w:firstLine="0"/>
        <w:outlineLvl w:val="2"/>
        <w:rPr>
          <w:rFonts w:ascii="仿宋" w:eastAsia="仿宋" w:hAnsi="仿宋" w:cs="仿宋"/>
          <w:sz w:val="33"/>
          <w:szCs w:val="33"/>
        </w:rPr>
      </w:pPr>
      <w:r>
        <w:rPr>
          <w:rFonts w:ascii="仿宋_GB2312" w:eastAsia="仿宋_GB2312" w:hAnsi="宋体" w:cs="Microsoft JhengHei" w:hint="eastAsia"/>
          <w:color w:val="000000"/>
          <w:sz w:val="20"/>
        </w:rPr>
        <w:br w:type="page"/>
      </w:r>
      <w:bookmarkStart w:id="9371" w:name="_Toc229225674"/>
      <w:r>
        <w:rPr>
          <w:rFonts w:ascii="方正小标宋简体" w:eastAsia="方正小标宋简体" w:hAnsi="宋体"/>
          <w:color w:val="000000"/>
          <w:spacing w:val="6"/>
          <w:sz w:val="36"/>
          <w:szCs w:val="36"/>
        </w:rPr>
        <w:t>专利纠纷案件授权委托书</w:t>
      </w:r>
      <w:bookmarkEnd w:id="9371"/>
    </w:p>
    <w:p w:rsidR="00800760" w:rsidRDefault="00800760">
      <w:pPr>
        <w:spacing w:before="65" w:line="324" w:lineRule="auto"/>
        <w:ind w:right="5636" w:firstLineChars="0" w:firstLine="0"/>
        <w:jc w:val="both"/>
        <w:rPr>
          <w:rFonts w:ascii="仿宋" w:eastAsia="仿宋" w:hAnsi="仿宋" w:cs="仿宋"/>
          <w:spacing w:val="20"/>
          <w:sz w:val="20"/>
        </w:rPr>
      </w:pPr>
    </w:p>
    <w:p w:rsidR="00800760" w:rsidRDefault="00235733">
      <w:pPr>
        <w:spacing w:before="65" w:line="360" w:lineRule="auto"/>
        <w:ind w:right="5636" w:firstLineChars="0" w:firstLine="0"/>
        <w:jc w:val="both"/>
        <w:rPr>
          <w:rFonts w:ascii="仿宋" w:eastAsia="仿宋" w:hAnsi="仿宋" w:cs="仿宋"/>
          <w:sz w:val="20"/>
        </w:rPr>
      </w:pPr>
      <w:r>
        <w:rPr>
          <w:rFonts w:ascii="仿宋" w:eastAsia="仿宋" w:hAnsi="仿宋" w:cs="仿宋"/>
          <w:spacing w:val="20"/>
          <w:sz w:val="20"/>
        </w:rPr>
        <w:t>委托人(单位或个人):</w:t>
      </w:r>
    </w:p>
    <w:p w:rsidR="00800760" w:rsidRDefault="00235733">
      <w:pPr>
        <w:spacing w:before="65" w:line="360" w:lineRule="auto"/>
        <w:ind w:right="5636" w:firstLineChars="0" w:firstLine="0"/>
        <w:jc w:val="both"/>
        <w:rPr>
          <w:rFonts w:ascii="仿宋" w:eastAsia="仿宋" w:hAnsi="仿宋" w:cs="仿宋"/>
          <w:sz w:val="20"/>
        </w:rPr>
      </w:pPr>
      <w:r>
        <w:rPr>
          <w:rFonts w:ascii="仿宋" w:eastAsia="仿宋" w:hAnsi="仿宋" w:cs="仿宋"/>
          <w:spacing w:val="20"/>
          <w:sz w:val="20"/>
        </w:rPr>
        <w:t>法定代表人(负责人):</w:t>
      </w:r>
      <w:r>
        <w:rPr>
          <w:rFonts w:ascii="仿宋" w:eastAsia="仿宋" w:hAnsi="仿宋" w:cs="仿宋"/>
          <w:sz w:val="20"/>
        </w:rPr>
        <w:t xml:space="preserve"> </w:t>
      </w:r>
    </w:p>
    <w:p w:rsidR="00800760" w:rsidRDefault="00235733">
      <w:pPr>
        <w:spacing w:before="65" w:line="360" w:lineRule="auto"/>
        <w:ind w:right="5924" w:firstLineChars="0" w:firstLine="0"/>
        <w:jc w:val="both"/>
        <w:rPr>
          <w:rFonts w:ascii="仿宋" w:eastAsia="仿宋" w:hAnsi="仿宋" w:cs="仿宋"/>
          <w:sz w:val="20"/>
        </w:rPr>
      </w:pPr>
      <w:r>
        <w:rPr>
          <w:rFonts w:ascii="仿宋" w:eastAsia="仿宋" w:hAnsi="仿宋" w:cs="仿宋"/>
          <w:spacing w:val="-11"/>
          <w:sz w:val="20"/>
        </w:rPr>
        <w:t>职</w:t>
      </w:r>
      <w:r>
        <w:rPr>
          <w:rFonts w:ascii="仿宋" w:eastAsia="仿宋" w:hAnsi="仿宋" w:cs="仿宋"/>
          <w:spacing w:val="8"/>
          <w:sz w:val="20"/>
        </w:rPr>
        <w:t xml:space="preserve">    </w:t>
      </w:r>
      <w:r>
        <w:rPr>
          <w:rFonts w:ascii="仿宋" w:eastAsia="仿宋" w:hAnsi="仿宋" w:cs="仿宋"/>
          <w:spacing w:val="-11"/>
          <w:sz w:val="20"/>
        </w:rPr>
        <w:t>务</w:t>
      </w:r>
      <w:r>
        <w:rPr>
          <w:rFonts w:ascii="仿宋" w:eastAsia="仿宋" w:hAnsi="仿宋" w:cs="仿宋"/>
          <w:spacing w:val="-26"/>
          <w:sz w:val="20"/>
        </w:rPr>
        <w:t xml:space="preserve"> </w:t>
      </w:r>
      <w:r>
        <w:rPr>
          <w:rFonts w:ascii="仿宋" w:eastAsia="仿宋" w:hAnsi="仿宋" w:cs="仿宋"/>
          <w:spacing w:val="-11"/>
          <w:sz w:val="20"/>
        </w:rPr>
        <w:t>：</w:t>
      </w:r>
    </w:p>
    <w:p w:rsidR="00800760" w:rsidRDefault="00800760">
      <w:pPr>
        <w:pStyle w:val="a5"/>
        <w:spacing w:after="0" w:line="360" w:lineRule="auto"/>
        <w:ind w:firstLineChars="0" w:firstLine="0"/>
        <w:rPr>
          <w:sz w:val="20"/>
        </w:rPr>
      </w:pPr>
    </w:p>
    <w:p w:rsidR="00800760" w:rsidRDefault="00235733">
      <w:pPr>
        <w:spacing w:before="65" w:line="360" w:lineRule="auto"/>
        <w:ind w:right="6634" w:firstLineChars="0" w:firstLine="0"/>
        <w:rPr>
          <w:rFonts w:ascii="仿宋" w:eastAsia="仿宋" w:hAnsi="仿宋" w:cs="仿宋"/>
          <w:sz w:val="20"/>
        </w:rPr>
      </w:pPr>
      <w:r>
        <w:rPr>
          <w:rFonts w:ascii="仿宋" w:eastAsia="仿宋" w:hAnsi="仿宋" w:cs="仿宋"/>
          <w:spacing w:val="1"/>
          <w:sz w:val="20"/>
        </w:rPr>
        <w:t xml:space="preserve">受委托人姓名： </w:t>
      </w:r>
      <w:r>
        <w:rPr>
          <w:rFonts w:ascii="仿宋" w:eastAsia="仿宋" w:hAnsi="仿宋" w:cs="仿宋"/>
          <w:spacing w:val="2"/>
          <w:sz w:val="20"/>
        </w:rPr>
        <w:t>工作单位：</w:t>
      </w:r>
    </w:p>
    <w:p w:rsidR="00800760" w:rsidRDefault="00235733">
      <w:pPr>
        <w:spacing w:before="20" w:line="360" w:lineRule="auto"/>
        <w:ind w:firstLineChars="0" w:firstLine="0"/>
        <w:rPr>
          <w:rFonts w:ascii="仿宋" w:eastAsia="仿宋" w:hAnsi="仿宋" w:cs="仿宋"/>
          <w:sz w:val="20"/>
        </w:rPr>
      </w:pPr>
      <w:r>
        <w:rPr>
          <w:rFonts w:ascii="仿宋" w:eastAsia="仿宋" w:hAnsi="仿宋" w:cs="仿宋"/>
          <w:spacing w:val="-11"/>
          <w:sz w:val="20"/>
        </w:rPr>
        <w:t>职</w:t>
      </w:r>
      <w:r>
        <w:rPr>
          <w:rFonts w:ascii="仿宋" w:eastAsia="仿宋" w:hAnsi="仿宋" w:cs="仿宋"/>
          <w:spacing w:val="5"/>
          <w:sz w:val="20"/>
        </w:rPr>
        <w:t xml:space="preserve">    </w:t>
      </w:r>
      <w:r>
        <w:rPr>
          <w:rFonts w:ascii="仿宋" w:eastAsia="仿宋" w:hAnsi="仿宋" w:cs="仿宋"/>
          <w:spacing w:val="-11"/>
          <w:sz w:val="20"/>
        </w:rPr>
        <w:t>务</w:t>
      </w:r>
      <w:r>
        <w:rPr>
          <w:rFonts w:ascii="仿宋" w:eastAsia="仿宋" w:hAnsi="仿宋" w:cs="仿宋"/>
          <w:spacing w:val="-34"/>
          <w:sz w:val="20"/>
        </w:rPr>
        <w:t xml:space="preserve"> </w:t>
      </w:r>
      <w:r>
        <w:rPr>
          <w:rFonts w:ascii="仿宋" w:eastAsia="仿宋" w:hAnsi="仿宋" w:cs="仿宋"/>
          <w:spacing w:val="-11"/>
          <w:sz w:val="20"/>
        </w:rPr>
        <w:t>：</w:t>
      </w:r>
    </w:p>
    <w:p w:rsidR="00800760" w:rsidRDefault="00235733">
      <w:pPr>
        <w:spacing w:before="89" w:line="360" w:lineRule="auto"/>
        <w:ind w:right="6634" w:firstLineChars="0" w:firstLine="0"/>
        <w:rPr>
          <w:rFonts w:ascii="仿宋" w:eastAsia="仿宋" w:hAnsi="仿宋" w:cs="仿宋"/>
          <w:sz w:val="20"/>
        </w:rPr>
      </w:pPr>
      <w:r>
        <w:rPr>
          <w:rFonts w:ascii="仿宋" w:eastAsia="仿宋" w:hAnsi="仿宋" w:cs="仿宋"/>
          <w:spacing w:val="1"/>
          <w:sz w:val="20"/>
        </w:rPr>
        <w:t xml:space="preserve">受委托人姓名： </w:t>
      </w:r>
      <w:r>
        <w:rPr>
          <w:rFonts w:ascii="仿宋" w:eastAsia="仿宋" w:hAnsi="仿宋" w:cs="仿宋"/>
          <w:spacing w:val="2"/>
          <w:sz w:val="20"/>
        </w:rPr>
        <w:t>工作单位：</w:t>
      </w:r>
    </w:p>
    <w:p w:rsidR="00800760" w:rsidRDefault="00235733">
      <w:pPr>
        <w:spacing w:before="61" w:line="360" w:lineRule="auto"/>
        <w:ind w:firstLineChars="0" w:firstLine="0"/>
        <w:rPr>
          <w:rFonts w:ascii="仿宋" w:eastAsia="仿宋" w:hAnsi="仿宋" w:cs="仿宋"/>
          <w:sz w:val="20"/>
        </w:rPr>
      </w:pPr>
      <w:r>
        <w:rPr>
          <w:rFonts w:ascii="仿宋" w:eastAsia="仿宋" w:hAnsi="仿宋" w:cs="仿宋"/>
          <w:spacing w:val="-11"/>
          <w:sz w:val="20"/>
        </w:rPr>
        <w:t>职</w:t>
      </w:r>
      <w:r>
        <w:rPr>
          <w:rFonts w:ascii="仿宋" w:eastAsia="仿宋" w:hAnsi="仿宋" w:cs="仿宋"/>
          <w:spacing w:val="8"/>
          <w:sz w:val="20"/>
        </w:rPr>
        <w:t xml:space="preserve">    </w:t>
      </w:r>
      <w:r>
        <w:rPr>
          <w:rFonts w:ascii="仿宋" w:eastAsia="仿宋" w:hAnsi="仿宋" w:cs="仿宋"/>
          <w:spacing w:val="-11"/>
          <w:sz w:val="20"/>
        </w:rPr>
        <w:t>务</w:t>
      </w:r>
      <w:r>
        <w:rPr>
          <w:rFonts w:ascii="仿宋" w:eastAsia="仿宋" w:hAnsi="仿宋" w:cs="仿宋"/>
          <w:spacing w:val="-26"/>
          <w:sz w:val="20"/>
        </w:rPr>
        <w:t xml:space="preserve"> </w:t>
      </w:r>
      <w:r>
        <w:rPr>
          <w:rFonts w:ascii="仿宋" w:eastAsia="仿宋" w:hAnsi="仿宋" w:cs="仿宋"/>
          <w:spacing w:val="-11"/>
          <w:sz w:val="20"/>
        </w:rPr>
        <w:t>：</w:t>
      </w:r>
    </w:p>
    <w:p w:rsidR="00800760" w:rsidRDefault="00800760">
      <w:pPr>
        <w:pStyle w:val="a5"/>
        <w:spacing w:after="0" w:line="407" w:lineRule="auto"/>
        <w:ind w:firstLineChars="0" w:firstLine="0"/>
        <w:rPr>
          <w:sz w:val="20"/>
        </w:rPr>
      </w:pPr>
    </w:p>
    <w:p w:rsidR="00800760" w:rsidRDefault="00235733">
      <w:pPr>
        <w:spacing w:before="65" w:line="219" w:lineRule="auto"/>
        <w:ind w:left="430" w:firstLineChars="0" w:firstLine="0"/>
        <w:rPr>
          <w:rFonts w:ascii="仿宋" w:eastAsia="仿宋" w:hAnsi="仿宋" w:cs="仿宋"/>
          <w:sz w:val="20"/>
        </w:rPr>
      </w:pPr>
      <w:r>
        <w:rPr>
          <w:rFonts w:ascii="仿宋" w:eastAsia="仿宋" w:hAnsi="仿宋" w:cs="仿宋"/>
          <w:spacing w:val="9"/>
          <w:sz w:val="20"/>
        </w:rPr>
        <w:t>现委托上列受委托人在</w:t>
      </w:r>
      <w:r>
        <w:rPr>
          <w:rFonts w:ascii="仿宋" w:eastAsia="仿宋" w:hAnsi="仿宋" w:cs="仿宋"/>
          <w:spacing w:val="5"/>
          <w:sz w:val="20"/>
          <w:u w:val="single"/>
        </w:rPr>
        <w:t xml:space="preserve">                    </w:t>
      </w:r>
      <w:r>
        <w:rPr>
          <w:rFonts w:ascii="仿宋" w:eastAsia="仿宋" w:hAnsi="仿宋" w:cs="仿宋"/>
          <w:spacing w:val="9"/>
          <w:sz w:val="20"/>
        </w:rPr>
        <w:t>一案中，作为我方委托代理人。</w:t>
      </w:r>
    </w:p>
    <w:p w:rsidR="00800760" w:rsidRDefault="00800760">
      <w:pPr>
        <w:pStyle w:val="a5"/>
        <w:spacing w:after="0" w:line="358" w:lineRule="auto"/>
        <w:ind w:firstLineChars="0" w:firstLine="0"/>
        <w:rPr>
          <w:sz w:val="20"/>
        </w:rPr>
      </w:pPr>
    </w:p>
    <w:p w:rsidR="00800760" w:rsidRDefault="00235733">
      <w:pPr>
        <w:spacing w:before="66" w:line="360" w:lineRule="auto"/>
        <w:ind w:left="430" w:firstLineChars="0" w:firstLine="0"/>
        <w:rPr>
          <w:rFonts w:ascii="仿宋" w:eastAsia="仿宋" w:hAnsi="仿宋" w:cs="仿宋"/>
          <w:sz w:val="20"/>
        </w:rPr>
      </w:pPr>
      <w:r>
        <w:rPr>
          <w:rFonts w:ascii="仿宋" w:eastAsia="仿宋" w:hAnsi="仿宋" w:cs="仿宋"/>
          <w:spacing w:val="4"/>
          <w:sz w:val="20"/>
        </w:rPr>
        <w:t>代理人</w:t>
      </w:r>
      <w:r>
        <w:rPr>
          <w:rFonts w:ascii="仿宋" w:eastAsia="仿宋" w:hAnsi="仿宋" w:cs="仿宋"/>
          <w:spacing w:val="-82"/>
          <w:sz w:val="20"/>
        </w:rPr>
        <w:t xml:space="preserve"> </w:t>
      </w:r>
      <w:r>
        <w:rPr>
          <w:rFonts w:ascii="仿宋" w:eastAsia="仿宋" w:hAnsi="仿宋" w:cs="仿宋"/>
          <w:spacing w:val="5"/>
          <w:sz w:val="20"/>
          <w:u w:val="single"/>
        </w:rPr>
        <w:t xml:space="preserve">        </w:t>
      </w:r>
      <w:r>
        <w:rPr>
          <w:rFonts w:ascii="仿宋" w:eastAsia="仿宋" w:hAnsi="仿宋" w:cs="仿宋"/>
          <w:spacing w:val="-100"/>
          <w:sz w:val="20"/>
        </w:rPr>
        <w:t xml:space="preserve"> </w:t>
      </w:r>
      <w:r>
        <w:rPr>
          <w:rFonts w:ascii="仿宋" w:eastAsia="仿宋" w:hAnsi="仿宋" w:cs="仿宋"/>
          <w:spacing w:val="4"/>
          <w:sz w:val="20"/>
        </w:rPr>
        <w:t>的代理权限为：</w:t>
      </w:r>
    </w:p>
    <w:p w:rsidR="00800760" w:rsidRDefault="00800760">
      <w:pPr>
        <w:spacing w:line="360" w:lineRule="auto"/>
        <w:ind w:firstLineChars="0" w:firstLine="0"/>
        <w:rPr>
          <w:sz w:val="20"/>
        </w:rPr>
      </w:pPr>
    </w:p>
    <w:p w:rsidR="00800760" w:rsidRDefault="00800760">
      <w:pPr>
        <w:spacing w:line="360" w:lineRule="auto"/>
        <w:sectPr w:rsidR="00800760" w:rsidSect="008175D7">
          <w:footerReference w:type="default" r:id="rId107"/>
          <w:pgSz w:w="10830" w:h="15080"/>
          <w:pgMar w:top="1373" w:right="1225" w:bottom="1312" w:left="1559" w:header="431" w:footer="969" w:gutter="0"/>
          <w:cols w:space="720"/>
          <w:docGrid w:linePitch="286"/>
        </w:sectPr>
      </w:pPr>
    </w:p>
    <w:p w:rsidR="00800760" w:rsidRDefault="00235733">
      <w:pPr>
        <w:spacing w:before="9" w:line="360" w:lineRule="auto"/>
        <w:ind w:left="430" w:firstLineChars="0" w:firstLine="0"/>
        <w:rPr>
          <w:rFonts w:ascii="仿宋" w:eastAsia="仿宋" w:hAnsi="仿宋" w:cs="仿宋"/>
          <w:sz w:val="20"/>
        </w:rPr>
      </w:pPr>
      <w:r>
        <w:rPr>
          <w:rFonts w:ascii="仿宋" w:eastAsia="仿宋" w:hAnsi="仿宋" w:cs="仿宋"/>
          <w:spacing w:val="9"/>
          <w:sz w:val="20"/>
        </w:rPr>
        <w:t>□代为递交、接收法律文书</w:t>
      </w:r>
    </w:p>
    <w:p w:rsidR="00800760" w:rsidRDefault="00235733">
      <w:pPr>
        <w:spacing w:before="100" w:line="360" w:lineRule="auto"/>
        <w:ind w:left="430" w:firstLineChars="0" w:firstLine="0"/>
        <w:rPr>
          <w:rFonts w:ascii="仿宋" w:eastAsia="仿宋" w:hAnsi="仿宋" w:cs="仿宋"/>
          <w:sz w:val="20"/>
        </w:rPr>
      </w:pPr>
      <w:r>
        <w:rPr>
          <w:rFonts w:ascii="仿宋" w:eastAsia="仿宋" w:hAnsi="仿宋" w:cs="仿宋"/>
          <w:spacing w:val="8"/>
          <w:sz w:val="20"/>
        </w:rPr>
        <w:t>□参加口头审理</w:t>
      </w:r>
    </w:p>
    <w:p w:rsidR="00800760" w:rsidRDefault="00235733">
      <w:pPr>
        <w:spacing w:before="116" w:line="360" w:lineRule="auto"/>
        <w:ind w:left="430" w:right="763" w:firstLineChars="0" w:firstLine="0"/>
        <w:rPr>
          <w:rFonts w:ascii="仿宋" w:eastAsia="仿宋" w:hAnsi="仿宋" w:cs="仿宋"/>
          <w:sz w:val="20"/>
        </w:rPr>
      </w:pPr>
      <w:r>
        <w:rPr>
          <w:rFonts w:ascii="仿宋" w:eastAsia="仿宋" w:hAnsi="仿宋" w:cs="仿宋"/>
          <w:spacing w:val="7"/>
          <w:sz w:val="20"/>
        </w:rPr>
        <w:t>□代为提出、变更、放弃处理请求</w:t>
      </w:r>
      <w:r>
        <w:rPr>
          <w:rFonts w:ascii="仿宋" w:eastAsia="仿宋" w:hAnsi="仿宋" w:cs="仿宋"/>
          <w:spacing w:val="9"/>
          <w:sz w:val="20"/>
        </w:rPr>
        <w:t xml:space="preserve"> </w:t>
      </w:r>
      <w:r>
        <w:rPr>
          <w:rFonts w:ascii="仿宋" w:eastAsia="仿宋" w:hAnsi="仿宋" w:cs="仿宋"/>
          <w:spacing w:val="-3"/>
          <w:sz w:val="20"/>
        </w:rPr>
        <w:t>代理人</w:t>
      </w:r>
      <w:r>
        <w:rPr>
          <w:rFonts w:ascii="仿宋" w:eastAsia="仿宋" w:hAnsi="仿宋" w:cs="仿宋"/>
          <w:spacing w:val="3"/>
          <w:sz w:val="20"/>
          <w:u w:val="single"/>
        </w:rPr>
        <w:t xml:space="preserve">        </w:t>
      </w:r>
      <w:r>
        <w:rPr>
          <w:rFonts w:ascii="仿宋" w:eastAsia="仿宋" w:hAnsi="仿宋" w:cs="仿宋"/>
          <w:spacing w:val="-79"/>
          <w:sz w:val="20"/>
        </w:rPr>
        <w:t xml:space="preserve"> </w:t>
      </w:r>
      <w:r>
        <w:rPr>
          <w:rFonts w:ascii="仿宋" w:eastAsia="仿宋" w:hAnsi="仿宋" w:cs="仿宋"/>
          <w:spacing w:val="-3"/>
          <w:sz w:val="20"/>
        </w:rPr>
        <w:t>_的代理权限为：</w:t>
      </w:r>
    </w:p>
    <w:p w:rsidR="00800760" w:rsidRDefault="00235733">
      <w:pPr>
        <w:spacing w:before="119" w:line="360" w:lineRule="auto"/>
        <w:ind w:left="430" w:firstLineChars="0" w:firstLine="0"/>
        <w:rPr>
          <w:rFonts w:ascii="仿宋" w:eastAsia="仿宋" w:hAnsi="仿宋" w:cs="仿宋"/>
          <w:sz w:val="20"/>
        </w:rPr>
      </w:pPr>
      <w:r>
        <w:rPr>
          <w:rFonts w:ascii="仿宋" w:eastAsia="仿宋" w:hAnsi="仿宋" w:cs="仿宋"/>
          <w:spacing w:val="9"/>
          <w:sz w:val="20"/>
        </w:rPr>
        <w:t>□代为递交、接收法律文书</w:t>
      </w:r>
    </w:p>
    <w:p w:rsidR="00800760" w:rsidRDefault="00235733">
      <w:pPr>
        <w:spacing w:before="99" w:line="360" w:lineRule="auto"/>
        <w:ind w:left="430" w:firstLineChars="0" w:firstLine="0"/>
        <w:rPr>
          <w:rFonts w:ascii="仿宋" w:eastAsia="仿宋" w:hAnsi="仿宋" w:cs="仿宋"/>
          <w:sz w:val="20"/>
        </w:rPr>
      </w:pPr>
      <w:r>
        <w:rPr>
          <w:rFonts w:ascii="仿宋" w:eastAsia="仿宋" w:hAnsi="仿宋" w:cs="仿宋"/>
          <w:spacing w:val="8"/>
          <w:sz w:val="20"/>
        </w:rPr>
        <w:t>□参加口头审理</w:t>
      </w:r>
    </w:p>
    <w:p w:rsidR="00800760" w:rsidRDefault="00235733">
      <w:pPr>
        <w:spacing w:before="87" w:line="360" w:lineRule="auto"/>
        <w:ind w:left="430" w:firstLineChars="0" w:firstLine="0"/>
        <w:rPr>
          <w:rFonts w:ascii="仿宋" w:eastAsia="仿宋" w:hAnsi="仿宋" w:cs="仿宋"/>
          <w:sz w:val="20"/>
        </w:rPr>
      </w:pPr>
      <w:r>
        <w:rPr>
          <w:rFonts w:ascii="仿宋" w:eastAsia="仿宋" w:hAnsi="仿宋" w:cs="仿宋"/>
          <w:spacing w:val="9"/>
          <w:sz w:val="20"/>
        </w:rPr>
        <w:t>□代为提出、变更、放弃处理请求</w:t>
      </w:r>
    </w:p>
    <w:p w:rsidR="00800760" w:rsidRDefault="00235733">
      <w:pPr>
        <w:pStyle w:val="a5"/>
        <w:spacing w:after="0" w:line="360" w:lineRule="auto"/>
        <w:ind w:firstLineChars="0" w:firstLine="0"/>
        <w:rPr>
          <w:sz w:val="2"/>
        </w:rPr>
      </w:pPr>
      <w:r>
        <w:rPr>
          <w:sz w:val="2"/>
          <w:szCs w:val="2"/>
        </w:rPr>
        <w:br w:type="column"/>
      </w:r>
    </w:p>
    <w:p w:rsidR="00800760" w:rsidRDefault="00235733">
      <w:pPr>
        <w:spacing w:before="1" w:line="360" w:lineRule="auto"/>
        <w:ind w:left="21" w:firstLineChars="0" w:firstLine="0"/>
        <w:rPr>
          <w:rFonts w:ascii="仿宋" w:eastAsia="仿宋" w:hAnsi="仿宋" w:cs="仿宋"/>
          <w:sz w:val="20"/>
        </w:rPr>
      </w:pPr>
      <w:r>
        <w:rPr>
          <w:rFonts w:ascii="仿宋" w:eastAsia="仿宋" w:hAnsi="仿宋" w:cs="仿宋"/>
          <w:spacing w:val="5"/>
          <w:sz w:val="20"/>
        </w:rPr>
        <w:t>□代为答辩、意见陈述</w:t>
      </w:r>
    </w:p>
    <w:p w:rsidR="00800760" w:rsidRDefault="00235733">
      <w:pPr>
        <w:spacing w:before="118" w:line="360" w:lineRule="auto"/>
        <w:ind w:left="21" w:right="2360" w:firstLineChars="0" w:firstLine="0"/>
        <w:rPr>
          <w:rFonts w:ascii="仿宋" w:eastAsia="仿宋" w:hAnsi="仿宋" w:cs="仿宋"/>
          <w:sz w:val="15"/>
          <w:szCs w:val="15"/>
        </w:rPr>
      </w:pPr>
      <w:r>
        <w:rPr>
          <w:noProof/>
          <w:sz w:val="20"/>
          <w:lang w:val="en-US"/>
        </w:rPr>
        <w:drawing>
          <wp:anchor distT="0" distB="0" distL="0" distR="0" simplePos="0" relativeHeight="251668480" behindDoc="0" locked="0" layoutInCell="1" allowOverlap="1">
            <wp:simplePos x="0" y="0"/>
            <wp:positionH relativeFrom="column">
              <wp:posOffset>123190</wp:posOffset>
            </wp:positionH>
            <wp:positionV relativeFrom="paragraph">
              <wp:posOffset>465455</wp:posOffset>
            </wp:positionV>
            <wp:extent cx="662940" cy="45720"/>
            <wp:effectExtent l="0" t="0" r="10160" b="5080"/>
            <wp:wrapNone/>
            <wp:docPr id="22" name="IM 226"/>
            <wp:cNvGraphicFramePr/>
            <a:graphic xmlns:a="http://schemas.openxmlformats.org/drawingml/2006/main">
              <a:graphicData uri="http://schemas.openxmlformats.org/drawingml/2006/picture">
                <pic:pic xmlns:pic="http://schemas.openxmlformats.org/drawingml/2006/picture">
                  <pic:nvPicPr>
                    <pic:cNvPr id="22" name="IM 226"/>
                    <pic:cNvPicPr>
                      <a:picLocks noChangeArrowheads="1"/>
                    </pic:cNvPicPr>
                  </pic:nvPicPr>
                  <pic:blipFill>
                    <a:blip r:embed="rId108" cstate="print"/>
                    <a:srcRect/>
                    <a:stretch>
                      <a:fillRect/>
                    </a:stretch>
                  </pic:blipFill>
                  <pic:spPr>
                    <a:xfrm>
                      <a:off x="0" y="0"/>
                      <a:ext cx="662940" cy="45720"/>
                    </a:xfrm>
                    <a:prstGeom prst="rect">
                      <a:avLst/>
                    </a:prstGeom>
                    <a:noFill/>
                    <a:ln w="9525">
                      <a:noFill/>
                      <a:miter lim="800000"/>
                      <a:headEnd/>
                      <a:tailEnd/>
                    </a:ln>
                  </pic:spPr>
                </pic:pic>
              </a:graphicData>
            </a:graphic>
          </wp:anchor>
        </w:drawing>
      </w:r>
      <w:r>
        <w:rPr>
          <w:rFonts w:ascii="仿宋" w:eastAsia="仿宋" w:hAnsi="仿宋" w:cs="仿宋"/>
          <w:spacing w:val="7"/>
          <w:sz w:val="20"/>
        </w:rPr>
        <w:t>□参加调解</w:t>
      </w:r>
      <w:r>
        <w:rPr>
          <w:rFonts w:ascii="仿宋" w:eastAsia="仿宋" w:hAnsi="仿宋" w:cs="仿宋"/>
          <w:sz w:val="20"/>
        </w:rPr>
        <w:t xml:space="preserve"> </w:t>
      </w:r>
      <w:r>
        <w:rPr>
          <w:rFonts w:ascii="仿宋" w:eastAsia="仿宋" w:hAnsi="仿宋" w:cs="仿宋"/>
          <w:spacing w:val="7"/>
          <w:sz w:val="20"/>
        </w:rPr>
        <w:t>□</w:t>
      </w:r>
    </w:p>
    <w:p w:rsidR="00800760" w:rsidRDefault="00800760">
      <w:pPr>
        <w:pStyle w:val="a5"/>
        <w:spacing w:after="0" w:line="360" w:lineRule="auto"/>
        <w:ind w:left="23" w:firstLineChars="0" w:firstLine="0"/>
        <w:rPr>
          <w:sz w:val="20"/>
        </w:rPr>
      </w:pPr>
    </w:p>
    <w:p w:rsidR="00800760" w:rsidRDefault="00235733">
      <w:pPr>
        <w:spacing w:before="65" w:line="360" w:lineRule="auto"/>
        <w:ind w:left="21" w:firstLineChars="0" w:firstLine="0"/>
        <w:rPr>
          <w:rFonts w:ascii="仿宋" w:eastAsia="仿宋" w:hAnsi="仿宋" w:cs="仿宋"/>
          <w:sz w:val="20"/>
        </w:rPr>
      </w:pPr>
      <w:r>
        <w:rPr>
          <w:rFonts w:ascii="仿宋" w:eastAsia="仿宋" w:hAnsi="仿宋" w:cs="仿宋"/>
          <w:spacing w:val="5"/>
          <w:sz w:val="20"/>
        </w:rPr>
        <w:t>□代为答辩、意见陈述</w:t>
      </w:r>
    </w:p>
    <w:p w:rsidR="00800760" w:rsidRDefault="00235733">
      <w:pPr>
        <w:spacing w:before="78" w:line="360" w:lineRule="auto"/>
        <w:ind w:left="21" w:firstLineChars="0" w:firstLine="0"/>
        <w:rPr>
          <w:rFonts w:ascii="仿宋" w:eastAsia="仿宋" w:hAnsi="仿宋" w:cs="仿宋"/>
          <w:spacing w:val="7"/>
          <w:sz w:val="20"/>
        </w:rPr>
      </w:pPr>
      <w:r>
        <w:rPr>
          <w:noProof/>
          <w:sz w:val="20"/>
          <w:lang w:val="en-US"/>
        </w:rPr>
        <w:drawing>
          <wp:anchor distT="0" distB="0" distL="0" distR="0" simplePos="0" relativeHeight="251667456" behindDoc="0" locked="0" layoutInCell="1" allowOverlap="1">
            <wp:simplePos x="0" y="0"/>
            <wp:positionH relativeFrom="column">
              <wp:posOffset>13335</wp:posOffset>
            </wp:positionH>
            <wp:positionV relativeFrom="paragraph">
              <wp:posOffset>387985</wp:posOffset>
            </wp:positionV>
            <wp:extent cx="673100" cy="6350"/>
            <wp:effectExtent l="0" t="0" r="0" b="0"/>
            <wp:wrapNone/>
            <wp:docPr id="23" name="IM 228"/>
            <wp:cNvGraphicFramePr/>
            <a:graphic xmlns:a="http://schemas.openxmlformats.org/drawingml/2006/main">
              <a:graphicData uri="http://schemas.openxmlformats.org/drawingml/2006/picture">
                <pic:pic xmlns:pic="http://schemas.openxmlformats.org/drawingml/2006/picture">
                  <pic:nvPicPr>
                    <pic:cNvPr id="23" name="IM 228"/>
                    <pic:cNvPicPr>
                      <a:picLocks noChangeArrowheads="1"/>
                    </pic:cNvPicPr>
                  </pic:nvPicPr>
                  <pic:blipFill>
                    <a:blip r:embed="rId109" cstate="print"/>
                    <a:srcRect/>
                    <a:stretch>
                      <a:fillRect/>
                    </a:stretch>
                  </pic:blipFill>
                  <pic:spPr>
                    <a:xfrm>
                      <a:off x="0" y="0"/>
                      <a:ext cx="670560" cy="7620"/>
                    </a:xfrm>
                    <a:prstGeom prst="rect">
                      <a:avLst/>
                    </a:prstGeom>
                    <a:noFill/>
                    <a:ln w="9525">
                      <a:noFill/>
                      <a:miter lim="800000"/>
                      <a:headEnd/>
                      <a:tailEnd/>
                    </a:ln>
                  </pic:spPr>
                </pic:pic>
              </a:graphicData>
            </a:graphic>
          </wp:anchor>
        </w:drawing>
      </w:r>
      <w:r>
        <w:rPr>
          <w:rFonts w:ascii="仿宋" w:eastAsia="仿宋" w:hAnsi="仿宋" w:cs="仿宋"/>
          <w:spacing w:val="7"/>
          <w:sz w:val="20"/>
        </w:rPr>
        <w:t>□参加调解</w:t>
      </w:r>
    </w:p>
    <w:p w:rsidR="00800760" w:rsidRDefault="00235733">
      <w:pPr>
        <w:spacing w:before="78" w:line="360" w:lineRule="auto"/>
        <w:ind w:left="21" w:firstLineChars="0" w:firstLine="0"/>
        <w:rPr>
          <w:rFonts w:ascii="仿宋" w:eastAsia="仿宋" w:hAnsi="仿宋" w:cs="仿宋"/>
          <w:spacing w:val="7"/>
          <w:sz w:val="20"/>
        </w:rPr>
      </w:pPr>
      <w:r>
        <w:rPr>
          <w:rFonts w:ascii="仿宋" w:eastAsia="仿宋" w:hAnsi="仿宋" w:cs="仿宋"/>
          <w:spacing w:val="7"/>
          <w:sz w:val="20"/>
        </w:rPr>
        <w:t>□</w:t>
      </w:r>
    </w:p>
    <w:p w:rsidR="00800760" w:rsidRDefault="00800760">
      <w:pPr>
        <w:spacing w:before="78" w:line="222" w:lineRule="auto"/>
        <w:ind w:left="21" w:firstLineChars="0" w:firstLine="0"/>
        <w:jc w:val="both"/>
        <w:rPr>
          <w:rFonts w:ascii="仿宋" w:eastAsia="仿宋" w:hAnsi="仿宋" w:cs="仿宋"/>
          <w:spacing w:val="7"/>
          <w:sz w:val="20"/>
        </w:rPr>
      </w:pPr>
    </w:p>
    <w:p w:rsidR="00800760" w:rsidRDefault="00235733">
      <w:pPr>
        <w:spacing w:before="78" w:line="360" w:lineRule="auto"/>
        <w:ind w:left="23" w:firstLineChars="0" w:firstLine="0"/>
        <w:jc w:val="both"/>
        <w:rPr>
          <w:rFonts w:ascii="仿宋" w:eastAsia="仿宋" w:hAnsi="仿宋" w:cs="仿宋"/>
          <w:spacing w:val="7"/>
          <w:sz w:val="20"/>
        </w:rPr>
      </w:pPr>
      <w:r>
        <w:rPr>
          <w:rFonts w:ascii="仿宋" w:eastAsia="仿宋" w:hAnsi="仿宋" w:cs="仿宋" w:hint="eastAsia"/>
          <w:spacing w:val="7"/>
          <w:sz w:val="20"/>
        </w:rPr>
        <w:t>委托人(签章):</w:t>
      </w:r>
      <w:r>
        <w:rPr>
          <w:rFonts w:ascii="仿宋" w:eastAsia="仿宋" w:hAnsi="仿宋" w:cs="仿宋" w:hint="eastAsia"/>
          <w:spacing w:val="7"/>
          <w:sz w:val="20"/>
          <w:u w:val="single"/>
        </w:rPr>
        <w:t xml:space="preserve">                  </w:t>
      </w:r>
      <w:r>
        <w:rPr>
          <w:rFonts w:ascii="仿宋" w:eastAsia="仿宋" w:hAnsi="仿宋" w:cs="仿宋" w:hint="eastAsia"/>
          <w:spacing w:val="7"/>
          <w:sz w:val="20"/>
        </w:rPr>
        <w:t xml:space="preserve">                                          </w:t>
      </w:r>
    </w:p>
    <w:p w:rsidR="00800760" w:rsidRDefault="00235733">
      <w:pPr>
        <w:spacing w:before="78" w:line="360" w:lineRule="auto"/>
        <w:ind w:left="23" w:firstLineChars="0" w:firstLine="0"/>
        <w:jc w:val="both"/>
        <w:rPr>
          <w:rFonts w:ascii="仿宋" w:eastAsia="仿宋" w:hAnsi="仿宋" w:cs="仿宋"/>
          <w:spacing w:val="7"/>
          <w:sz w:val="20"/>
        </w:rPr>
      </w:pPr>
      <w:r>
        <w:rPr>
          <w:rFonts w:ascii="仿宋" w:eastAsia="仿宋" w:hAnsi="仿宋" w:cs="仿宋" w:hint="eastAsia"/>
          <w:spacing w:val="7"/>
          <w:sz w:val="20"/>
        </w:rPr>
        <w:t>法定代表人(负责人)(签章):</w:t>
      </w:r>
      <w:r>
        <w:rPr>
          <w:rFonts w:ascii="仿宋" w:eastAsia="仿宋" w:hAnsi="仿宋" w:cs="仿宋" w:hint="eastAsia"/>
          <w:spacing w:val="7"/>
          <w:sz w:val="20"/>
          <w:u w:val="single"/>
        </w:rPr>
        <w:t xml:space="preserve">       </w:t>
      </w:r>
      <w:r>
        <w:rPr>
          <w:rFonts w:ascii="仿宋" w:eastAsia="仿宋" w:hAnsi="仿宋" w:cs="仿宋" w:hint="eastAsia"/>
          <w:spacing w:val="7"/>
          <w:sz w:val="20"/>
        </w:rPr>
        <w:t xml:space="preserve">                      </w:t>
      </w:r>
    </w:p>
    <w:p w:rsidR="00800760" w:rsidRDefault="00235733">
      <w:pPr>
        <w:spacing w:before="78" w:line="360" w:lineRule="auto"/>
        <w:ind w:left="23" w:firstLineChars="0" w:firstLine="0"/>
        <w:jc w:val="both"/>
        <w:rPr>
          <w:rFonts w:ascii="仿宋" w:eastAsia="仿宋" w:hAnsi="仿宋" w:cs="仿宋"/>
          <w:spacing w:val="7"/>
          <w:sz w:val="20"/>
        </w:rPr>
      </w:pPr>
      <w:r>
        <w:rPr>
          <w:rFonts w:ascii="仿宋" w:eastAsia="仿宋" w:hAnsi="仿宋" w:cs="仿宋" w:hint="eastAsia"/>
          <w:spacing w:val="7"/>
          <w:sz w:val="20"/>
        </w:rPr>
        <w:tab/>
        <w:t xml:space="preserve"> 年      月     日</w:t>
      </w:r>
    </w:p>
    <w:p w:rsidR="00800760" w:rsidRDefault="00800760">
      <w:pPr>
        <w:spacing w:before="78" w:line="222" w:lineRule="auto"/>
        <w:rPr>
          <w:rFonts w:ascii="仿宋" w:eastAsia="仿宋" w:hAnsi="仿宋" w:cs="仿宋"/>
        </w:rPr>
        <w:sectPr w:rsidR="00800760">
          <w:type w:val="continuous"/>
          <w:pgSz w:w="10830" w:h="15080"/>
          <w:pgMar w:top="1373" w:right="1225" w:bottom="1312" w:left="1559" w:header="1062" w:footer="1177" w:gutter="0"/>
          <w:cols w:num="2" w:space="720" w:equalWidth="0">
            <w:col w:w="4309" w:space="100"/>
            <w:col w:w="3636"/>
          </w:cols>
        </w:sectPr>
      </w:pPr>
    </w:p>
    <w:p w:rsidR="00800760" w:rsidRDefault="00235733">
      <w:pPr>
        <w:spacing w:before="107" w:line="222" w:lineRule="auto"/>
        <w:ind w:firstLineChars="0" w:firstLine="0"/>
        <w:jc w:val="center"/>
        <w:outlineLvl w:val="2"/>
        <w:rPr>
          <w:rFonts w:ascii="方正小标宋简体" w:eastAsia="方正小标宋简体" w:hAnsi="宋体"/>
          <w:color w:val="000000"/>
          <w:spacing w:val="6"/>
          <w:sz w:val="36"/>
          <w:szCs w:val="36"/>
        </w:rPr>
      </w:pPr>
      <w:bookmarkStart w:id="9372" w:name="_Toc229225675"/>
      <w:r>
        <w:rPr>
          <w:rFonts w:ascii="方正小标宋简体" w:eastAsia="方正小标宋简体" w:hAnsi="宋体"/>
          <w:color w:val="000000"/>
          <w:spacing w:val="6"/>
          <w:sz w:val="36"/>
          <w:szCs w:val="36"/>
        </w:rPr>
        <w:t>专利纠纷和解协议书</w:t>
      </w:r>
      <w:bookmarkEnd w:id="9372"/>
    </w:p>
    <w:p w:rsidR="00800760" w:rsidRDefault="00235733">
      <w:pPr>
        <w:spacing w:before="72" w:line="360" w:lineRule="auto"/>
        <w:ind w:left="29" w:firstLineChars="0" w:firstLine="0"/>
        <w:rPr>
          <w:rFonts w:ascii="仿宋_GB2312" w:eastAsia="仿宋_GB2312" w:hAnsi="仿宋" w:cs="仿宋"/>
          <w:sz w:val="20"/>
        </w:rPr>
      </w:pPr>
      <w:r>
        <w:rPr>
          <w:rFonts w:ascii="仿宋_GB2312" w:eastAsia="仿宋_GB2312" w:hAnsi="仿宋" w:cs="仿宋" w:hint="eastAsia"/>
          <w:spacing w:val="-16"/>
          <w:sz w:val="20"/>
        </w:rPr>
        <w:t>甲  方</w:t>
      </w:r>
      <w:r>
        <w:rPr>
          <w:rFonts w:ascii="仿宋_GB2312" w:eastAsia="仿宋_GB2312" w:hAnsi="仿宋" w:cs="仿宋" w:hint="eastAsia"/>
          <w:spacing w:val="-52"/>
          <w:sz w:val="20"/>
        </w:rPr>
        <w:t xml:space="preserve"> </w:t>
      </w:r>
      <w:r>
        <w:rPr>
          <w:rFonts w:ascii="仿宋_GB2312" w:eastAsia="仿宋_GB2312" w:hAnsi="仿宋" w:cs="仿宋" w:hint="eastAsia"/>
          <w:spacing w:val="-16"/>
          <w:sz w:val="20"/>
        </w:rPr>
        <w:t>：</w:t>
      </w:r>
    </w:p>
    <w:p w:rsidR="00800760" w:rsidRDefault="00235733">
      <w:pPr>
        <w:spacing w:before="75" w:line="360" w:lineRule="auto"/>
        <w:ind w:left="29" w:right="5877" w:firstLineChars="0" w:firstLine="0"/>
        <w:rPr>
          <w:rFonts w:ascii="仿宋_GB2312" w:eastAsia="仿宋_GB2312" w:hAnsi="仿宋" w:cs="仿宋"/>
          <w:sz w:val="20"/>
        </w:rPr>
      </w:pPr>
      <w:r>
        <w:rPr>
          <w:rFonts w:ascii="仿宋_GB2312" w:eastAsia="仿宋_GB2312" w:hAnsi="仿宋" w:cs="仿宋" w:hint="eastAsia"/>
          <w:spacing w:val="4"/>
          <w:sz w:val="20"/>
        </w:rPr>
        <w:t>法定代表人(负责人):</w:t>
      </w:r>
      <w:r>
        <w:rPr>
          <w:rFonts w:ascii="仿宋_GB2312" w:eastAsia="仿宋_GB2312" w:hAnsi="仿宋" w:cs="仿宋" w:hint="eastAsia"/>
          <w:sz w:val="20"/>
        </w:rPr>
        <w:t xml:space="preserve"> </w:t>
      </w:r>
    </w:p>
    <w:p w:rsidR="00800760" w:rsidRDefault="00235733">
      <w:pPr>
        <w:spacing w:before="75" w:line="360" w:lineRule="auto"/>
        <w:ind w:left="29" w:right="5877" w:firstLineChars="0" w:firstLine="0"/>
        <w:rPr>
          <w:rFonts w:ascii="仿宋_GB2312" w:eastAsia="仿宋_GB2312" w:hAnsi="仿宋" w:cs="仿宋"/>
          <w:sz w:val="20"/>
        </w:rPr>
      </w:pPr>
      <w:r>
        <w:rPr>
          <w:rFonts w:ascii="仿宋_GB2312" w:eastAsia="仿宋_GB2312" w:hAnsi="仿宋" w:cs="仿宋" w:hint="eastAsia"/>
          <w:spacing w:val="-10"/>
          <w:sz w:val="20"/>
        </w:rPr>
        <w:t>住</w:t>
      </w:r>
      <w:r>
        <w:rPr>
          <w:rFonts w:ascii="仿宋_GB2312" w:eastAsia="仿宋_GB2312" w:hAnsi="仿宋" w:cs="仿宋" w:hint="eastAsia"/>
          <w:spacing w:val="22"/>
          <w:sz w:val="20"/>
        </w:rPr>
        <w:t xml:space="preserve"> </w:t>
      </w:r>
      <w:r>
        <w:rPr>
          <w:rFonts w:ascii="仿宋_GB2312" w:eastAsia="仿宋_GB2312" w:hAnsi="仿宋" w:cs="仿宋" w:hint="eastAsia"/>
          <w:spacing w:val="-10"/>
          <w:sz w:val="20"/>
        </w:rPr>
        <w:t>所</w:t>
      </w:r>
      <w:r>
        <w:rPr>
          <w:rFonts w:ascii="仿宋_GB2312" w:eastAsia="仿宋_GB2312" w:hAnsi="仿宋" w:cs="仿宋" w:hint="eastAsia"/>
          <w:spacing w:val="6"/>
          <w:sz w:val="20"/>
        </w:rPr>
        <w:t xml:space="preserve"> </w:t>
      </w:r>
      <w:r>
        <w:rPr>
          <w:rFonts w:ascii="仿宋_GB2312" w:eastAsia="仿宋_GB2312" w:hAnsi="仿宋" w:cs="仿宋" w:hint="eastAsia"/>
          <w:spacing w:val="-10"/>
          <w:sz w:val="20"/>
        </w:rPr>
        <w:t>：</w:t>
      </w:r>
    </w:p>
    <w:p w:rsidR="00800760" w:rsidRDefault="00235733">
      <w:pPr>
        <w:spacing w:before="19" w:line="360" w:lineRule="auto"/>
        <w:ind w:left="29" w:firstLineChars="0" w:firstLine="0"/>
        <w:rPr>
          <w:rFonts w:ascii="仿宋_GB2312" w:eastAsia="仿宋_GB2312" w:hAnsi="仿宋" w:cs="仿宋"/>
          <w:sz w:val="20"/>
        </w:rPr>
      </w:pPr>
      <w:r>
        <w:rPr>
          <w:rFonts w:ascii="仿宋_GB2312" w:eastAsia="仿宋_GB2312" w:hAnsi="仿宋" w:cs="仿宋" w:hint="eastAsia"/>
          <w:spacing w:val="-14"/>
          <w:sz w:val="20"/>
        </w:rPr>
        <w:t>委托代理机构及代理人：</w:t>
      </w:r>
    </w:p>
    <w:p w:rsidR="00800760" w:rsidRDefault="00800760">
      <w:pPr>
        <w:pStyle w:val="a5"/>
        <w:spacing w:after="0" w:line="360" w:lineRule="auto"/>
        <w:ind w:firstLineChars="0" w:firstLine="0"/>
        <w:rPr>
          <w:rFonts w:ascii="仿宋_GB2312" w:eastAsia="仿宋_GB2312"/>
          <w:sz w:val="20"/>
        </w:rPr>
      </w:pPr>
    </w:p>
    <w:p w:rsidR="00800760" w:rsidRDefault="00235733">
      <w:pPr>
        <w:spacing w:before="75" w:line="360" w:lineRule="auto"/>
        <w:ind w:left="25" w:firstLineChars="0" w:firstLine="0"/>
        <w:rPr>
          <w:rFonts w:ascii="仿宋_GB2312" w:eastAsia="仿宋_GB2312" w:hAnsi="仿宋" w:cs="仿宋"/>
          <w:sz w:val="20"/>
        </w:rPr>
      </w:pPr>
      <w:r>
        <w:rPr>
          <w:rFonts w:ascii="仿宋_GB2312" w:eastAsia="仿宋_GB2312" w:hAnsi="仿宋" w:cs="仿宋" w:hint="eastAsia"/>
          <w:iCs/>
          <w:spacing w:val="48"/>
          <w:sz w:val="20"/>
        </w:rPr>
        <w:t>乙方：</w:t>
      </w:r>
    </w:p>
    <w:p w:rsidR="00800760" w:rsidRDefault="00235733">
      <w:pPr>
        <w:spacing w:before="60" w:line="360" w:lineRule="auto"/>
        <w:ind w:left="29" w:right="5877" w:firstLineChars="0" w:firstLine="0"/>
        <w:rPr>
          <w:rFonts w:ascii="仿宋_GB2312" w:eastAsia="仿宋_GB2312" w:hAnsi="仿宋" w:cs="仿宋"/>
          <w:sz w:val="20"/>
        </w:rPr>
      </w:pPr>
      <w:r>
        <w:rPr>
          <w:rFonts w:ascii="仿宋_GB2312" w:eastAsia="仿宋_GB2312" w:hAnsi="仿宋" w:cs="仿宋" w:hint="eastAsia"/>
          <w:spacing w:val="4"/>
          <w:sz w:val="20"/>
        </w:rPr>
        <w:t>法定代表人(负责人):</w:t>
      </w:r>
      <w:r>
        <w:rPr>
          <w:rFonts w:ascii="仿宋_GB2312" w:eastAsia="仿宋_GB2312" w:hAnsi="仿宋" w:cs="仿宋" w:hint="eastAsia"/>
          <w:sz w:val="20"/>
        </w:rPr>
        <w:t xml:space="preserve"> </w:t>
      </w:r>
    </w:p>
    <w:p w:rsidR="00800760" w:rsidRDefault="00235733">
      <w:pPr>
        <w:spacing w:before="60" w:line="360" w:lineRule="auto"/>
        <w:ind w:left="29" w:right="5877" w:firstLineChars="0" w:firstLine="0"/>
        <w:rPr>
          <w:rFonts w:ascii="仿宋_GB2312" w:eastAsia="仿宋_GB2312" w:hAnsi="仿宋" w:cs="仿宋"/>
          <w:sz w:val="20"/>
        </w:rPr>
      </w:pPr>
      <w:r>
        <w:rPr>
          <w:rFonts w:ascii="仿宋_GB2312" w:eastAsia="仿宋_GB2312" w:hAnsi="仿宋" w:cs="仿宋" w:hint="eastAsia"/>
          <w:spacing w:val="-10"/>
          <w:sz w:val="20"/>
        </w:rPr>
        <w:t>住</w:t>
      </w:r>
      <w:r>
        <w:rPr>
          <w:rFonts w:ascii="仿宋_GB2312" w:eastAsia="仿宋_GB2312" w:hAnsi="仿宋" w:cs="仿宋" w:hint="eastAsia"/>
          <w:spacing w:val="22"/>
          <w:sz w:val="20"/>
        </w:rPr>
        <w:t xml:space="preserve"> </w:t>
      </w:r>
      <w:r>
        <w:rPr>
          <w:rFonts w:ascii="仿宋_GB2312" w:eastAsia="仿宋_GB2312" w:hAnsi="仿宋" w:cs="仿宋" w:hint="eastAsia"/>
          <w:spacing w:val="-10"/>
          <w:sz w:val="20"/>
        </w:rPr>
        <w:t>所</w:t>
      </w:r>
      <w:r>
        <w:rPr>
          <w:rFonts w:ascii="仿宋_GB2312" w:eastAsia="仿宋_GB2312" w:hAnsi="仿宋" w:cs="仿宋" w:hint="eastAsia"/>
          <w:spacing w:val="6"/>
          <w:sz w:val="20"/>
        </w:rPr>
        <w:t xml:space="preserve"> </w:t>
      </w:r>
      <w:r>
        <w:rPr>
          <w:rFonts w:ascii="仿宋_GB2312" w:eastAsia="仿宋_GB2312" w:hAnsi="仿宋" w:cs="仿宋" w:hint="eastAsia"/>
          <w:spacing w:val="-10"/>
          <w:sz w:val="20"/>
        </w:rPr>
        <w:t>：</w:t>
      </w:r>
    </w:p>
    <w:p w:rsidR="00800760" w:rsidRDefault="00235733">
      <w:pPr>
        <w:spacing w:before="9" w:line="360" w:lineRule="auto"/>
        <w:ind w:left="29" w:firstLineChars="0" w:firstLine="0"/>
        <w:rPr>
          <w:rFonts w:ascii="仿宋_GB2312" w:eastAsia="仿宋_GB2312" w:hAnsi="仿宋" w:cs="仿宋"/>
          <w:sz w:val="20"/>
        </w:rPr>
      </w:pPr>
      <w:r>
        <w:rPr>
          <w:rFonts w:ascii="仿宋_GB2312" w:eastAsia="仿宋_GB2312" w:hAnsi="仿宋" w:cs="仿宋" w:hint="eastAsia"/>
          <w:spacing w:val="-14"/>
          <w:sz w:val="20"/>
        </w:rPr>
        <w:t>委托代理机构及代理人：</w:t>
      </w:r>
    </w:p>
    <w:p w:rsidR="00800760" w:rsidRDefault="00800760">
      <w:pPr>
        <w:pStyle w:val="a5"/>
        <w:spacing w:after="0" w:line="360" w:lineRule="auto"/>
        <w:ind w:firstLineChars="0" w:firstLine="0"/>
        <w:rPr>
          <w:rFonts w:ascii="仿宋_GB2312" w:eastAsia="仿宋_GB2312"/>
          <w:sz w:val="20"/>
        </w:rPr>
      </w:pPr>
    </w:p>
    <w:p w:rsidR="00800760" w:rsidRDefault="00235733">
      <w:pPr>
        <w:tabs>
          <w:tab w:val="left" w:pos="1695"/>
        </w:tabs>
        <w:spacing w:before="72" w:line="360" w:lineRule="auto"/>
        <w:ind w:left="29" w:right="2" w:firstLineChars="0" w:firstLine="449"/>
        <w:rPr>
          <w:rFonts w:ascii="仿宋_GB2312" w:eastAsia="仿宋_GB2312" w:hAnsi="仿宋" w:cs="仿宋"/>
          <w:sz w:val="20"/>
        </w:rPr>
      </w:pPr>
      <w:r>
        <w:rPr>
          <w:rFonts w:ascii="仿宋_GB2312" w:eastAsia="仿宋_GB2312" w:hAnsi="仿宋" w:cs="仿宋" w:hint="eastAsia"/>
          <w:spacing w:val="-14"/>
          <w:sz w:val="20"/>
        </w:rPr>
        <w:t>甲方</w:t>
      </w:r>
      <w:r>
        <w:rPr>
          <w:rFonts w:ascii="仿宋_GB2312" w:eastAsia="仿宋_GB2312" w:hAnsi="仿宋" w:cs="仿宋" w:hint="eastAsia"/>
          <w:spacing w:val="-14"/>
          <w:sz w:val="20"/>
          <w:u w:val="single"/>
        </w:rPr>
        <w:t xml:space="preserve">                 </w:t>
      </w:r>
      <w:r>
        <w:rPr>
          <w:rFonts w:ascii="仿宋_GB2312" w:eastAsia="仿宋_GB2312" w:hAnsi="仿宋" w:cs="仿宋" w:hint="eastAsia"/>
          <w:spacing w:val="20"/>
          <w:sz w:val="20"/>
        </w:rPr>
        <w:t xml:space="preserve"> </w:t>
      </w:r>
      <w:r>
        <w:rPr>
          <w:rFonts w:ascii="仿宋_GB2312" w:eastAsia="仿宋_GB2312" w:hAnsi="仿宋" w:cs="仿宋" w:hint="eastAsia"/>
          <w:spacing w:val="-14"/>
          <w:sz w:val="20"/>
        </w:rPr>
        <w:t>就其</w:t>
      </w:r>
      <w:r>
        <w:rPr>
          <w:rFonts w:ascii="仿宋_GB2312" w:eastAsia="仿宋_GB2312" w:hAnsi="仿宋" w:cs="仿宋" w:hint="eastAsia"/>
          <w:spacing w:val="16"/>
          <w:sz w:val="20"/>
        </w:rPr>
        <w:t xml:space="preserve"> </w:t>
      </w:r>
      <w:r>
        <w:rPr>
          <w:rFonts w:ascii="仿宋_GB2312" w:eastAsia="仿宋_GB2312" w:hAnsi="仿宋" w:cs="仿宋" w:hint="eastAsia"/>
          <w:spacing w:val="-14"/>
          <w:sz w:val="20"/>
        </w:rPr>
        <w:t>“</w:t>
      </w:r>
      <w:r>
        <w:rPr>
          <w:rFonts w:ascii="仿宋_GB2312" w:eastAsia="仿宋_GB2312" w:hAnsi="仿宋" w:cs="仿宋" w:hint="eastAsia"/>
          <w:spacing w:val="-38"/>
          <w:sz w:val="20"/>
        </w:rPr>
        <w:t xml:space="preserve"> </w:t>
      </w:r>
      <w:r>
        <w:rPr>
          <w:rFonts w:ascii="仿宋_GB2312" w:eastAsia="仿宋_GB2312" w:hAnsi="仿宋" w:cs="仿宋" w:hint="eastAsia"/>
          <w:spacing w:val="1"/>
          <w:sz w:val="20"/>
          <w:u w:val="single"/>
        </w:rPr>
        <w:t xml:space="preserve">               </w:t>
      </w:r>
      <w:r>
        <w:rPr>
          <w:rFonts w:ascii="仿宋_GB2312" w:eastAsia="仿宋_GB2312" w:hAnsi="仿宋" w:cs="仿宋" w:hint="eastAsia"/>
          <w:spacing w:val="-55"/>
          <w:sz w:val="20"/>
        </w:rPr>
        <w:t xml:space="preserve"> </w:t>
      </w:r>
      <w:r>
        <w:rPr>
          <w:rFonts w:ascii="仿宋_GB2312" w:eastAsia="仿宋_GB2312" w:hAnsi="仿宋" w:cs="仿宋" w:hint="eastAsia"/>
          <w:spacing w:val="-14"/>
          <w:sz w:val="20"/>
        </w:rPr>
        <w:t>” 专利</w:t>
      </w:r>
      <w:r>
        <w:rPr>
          <w:rFonts w:ascii="仿宋_GB2312" w:eastAsia="仿宋_GB2312" w:hAnsi="仿宋" w:cs="仿宋" w:hint="eastAsia"/>
          <w:spacing w:val="52"/>
          <w:sz w:val="20"/>
        </w:rPr>
        <w:t xml:space="preserve"> </w:t>
      </w:r>
      <w:r>
        <w:rPr>
          <w:rFonts w:ascii="仿宋_GB2312" w:eastAsia="仿宋_GB2312" w:hAnsi="仿宋" w:cs="仿宋" w:hint="eastAsia"/>
          <w:spacing w:val="-14"/>
          <w:sz w:val="20"/>
        </w:rPr>
        <w:t>(</w:t>
      </w:r>
      <w:r>
        <w:rPr>
          <w:rFonts w:ascii="仿宋_GB2312" w:eastAsia="仿宋_GB2312" w:hAnsi="仿宋" w:cs="仿宋" w:hint="eastAsia"/>
          <w:spacing w:val="23"/>
          <w:sz w:val="20"/>
        </w:rPr>
        <w:t xml:space="preserve"> </w:t>
      </w:r>
      <w:r>
        <w:rPr>
          <w:rFonts w:ascii="仿宋_GB2312" w:eastAsia="仿宋_GB2312" w:hAnsi="仿宋" w:cs="仿宋" w:hint="eastAsia"/>
          <w:spacing w:val="-14"/>
          <w:sz w:val="20"/>
        </w:rPr>
        <w:t>专利号 ：</w:t>
      </w:r>
      <w:r>
        <w:rPr>
          <w:rFonts w:ascii="仿宋_GB2312" w:eastAsia="仿宋_GB2312" w:hAnsi="仿宋" w:cs="仿宋" w:hint="eastAsia"/>
          <w:spacing w:val="-14"/>
          <w:sz w:val="20"/>
          <w:lang w:val="en-US"/>
        </w:rPr>
        <w:t xml:space="preserve">  </w:t>
      </w:r>
      <w:r>
        <w:rPr>
          <w:rFonts w:ascii="仿宋_GB2312" w:eastAsia="仿宋_GB2312" w:hAnsi="仿宋" w:cs="仿宋" w:hint="eastAsia"/>
          <w:sz w:val="20"/>
          <w:u w:val="single"/>
        </w:rPr>
        <w:tab/>
      </w:r>
      <w:r>
        <w:rPr>
          <w:rFonts w:ascii="仿宋_GB2312" w:eastAsia="仿宋_GB2312" w:hAnsi="仿宋" w:cs="仿宋" w:hint="eastAsia"/>
          <w:sz w:val="20"/>
          <w:u w:val="single"/>
          <w:lang w:val="en-US"/>
        </w:rPr>
        <w:t xml:space="preserve">         </w:t>
      </w:r>
      <w:r>
        <w:rPr>
          <w:rFonts w:ascii="仿宋_GB2312" w:eastAsia="仿宋_GB2312" w:hAnsi="仿宋" w:cs="仿宋" w:hint="eastAsia"/>
          <w:spacing w:val="4"/>
          <w:sz w:val="20"/>
        </w:rPr>
        <w:t>)与乙方</w:t>
      </w:r>
      <w:r>
        <w:rPr>
          <w:rFonts w:ascii="仿宋_GB2312" w:eastAsia="仿宋_GB2312" w:hAnsi="仿宋" w:cs="仿宋" w:hint="eastAsia"/>
          <w:spacing w:val="-72"/>
          <w:sz w:val="20"/>
        </w:rPr>
        <w:t xml:space="preserve"> </w:t>
      </w:r>
      <w:r>
        <w:rPr>
          <w:rFonts w:ascii="仿宋_GB2312" w:eastAsia="仿宋_GB2312" w:hAnsi="仿宋" w:cs="仿宋" w:hint="eastAsia"/>
          <w:spacing w:val="2"/>
          <w:sz w:val="20"/>
          <w:u w:val="single"/>
        </w:rPr>
        <w:t xml:space="preserve">              </w:t>
      </w:r>
      <w:r>
        <w:rPr>
          <w:rFonts w:ascii="仿宋_GB2312" w:eastAsia="仿宋_GB2312" w:hAnsi="仿宋" w:cs="仿宋" w:hint="eastAsia"/>
          <w:spacing w:val="-93"/>
          <w:sz w:val="20"/>
        </w:rPr>
        <w:t xml:space="preserve"> </w:t>
      </w:r>
      <w:r>
        <w:rPr>
          <w:rFonts w:ascii="仿宋_GB2312" w:eastAsia="仿宋_GB2312" w:hAnsi="仿宋" w:cs="仿宋" w:hint="eastAsia"/>
          <w:spacing w:val="4"/>
          <w:sz w:val="20"/>
        </w:rPr>
        <w:t>的专利</w:t>
      </w:r>
      <w:r>
        <w:rPr>
          <w:rFonts w:ascii="仿宋_GB2312" w:eastAsia="仿宋_GB2312" w:hAnsi="仿宋" w:cs="仿宋" w:hint="eastAsia"/>
          <w:spacing w:val="-100"/>
          <w:sz w:val="20"/>
        </w:rPr>
        <w:t xml:space="preserve"> </w:t>
      </w:r>
      <w:r>
        <w:rPr>
          <w:rFonts w:ascii="仿宋_GB2312" w:eastAsia="仿宋_GB2312" w:hAnsi="仿宋" w:cs="仿宋" w:hint="eastAsia"/>
          <w:spacing w:val="2"/>
          <w:sz w:val="20"/>
          <w:u w:val="single"/>
        </w:rPr>
        <w:t xml:space="preserve">               </w:t>
      </w:r>
      <w:r>
        <w:rPr>
          <w:rFonts w:ascii="仿宋_GB2312" w:eastAsia="仿宋_GB2312" w:hAnsi="仿宋" w:cs="仿宋" w:hint="eastAsia"/>
          <w:spacing w:val="4"/>
          <w:sz w:val="20"/>
        </w:rPr>
        <w:t>纠纷，经协商</w:t>
      </w:r>
      <w:r>
        <w:rPr>
          <w:rFonts w:ascii="仿宋_GB2312" w:eastAsia="仿宋_GB2312" w:hAnsi="仿宋" w:cs="仿宋" w:hint="eastAsia"/>
          <w:spacing w:val="-13"/>
          <w:sz w:val="20"/>
        </w:rPr>
        <w:t>一致，双方自愿达成如下和解协议：</w:t>
      </w:r>
    </w:p>
    <w:p w:rsidR="00800760" w:rsidRDefault="00235733">
      <w:pPr>
        <w:spacing w:before="20" w:line="360" w:lineRule="auto"/>
        <w:ind w:left="399" w:right="6993" w:firstLineChars="0" w:firstLine="0"/>
        <w:jc w:val="both"/>
        <w:rPr>
          <w:rFonts w:ascii="仿宋_GB2312" w:eastAsia="仿宋_GB2312" w:hAnsi="宋体" w:cs="宋体"/>
          <w:sz w:val="20"/>
        </w:rPr>
      </w:pPr>
      <w:r>
        <w:rPr>
          <w:rFonts w:ascii="仿宋_GB2312" w:eastAsia="仿宋_GB2312" w:hAnsi="宋体" w:cs="宋体" w:hint="eastAsia"/>
          <w:spacing w:val="-7"/>
          <w:sz w:val="20"/>
        </w:rPr>
        <w:t>1.……</w:t>
      </w:r>
      <w:r>
        <w:rPr>
          <w:rFonts w:ascii="仿宋_GB2312" w:eastAsia="仿宋_GB2312" w:hAnsi="宋体" w:cs="宋体" w:hint="eastAsia"/>
          <w:spacing w:val="2"/>
          <w:sz w:val="20"/>
        </w:rPr>
        <w:t xml:space="preserve"> </w:t>
      </w:r>
      <w:r>
        <w:rPr>
          <w:rFonts w:ascii="仿宋_GB2312" w:eastAsia="仿宋_GB2312" w:hAnsi="宋体" w:cs="宋体" w:hint="eastAsia"/>
          <w:spacing w:val="-3"/>
          <w:sz w:val="20"/>
        </w:rPr>
        <w:t>2.……</w:t>
      </w:r>
      <w:r>
        <w:rPr>
          <w:rFonts w:ascii="仿宋_GB2312" w:eastAsia="仿宋_GB2312" w:hAnsi="宋体" w:cs="宋体" w:hint="eastAsia"/>
          <w:sz w:val="20"/>
        </w:rPr>
        <w:t xml:space="preserve"> </w:t>
      </w:r>
      <w:r>
        <w:rPr>
          <w:rFonts w:ascii="仿宋_GB2312" w:eastAsia="仿宋_GB2312" w:hAnsi="宋体" w:cs="宋体" w:hint="eastAsia"/>
          <w:spacing w:val="-6"/>
          <w:sz w:val="20"/>
        </w:rPr>
        <w:t>……</w:t>
      </w:r>
    </w:p>
    <w:p w:rsidR="00800760" w:rsidRDefault="00235733">
      <w:pPr>
        <w:tabs>
          <w:tab w:val="left" w:pos="869"/>
        </w:tabs>
        <w:spacing w:line="360" w:lineRule="auto"/>
        <w:ind w:left="29" w:right="124" w:firstLineChars="0" w:firstLine="369"/>
        <w:rPr>
          <w:rFonts w:ascii="仿宋_GB2312" w:eastAsia="仿宋_GB2312" w:hAnsi="仿宋" w:cs="仿宋"/>
          <w:sz w:val="20"/>
        </w:rPr>
      </w:pPr>
      <w:r>
        <w:rPr>
          <w:rFonts w:ascii="仿宋_GB2312" w:eastAsia="仿宋_GB2312" w:hAnsi="仿宋" w:cs="仿宋" w:hint="eastAsia"/>
          <w:spacing w:val="-6"/>
          <w:sz w:val="20"/>
        </w:rPr>
        <w:t>本和解协议书自双方签章之日起生效，共一式</w:t>
      </w:r>
      <w:r>
        <w:rPr>
          <w:rFonts w:ascii="仿宋_GB2312" w:eastAsia="仿宋_GB2312" w:hAnsi="仿宋" w:cs="仿宋" w:hint="eastAsia"/>
          <w:spacing w:val="-88"/>
          <w:sz w:val="20"/>
        </w:rPr>
        <w:t xml:space="preserve"> </w:t>
      </w:r>
      <w:r>
        <w:rPr>
          <w:rFonts w:ascii="仿宋_GB2312" w:eastAsia="仿宋_GB2312" w:hAnsi="仿宋" w:cs="仿宋" w:hint="eastAsia"/>
          <w:spacing w:val="10"/>
          <w:sz w:val="20"/>
          <w:u w:val="single"/>
        </w:rPr>
        <w:t xml:space="preserve">       </w:t>
      </w:r>
      <w:r>
        <w:rPr>
          <w:rFonts w:ascii="仿宋_GB2312" w:eastAsia="仿宋_GB2312" w:hAnsi="仿宋" w:cs="仿宋" w:hint="eastAsia"/>
          <w:spacing w:val="-90"/>
          <w:sz w:val="20"/>
        </w:rPr>
        <w:t xml:space="preserve"> </w:t>
      </w:r>
      <w:r>
        <w:rPr>
          <w:rFonts w:ascii="仿宋_GB2312" w:eastAsia="仿宋_GB2312" w:hAnsi="仿宋" w:cs="仿宋" w:hint="eastAsia"/>
          <w:spacing w:val="-6"/>
          <w:sz w:val="20"/>
        </w:rPr>
        <w:t>份，双方各执一份，报送</w:t>
      </w:r>
      <w:r>
        <w:rPr>
          <w:rFonts w:ascii="仿宋_GB2312" w:eastAsia="仿宋_GB2312" w:hAnsi="仿宋" w:cs="仿宋" w:hint="eastAsia"/>
          <w:sz w:val="20"/>
        </w:rPr>
        <w:t xml:space="preserve"> </w:t>
      </w:r>
      <w:r>
        <w:rPr>
          <w:rFonts w:ascii="仿宋_GB2312" w:eastAsia="仿宋_GB2312" w:hAnsi="仿宋" w:cs="仿宋" w:hint="eastAsia"/>
          <w:sz w:val="20"/>
          <w:u w:val="single"/>
        </w:rPr>
        <w:tab/>
      </w:r>
      <w:r>
        <w:rPr>
          <w:rFonts w:ascii="仿宋_GB2312" w:eastAsia="仿宋_GB2312" w:hAnsi="仿宋" w:cs="仿宋" w:hint="eastAsia"/>
          <w:spacing w:val="-12"/>
          <w:sz w:val="20"/>
        </w:rPr>
        <w:t>知识产权局留存一份。</w:t>
      </w: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360" w:lineRule="auto"/>
        <w:ind w:firstLineChars="0" w:firstLine="0"/>
        <w:rPr>
          <w:rFonts w:ascii="仿宋_GB2312" w:eastAsia="仿宋_GB2312"/>
          <w:sz w:val="20"/>
        </w:rPr>
      </w:pPr>
    </w:p>
    <w:p w:rsidR="00800760" w:rsidRDefault="00800760">
      <w:pPr>
        <w:pStyle w:val="a5"/>
        <w:spacing w:after="0" w:line="250" w:lineRule="auto"/>
        <w:ind w:firstLineChars="0" w:firstLine="0"/>
        <w:rPr>
          <w:rFonts w:ascii="仿宋_GB2312" w:eastAsia="仿宋_GB2312"/>
          <w:sz w:val="20"/>
        </w:rPr>
      </w:pPr>
    </w:p>
    <w:p w:rsidR="00800760" w:rsidRDefault="00235733">
      <w:pPr>
        <w:spacing w:before="72" w:line="222" w:lineRule="auto"/>
        <w:ind w:left="399" w:firstLineChars="0" w:firstLine="0"/>
        <w:rPr>
          <w:rFonts w:ascii="仿宋_GB2312" w:eastAsia="仿宋_GB2312" w:hAnsi="仿宋" w:cs="仿宋"/>
          <w:sz w:val="20"/>
        </w:rPr>
      </w:pPr>
      <w:r>
        <w:rPr>
          <w:rFonts w:ascii="仿宋_GB2312" w:eastAsia="仿宋_GB2312" w:hAnsi="仿宋" w:cs="仿宋" w:hint="eastAsia"/>
          <w:spacing w:val="20"/>
          <w:sz w:val="20"/>
        </w:rPr>
        <w:t>甲方(签章):</w:t>
      </w:r>
      <w:r>
        <w:rPr>
          <w:rFonts w:ascii="仿宋_GB2312" w:eastAsia="仿宋_GB2312" w:hAnsi="仿宋" w:cs="仿宋" w:hint="eastAsia"/>
          <w:spacing w:val="-85"/>
          <w:sz w:val="20"/>
        </w:rPr>
        <w:t xml:space="preserve"> </w:t>
      </w:r>
      <w:r>
        <w:rPr>
          <w:rFonts w:ascii="仿宋_GB2312" w:eastAsia="仿宋_GB2312" w:hAnsi="仿宋" w:cs="仿宋" w:hint="eastAsia"/>
          <w:spacing w:val="4"/>
          <w:sz w:val="20"/>
          <w:u w:val="single"/>
        </w:rPr>
        <w:t xml:space="preserve">           </w:t>
      </w:r>
      <w:r>
        <w:rPr>
          <w:rFonts w:ascii="仿宋_GB2312" w:eastAsia="仿宋_GB2312" w:hAnsi="仿宋" w:cs="仿宋" w:hint="eastAsia"/>
          <w:spacing w:val="4"/>
          <w:sz w:val="20"/>
        </w:rPr>
        <w:t xml:space="preserve">                    </w:t>
      </w:r>
      <w:r>
        <w:rPr>
          <w:rFonts w:ascii="仿宋_GB2312" w:eastAsia="仿宋_GB2312" w:hAnsi="仿宋" w:cs="仿宋" w:hint="eastAsia"/>
          <w:spacing w:val="20"/>
          <w:sz w:val="20"/>
        </w:rPr>
        <w:t>乙方(签章):</w:t>
      </w:r>
      <w:r>
        <w:rPr>
          <w:rFonts w:ascii="仿宋_GB2312" w:eastAsia="仿宋_GB2312" w:hAnsi="仿宋" w:cs="仿宋" w:hint="eastAsia"/>
          <w:spacing w:val="-60"/>
          <w:sz w:val="20"/>
        </w:rPr>
        <w:t xml:space="preserve"> </w:t>
      </w:r>
      <w:r>
        <w:rPr>
          <w:rFonts w:ascii="仿宋_GB2312" w:eastAsia="仿宋_GB2312" w:hAnsi="仿宋" w:cs="仿宋" w:hint="eastAsia"/>
          <w:sz w:val="20"/>
          <w:u w:val="single"/>
        </w:rPr>
        <w:t xml:space="preserve">            </w:t>
      </w:r>
    </w:p>
    <w:p w:rsidR="00800760" w:rsidRDefault="00235733">
      <w:pPr>
        <w:tabs>
          <w:tab w:val="left" w:pos="1229"/>
        </w:tabs>
        <w:spacing w:before="58" w:line="225" w:lineRule="auto"/>
        <w:ind w:left="399" w:firstLineChars="0" w:firstLine="0"/>
        <w:rPr>
          <w:rFonts w:ascii="仿宋_GB2312" w:eastAsia="仿宋_GB2312" w:hAnsi="仿宋" w:cs="仿宋"/>
          <w:sz w:val="20"/>
        </w:rPr>
      </w:pPr>
      <w:r>
        <w:rPr>
          <w:rFonts w:ascii="仿宋_GB2312" w:eastAsia="仿宋_GB2312" w:hAnsi="仿宋" w:cs="仿宋" w:hint="eastAsia"/>
          <w:sz w:val="20"/>
          <w:u w:val="single"/>
        </w:rPr>
        <w:tab/>
      </w:r>
      <w:r>
        <w:rPr>
          <w:rFonts w:ascii="仿宋_GB2312" w:eastAsia="仿宋_GB2312" w:hAnsi="仿宋" w:cs="仿宋" w:hint="eastAsia"/>
          <w:spacing w:val="-29"/>
          <w:sz w:val="20"/>
        </w:rPr>
        <w:t>年</w:t>
      </w:r>
      <w:r>
        <w:rPr>
          <w:rFonts w:ascii="仿宋_GB2312" w:eastAsia="仿宋_GB2312" w:hAnsi="仿宋" w:cs="仿宋" w:hint="eastAsia"/>
          <w:spacing w:val="12"/>
          <w:sz w:val="20"/>
          <w:u w:val="single"/>
        </w:rPr>
        <w:t xml:space="preserve">   </w:t>
      </w:r>
      <w:r>
        <w:rPr>
          <w:rFonts w:ascii="仿宋_GB2312" w:eastAsia="仿宋_GB2312" w:hAnsi="仿宋" w:cs="仿宋" w:hint="eastAsia"/>
          <w:spacing w:val="-29"/>
          <w:sz w:val="20"/>
        </w:rPr>
        <w:t>月</w:t>
      </w:r>
      <w:r>
        <w:rPr>
          <w:rFonts w:ascii="仿宋_GB2312" w:eastAsia="仿宋_GB2312" w:hAnsi="仿宋" w:cs="仿宋" w:hint="eastAsia"/>
          <w:spacing w:val="65"/>
          <w:sz w:val="20"/>
          <w:u w:val="single"/>
        </w:rPr>
        <w:t xml:space="preserve">  </w:t>
      </w:r>
      <w:r>
        <w:rPr>
          <w:rFonts w:ascii="仿宋_GB2312" w:eastAsia="仿宋_GB2312" w:hAnsi="仿宋" w:cs="仿宋" w:hint="eastAsia"/>
          <w:spacing w:val="-130"/>
          <w:sz w:val="20"/>
        </w:rPr>
        <w:t xml:space="preserve"> </w:t>
      </w:r>
      <w:r>
        <w:rPr>
          <w:rFonts w:ascii="仿宋_GB2312" w:eastAsia="仿宋_GB2312" w:hAnsi="仿宋" w:cs="仿宋" w:hint="eastAsia"/>
          <w:spacing w:val="-29"/>
          <w:position w:val="-1"/>
          <w:sz w:val="20"/>
        </w:rPr>
        <w:t>日</w:t>
      </w:r>
      <w:r>
        <w:rPr>
          <w:rFonts w:ascii="仿宋_GB2312" w:eastAsia="仿宋_GB2312" w:hAnsi="仿宋" w:cs="仿宋" w:hint="eastAsia"/>
          <w:position w:val="-1"/>
          <w:sz w:val="20"/>
        </w:rPr>
        <w:t xml:space="preserve">                     </w:t>
      </w:r>
      <w:r>
        <w:rPr>
          <w:rFonts w:ascii="仿宋_GB2312" w:eastAsia="仿宋_GB2312" w:hAnsi="仿宋" w:cs="仿宋" w:hint="eastAsia"/>
          <w:spacing w:val="27"/>
          <w:position w:val="-1"/>
          <w:sz w:val="20"/>
          <w:u w:val="single"/>
        </w:rPr>
        <w:t xml:space="preserve">    </w:t>
      </w:r>
      <w:r>
        <w:rPr>
          <w:rFonts w:ascii="仿宋_GB2312" w:eastAsia="仿宋_GB2312" w:hAnsi="仿宋" w:cs="仿宋" w:hint="eastAsia"/>
          <w:spacing w:val="-137"/>
          <w:position w:val="-1"/>
          <w:sz w:val="20"/>
        </w:rPr>
        <w:t xml:space="preserve"> </w:t>
      </w:r>
      <w:r>
        <w:rPr>
          <w:rFonts w:ascii="仿宋_GB2312" w:eastAsia="仿宋_GB2312" w:hAnsi="仿宋" w:cs="仿宋" w:hint="eastAsia"/>
          <w:spacing w:val="-29"/>
          <w:position w:val="1"/>
          <w:sz w:val="20"/>
        </w:rPr>
        <w:t>年</w:t>
      </w:r>
      <w:r>
        <w:rPr>
          <w:rFonts w:ascii="仿宋_GB2312" w:eastAsia="仿宋_GB2312" w:hAnsi="仿宋" w:cs="仿宋" w:hint="eastAsia"/>
          <w:spacing w:val="-29"/>
          <w:position w:val="1"/>
          <w:sz w:val="20"/>
          <w:u w:val="single"/>
        </w:rPr>
        <w:t xml:space="preserve">     </w:t>
      </w:r>
      <w:r>
        <w:rPr>
          <w:rFonts w:ascii="仿宋_GB2312" w:eastAsia="仿宋_GB2312" w:hAnsi="仿宋" w:cs="仿宋" w:hint="eastAsia"/>
          <w:spacing w:val="-29"/>
          <w:position w:val="1"/>
          <w:sz w:val="20"/>
        </w:rPr>
        <w:t>月</w:t>
      </w:r>
      <w:r>
        <w:rPr>
          <w:rFonts w:ascii="仿宋_GB2312" w:eastAsia="仿宋_GB2312" w:hAnsi="仿宋" w:cs="仿宋" w:hint="eastAsia"/>
          <w:spacing w:val="31"/>
          <w:position w:val="1"/>
          <w:sz w:val="20"/>
          <w:u w:val="single"/>
        </w:rPr>
        <w:t xml:space="preserve">   </w:t>
      </w:r>
      <w:r>
        <w:rPr>
          <w:rFonts w:ascii="仿宋_GB2312" w:eastAsia="仿宋_GB2312" w:hAnsi="仿宋" w:cs="仿宋" w:hint="eastAsia"/>
          <w:spacing w:val="-29"/>
          <w:position w:val="1"/>
          <w:sz w:val="20"/>
        </w:rPr>
        <w:t>日</w:t>
      </w:r>
    </w:p>
    <w:p w:rsidR="00800760" w:rsidRDefault="00800760">
      <w:pPr>
        <w:pStyle w:val="a5"/>
        <w:spacing w:after="0"/>
        <w:ind w:firstLineChars="0" w:firstLine="0"/>
        <w:rPr>
          <w:rFonts w:ascii="仿宋_GB2312" w:eastAsia="仿宋_GB2312"/>
          <w:sz w:val="20"/>
        </w:rPr>
      </w:pPr>
    </w:p>
    <w:p w:rsidR="00800760" w:rsidRDefault="00800760">
      <w:pPr>
        <w:pStyle w:val="a5"/>
        <w:spacing w:after="0"/>
        <w:ind w:firstLineChars="0" w:firstLine="0"/>
        <w:rPr>
          <w:rFonts w:ascii="仿宋_GB2312" w:eastAsia="仿宋_GB2312"/>
          <w:sz w:val="20"/>
        </w:rPr>
      </w:pPr>
    </w:p>
    <w:p w:rsidR="00800760" w:rsidRDefault="00235733">
      <w:pPr>
        <w:spacing w:line="240" w:lineRule="auto"/>
        <w:ind w:right="200" w:firstLineChars="0" w:firstLine="0"/>
        <w:jc w:val="right"/>
        <w:rPr>
          <w:rFonts w:ascii="仿宋_GB2312" w:eastAsia="仿宋_GB2312" w:hAnsi="仿宋" w:cs="仿宋"/>
          <w:sz w:val="20"/>
        </w:rPr>
      </w:pPr>
      <w:r>
        <w:rPr>
          <w:rFonts w:ascii="仿宋_GB2312" w:eastAsia="仿宋_GB2312" w:hAnsi="仿宋" w:cs="仿宋" w:hint="eastAsia"/>
          <w:sz w:val="20"/>
          <w:u w:val="single"/>
        </w:rPr>
        <w:tab/>
      </w:r>
      <w:r>
        <w:rPr>
          <w:rFonts w:ascii="仿宋_GB2312" w:eastAsia="仿宋_GB2312" w:hAnsi="仿宋" w:cs="仿宋" w:hint="eastAsia"/>
          <w:sz w:val="20"/>
          <w:u w:val="single"/>
        </w:rPr>
        <w:tab/>
      </w:r>
      <w:r>
        <w:rPr>
          <w:rFonts w:ascii="仿宋_GB2312" w:eastAsia="仿宋_GB2312" w:hAnsi="仿宋" w:cs="仿宋" w:hint="eastAsia"/>
          <w:spacing w:val="14"/>
          <w:sz w:val="20"/>
        </w:rPr>
        <w:t>知识产权局(盖章)</w:t>
      </w:r>
      <w:r>
        <w:rPr>
          <w:rFonts w:ascii="仿宋_GB2312" w:eastAsia="仿宋_GB2312" w:hAnsi="仿宋" w:cs="仿宋" w:hint="eastAsia"/>
          <w:sz w:val="20"/>
        </w:rPr>
        <w:t xml:space="preserve"> </w:t>
      </w:r>
    </w:p>
    <w:p w:rsidR="00800760" w:rsidRDefault="00235733">
      <w:pPr>
        <w:spacing w:line="240" w:lineRule="auto"/>
        <w:ind w:firstLineChars="0" w:firstLine="0"/>
        <w:rPr>
          <w:rFonts w:ascii="仿宋_GB2312" w:eastAsia="仿宋_GB2312" w:hAnsi="宋体" w:cs="Microsoft JhengHei"/>
          <w:color w:val="000000"/>
          <w:sz w:val="20"/>
        </w:rPr>
      </w:pPr>
      <w:r>
        <w:rPr>
          <w:rFonts w:ascii="仿宋_GB2312" w:eastAsia="仿宋_GB2312" w:hAnsi="仿宋" w:cs="仿宋" w:hint="eastAsia"/>
          <w:sz w:val="20"/>
        </w:rPr>
        <w:t xml:space="preserve">                                                                 </w:t>
      </w:r>
      <w:r>
        <w:rPr>
          <w:rFonts w:ascii="仿宋_GB2312" w:eastAsia="仿宋_GB2312" w:hAnsi="仿宋" w:cs="仿宋" w:hint="eastAsia"/>
          <w:sz w:val="20"/>
          <w:u w:val="single"/>
        </w:rPr>
        <w:tab/>
      </w:r>
      <w:r>
        <w:rPr>
          <w:rFonts w:ascii="仿宋_GB2312" w:eastAsia="仿宋_GB2312" w:hAnsi="仿宋" w:cs="仿宋" w:hint="eastAsia"/>
          <w:sz w:val="20"/>
          <w:u w:val="single"/>
        </w:rPr>
        <w:tab/>
      </w:r>
      <w:r>
        <w:rPr>
          <w:rFonts w:ascii="仿宋_GB2312" w:eastAsia="仿宋_GB2312" w:hAnsi="仿宋" w:cs="仿宋" w:hint="eastAsia"/>
          <w:spacing w:val="-113"/>
          <w:sz w:val="20"/>
        </w:rPr>
        <w:t xml:space="preserve"> </w:t>
      </w:r>
      <w:r>
        <w:rPr>
          <w:rFonts w:ascii="仿宋_GB2312" w:eastAsia="仿宋_GB2312" w:hAnsi="仿宋" w:cs="仿宋" w:hint="eastAsia"/>
          <w:spacing w:val="-70"/>
          <w:w w:val="93"/>
          <w:sz w:val="20"/>
        </w:rPr>
        <w:t>年</w:t>
      </w:r>
      <w:r>
        <w:rPr>
          <w:rFonts w:ascii="仿宋_GB2312" w:eastAsia="仿宋_GB2312" w:hAnsi="仿宋" w:cs="仿宋" w:hint="eastAsia"/>
          <w:spacing w:val="-134"/>
          <w:sz w:val="20"/>
        </w:rPr>
        <w:t xml:space="preserve"> </w:t>
      </w:r>
      <w:r>
        <w:rPr>
          <w:rFonts w:ascii="仿宋_GB2312" w:eastAsia="仿宋_GB2312" w:hAnsi="仿宋" w:cs="仿宋" w:hint="eastAsia"/>
          <w:spacing w:val="16"/>
          <w:sz w:val="20"/>
          <w:u w:val="single"/>
        </w:rPr>
        <w:t xml:space="preserve">   </w:t>
      </w:r>
      <w:r>
        <w:rPr>
          <w:rFonts w:ascii="仿宋_GB2312" w:eastAsia="仿宋_GB2312" w:hAnsi="仿宋" w:cs="仿宋" w:hint="eastAsia"/>
          <w:spacing w:val="-118"/>
          <w:sz w:val="20"/>
        </w:rPr>
        <w:t xml:space="preserve"> </w:t>
      </w:r>
      <w:r>
        <w:rPr>
          <w:rFonts w:ascii="仿宋_GB2312" w:eastAsia="仿宋_GB2312" w:hAnsi="仿宋" w:cs="仿宋" w:hint="eastAsia"/>
          <w:spacing w:val="-70"/>
          <w:w w:val="93"/>
          <w:sz w:val="20"/>
        </w:rPr>
        <w:t>月</w:t>
      </w:r>
      <w:r>
        <w:rPr>
          <w:rFonts w:ascii="仿宋_GB2312" w:eastAsia="仿宋_GB2312" w:hAnsi="仿宋" w:cs="仿宋" w:hint="eastAsia"/>
          <w:spacing w:val="66"/>
          <w:sz w:val="20"/>
          <w:u w:val="single"/>
        </w:rPr>
        <w:t xml:space="preserve">  </w:t>
      </w:r>
      <w:r>
        <w:rPr>
          <w:rFonts w:ascii="仿宋_GB2312" w:eastAsia="仿宋_GB2312" w:hAnsi="仿宋" w:cs="仿宋" w:hint="eastAsia"/>
          <w:spacing w:val="-119"/>
          <w:sz w:val="20"/>
        </w:rPr>
        <w:t xml:space="preserve"> </w:t>
      </w:r>
      <w:r>
        <w:rPr>
          <w:rFonts w:ascii="仿宋_GB2312" w:eastAsia="仿宋_GB2312" w:hAnsi="仿宋" w:cs="仿宋" w:hint="eastAsia"/>
          <w:spacing w:val="-55"/>
          <w:w w:val="93"/>
          <w:sz w:val="20"/>
        </w:rPr>
        <w:t>日</w:t>
      </w:r>
    </w:p>
    <w:p w:rsidR="00800760" w:rsidRDefault="00800760" w:rsidP="00235733">
      <w:pPr>
        <w:widowControl w:val="0"/>
        <w:spacing w:line="360" w:lineRule="auto"/>
        <w:ind w:firstLine="400"/>
        <w:jc w:val="center"/>
        <w:rPr>
          <w:rFonts w:ascii="仿宋_GB2312" w:eastAsia="仿宋_GB2312" w:hAnsi="宋体" w:cs="Microsoft JhengHei"/>
          <w:color w:val="000000"/>
          <w:sz w:val="20"/>
          <w:szCs w:val="21"/>
        </w:rPr>
      </w:pPr>
    </w:p>
    <w:p w:rsidR="00800760" w:rsidRDefault="00800760">
      <w:pPr>
        <w:spacing w:line="240" w:lineRule="auto"/>
        <w:ind w:firstLineChars="0" w:firstLine="0"/>
        <w:rPr>
          <w:rFonts w:ascii="方正小标宋_GBK" w:eastAsia="方正小标宋_GBK" w:hAnsi="宋体"/>
          <w:color w:val="000000"/>
          <w:spacing w:val="6"/>
          <w:sz w:val="44"/>
          <w:szCs w:val="44"/>
        </w:rPr>
      </w:pPr>
    </w:p>
    <w:p w:rsidR="00800760" w:rsidRDefault="00800760">
      <w:pPr>
        <w:spacing w:line="360" w:lineRule="auto"/>
        <w:ind w:firstLineChars="0" w:firstLine="422"/>
        <w:jc w:val="center"/>
        <w:rPr>
          <w:rFonts w:ascii="方正小标宋_GBK" w:eastAsia="方正小标宋_GBK" w:hAnsi="宋体"/>
          <w:color w:val="000000"/>
          <w:spacing w:val="6"/>
          <w:sz w:val="44"/>
          <w:szCs w:val="44"/>
        </w:rPr>
      </w:pPr>
    </w:p>
    <w:p w:rsidR="00800760" w:rsidRDefault="00800760">
      <w:pPr>
        <w:spacing w:line="240" w:lineRule="auto"/>
        <w:ind w:firstLineChars="0" w:firstLine="0"/>
        <w:rPr>
          <w:rFonts w:ascii="宋体" w:hAnsi="宋体" w:cs="宋体"/>
          <w:b/>
          <w:color w:val="000000"/>
          <w:sz w:val="32"/>
          <w:szCs w:val="32"/>
        </w:rPr>
      </w:pPr>
    </w:p>
    <w:p w:rsidR="00800760" w:rsidRDefault="00800760">
      <w:pPr>
        <w:spacing w:line="240" w:lineRule="auto"/>
        <w:ind w:firstLineChars="0" w:firstLine="0"/>
        <w:jc w:val="center"/>
        <w:rPr>
          <w:rFonts w:ascii="宋体" w:hAnsi="宋体" w:cs="宋体"/>
          <w:b/>
          <w:color w:val="000000"/>
          <w:sz w:val="32"/>
          <w:szCs w:val="32"/>
        </w:rPr>
      </w:pPr>
    </w:p>
    <w:p w:rsidR="00800760" w:rsidRDefault="00800760">
      <w:pPr>
        <w:spacing w:line="240" w:lineRule="auto"/>
        <w:ind w:firstLineChars="0" w:firstLine="0"/>
        <w:jc w:val="center"/>
        <w:rPr>
          <w:rFonts w:ascii="宋体" w:hAnsi="宋体" w:cs="宋体"/>
          <w:b/>
          <w:color w:val="000000"/>
          <w:sz w:val="32"/>
          <w:szCs w:val="32"/>
        </w:rPr>
      </w:pPr>
    </w:p>
    <w:p w:rsidR="00800760" w:rsidRDefault="00800760">
      <w:pPr>
        <w:spacing w:line="240" w:lineRule="auto"/>
        <w:ind w:firstLineChars="0" w:firstLine="0"/>
        <w:jc w:val="center"/>
        <w:rPr>
          <w:rFonts w:ascii="宋体" w:hAnsi="宋体" w:cs="宋体"/>
          <w:b/>
          <w:color w:val="000000"/>
          <w:sz w:val="32"/>
          <w:szCs w:val="32"/>
        </w:rPr>
      </w:pPr>
    </w:p>
    <w:p w:rsidR="00800760" w:rsidRDefault="00800760">
      <w:pPr>
        <w:spacing w:line="240" w:lineRule="auto"/>
        <w:ind w:firstLineChars="0" w:firstLine="0"/>
        <w:jc w:val="center"/>
        <w:rPr>
          <w:rFonts w:ascii="宋体" w:hAnsi="宋体" w:cs="宋体"/>
          <w:b/>
          <w:color w:val="000000"/>
          <w:sz w:val="32"/>
          <w:szCs w:val="32"/>
        </w:rPr>
      </w:pPr>
    </w:p>
    <w:p w:rsidR="00800760" w:rsidRDefault="00235733">
      <w:pPr>
        <w:ind w:firstLineChars="0" w:firstLine="0"/>
        <w:jc w:val="center"/>
        <w:outlineLvl w:val="0"/>
        <w:rPr>
          <w:rFonts w:ascii="方正小标宋_GBK" w:eastAsia="方正小标宋_GBK" w:hAnsi="宋体"/>
          <w:color w:val="000000"/>
          <w:spacing w:val="6"/>
          <w:sz w:val="44"/>
          <w:szCs w:val="44"/>
        </w:rPr>
      </w:pPr>
      <w:bookmarkStart w:id="9373" w:name="_Toc229225676"/>
      <w:r>
        <w:rPr>
          <w:rFonts w:ascii="方正小标宋_GBK" w:eastAsia="方正小标宋_GBK" w:hAnsi="宋体" w:hint="eastAsia"/>
          <w:color w:val="000000"/>
          <w:spacing w:val="6"/>
          <w:sz w:val="44"/>
          <w:szCs w:val="44"/>
        </w:rPr>
        <w:t>四、专利侵权纠纷行政裁决案件</w:t>
      </w:r>
      <w:r>
        <w:rPr>
          <w:rFonts w:ascii="方正小标宋_GBK" w:eastAsia="方正小标宋_GBK" w:hAnsi="宋体"/>
          <w:color w:val="000000"/>
          <w:spacing w:val="6"/>
          <w:sz w:val="44"/>
          <w:szCs w:val="44"/>
        </w:rPr>
        <w:br/>
      </w:r>
      <w:r>
        <w:rPr>
          <w:rFonts w:ascii="方正小标宋_GBK" w:eastAsia="方正小标宋_GBK" w:hAnsi="宋体" w:hint="eastAsia"/>
          <w:color w:val="000000"/>
          <w:spacing w:val="6"/>
          <w:sz w:val="44"/>
          <w:szCs w:val="44"/>
        </w:rPr>
        <w:t>办案笔录参考文本</w:t>
      </w:r>
      <w:bookmarkEnd w:id="9373"/>
    </w:p>
    <w:p w:rsidR="00800760" w:rsidRDefault="00800760">
      <w:pPr>
        <w:spacing w:line="240" w:lineRule="auto"/>
        <w:ind w:firstLineChars="0" w:firstLine="0"/>
        <w:rPr>
          <w:rFonts w:ascii="宋体" w:hAnsi="宋体" w:cs="宋体"/>
          <w:color w:val="000000"/>
          <w:sz w:val="20"/>
          <w:szCs w:val="21"/>
        </w:rPr>
      </w:pPr>
    </w:p>
    <w:p w:rsidR="00800760" w:rsidRDefault="00800760">
      <w:pPr>
        <w:spacing w:line="240" w:lineRule="auto"/>
        <w:ind w:firstLineChars="0" w:firstLine="0"/>
        <w:rPr>
          <w:rFonts w:ascii="宋体" w:hAnsi="宋体" w:cs="宋体"/>
          <w:color w:val="000000"/>
          <w:sz w:val="20"/>
          <w:szCs w:val="21"/>
        </w:rPr>
      </w:pPr>
    </w:p>
    <w:p w:rsidR="00800760" w:rsidRDefault="00235733">
      <w:pPr>
        <w:spacing w:line="240" w:lineRule="auto"/>
        <w:ind w:firstLineChars="0" w:firstLine="0"/>
        <w:jc w:val="center"/>
        <w:rPr>
          <w:rFonts w:ascii="仿宋_GB2312" w:eastAsia="仿宋_GB2312" w:hAnsi="仿宋" w:cs="宋体"/>
          <w:color w:val="000000"/>
          <w:sz w:val="32"/>
          <w:szCs w:val="32"/>
        </w:rPr>
      </w:pPr>
      <w:r>
        <w:rPr>
          <w:rFonts w:hAnsi="宋体" w:cs="宋体"/>
          <w:color w:val="000000"/>
          <w:sz w:val="20"/>
        </w:rPr>
        <w:br w:type="page"/>
      </w:r>
      <w:r>
        <w:rPr>
          <w:rFonts w:ascii="仿宋_GB2312" w:eastAsia="仿宋_GB2312" w:hAnsi="仿宋" w:cs="宋体" w:hint="eastAsia"/>
          <w:color w:val="000000"/>
          <w:sz w:val="32"/>
          <w:szCs w:val="32"/>
        </w:rPr>
        <w:t>×××知识产权局</w:t>
      </w:r>
    </w:p>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bookmarkStart w:id="9374" w:name="_Toc26909529"/>
      <w:r>
        <w:rPr>
          <w:rFonts w:ascii="方正小标宋_GBK" w:eastAsia="方正小标宋_GBK" w:hAnsi="宋体" w:hint="eastAsia"/>
          <w:color w:val="000000"/>
          <w:spacing w:val="6"/>
          <w:sz w:val="36"/>
          <w:szCs w:val="36"/>
        </w:rPr>
        <w:t>专利侵权纠纷行政裁决案件调查笔录</w:t>
      </w:r>
      <w:bookmarkEnd w:id="9374"/>
    </w:p>
    <w:p w:rsidR="00800760" w:rsidRDefault="00235733">
      <w:pPr>
        <w:spacing w:line="240" w:lineRule="auto"/>
        <w:ind w:firstLineChars="0" w:firstLine="0"/>
        <w:jc w:val="center"/>
        <w:rPr>
          <w:rFonts w:ascii="仿宋_GB2312" w:eastAsia="仿宋_GB2312" w:hAnsi="仿宋" w:cs="宋体"/>
          <w:color w:val="000000"/>
          <w:sz w:val="20"/>
          <w:szCs w:val="21"/>
        </w:rPr>
      </w:pPr>
      <w:r>
        <w:rPr>
          <w:rFonts w:ascii="仿宋_GB2312" w:eastAsia="仿宋_GB2312" w:hAnsi="仿宋" w:cs="宋体" w:hint="eastAsia"/>
          <w:color w:val="000000"/>
          <w:sz w:val="20"/>
          <w:szCs w:val="21"/>
        </w:rPr>
        <w:t xml:space="preserve">                                              案号：××知法裁字〔20××〕×号</w:t>
      </w:r>
    </w:p>
    <w:p w:rsidR="00800760" w:rsidRDefault="00800760">
      <w:pPr>
        <w:spacing w:line="240" w:lineRule="auto"/>
        <w:ind w:firstLineChars="0" w:firstLine="0"/>
        <w:rPr>
          <w:rFonts w:ascii="宋体" w:hAnsi="宋体" w:cs="宋体"/>
          <w:color w:val="000000"/>
          <w:sz w:val="20"/>
          <w:szCs w:val="21"/>
        </w:rPr>
      </w:pPr>
    </w:p>
    <w:p w:rsidR="00800760" w:rsidRDefault="00800760">
      <w:pPr>
        <w:spacing w:line="240" w:lineRule="auto"/>
        <w:ind w:firstLineChars="0" w:firstLine="0"/>
        <w:rPr>
          <w:rFonts w:ascii="宋体" w:hAnsi="宋体" w:cs="宋体"/>
          <w:color w:val="000000"/>
          <w:sz w:val="20"/>
          <w:szCs w:val="21"/>
        </w:rPr>
      </w:pP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案由：</w:t>
      </w:r>
      <w:r>
        <w:rPr>
          <w:rFonts w:ascii="仿宋_GB2312" w:eastAsia="仿宋_GB2312" w:hAnsi="仿宋" w:cs="宋体" w:hint="eastAsia"/>
          <w:color w:val="000000"/>
          <w:sz w:val="20"/>
          <w:szCs w:val="21"/>
          <w:u w:val="single"/>
        </w:rPr>
        <w:t xml:space="preserve">A公司与B公司间的实用新型专利侵权纠纷                                            </w:t>
      </w:r>
    </w:p>
    <w:p w:rsidR="00800760" w:rsidRDefault="00235733">
      <w:pPr>
        <w:ind w:firstLineChars="0" w:firstLine="0"/>
        <w:rPr>
          <w:rFonts w:ascii="黑体" w:eastAsia="黑体" w:hAnsi="黑体" w:cs="宋体"/>
          <w:color w:val="000000"/>
          <w:sz w:val="20"/>
          <w:szCs w:val="21"/>
          <w:u w:val="single"/>
        </w:rPr>
      </w:pPr>
      <w:r>
        <w:rPr>
          <w:rFonts w:ascii="黑体" w:eastAsia="黑体" w:hAnsi="黑体" w:cs="宋体" w:hint="eastAsia"/>
          <w:color w:val="000000"/>
          <w:sz w:val="20"/>
          <w:szCs w:val="21"/>
          <w:u w:val="single"/>
        </w:rPr>
        <w:t xml:space="preserve">调查人：                                                                                </w:t>
      </w:r>
    </w:p>
    <w:p w:rsidR="00800760" w:rsidRDefault="00235733">
      <w:pPr>
        <w:ind w:firstLine="40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姓名：</w:t>
      </w:r>
      <w:r>
        <w:rPr>
          <w:rFonts w:ascii="仿宋_GB2312" w:eastAsia="仿宋_GB2312" w:hAnsi="仿宋" w:cs="宋体" w:hint="eastAsia"/>
          <w:color w:val="000000"/>
          <w:sz w:val="20"/>
          <w:szCs w:val="21"/>
          <w:u w:val="single"/>
        </w:rPr>
        <w:t xml:space="preserve">办案人员甲 </w:t>
      </w:r>
      <w:r>
        <w:rPr>
          <w:rFonts w:ascii="仿宋" w:eastAsia="仿宋" w:hAnsi="仿宋" w:cs="宋体" w:hint="eastAsia"/>
          <w:color w:val="000000"/>
          <w:sz w:val="20"/>
          <w:szCs w:val="21"/>
          <w:u w:val="single"/>
        </w:rPr>
        <w:t xml:space="preserve">   </w:t>
      </w:r>
      <w:r>
        <w:rPr>
          <w:rFonts w:ascii="黑体" w:eastAsia="黑体" w:hAnsi="黑体" w:cs="宋体" w:hint="eastAsia"/>
          <w:color w:val="000000"/>
          <w:sz w:val="20"/>
          <w:szCs w:val="21"/>
          <w:u w:val="single"/>
        </w:rPr>
        <w:t>单位：</w:t>
      </w:r>
      <w:r>
        <w:rPr>
          <w:rFonts w:ascii="仿宋_GB2312" w:eastAsia="仿宋_GB2312" w:hAnsi="仿宋" w:cs="宋体" w:hint="eastAsia"/>
          <w:color w:val="000000"/>
          <w:sz w:val="20"/>
          <w:szCs w:val="21"/>
          <w:u w:val="single"/>
        </w:rPr>
        <w:t xml:space="preserve">×××知识产权局  </w:t>
      </w:r>
      <w:r>
        <w:rPr>
          <w:rFonts w:ascii="仿宋" w:eastAsia="仿宋" w:hAnsi="仿宋" w:cs="宋体" w:hint="eastAsia"/>
          <w:color w:val="000000"/>
          <w:sz w:val="20"/>
          <w:szCs w:val="21"/>
          <w:u w:val="single"/>
        </w:rPr>
        <w:t xml:space="preserve">  </w:t>
      </w:r>
      <w:r>
        <w:rPr>
          <w:rFonts w:ascii="黑体" w:eastAsia="黑体" w:hAnsi="黑体" w:cs="宋体" w:hint="eastAsia"/>
          <w:color w:val="000000"/>
          <w:sz w:val="20"/>
          <w:szCs w:val="21"/>
          <w:u w:val="single"/>
        </w:rPr>
        <w:t>职务：</w:t>
      </w:r>
      <w:r>
        <w:rPr>
          <w:rFonts w:ascii="仿宋_GB2312" w:eastAsia="仿宋_GB2312" w:hAnsi="仿宋" w:cs="宋体" w:hint="eastAsia"/>
          <w:color w:val="000000"/>
          <w:sz w:val="20"/>
          <w:szCs w:val="21"/>
          <w:u w:val="single"/>
        </w:rPr>
        <w:t xml:space="preserve">科员                                </w:t>
      </w:r>
    </w:p>
    <w:p w:rsidR="00800760" w:rsidRDefault="00235733">
      <w:pPr>
        <w:ind w:firstLine="40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姓名：</w:t>
      </w:r>
      <w:r>
        <w:rPr>
          <w:rFonts w:ascii="仿宋_GB2312" w:eastAsia="仿宋_GB2312" w:hAnsi="仿宋" w:cs="宋体" w:hint="eastAsia"/>
          <w:color w:val="000000"/>
          <w:sz w:val="20"/>
          <w:szCs w:val="21"/>
          <w:u w:val="single"/>
        </w:rPr>
        <w:t xml:space="preserve">办案人员乙    </w:t>
      </w:r>
      <w:r>
        <w:rPr>
          <w:rFonts w:ascii="黑体" w:eastAsia="黑体" w:hAnsi="黑体" w:cs="宋体" w:hint="eastAsia"/>
          <w:color w:val="000000"/>
          <w:sz w:val="20"/>
          <w:szCs w:val="21"/>
          <w:u w:val="single"/>
        </w:rPr>
        <w:t>单位：</w:t>
      </w:r>
      <w:r>
        <w:rPr>
          <w:rFonts w:ascii="仿宋_GB2312" w:eastAsia="仿宋_GB2312" w:hAnsi="仿宋" w:cs="宋体" w:hint="eastAsia"/>
          <w:color w:val="000000"/>
          <w:sz w:val="20"/>
          <w:szCs w:val="21"/>
          <w:u w:val="single"/>
        </w:rPr>
        <w:t xml:space="preserve">×××知识产权局  </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职务：</w:t>
      </w:r>
      <w:r>
        <w:rPr>
          <w:rFonts w:ascii="仿宋_GB2312" w:eastAsia="仿宋_GB2312" w:hAnsi="仿宋" w:cs="宋体" w:hint="eastAsia"/>
          <w:color w:val="000000"/>
          <w:sz w:val="20"/>
          <w:szCs w:val="21"/>
          <w:u w:val="single"/>
        </w:rPr>
        <w:t xml:space="preserve">科员                                </w:t>
      </w:r>
    </w:p>
    <w:p w:rsidR="00800760" w:rsidRDefault="00235733">
      <w:pPr>
        <w:ind w:firstLineChars="0" w:firstLine="0"/>
        <w:rPr>
          <w:rFonts w:ascii="仿宋_GB2312" w:eastAsia="仿宋_GB2312" w:hAnsi="黑体" w:cs="宋体"/>
          <w:color w:val="000000"/>
          <w:sz w:val="20"/>
          <w:szCs w:val="21"/>
          <w:u w:val="single"/>
        </w:rPr>
      </w:pPr>
      <w:r>
        <w:rPr>
          <w:rFonts w:ascii="黑体" w:eastAsia="黑体" w:hAnsi="黑体" w:cs="宋体" w:hint="eastAsia"/>
          <w:color w:val="000000"/>
          <w:sz w:val="20"/>
          <w:szCs w:val="21"/>
          <w:u w:val="single"/>
        </w:rPr>
        <w:t xml:space="preserve">被调查人： </w:t>
      </w:r>
      <w:r>
        <w:rPr>
          <w:rFonts w:ascii="仿宋_GB2312" w:eastAsia="仿宋_GB2312" w:hAnsi="黑体" w:cs="宋体" w:hint="eastAsia"/>
          <w:color w:val="000000"/>
          <w:sz w:val="20"/>
          <w:szCs w:val="21"/>
          <w:u w:val="single"/>
        </w:rPr>
        <w:t xml:space="preserve">                                                                             </w:t>
      </w:r>
    </w:p>
    <w:p w:rsidR="00800760" w:rsidRDefault="00235733">
      <w:pPr>
        <w:ind w:firstLine="400"/>
        <w:rPr>
          <w:rFonts w:ascii="仿宋" w:eastAsia="仿宋_GB2312" w:hAnsi="仿宋" w:cs="宋体"/>
          <w:color w:val="000000"/>
          <w:sz w:val="20"/>
          <w:szCs w:val="21"/>
          <w:u w:val="single"/>
        </w:rPr>
      </w:pPr>
      <w:r>
        <w:rPr>
          <w:rFonts w:ascii="黑体" w:eastAsia="黑体" w:hAnsi="黑体" w:cs="宋体" w:hint="eastAsia"/>
          <w:color w:val="000000"/>
          <w:sz w:val="20"/>
          <w:szCs w:val="21"/>
          <w:u w:val="single"/>
        </w:rPr>
        <w:t>姓名：</w:t>
      </w:r>
      <w:r>
        <w:rPr>
          <w:rFonts w:ascii="仿宋_GB2312" w:eastAsia="仿宋_GB2312" w:hAnsi="仿宋" w:cs="宋体" w:hint="eastAsia"/>
          <w:color w:val="000000"/>
          <w:sz w:val="20"/>
          <w:szCs w:val="21"/>
          <w:u w:val="single"/>
        </w:rPr>
        <w:t xml:space="preserve">C某      </w:t>
      </w:r>
      <w:r>
        <w:rPr>
          <w:rFonts w:ascii="黑体" w:eastAsia="黑体" w:hAnsi="黑体" w:cs="宋体" w:hint="eastAsia"/>
          <w:color w:val="000000"/>
          <w:sz w:val="20"/>
          <w:szCs w:val="21"/>
          <w:u w:val="single"/>
        </w:rPr>
        <w:t>单位：</w:t>
      </w:r>
      <w:r>
        <w:rPr>
          <w:rFonts w:ascii="仿宋_GB2312" w:eastAsia="仿宋_GB2312" w:hAnsi="仿宋" w:cs="宋体" w:hint="eastAsia"/>
          <w:color w:val="000000"/>
          <w:sz w:val="20"/>
          <w:szCs w:val="21"/>
          <w:u w:val="single"/>
        </w:rPr>
        <w:t xml:space="preserve">B公司      </w:t>
      </w:r>
      <w:r>
        <w:rPr>
          <w:rFonts w:ascii="黑体" w:eastAsia="黑体" w:hAnsi="黑体" w:cs="宋体" w:hint="eastAsia"/>
          <w:color w:val="000000"/>
          <w:sz w:val="20"/>
          <w:szCs w:val="21"/>
          <w:u w:val="single"/>
        </w:rPr>
        <w:t>身份证号：</w:t>
      </w:r>
      <w:r>
        <w:rPr>
          <w:rFonts w:ascii="仿宋" w:eastAsia="仿宋_GB2312" w:hAnsi="仿宋" w:cs="宋体" w:hint="eastAsia"/>
          <w:color w:val="000000"/>
          <w:sz w:val="20"/>
          <w:szCs w:val="21"/>
          <w:u w:val="single"/>
        </w:rPr>
        <w:t>（略）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职务：</w:t>
      </w:r>
      <w:r>
        <w:rPr>
          <w:rFonts w:ascii="仿宋" w:eastAsia="仿宋_GB2312" w:hAnsi="仿宋" w:cs="宋体" w:hint="eastAsia"/>
          <w:color w:val="000000"/>
          <w:sz w:val="20"/>
          <w:szCs w:val="21"/>
          <w:u w:val="single"/>
        </w:rPr>
        <w:t>主任</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住所：</w:t>
      </w:r>
      <w:r>
        <w:rPr>
          <w:rFonts w:ascii="仿宋" w:eastAsia="仿宋_GB2312" w:hAnsi="仿宋" w:cs="宋体" w:hint="eastAsia"/>
          <w:color w:val="000000"/>
          <w:sz w:val="20"/>
          <w:szCs w:val="21"/>
          <w:u w:val="single"/>
        </w:rPr>
        <w:t>××省××市××街××号</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电话：</w:t>
      </w:r>
      <w:r>
        <w:rPr>
          <w:rFonts w:ascii="仿宋" w:eastAsia="仿宋_GB2312" w:hAnsi="仿宋" w:cs="宋体" w:hint="eastAsia"/>
          <w:color w:val="000000"/>
          <w:sz w:val="20"/>
          <w:szCs w:val="21"/>
          <w:u w:val="single"/>
        </w:rPr>
        <w:t>×××××××××××</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调查时间：</w:t>
      </w:r>
      <w:r>
        <w:rPr>
          <w:rFonts w:ascii="仿宋_GB2312" w:eastAsia="仿宋_GB2312" w:hAnsi="仿宋" w:cs="宋体" w:hint="eastAsia"/>
          <w:color w:val="000000"/>
          <w:sz w:val="20"/>
          <w:szCs w:val="21"/>
          <w:u w:val="single"/>
        </w:rPr>
        <w:t xml:space="preserve">20××年××月××日××时××分至于××月××日××时××分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调查地点：</w:t>
      </w:r>
      <w:r>
        <w:rPr>
          <w:rFonts w:ascii="仿宋_GB2312" w:eastAsia="仿宋_GB2312" w:hAnsi="仿宋" w:cs="宋体" w:hint="eastAsia"/>
          <w:color w:val="000000"/>
          <w:sz w:val="20"/>
          <w:szCs w:val="21"/>
          <w:u w:val="single"/>
        </w:rPr>
        <w:t xml:space="preserve">××省××市××街××号B公司生产车间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调查笔录：</w:t>
      </w:r>
      <w:r>
        <w:rPr>
          <w:rFonts w:ascii="仿宋_GB2312" w:eastAsia="仿宋_GB2312" w:hAnsi="仿宋" w:cs="宋体" w:hint="eastAsia"/>
          <w:color w:val="000000"/>
          <w:sz w:val="20"/>
          <w:szCs w:val="21"/>
          <w:u w:val="single"/>
        </w:rPr>
        <w:t xml:space="preserve">（以下笔录中调查人员简称“调”，被调查人员简称“被”）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_GB2312" w:eastAsia="仿宋_GB2312" w:hAnsi="仿宋" w:cs="宋体" w:hint="eastAsia"/>
          <w:color w:val="000000"/>
          <w:sz w:val="20"/>
          <w:szCs w:val="21"/>
          <w:u w:val="single"/>
        </w:rPr>
        <w:t>（固定格式与实际情况记录相结合文本）你好。我们是×××知识产权局专利行政办案人员甲，执法证号是××××；办案人员乙，执法证号是××××（出示执法证）。根据《</w:t>
      </w:r>
      <w:r>
        <w:rPr>
          <w:rFonts w:ascii="仿宋_GB2312" w:eastAsia="仿宋_GB2312" w:hAnsi="仿宋" w:cs="宋体"/>
          <w:color w:val="000000"/>
          <w:sz w:val="20"/>
          <w:szCs w:val="21"/>
          <w:u w:val="single"/>
        </w:rPr>
        <w:t>专利纠纷行政裁决和调解办法</w:t>
      </w:r>
      <w:r>
        <w:rPr>
          <w:rFonts w:ascii="仿宋_GB2312" w:eastAsia="仿宋_GB2312" w:hAnsi="仿宋" w:cs="宋体" w:hint="eastAsia"/>
          <w:color w:val="000000"/>
          <w:sz w:val="20"/>
          <w:szCs w:val="21"/>
          <w:u w:val="single"/>
        </w:rPr>
        <w:t xml:space="preserve">》第四十四条、第四十七条之规定，今天我们就你公司与A公司间专利侵权纠纷一案，对你进行调查，请你予以配合，如实回答相关问题。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（实际情况记录文本）好的</w:t>
      </w: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，我会主动配合。</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 w:eastAsia="仿宋_GB2312" w:hAnsi="仿宋" w:cs="宋体" w:hint="eastAsia"/>
          <w:color w:val="000000"/>
          <w:sz w:val="20"/>
          <w:szCs w:val="21"/>
          <w:u w:val="single"/>
        </w:rPr>
        <w:t>（固定格式文本）首先要确认一下你的身份及你与当事人的关系。</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（实际情况记录文本）我是B公司的生产车间主任，叫C某。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_GB2312" w:eastAsia="仿宋_GB2312" w:hAnsi="仿宋" w:cs="宋体" w:hint="eastAsia"/>
          <w:color w:val="000000"/>
          <w:sz w:val="20"/>
          <w:szCs w:val="21"/>
          <w:u w:val="single"/>
        </w:rPr>
        <w:t xml:space="preserve">（固定格式文本）你（公司）的邮寄地址是哪里？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（实际情况记录文本）××省××市××街××号。</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 w:eastAsia="仿宋_GB2312" w:hAnsi="仿宋" w:cs="宋体" w:hint="eastAsia"/>
          <w:color w:val="000000"/>
          <w:sz w:val="20"/>
          <w:szCs w:val="21"/>
          <w:u w:val="single"/>
        </w:rPr>
        <w:t>（固定格式文本）这款产品是你们生产（销售）的吗？其产品型号是××吗？</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（实际情况记录文本）（内容略）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 w:eastAsia="仿宋_GB2312" w:hAnsi="仿宋" w:cs="宋体" w:hint="eastAsia"/>
          <w:color w:val="000000"/>
          <w:sz w:val="20"/>
          <w:szCs w:val="21"/>
          <w:u w:val="single"/>
        </w:rPr>
        <w:t>（固定格式文本）什么时候开始生产（销售）的？</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（实际情况记录文本）（内容略）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 w:eastAsia="仿宋_GB2312" w:hAnsi="仿宋" w:cs="宋体" w:hint="eastAsia"/>
          <w:color w:val="000000"/>
          <w:sz w:val="20"/>
          <w:szCs w:val="21"/>
          <w:u w:val="single"/>
        </w:rPr>
        <w:t>（固定格式文本）至今生产（销售）了多少？生产成本（销售价格）是多少？</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（实际情况记录文本）（内容略）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 w:eastAsia="仿宋_GB2312" w:hAnsi="仿宋" w:cs="宋体" w:hint="eastAsia"/>
          <w:color w:val="000000"/>
          <w:sz w:val="20"/>
          <w:szCs w:val="21"/>
          <w:u w:val="single"/>
        </w:rPr>
        <w:t>（固定格式文本）你们生产（销售）的这种产品主要是销往哪里？</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（实际情况记录文本）（内容略）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 w:eastAsia="仿宋_GB2312" w:hAnsi="仿宋" w:cs="宋体" w:hint="eastAsia"/>
          <w:color w:val="000000"/>
          <w:sz w:val="20"/>
          <w:szCs w:val="21"/>
          <w:u w:val="single"/>
        </w:rPr>
        <w:t>（固定格式文本）生产该产品的模具有多少？该模具是什么时候制作的？</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（实际情况记录文本）（内容略）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 w:eastAsia="仿宋_GB2312" w:hAnsi="仿宋" w:cs="宋体" w:hint="eastAsia"/>
          <w:color w:val="000000"/>
          <w:sz w:val="20"/>
          <w:szCs w:val="21"/>
          <w:u w:val="single"/>
        </w:rPr>
        <w:t>（固定格式文本）你们知道该涉案专利吗？</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（实际情况记录文本）（内容略）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 w:eastAsia="仿宋_GB2312" w:hAnsi="仿宋" w:cs="宋体" w:hint="eastAsia"/>
          <w:color w:val="000000"/>
          <w:sz w:val="20"/>
          <w:szCs w:val="21"/>
          <w:u w:val="single"/>
        </w:rPr>
        <w:t>（固定格式文本）我们对涉案产品拍摄照片×张，请你确认。</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（实际情况记录文本）你们拍摄了照片×张，我已看过。</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调：</w:t>
      </w:r>
      <w:r>
        <w:rPr>
          <w:rFonts w:ascii="仿宋" w:eastAsia="仿宋_GB2312" w:hAnsi="仿宋" w:cs="宋体" w:hint="eastAsia"/>
          <w:color w:val="000000"/>
          <w:sz w:val="20"/>
          <w:szCs w:val="21"/>
          <w:u w:val="single"/>
        </w:rPr>
        <w:t>（固定格式文本）这次我们过来除了来调查该专利侵权纠纷案件外，还要向你们送达答辩通知书、专利侵权纠纷处理请求书和附件，需要你们做好答辩准备。请在送达回证上签字。</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（实际情况记录文本）好的。</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r>
        <w:rPr>
          <w:rFonts w:ascii="仿宋_GB2312" w:eastAsia="仿宋_GB2312" w:hAnsi="黑体" w:cs="宋体" w:hint="eastAsia"/>
          <w:color w:val="000000"/>
          <w:sz w:val="20"/>
          <w:szCs w:val="21"/>
          <w:u w:val="single"/>
        </w:rPr>
        <w:t xml:space="preserve">                             </w:t>
      </w: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（被调查人看过无异议，请抄写：以上内容已阅，与我所述一致。）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抄写处：</w:t>
      </w:r>
      <w:r>
        <w:rPr>
          <w:rFonts w:ascii="华文行楷" w:eastAsia="华文行楷" w:hAnsi="仿宋" w:cs="宋体" w:hint="eastAsia"/>
          <w:color w:val="000000"/>
          <w:sz w:val="20"/>
          <w:szCs w:val="21"/>
          <w:u w:val="single"/>
        </w:rPr>
        <w:t>以上内容已阅，与我所述一致。</w:t>
      </w:r>
      <w:r>
        <w:rPr>
          <w:rFonts w:ascii="Ink Free" w:eastAsia="华文行楷" w:hAnsi="Ink Free" w:cs="宋体"/>
          <w:b/>
          <w:color w:val="000000"/>
          <w:sz w:val="20"/>
          <w:szCs w:val="21"/>
          <w:u w:val="single"/>
        </w:rPr>
        <w:t>C</w:t>
      </w:r>
      <w:r>
        <w:rPr>
          <w:rFonts w:ascii="华文行楷" w:eastAsia="华文行楷" w:hAnsi="仿宋" w:cs="宋体" w:hint="eastAsia"/>
          <w:color w:val="000000"/>
          <w:sz w:val="20"/>
          <w:szCs w:val="21"/>
          <w:u w:val="single"/>
        </w:rPr>
        <w:t xml:space="preserve">某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（以下空白）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r>
        <w:rPr>
          <w:rFonts w:ascii="仿宋_GB2312" w:eastAsia="仿宋_GB2312" w:hAnsi="黑体" w:cs="宋体" w:hint="eastAsia"/>
          <w:color w:val="000000"/>
          <w:sz w:val="20"/>
          <w:szCs w:val="21"/>
          <w:u w:val="single"/>
        </w:rPr>
        <w:t xml:space="preserve">                             </w:t>
      </w:r>
      <w:r>
        <w:rPr>
          <w:rFonts w:ascii="仿宋_GB2312" w:eastAsia="仿宋_GB2312" w:hAnsi="仿宋" w:cs="宋体" w:hint="eastAsia"/>
          <w:color w:val="000000"/>
          <w:sz w:val="20"/>
          <w:szCs w:val="21"/>
          <w:u w:val="single"/>
        </w:rPr>
        <w:t xml:space="preserve">                                                       </w:t>
      </w:r>
    </w:p>
    <w:p w:rsidR="00800760" w:rsidRDefault="00235733">
      <w:pPr>
        <w:ind w:firstLineChars="0" w:firstLine="0"/>
        <w:jc w:val="right"/>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被调查人（签字）：</w:t>
      </w:r>
      <w:r>
        <w:rPr>
          <w:rFonts w:ascii="仿宋" w:eastAsia="仿宋_GB2312" w:hAnsi="仿宋" w:cs="宋体" w:hint="eastAsia"/>
          <w:color w:val="000000"/>
          <w:sz w:val="20"/>
          <w:szCs w:val="21"/>
          <w:u w:val="single"/>
        </w:rPr>
        <w:t xml:space="preserve"> </w:t>
      </w:r>
      <w:r>
        <w:rPr>
          <w:rFonts w:ascii="Ink Free" w:eastAsia="华文行楷" w:hAnsi="Ink Free" w:cs="宋体"/>
          <w:b/>
          <w:color w:val="000000"/>
          <w:sz w:val="20"/>
          <w:szCs w:val="21"/>
          <w:u w:val="single"/>
        </w:rPr>
        <w:t>C</w:t>
      </w:r>
      <w:r>
        <w:rPr>
          <w:rFonts w:ascii="华文行楷" w:eastAsia="华文行楷" w:hAnsi="仿宋" w:cs="宋体" w:hint="eastAsia"/>
          <w:color w:val="000000"/>
          <w:sz w:val="20"/>
          <w:szCs w:val="21"/>
          <w:u w:val="single"/>
        </w:rPr>
        <w:t>某</w:t>
      </w: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r>
        <w:rPr>
          <w:rFonts w:ascii="仿宋_GB2312" w:eastAsia="仿宋_GB2312" w:hAnsi="黑体" w:cs="宋体" w:hint="eastAsia"/>
          <w:color w:val="000000"/>
          <w:sz w:val="20"/>
          <w:szCs w:val="21"/>
          <w:u w:val="single"/>
        </w:rPr>
        <w:t xml:space="preserve">                       </w:t>
      </w:r>
      <w:r>
        <w:rPr>
          <w:rFonts w:ascii="仿宋_GB2312" w:eastAsia="仿宋_GB2312" w:hAnsi="仿宋" w:cs="宋体" w:hint="eastAsia"/>
          <w:color w:val="000000"/>
          <w:sz w:val="20"/>
          <w:szCs w:val="21"/>
          <w:u w:val="single"/>
        </w:rPr>
        <w:t xml:space="preserve">                                                     </w:t>
      </w:r>
    </w:p>
    <w:p w:rsidR="00800760" w:rsidRDefault="00235733">
      <w:pPr>
        <w:ind w:firstLineChars="0" w:firstLine="0"/>
        <w:jc w:val="right"/>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调查人（签字）：</w:t>
      </w:r>
      <w:r>
        <w:rPr>
          <w:rFonts w:ascii="华文行楷" w:eastAsia="华文行楷" w:hAnsi="仿宋" w:cs="宋体" w:hint="eastAsia"/>
          <w:color w:val="000000"/>
          <w:sz w:val="20"/>
          <w:szCs w:val="21"/>
          <w:u w:val="single"/>
        </w:rPr>
        <w:t>办案人员甲</w:t>
      </w: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 xml:space="preserve"> 20××年××月××日</w:t>
      </w:r>
    </w:p>
    <w:p w:rsidR="00800760" w:rsidRDefault="00235733">
      <w:pPr>
        <w:ind w:rightChars="13" w:right="27" w:firstLineChars="0" w:firstLine="0"/>
        <w:jc w:val="right"/>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华文行楷" w:eastAsia="华文行楷" w:hAnsi="仿宋" w:cs="宋体" w:hint="eastAsia"/>
          <w:color w:val="000000"/>
          <w:sz w:val="20"/>
          <w:szCs w:val="21"/>
          <w:u w:val="single"/>
        </w:rPr>
        <w:t>办案人员乙</w:t>
      </w: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20××年××月××日</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spacing w:line="240" w:lineRule="auto"/>
        <w:ind w:firstLineChars="0" w:firstLine="0"/>
        <w:rPr>
          <w:rFonts w:ascii="仿宋_GB2312" w:eastAsia="仿宋_GB2312" w:hAnsi="仿宋" w:cs="宋体"/>
          <w:color w:val="000000"/>
          <w:sz w:val="20"/>
          <w:szCs w:val="21"/>
          <w:u w:val="single"/>
        </w:rPr>
      </w:pPr>
      <w:r>
        <w:rPr>
          <w:rFonts w:ascii="仿宋_GB2312" w:eastAsia="仿宋_GB2312" w:hAnsi="仿宋" w:cs="宋体"/>
          <w:color w:val="000000"/>
          <w:sz w:val="20"/>
          <w:szCs w:val="21"/>
          <w:u w:val="single"/>
        </w:rPr>
        <w:br w:type="page"/>
      </w:r>
    </w:p>
    <w:p w:rsidR="00800760" w:rsidRDefault="00235733" w:rsidP="00C22A7B">
      <w:pPr>
        <w:spacing w:beforeLines="50" w:afterLines="50" w:line="360" w:lineRule="auto"/>
        <w:ind w:firstLineChars="0" w:firstLine="744"/>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重大专利侵权纠纷行政裁决调查笔录</w:t>
      </w:r>
    </w:p>
    <w:p w:rsidR="00800760" w:rsidRDefault="00235733">
      <w:pPr>
        <w:spacing w:line="360" w:lineRule="auto"/>
        <w:ind w:firstLineChars="0" w:firstLine="0"/>
        <w:jc w:val="center"/>
        <w:rPr>
          <w:rFonts w:ascii="仿宋_GB2312" w:eastAsia="仿宋_GB2312" w:hAnsi="仿宋"/>
          <w:color w:val="000000"/>
          <w:sz w:val="20"/>
          <w:szCs w:val="21"/>
        </w:rPr>
      </w:pPr>
      <w:r>
        <w:rPr>
          <w:rFonts w:ascii="仿宋_GB2312" w:eastAsia="仿宋_GB2312" w:hAnsi="仿宋" w:hint="eastAsia"/>
          <w:color w:val="000000"/>
          <w:sz w:val="20"/>
          <w:szCs w:val="21"/>
        </w:rPr>
        <w:t xml:space="preserve">                                              案号：</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案由：</w:t>
      </w:r>
      <w:r>
        <w:rPr>
          <w:rFonts w:ascii="仿宋_GB2312" w:eastAsia="仿宋_GB2312" w:hAnsi="仿宋" w:hint="eastAsia"/>
          <w:color w:val="000000"/>
          <w:sz w:val="20"/>
          <w:szCs w:val="21"/>
          <w:u w:val="single"/>
        </w:rPr>
        <w:t xml:space="preserve">A公司与 B公司间的实用新型专利侵权纠纷                                            </w:t>
      </w:r>
    </w:p>
    <w:p w:rsidR="00800760" w:rsidRDefault="00235733">
      <w:pPr>
        <w:spacing w:line="360" w:lineRule="auto"/>
        <w:ind w:firstLineChars="0" w:firstLine="0"/>
        <w:rPr>
          <w:rFonts w:ascii="黑体" w:eastAsia="黑体" w:hAnsi="黑体"/>
          <w:color w:val="000000"/>
          <w:sz w:val="20"/>
          <w:szCs w:val="21"/>
          <w:u w:val="single"/>
        </w:rPr>
      </w:pPr>
      <w:r>
        <w:rPr>
          <w:rFonts w:ascii="黑体" w:eastAsia="黑体" w:hAnsi="黑体" w:hint="eastAsia"/>
          <w:color w:val="000000"/>
          <w:sz w:val="20"/>
          <w:szCs w:val="21"/>
          <w:u w:val="single"/>
        </w:rPr>
        <w:t xml:space="preserve">调查人：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姓名：</w:t>
      </w:r>
      <w:r>
        <w:rPr>
          <w:rFonts w:ascii="仿宋_GB2312" w:eastAsia="仿宋_GB2312" w:hAnsi="仿宋" w:hint="eastAsia"/>
          <w:color w:val="000000"/>
          <w:sz w:val="20"/>
          <w:szCs w:val="21"/>
          <w:u w:val="single"/>
        </w:rPr>
        <w:t xml:space="preserve">办案甲 </w:t>
      </w:r>
      <w:r>
        <w:rPr>
          <w:rFonts w:ascii="仿宋" w:eastAsia="仿宋" w:hAnsi="仿宋" w:hint="eastAsia"/>
          <w:color w:val="000000"/>
          <w:sz w:val="20"/>
          <w:szCs w:val="21"/>
          <w:u w:val="single"/>
        </w:rPr>
        <w:t xml:space="preserve">   </w:t>
      </w:r>
      <w:r>
        <w:rPr>
          <w:rFonts w:ascii="黑体" w:eastAsia="黑体" w:hAnsi="黑体" w:hint="eastAsia"/>
          <w:color w:val="000000"/>
          <w:sz w:val="20"/>
          <w:szCs w:val="21"/>
          <w:u w:val="single"/>
        </w:rPr>
        <w:t>部门：</w:t>
      </w:r>
      <w:r>
        <w:rPr>
          <w:rFonts w:ascii="仿宋_GB2312" w:eastAsia="仿宋_GB2312" w:hAnsi="仿宋" w:hint="eastAsia"/>
          <w:color w:val="000000"/>
          <w:sz w:val="20"/>
          <w:szCs w:val="21"/>
          <w:u w:val="single"/>
        </w:rPr>
        <w:t xml:space="preserve">                  </w:t>
      </w:r>
      <w:r>
        <w:rPr>
          <w:rFonts w:ascii="仿宋" w:eastAsia="仿宋" w:hAnsi="仿宋" w:hint="eastAsia"/>
          <w:color w:val="000000"/>
          <w:sz w:val="20"/>
          <w:szCs w:val="21"/>
          <w:u w:val="single"/>
        </w:rPr>
        <w:t xml:space="preserve">  </w:t>
      </w:r>
      <w:r>
        <w:rPr>
          <w:rFonts w:ascii="黑体" w:eastAsia="黑体" w:hAnsi="黑体" w:hint="eastAsia"/>
          <w:color w:val="000000"/>
          <w:sz w:val="20"/>
          <w:szCs w:val="21"/>
          <w:u w:val="single"/>
        </w:rPr>
        <w:t>职务：</w:t>
      </w:r>
      <w:r>
        <w:rPr>
          <w:rFonts w:ascii="仿宋_GB2312" w:eastAsia="仿宋_GB2312" w:hAnsi="仿宋" w:hint="eastAsia"/>
          <w:color w:val="000000"/>
          <w:sz w:val="20"/>
          <w:szCs w:val="21"/>
          <w:u w:val="single"/>
        </w:rPr>
        <w:t xml:space="preserve">科员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姓名：</w:t>
      </w:r>
      <w:r>
        <w:rPr>
          <w:rFonts w:ascii="仿宋_GB2312" w:eastAsia="仿宋_GB2312" w:hAnsi="仿宋" w:hint="eastAsia"/>
          <w:color w:val="000000"/>
          <w:sz w:val="20"/>
          <w:szCs w:val="21"/>
          <w:u w:val="single"/>
        </w:rPr>
        <w:t xml:space="preserve">办案乙    </w:t>
      </w:r>
      <w:r>
        <w:rPr>
          <w:rFonts w:ascii="黑体" w:eastAsia="黑体" w:hAnsi="黑体" w:hint="eastAsia"/>
          <w:color w:val="000000"/>
          <w:sz w:val="20"/>
          <w:szCs w:val="21"/>
          <w:u w:val="single"/>
        </w:rPr>
        <w:t>部门：</w:t>
      </w:r>
      <w:r>
        <w:rPr>
          <w:rFonts w:ascii="仿宋_GB2312"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职务：</w:t>
      </w:r>
      <w:r>
        <w:rPr>
          <w:rFonts w:ascii="仿宋_GB2312" w:eastAsia="仿宋_GB2312" w:hAnsi="仿宋" w:hint="eastAsia"/>
          <w:color w:val="000000"/>
          <w:sz w:val="20"/>
          <w:szCs w:val="21"/>
          <w:u w:val="single"/>
        </w:rPr>
        <w:t xml:space="preserve">科员                                </w:t>
      </w:r>
    </w:p>
    <w:p w:rsidR="00800760" w:rsidRDefault="00235733">
      <w:pPr>
        <w:spacing w:line="360" w:lineRule="auto"/>
        <w:ind w:firstLineChars="0" w:firstLine="0"/>
        <w:rPr>
          <w:rFonts w:ascii="仿宋_GB2312" w:eastAsia="仿宋_GB2312" w:hAnsi="黑体"/>
          <w:color w:val="000000"/>
          <w:sz w:val="20"/>
          <w:szCs w:val="21"/>
          <w:u w:val="single"/>
        </w:rPr>
      </w:pPr>
      <w:r>
        <w:rPr>
          <w:rFonts w:ascii="黑体" w:eastAsia="黑体" w:hAnsi="黑体" w:hint="eastAsia"/>
          <w:color w:val="000000"/>
          <w:sz w:val="20"/>
          <w:szCs w:val="21"/>
          <w:u w:val="single"/>
        </w:rPr>
        <w:t xml:space="preserve">被调查人： </w:t>
      </w:r>
      <w:r>
        <w:rPr>
          <w:rFonts w:ascii="仿宋_GB2312" w:eastAsia="仿宋_GB2312" w:hAnsi="黑体"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黑体" w:eastAsia="黑体" w:hAnsi="黑体" w:hint="eastAsia"/>
          <w:color w:val="000000"/>
          <w:sz w:val="20"/>
          <w:szCs w:val="21"/>
          <w:u w:val="single"/>
        </w:rPr>
        <w:t>姓名：</w:t>
      </w:r>
      <w:r>
        <w:rPr>
          <w:rFonts w:ascii="仿宋_GB2312" w:eastAsia="仿宋_GB2312" w:hAnsi="仿宋" w:hint="eastAsia"/>
          <w:color w:val="000000"/>
          <w:sz w:val="20"/>
          <w:szCs w:val="21"/>
          <w:u w:val="single"/>
        </w:rPr>
        <w:t xml:space="preserve">C某      </w:t>
      </w:r>
      <w:r>
        <w:rPr>
          <w:rFonts w:ascii="黑体" w:eastAsia="黑体" w:hAnsi="黑体" w:hint="eastAsia"/>
          <w:color w:val="000000"/>
          <w:sz w:val="20"/>
          <w:szCs w:val="21"/>
          <w:u w:val="single"/>
        </w:rPr>
        <w:t>单位：</w:t>
      </w:r>
      <w:r>
        <w:rPr>
          <w:rFonts w:ascii="仿宋_GB2312" w:eastAsia="仿宋_GB2312" w:hAnsi="仿宋" w:hint="eastAsia"/>
          <w:color w:val="000000"/>
          <w:sz w:val="20"/>
          <w:szCs w:val="21"/>
          <w:u w:val="single"/>
        </w:rPr>
        <w:t xml:space="preserve">B公司      </w:t>
      </w:r>
      <w:r>
        <w:rPr>
          <w:rFonts w:ascii="黑体" w:eastAsia="黑体" w:hAnsi="黑体" w:hint="eastAsia"/>
          <w:color w:val="000000"/>
          <w:sz w:val="20"/>
          <w:szCs w:val="21"/>
          <w:u w:val="single"/>
        </w:rPr>
        <w:t>身份证号：</w:t>
      </w:r>
      <w:r>
        <w:rPr>
          <w:rFonts w:ascii="仿宋" w:eastAsia="仿宋_GB2312" w:hAnsi="仿宋" w:hint="eastAsia"/>
          <w:color w:val="000000"/>
          <w:sz w:val="20"/>
          <w:szCs w:val="21"/>
          <w:u w:val="single"/>
        </w:rPr>
        <w:t>（略）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黑体" w:eastAsia="黑体" w:hAnsi="黑体" w:hint="eastAsia"/>
          <w:color w:val="000000"/>
          <w:sz w:val="20"/>
          <w:szCs w:val="21"/>
          <w:u w:val="single"/>
        </w:rPr>
        <w:t>职务：</w:t>
      </w:r>
      <w:r>
        <w:rPr>
          <w:rFonts w:ascii="仿宋" w:eastAsia="仿宋_GB2312" w:hAnsi="仿宋" w:hint="eastAsia"/>
          <w:color w:val="000000"/>
          <w:sz w:val="20"/>
          <w:szCs w:val="21"/>
          <w:u w:val="single"/>
        </w:rPr>
        <w:t>主任</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住所：</w:t>
      </w:r>
      <w:r>
        <w:rPr>
          <w:rFonts w:ascii="仿宋" w:eastAsia="仿宋_GB2312" w:hAnsi="仿宋" w:hint="eastAsia"/>
          <w:color w:val="000000"/>
          <w:sz w:val="20"/>
          <w:szCs w:val="21"/>
          <w:u w:val="single"/>
        </w:rPr>
        <w:t>××省××市××街××号</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电话：</w:t>
      </w:r>
      <w:r>
        <w:rPr>
          <w:rFonts w:ascii="仿宋" w:eastAsia="仿宋_GB2312" w:hAnsi="仿宋" w:hint="eastAsia"/>
          <w:color w:val="000000"/>
          <w:sz w:val="20"/>
          <w:szCs w:val="21"/>
          <w:u w:val="single"/>
        </w:rPr>
        <w:t>××××××××</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调查时间：</w:t>
      </w:r>
      <w:r>
        <w:rPr>
          <w:rFonts w:ascii="仿宋_GB2312" w:eastAsia="仿宋_GB2312" w:hAnsi="仿宋" w:hint="eastAsia"/>
          <w:color w:val="000000"/>
          <w:sz w:val="20"/>
          <w:szCs w:val="21"/>
          <w:u w:val="single"/>
        </w:rPr>
        <w:t xml:space="preserve">20××年××月××日××时××分至于××月××日××时××分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调查地点：</w:t>
      </w:r>
      <w:r>
        <w:rPr>
          <w:rFonts w:ascii="仿宋_GB2312" w:eastAsia="仿宋_GB2312" w:hAnsi="仿宋" w:hint="eastAsia"/>
          <w:color w:val="000000"/>
          <w:sz w:val="20"/>
          <w:szCs w:val="21"/>
          <w:u w:val="single"/>
        </w:rPr>
        <w:t xml:space="preserve">××省××市××街××号B公司生产车间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调查笔录：</w:t>
      </w:r>
      <w:r>
        <w:rPr>
          <w:rFonts w:ascii="仿宋_GB2312" w:eastAsia="仿宋_GB2312" w:hAnsi="仿宋" w:hint="eastAsia"/>
          <w:color w:val="000000"/>
          <w:sz w:val="20"/>
          <w:szCs w:val="21"/>
          <w:u w:val="single"/>
        </w:rPr>
        <w:t xml:space="preserve">（以下笔录中调查人员简称“调”，被调查人员简称“被”）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_GB2312" w:eastAsia="仿宋_GB2312" w:hAnsi="仿宋" w:hint="eastAsia"/>
          <w:color w:val="000000"/>
          <w:sz w:val="20"/>
          <w:szCs w:val="21"/>
          <w:u w:val="single"/>
        </w:rPr>
        <w:t>（固定格式与实际情况记录相结合文本）你好。我是办案人员甲        ，执法证号是××××；办案人员乙，执法证号是××××（出示执法证）。根据《专利纠纷行政裁决和调解办法》</w:t>
      </w:r>
      <w:r>
        <w:rPr>
          <w:rFonts w:ascii="仿宋_GB2312" w:eastAsia="仿宋_GB2312" w:hAnsi="仿宋" w:cs="宋体" w:hint="eastAsia"/>
          <w:color w:val="000000"/>
          <w:sz w:val="20"/>
          <w:szCs w:val="21"/>
          <w:u w:val="single"/>
        </w:rPr>
        <w:t>第四十四条、第四十七条</w:t>
      </w:r>
      <w:r>
        <w:rPr>
          <w:rFonts w:ascii="仿宋_GB2312" w:eastAsia="仿宋_GB2312" w:hAnsi="仿宋" w:hint="eastAsia"/>
          <w:color w:val="000000"/>
          <w:sz w:val="20"/>
          <w:szCs w:val="21"/>
          <w:u w:val="single"/>
        </w:rPr>
        <w:t xml:space="preserve">的规定，今天我们就你公司与A公司间专利侵权纠纷一案，对你进行调查，请你予以配合，如实回答相关问题。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（实际情况记录文本）好的</w:t>
      </w: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，我会主动配合。</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 w:eastAsia="仿宋_GB2312" w:hAnsi="仿宋" w:hint="eastAsia"/>
          <w:color w:val="000000"/>
          <w:sz w:val="20"/>
          <w:szCs w:val="21"/>
          <w:u w:val="single"/>
        </w:rPr>
        <w:t>（固定格式文本）首先要确认一下你的身份及你与当事人的关系。</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（实际情况记录文本）我是B公司的生产车间主任，叫C某。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_GB2312" w:eastAsia="仿宋_GB2312" w:hAnsi="仿宋" w:hint="eastAsia"/>
          <w:color w:val="000000"/>
          <w:sz w:val="20"/>
          <w:szCs w:val="21"/>
          <w:u w:val="single"/>
        </w:rPr>
        <w:t xml:space="preserve">（固定格式文本）你（公司）的邮寄地址是哪里？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（实际情况记录文本）××省××市××街××号。</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 w:eastAsia="仿宋_GB2312" w:hAnsi="仿宋" w:hint="eastAsia"/>
          <w:color w:val="000000"/>
          <w:sz w:val="20"/>
          <w:szCs w:val="21"/>
          <w:u w:val="single"/>
        </w:rPr>
        <w:t>（固定格式文本）这款产品是你们生产（销售）的吗？其产品型号是××吗？</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 w:eastAsia="仿宋_GB2312" w:hAnsi="仿宋" w:hint="eastAsia"/>
          <w:color w:val="000000"/>
          <w:sz w:val="20"/>
          <w:szCs w:val="21"/>
          <w:u w:val="single"/>
        </w:rPr>
        <w:t>（固定格式文本）什么时候开始生产（销售）的？</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 w:eastAsia="仿宋_GB2312" w:hAnsi="仿宋" w:hint="eastAsia"/>
          <w:color w:val="000000"/>
          <w:sz w:val="20"/>
          <w:szCs w:val="21"/>
          <w:u w:val="single"/>
        </w:rPr>
        <w:t>（固定格式文本）至今生产（销售）了多少？生产成本（销售价格）是多少？</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 w:eastAsia="仿宋_GB2312" w:hAnsi="仿宋" w:hint="eastAsia"/>
          <w:color w:val="000000"/>
          <w:sz w:val="20"/>
          <w:szCs w:val="21"/>
          <w:u w:val="single"/>
        </w:rPr>
        <w:t>（固定格式文本）你们生产（销售）的这种产品主要是销往哪里？</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 w:eastAsia="仿宋_GB2312" w:hAnsi="仿宋" w:hint="eastAsia"/>
          <w:color w:val="000000"/>
          <w:sz w:val="20"/>
          <w:szCs w:val="21"/>
          <w:u w:val="single"/>
        </w:rPr>
        <w:t>（固定格式文本）生产该产品的模具有多少？该模具是什么时候制作的？</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 w:eastAsia="仿宋_GB2312" w:hAnsi="仿宋" w:hint="eastAsia"/>
          <w:color w:val="000000"/>
          <w:sz w:val="20"/>
          <w:szCs w:val="21"/>
          <w:u w:val="single"/>
        </w:rPr>
        <w:t>（固定格式文本）你们知道该涉案专利吗？</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 w:eastAsia="仿宋_GB2312" w:hAnsi="仿宋" w:hint="eastAsia"/>
          <w:color w:val="000000"/>
          <w:sz w:val="20"/>
          <w:szCs w:val="21"/>
          <w:u w:val="single"/>
        </w:rPr>
        <w:t>（固定格式文本）我们对涉案产品拍摄照片×张，请你确认。</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（实际情况记录文本）你们拍摄了照片×张，我已看过。</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调：</w:t>
      </w:r>
      <w:r>
        <w:rPr>
          <w:rFonts w:ascii="仿宋" w:eastAsia="仿宋_GB2312" w:hAnsi="仿宋" w:hint="eastAsia"/>
          <w:color w:val="000000"/>
          <w:sz w:val="20"/>
          <w:szCs w:val="21"/>
          <w:u w:val="single"/>
        </w:rPr>
        <w:t>（固定格式文本）这次我们过来除了来调查该重大专利侵权纠纷行政裁决外，还要向你们送达答辩通知书、专利侵权纠纷处理请求书和附件，需要你们做好答辩准备。请在送达回证上签字。</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（实际情况记录文本）好的。</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仿宋_GB2312" w:eastAsia="仿宋_GB2312" w:hAnsi="黑体" w:hint="eastAsia"/>
          <w:color w:val="000000"/>
          <w:sz w:val="20"/>
          <w:szCs w:val="21"/>
          <w:u w:val="single"/>
        </w:rPr>
        <w:t xml:space="preserve">                             </w:t>
      </w: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（被调查人看过无异议，请抄写：以上内容已阅，与我所述一致。）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抄写处：</w:t>
      </w:r>
      <w:r>
        <w:rPr>
          <w:rFonts w:ascii="华文行楷" w:eastAsia="华文行楷" w:hAnsi="仿宋" w:hint="eastAsia"/>
          <w:color w:val="000000"/>
          <w:sz w:val="20"/>
          <w:szCs w:val="21"/>
          <w:u w:val="single"/>
        </w:rPr>
        <w:t>以上内容已阅，与我所述一致。</w:t>
      </w:r>
      <w:r>
        <w:rPr>
          <w:rFonts w:ascii="Ink Free" w:eastAsia="华文行楷" w:hAnsi="Ink Free"/>
          <w:b/>
          <w:color w:val="000000"/>
          <w:sz w:val="20"/>
          <w:szCs w:val="21"/>
          <w:u w:val="single"/>
        </w:rPr>
        <w:t>C</w:t>
      </w:r>
      <w:r>
        <w:rPr>
          <w:rFonts w:ascii="华文行楷" w:eastAsia="华文行楷" w:hAnsi="仿宋" w:hint="eastAsia"/>
          <w:color w:val="000000"/>
          <w:sz w:val="20"/>
          <w:szCs w:val="21"/>
          <w:u w:val="single"/>
        </w:rPr>
        <w:t xml:space="preserve">某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（以下空白）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仿宋_GB2312" w:eastAsia="仿宋_GB2312" w:hAnsi="黑体" w:hint="eastAsia"/>
          <w:color w:val="000000"/>
          <w:sz w:val="20"/>
          <w:szCs w:val="21"/>
          <w:u w:val="single"/>
        </w:rPr>
        <w:t xml:space="preserve">                             </w:t>
      </w: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被调查人（签字）：</w:t>
      </w:r>
      <w:r>
        <w:rPr>
          <w:rFonts w:ascii="仿宋" w:eastAsia="仿宋_GB2312" w:hAnsi="仿宋" w:hint="eastAsia"/>
          <w:color w:val="000000"/>
          <w:sz w:val="20"/>
          <w:szCs w:val="21"/>
          <w:u w:val="single"/>
        </w:rPr>
        <w:t xml:space="preserve"> </w:t>
      </w:r>
      <w:r>
        <w:rPr>
          <w:rFonts w:ascii="Ink Free" w:eastAsia="华文行楷" w:hAnsi="Ink Free"/>
          <w:b/>
          <w:color w:val="000000"/>
          <w:sz w:val="20"/>
          <w:szCs w:val="21"/>
          <w:u w:val="single"/>
        </w:rPr>
        <w:t>C</w:t>
      </w:r>
      <w:r>
        <w:rPr>
          <w:rFonts w:ascii="华文行楷" w:eastAsia="华文行楷" w:hAnsi="仿宋" w:hint="eastAsia"/>
          <w:color w:val="000000"/>
          <w:sz w:val="20"/>
          <w:szCs w:val="21"/>
          <w:u w:val="single"/>
        </w:rPr>
        <w:t>某</w:t>
      </w:r>
      <w:r>
        <w:rPr>
          <w:rFonts w:ascii="仿宋" w:eastAsia="仿宋_GB2312" w:hAnsi="仿宋" w:hint="eastAsia"/>
          <w:color w:val="000000"/>
          <w:sz w:val="20"/>
          <w:szCs w:val="21"/>
          <w:u w:val="single"/>
        </w:rPr>
        <w:t xml:space="preserve">     </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仿宋_GB2312" w:eastAsia="仿宋_GB2312" w:hAnsi="黑体" w:hint="eastAsia"/>
          <w:color w:val="000000"/>
          <w:sz w:val="20"/>
          <w:szCs w:val="21"/>
          <w:u w:val="single"/>
        </w:rPr>
        <w:t xml:space="preserve">                             </w:t>
      </w: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调查人（签字）：</w:t>
      </w:r>
      <w:r>
        <w:rPr>
          <w:rFonts w:ascii="华文行楷" w:eastAsia="华文行楷" w:hAnsi="仿宋" w:hint="eastAsia"/>
          <w:color w:val="000000"/>
          <w:sz w:val="20"/>
          <w:szCs w:val="21"/>
          <w:u w:val="single"/>
        </w:rPr>
        <w:t>办案人员甲</w:t>
      </w:r>
      <w:r>
        <w:rPr>
          <w:rFonts w:ascii="仿宋" w:eastAsia="仿宋_GB2312" w:hAnsi="仿宋" w:hint="eastAsia"/>
          <w:color w:val="000000"/>
          <w:sz w:val="20"/>
          <w:szCs w:val="21"/>
          <w:u w:val="single"/>
        </w:rPr>
        <w:t xml:space="preserve">   </w:t>
      </w:r>
      <w:r>
        <w:rPr>
          <w:rFonts w:ascii="仿宋_GB2312" w:eastAsia="仿宋_GB2312" w:hAnsi="仿宋" w:hint="eastAsia"/>
          <w:color w:val="000000"/>
          <w:sz w:val="20"/>
          <w:szCs w:val="21"/>
          <w:u w:val="single"/>
        </w:rPr>
        <w:t xml:space="preserve"> 20××年××月××日</w:t>
      </w:r>
    </w:p>
    <w:p w:rsidR="00800760" w:rsidRDefault="00235733">
      <w:pPr>
        <w:spacing w:line="360" w:lineRule="auto"/>
        <w:ind w:rightChars="13" w:right="27" w:firstLineChars="0" w:firstLine="0"/>
        <w:jc w:val="right"/>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华文行楷" w:eastAsia="华文行楷" w:hAnsi="仿宋" w:hint="eastAsia"/>
          <w:color w:val="000000"/>
          <w:sz w:val="20"/>
          <w:szCs w:val="21"/>
          <w:u w:val="single"/>
        </w:rPr>
        <w:t>办案人员乙</w:t>
      </w:r>
      <w:r>
        <w:rPr>
          <w:rFonts w:ascii="仿宋" w:eastAsia="仿宋_GB2312" w:hAnsi="仿宋" w:hint="eastAsia"/>
          <w:color w:val="000000"/>
          <w:sz w:val="20"/>
          <w:szCs w:val="21"/>
          <w:u w:val="single"/>
        </w:rPr>
        <w:t xml:space="preserve">   </w:t>
      </w:r>
      <w:r>
        <w:rPr>
          <w:rFonts w:ascii="仿宋_GB2312" w:eastAsia="仿宋_GB2312" w:hAnsi="仿宋" w:hint="eastAsia"/>
          <w:color w:val="000000"/>
          <w:sz w:val="20"/>
          <w:szCs w:val="21"/>
          <w:u w:val="single"/>
        </w:rPr>
        <w:t>20××年××月××日</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olor w:val="000000"/>
          <w:sz w:val="32"/>
          <w:szCs w:val="32"/>
        </w:rPr>
        <w:br w:type="page"/>
      </w:r>
    </w:p>
    <w:p w:rsidR="00800760" w:rsidRDefault="00235733">
      <w:pPr>
        <w:ind w:firstLineChars="0" w:firstLine="0"/>
        <w:jc w:val="center"/>
        <w:rPr>
          <w:rFonts w:ascii="仿宋_GB2312" w:eastAsia="仿宋_GB2312" w:hAnsi="仿宋" w:cs="宋体"/>
          <w:color w:val="000000"/>
          <w:sz w:val="20"/>
          <w:szCs w:val="21"/>
          <w:u w:val="single"/>
        </w:rPr>
      </w:pPr>
      <w:r>
        <w:rPr>
          <w:rFonts w:ascii="仿宋" w:eastAsia="仿宋_GB2312" w:hAnsi="仿宋" w:cs="宋体" w:hint="eastAsia"/>
          <w:color w:val="000000"/>
          <w:sz w:val="32"/>
          <w:szCs w:val="32"/>
        </w:rPr>
        <w:t>×××知识产权局</w:t>
      </w:r>
    </w:p>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bookmarkStart w:id="9375" w:name="_Toc26909530"/>
      <w:r>
        <w:rPr>
          <w:rFonts w:ascii="方正小标宋_GBK" w:eastAsia="方正小标宋_GBK" w:hAnsi="宋体" w:hint="eastAsia"/>
          <w:color w:val="000000"/>
          <w:spacing w:val="6"/>
          <w:sz w:val="36"/>
          <w:szCs w:val="36"/>
        </w:rPr>
        <w:t>专利侵权纠纷行政裁决案件现场检查笔录</w:t>
      </w:r>
      <w:bookmarkEnd w:id="9375"/>
    </w:p>
    <w:p w:rsidR="00800760" w:rsidRDefault="00235733">
      <w:pPr>
        <w:spacing w:line="240" w:lineRule="auto"/>
        <w:ind w:firstLineChars="0" w:firstLine="0"/>
        <w:jc w:val="center"/>
        <w:rPr>
          <w:rFonts w:ascii="仿宋_GB2312" w:eastAsia="仿宋_GB2312" w:hAnsi="仿宋" w:cs="宋体"/>
          <w:color w:val="000000"/>
          <w:sz w:val="20"/>
          <w:szCs w:val="21"/>
        </w:rPr>
      </w:pPr>
      <w:r>
        <w:rPr>
          <w:rFonts w:ascii="仿宋_GB2312" w:eastAsia="仿宋_GB2312" w:hAnsi="仿宋" w:cs="宋体" w:hint="eastAsia"/>
          <w:color w:val="000000"/>
          <w:sz w:val="20"/>
          <w:szCs w:val="21"/>
        </w:rPr>
        <w:t xml:space="preserve">                                          案号：×××知法裁字〔20××〕×号</w:t>
      </w:r>
    </w:p>
    <w:p w:rsidR="00800760" w:rsidRDefault="00800760">
      <w:pPr>
        <w:spacing w:line="240" w:lineRule="auto"/>
        <w:ind w:firstLineChars="0" w:firstLine="0"/>
        <w:rPr>
          <w:rFonts w:ascii="宋体" w:hAnsi="宋体" w:cs="宋体"/>
          <w:color w:val="000000"/>
          <w:sz w:val="20"/>
          <w:szCs w:val="21"/>
        </w:rPr>
      </w:pP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时间：</w:t>
      </w:r>
      <w:r>
        <w:rPr>
          <w:rFonts w:ascii="仿宋_GB2312" w:eastAsia="仿宋_GB2312" w:hAnsi="仿宋" w:cs="宋体" w:hint="eastAsia"/>
          <w:color w:val="000000"/>
          <w:sz w:val="20"/>
          <w:szCs w:val="21"/>
          <w:u w:val="single"/>
        </w:rPr>
        <w:t xml:space="preserve">20××年××月××日××时××分至××月××日××时××分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地点：</w:t>
      </w:r>
      <w:r>
        <w:rPr>
          <w:rFonts w:ascii="仿宋_GB2312" w:eastAsia="仿宋_GB2312" w:hAnsi="仿宋" w:cs="宋体" w:hint="eastAsia"/>
          <w:color w:val="000000"/>
          <w:sz w:val="20"/>
          <w:szCs w:val="21"/>
          <w:u w:val="single"/>
        </w:rPr>
        <w:t xml:space="preserve">××省××市××街××号A公司生产车间                                            </w:t>
      </w:r>
    </w:p>
    <w:p w:rsidR="00800760" w:rsidRDefault="00235733">
      <w:pPr>
        <w:ind w:firstLineChars="0" w:firstLine="0"/>
        <w:rPr>
          <w:rFonts w:ascii="黑体" w:eastAsia="黑体" w:hAnsi="黑体" w:cs="宋体"/>
          <w:color w:val="000000"/>
          <w:sz w:val="20"/>
          <w:szCs w:val="21"/>
          <w:u w:val="single"/>
        </w:rPr>
      </w:pPr>
      <w:r>
        <w:rPr>
          <w:rFonts w:ascii="黑体" w:eastAsia="黑体" w:hAnsi="黑体" w:cs="宋体" w:hint="eastAsia"/>
          <w:color w:val="000000"/>
          <w:sz w:val="20"/>
          <w:szCs w:val="21"/>
          <w:u w:val="single"/>
        </w:rPr>
        <w:t xml:space="preserve">人员：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姓名：</w:t>
      </w:r>
      <w:r>
        <w:rPr>
          <w:rFonts w:ascii="仿宋_GB2312" w:eastAsia="仿宋_GB2312" w:hAnsi="仿宋" w:cs="宋体" w:hint="eastAsia"/>
          <w:color w:val="000000"/>
          <w:sz w:val="20"/>
          <w:szCs w:val="21"/>
          <w:u w:val="single"/>
        </w:rPr>
        <w:t xml:space="preserve">办案人员甲   </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单位：</w:t>
      </w:r>
      <w:r>
        <w:rPr>
          <w:rFonts w:ascii="仿宋_GB2312" w:eastAsia="仿宋_GB2312" w:hAnsi="仿宋" w:cs="宋体" w:hint="eastAsia"/>
          <w:color w:val="000000"/>
          <w:sz w:val="20"/>
          <w:szCs w:val="21"/>
          <w:u w:val="single"/>
        </w:rPr>
        <w:t xml:space="preserve">×××知识产权局   </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职务：</w:t>
      </w:r>
      <w:r>
        <w:rPr>
          <w:rFonts w:ascii="仿宋_GB2312" w:eastAsia="仿宋_GB2312" w:hAnsi="仿宋" w:cs="宋体" w:hint="eastAsia"/>
          <w:color w:val="000000"/>
          <w:sz w:val="20"/>
          <w:szCs w:val="21"/>
          <w:u w:val="single"/>
        </w:rPr>
        <w:t xml:space="preserve">科员                                </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姓名：</w:t>
      </w:r>
      <w:r>
        <w:rPr>
          <w:rFonts w:ascii="仿宋_GB2312" w:eastAsia="仿宋_GB2312" w:hAnsi="仿宋" w:cs="宋体" w:hint="eastAsia"/>
          <w:color w:val="000000"/>
          <w:sz w:val="20"/>
          <w:szCs w:val="21"/>
          <w:u w:val="single"/>
        </w:rPr>
        <w:t xml:space="preserve">办案人员乙    </w:t>
      </w:r>
      <w:r>
        <w:rPr>
          <w:rFonts w:ascii="黑体" w:eastAsia="黑体" w:hAnsi="黑体" w:cs="宋体" w:hint="eastAsia"/>
          <w:color w:val="000000"/>
          <w:sz w:val="20"/>
          <w:szCs w:val="21"/>
          <w:u w:val="single"/>
        </w:rPr>
        <w:t>单位：</w:t>
      </w:r>
      <w:r>
        <w:rPr>
          <w:rFonts w:ascii="仿宋_GB2312" w:eastAsia="仿宋_GB2312" w:hAnsi="仿宋" w:cs="宋体" w:hint="eastAsia"/>
          <w:color w:val="000000"/>
          <w:sz w:val="20"/>
          <w:szCs w:val="21"/>
          <w:u w:val="single"/>
        </w:rPr>
        <w:t xml:space="preserve">×××知识产权局     </w:t>
      </w:r>
      <w:r>
        <w:rPr>
          <w:rFonts w:ascii="黑体" w:eastAsia="黑体" w:hAnsi="黑体" w:cs="宋体" w:hint="eastAsia"/>
          <w:color w:val="000000"/>
          <w:sz w:val="20"/>
          <w:szCs w:val="21"/>
          <w:u w:val="single"/>
        </w:rPr>
        <w:t>职务：</w:t>
      </w:r>
      <w:r>
        <w:rPr>
          <w:rFonts w:ascii="仿宋_GB2312" w:eastAsia="仿宋_GB2312" w:hAnsi="仿宋" w:cs="宋体" w:hint="eastAsia"/>
          <w:color w:val="000000"/>
          <w:sz w:val="20"/>
          <w:szCs w:val="21"/>
          <w:u w:val="single"/>
        </w:rPr>
        <w:t xml:space="preserve">科员                                </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黑体" w:eastAsia="黑体" w:hAnsi="黑体" w:cs="宋体"/>
          <w:color w:val="000000"/>
          <w:sz w:val="20"/>
          <w:szCs w:val="21"/>
          <w:u w:val="single"/>
        </w:rPr>
      </w:pPr>
      <w:r>
        <w:rPr>
          <w:rFonts w:ascii="黑体" w:eastAsia="黑体" w:hAnsi="黑体" w:cs="宋体" w:hint="eastAsia"/>
          <w:color w:val="000000"/>
          <w:sz w:val="20"/>
          <w:szCs w:val="21"/>
          <w:u w:val="single"/>
        </w:rPr>
        <w:t>当事人：</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姓名：</w:t>
      </w:r>
      <w:r>
        <w:rPr>
          <w:rFonts w:ascii="仿宋" w:eastAsia="仿宋_GB2312" w:hAnsi="仿宋" w:cs="宋体" w:hint="eastAsia"/>
          <w:color w:val="000000"/>
          <w:sz w:val="20"/>
          <w:szCs w:val="21"/>
          <w:u w:val="single"/>
        </w:rPr>
        <w:t>C</w:t>
      </w:r>
      <w:r>
        <w:rPr>
          <w:rFonts w:ascii="仿宋" w:eastAsia="仿宋_GB2312" w:hAnsi="仿宋" w:cs="宋体" w:hint="eastAsia"/>
          <w:color w:val="000000"/>
          <w:sz w:val="20"/>
          <w:szCs w:val="21"/>
          <w:u w:val="single"/>
        </w:rPr>
        <w:t>某</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单位：</w:t>
      </w:r>
      <w:r>
        <w:rPr>
          <w:rFonts w:ascii="仿宋" w:eastAsia="仿宋_GB2312" w:hAnsi="仿宋" w:cs="宋体" w:hint="eastAsia"/>
          <w:color w:val="000000"/>
          <w:sz w:val="20"/>
          <w:szCs w:val="21"/>
          <w:u w:val="single"/>
        </w:rPr>
        <w:t>B</w:t>
      </w:r>
      <w:r>
        <w:rPr>
          <w:rFonts w:ascii="仿宋" w:eastAsia="仿宋_GB2312" w:hAnsi="仿宋" w:cs="宋体" w:hint="eastAsia"/>
          <w:color w:val="000000"/>
          <w:sz w:val="20"/>
          <w:szCs w:val="21"/>
          <w:u w:val="single"/>
        </w:rPr>
        <w:t>公司</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身份证号:</w:t>
      </w:r>
      <w:r>
        <w:rPr>
          <w:rFonts w:ascii="仿宋" w:eastAsia="仿宋_GB2312" w:hAnsi="仿宋" w:cs="宋体" w:hint="eastAsia"/>
          <w:color w:val="000000"/>
          <w:sz w:val="20"/>
          <w:szCs w:val="21"/>
          <w:u w:val="single"/>
        </w:rPr>
        <w:t>（略）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职务：</w:t>
      </w:r>
      <w:r>
        <w:rPr>
          <w:rFonts w:ascii="仿宋" w:eastAsia="仿宋_GB2312" w:hAnsi="仿宋" w:cs="宋体" w:hint="eastAsia"/>
          <w:color w:val="000000"/>
          <w:sz w:val="20"/>
          <w:szCs w:val="21"/>
          <w:u w:val="single"/>
        </w:rPr>
        <w:t>主任</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住所：</w:t>
      </w:r>
      <w:r>
        <w:rPr>
          <w:rFonts w:ascii="仿宋" w:eastAsia="仿宋_GB2312" w:hAnsi="仿宋" w:cs="宋体" w:hint="eastAsia"/>
          <w:color w:val="000000"/>
          <w:sz w:val="20"/>
          <w:szCs w:val="21"/>
          <w:u w:val="single"/>
        </w:rPr>
        <w:t>××省××市××街××号</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电话：</w:t>
      </w:r>
      <w:r>
        <w:rPr>
          <w:rFonts w:ascii="仿宋" w:eastAsia="仿宋_GB2312" w:hAnsi="仿宋" w:cs="宋体" w:hint="eastAsia"/>
          <w:color w:val="000000"/>
          <w:sz w:val="20"/>
          <w:szCs w:val="21"/>
          <w:u w:val="single"/>
        </w:rPr>
        <w:t>×××××××××××</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黑体" w:eastAsia="黑体" w:hAnsi="黑体" w:cs="宋体"/>
          <w:color w:val="000000"/>
          <w:sz w:val="20"/>
          <w:szCs w:val="21"/>
          <w:u w:val="single"/>
        </w:rPr>
      </w:pPr>
      <w:r>
        <w:rPr>
          <w:rFonts w:ascii="黑体" w:eastAsia="黑体" w:hAnsi="黑体" w:cs="宋体" w:hint="eastAsia"/>
          <w:color w:val="000000"/>
          <w:sz w:val="20"/>
          <w:szCs w:val="21"/>
          <w:u w:val="single"/>
        </w:rPr>
        <w:t>见证人：</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姓名：</w:t>
      </w:r>
      <w:r>
        <w:rPr>
          <w:rFonts w:ascii="仿宋" w:eastAsia="仿宋_GB2312" w:hAnsi="仿宋" w:cs="宋体" w:hint="eastAsia"/>
          <w:color w:val="000000"/>
          <w:sz w:val="20"/>
          <w:szCs w:val="21"/>
          <w:u w:val="single"/>
        </w:rPr>
        <w:t>D</w:t>
      </w:r>
      <w:r>
        <w:rPr>
          <w:rFonts w:ascii="仿宋" w:eastAsia="仿宋_GB2312" w:hAnsi="仿宋" w:cs="宋体" w:hint="eastAsia"/>
          <w:color w:val="000000"/>
          <w:sz w:val="20"/>
          <w:szCs w:val="21"/>
          <w:u w:val="single"/>
        </w:rPr>
        <w:t>某</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单位：</w:t>
      </w:r>
      <w:r>
        <w:rPr>
          <w:rFonts w:ascii="仿宋" w:eastAsia="仿宋_GB2312" w:hAnsi="仿宋" w:cs="宋体" w:hint="eastAsia"/>
          <w:color w:val="000000"/>
          <w:sz w:val="20"/>
          <w:szCs w:val="21"/>
          <w:u w:val="single"/>
        </w:rPr>
        <w:t>××经侦支队</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身份证号：</w:t>
      </w:r>
      <w:r>
        <w:rPr>
          <w:rFonts w:ascii="仿宋" w:eastAsia="仿宋_GB2312" w:hAnsi="仿宋" w:cs="宋体" w:hint="eastAsia"/>
          <w:color w:val="000000"/>
          <w:sz w:val="20"/>
          <w:szCs w:val="21"/>
          <w:u w:val="single"/>
        </w:rPr>
        <w:t>（略）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职务</w:t>
      </w:r>
      <w:r>
        <w:rPr>
          <w:rFonts w:ascii="仿宋_GB2312" w:eastAsia="仿宋_GB2312" w:hAnsi="黑体" w:cs="宋体" w:hint="eastAsia"/>
          <w:color w:val="000000"/>
          <w:sz w:val="20"/>
          <w:szCs w:val="21"/>
          <w:u w:val="single"/>
        </w:rPr>
        <w:t>：</w:t>
      </w:r>
      <w:r>
        <w:rPr>
          <w:rFonts w:ascii="仿宋_GB2312" w:eastAsia="仿宋_GB2312" w:hAnsi="仿宋" w:cs="宋体" w:hint="eastAsia"/>
          <w:color w:val="000000"/>
          <w:sz w:val="20"/>
          <w:szCs w:val="21"/>
          <w:u w:val="single"/>
        </w:rPr>
        <w:t xml:space="preserve">科员      </w:t>
      </w:r>
      <w:r>
        <w:rPr>
          <w:rFonts w:ascii="黑体" w:eastAsia="黑体" w:hAnsi="黑体" w:cs="宋体" w:hint="eastAsia"/>
          <w:color w:val="000000"/>
          <w:sz w:val="20"/>
          <w:szCs w:val="21"/>
          <w:u w:val="single"/>
        </w:rPr>
        <w:t>住所</w:t>
      </w:r>
      <w:r>
        <w:rPr>
          <w:rFonts w:ascii="仿宋_GB2312" w:eastAsia="仿宋_GB2312" w:hAnsi="黑体" w:cs="宋体" w:hint="eastAsia"/>
          <w:color w:val="000000"/>
          <w:sz w:val="20"/>
          <w:szCs w:val="21"/>
          <w:u w:val="single"/>
        </w:rPr>
        <w:t>：</w:t>
      </w:r>
      <w:r>
        <w:rPr>
          <w:rFonts w:ascii="仿宋_GB2312" w:eastAsia="仿宋_GB2312" w:hAnsi="仿宋" w:cs="宋体" w:hint="eastAsia"/>
          <w:color w:val="000000"/>
          <w:sz w:val="20"/>
          <w:szCs w:val="21"/>
          <w:u w:val="single"/>
        </w:rPr>
        <w:t xml:space="preserve"> ××省××市××街××号     </w:t>
      </w:r>
      <w:r>
        <w:rPr>
          <w:rFonts w:ascii="黑体" w:eastAsia="黑体" w:hAnsi="黑体" w:cs="宋体" w:hint="eastAsia"/>
          <w:color w:val="000000"/>
          <w:sz w:val="20"/>
          <w:szCs w:val="21"/>
          <w:u w:val="single"/>
        </w:rPr>
        <w:t>电话</w:t>
      </w:r>
      <w:r>
        <w:rPr>
          <w:rFonts w:ascii="仿宋_GB2312" w:eastAsia="仿宋_GB2312" w:hAnsi="黑体" w:cs="宋体" w:hint="eastAsia"/>
          <w:color w:val="000000"/>
          <w:sz w:val="20"/>
          <w:szCs w:val="21"/>
          <w:u w:val="single"/>
        </w:rPr>
        <w:t>：</w:t>
      </w: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黑体" w:eastAsia="黑体" w:hAnsi="黑体" w:cs="宋体"/>
          <w:color w:val="000000"/>
          <w:sz w:val="20"/>
          <w:szCs w:val="21"/>
          <w:u w:val="single"/>
        </w:rPr>
      </w:pPr>
      <w:r>
        <w:rPr>
          <w:rFonts w:ascii="黑体" w:eastAsia="黑体" w:hAnsi="黑体" w:cs="宋体" w:hint="eastAsia"/>
          <w:color w:val="000000"/>
          <w:sz w:val="20"/>
          <w:szCs w:val="21"/>
          <w:u w:val="single"/>
        </w:rPr>
        <w:t xml:space="preserve">记录：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办案人员</w:t>
      </w:r>
      <w:r>
        <w:rPr>
          <w:rFonts w:ascii="黑体" w:eastAsia="黑体" w:hAnsi="黑体" w:cs="宋体" w:hint="eastAsia"/>
          <w:color w:val="000000"/>
          <w:sz w:val="20"/>
          <w:szCs w:val="21"/>
          <w:u w:val="single"/>
        </w:rPr>
        <w:t>甲：</w:t>
      </w:r>
      <w:r>
        <w:rPr>
          <w:rFonts w:ascii="仿宋_GB2312" w:eastAsia="仿宋_GB2312" w:hAnsi="仿宋" w:cs="宋体" w:hint="eastAsia"/>
          <w:color w:val="000000"/>
          <w:sz w:val="20"/>
          <w:szCs w:val="21"/>
          <w:u w:val="single"/>
        </w:rPr>
        <w:t xml:space="preserve">（固定格式与实际情况记录相结合文本）你好。我们是×××知识产权局的办案人员甲，执法证号是××××；办案人员乙，执法证号是××××。这是我们的执法证件。这位是××经侦支队D某，来作个见证。上次过来时已经向你们提出来作现场检查，希望你们能配合我们作现场检查。        </w:t>
      </w:r>
    </w:p>
    <w:p w:rsidR="00800760" w:rsidRDefault="00235733">
      <w:pPr>
        <w:ind w:firstLineChars="0" w:firstLine="0"/>
        <w:outlineLvl w:val="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bookmarkStart w:id="9376" w:name="_Toc229225677"/>
      <w:r>
        <w:rPr>
          <w:rFonts w:ascii="黑体" w:eastAsia="黑体" w:hAnsi="黑体" w:cs="宋体" w:hint="eastAsia"/>
          <w:color w:val="000000"/>
          <w:sz w:val="20"/>
          <w:szCs w:val="21"/>
          <w:u w:val="single"/>
        </w:rPr>
        <w:t>C某：</w:t>
      </w:r>
      <w:r>
        <w:rPr>
          <w:rFonts w:ascii="仿宋" w:eastAsia="仿宋_GB2312" w:hAnsi="仿宋" w:cs="宋体" w:hint="eastAsia"/>
          <w:color w:val="000000"/>
          <w:sz w:val="20"/>
          <w:szCs w:val="21"/>
          <w:u w:val="single"/>
        </w:rPr>
        <w:t>（实际情况记录文本）好的，我尽量配合。请大家随我来，涉案产品在仓库。</w:t>
      </w:r>
      <w:bookmarkEnd w:id="9376"/>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办案人员</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（实际情况记录文本）这是涉案产品吗？目前库存共有多少？</w:t>
      </w:r>
      <w:r>
        <w:rPr>
          <w:rFonts w:ascii="仿宋" w:eastAsia="仿宋_GB2312" w:hAnsi="仿宋" w:cs="宋体" w:hint="eastAsia"/>
          <w:color w:val="000000"/>
          <w:sz w:val="20"/>
          <w:szCs w:val="21"/>
          <w:u w:val="single"/>
        </w:rPr>
        <w:t xml:space="preserve">                       </w:t>
      </w:r>
    </w:p>
    <w:p w:rsidR="00800760" w:rsidRDefault="00235733">
      <w:pPr>
        <w:ind w:firstLineChars="0" w:firstLine="0"/>
        <w:outlineLvl w:val="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bookmarkStart w:id="9377" w:name="_Toc229225678"/>
      <w:r>
        <w:rPr>
          <w:rFonts w:ascii="黑体" w:eastAsia="黑体" w:hAnsi="黑体" w:cs="宋体" w:hint="eastAsia"/>
          <w:color w:val="000000"/>
          <w:sz w:val="20"/>
          <w:szCs w:val="21"/>
          <w:u w:val="single"/>
        </w:rPr>
        <w:t>C某：</w:t>
      </w:r>
      <w:r>
        <w:rPr>
          <w:rFonts w:ascii="仿宋" w:eastAsia="仿宋_GB2312" w:hAnsi="仿宋" w:cs="宋体" w:hint="eastAsia"/>
          <w:color w:val="000000"/>
          <w:sz w:val="20"/>
          <w:szCs w:val="21"/>
          <w:u w:val="single"/>
        </w:rPr>
        <w:t>（实际情况记录文本）目前库存共有×台。</w:t>
      </w:r>
      <w:bookmarkEnd w:id="9377"/>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办案人员</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（固定格式文本）我们需要对涉案产品的技术特征进行现场检查，并且相关记录需要你签字。</w:t>
      </w:r>
      <w:r>
        <w:rPr>
          <w:rFonts w:ascii="仿宋" w:eastAsia="仿宋_GB2312" w:hAnsi="仿宋" w:cs="宋体" w:hint="eastAsia"/>
          <w:color w:val="000000"/>
          <w:sz w:val="20"/>
          <w:szCs w:val="21"/>
          <w:u w:val="single"/>
        </w:rPr>
        <w:t xml:space="preserve">                                                                                  </w:t>
      </w:r>
    </w:p>
    <w:p w:rsidR="00800760" w:rsidRDefault="00235733">
      <w:pPr>
        <w:ind w:firstLineChars="0" w:firstLine="0"/>
        <w:outlineLvl w:val="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bookmarkStart w:id="9378" w:name="_Toc229225679"/>
      <w:r>
        <w:rPr>
          <w:rFonts w:ascii="黑体" w:eastAsia="黑体" w:hAnsi="黑体" w:cs="宋体" w:hint="eastAsia"/>
          <w:color w:val="000000"/>
          <w:sz w:val="20"/>
          <w:szCs w:val="21"/>
          <w:u w:val="single"/>
        </w:rPr>
        <w:t>C某：</w:t>
      </w:r>
      <w:r>
        <w:rPr>
          <w:rFonts w:ascii="仿宋" w:eastAsia="仿宋_GB2312" w:hAnsi="仿宋" w:cs="宋体" w:hint="eastAsia"/>
          <w:color w:val="000000"/>
          <w:sz w:val="20"/>
          <w:szCs w:val="21"/>
          <w:u w:val="single"/>
        </w:rPr>
        <w:t>（实际情况记录文本）可以，不过检查情况需要给我们留一份。</w:t>
      </w:r>
      <w:bookmarkEnd w:id="9378"/>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办案人员</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（实际情况记录文本）可以。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办案人员</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（实际情况记录文本）这是涉案产品，有以下技术特征：（</w:t>
      </w:r>
      <w:r>
        <w:rPr>
          <w:rFonts w:ascii="仿宋" w:eastAsia="仿宋_GB2312" w:hAnsi="仿宋" w:cs="宋体" w:hint="eastAsia"/>
          <w:color w:val="000000"/>
          <w:sz w:val="20"/>
          <w:szCs w:val="21"/>
          <w:u w:val="single"/>
        </w:rPr>
        <w:t>......</w:t>
      </w:r>
      <w:r>
        <w:rPr>
          <w:rFonts w:ascii="仿宋" w:eastAsia="仿宋_GB2312" w:hAnsi="仿宋" w:cs="宋体" w:hint="eastAsia"/>
          <w:color w:val="000000"/>
          <w:sz w:val="20"/>
          <w:szCs w:val="21"/>
          <w:u w:val="single"/>
        </w:rPr>
        <w:t>对照权利要求，运用《专利纠纷行政裁决和调解办法》第四十七条各种方式逐项记录被控侵权产品技术特征）</w:t>
      </w:r>
      <w:r>
        <w:rPr>
          <w:rFonts w:ascii="仿宋_GB2312" w:eastAsia="仿宋_GB2312" w:hAnsi="仿宋" w:cs="宋体" w:hint="eastAsia"/>
          <w:color w:val="000000"/>
          <w:sz w:val="20"/>
          <w:szCs w:val="21"/>
          <w:u w:val="single"/>
        </w:rPr>
        <w:t>办案人员</w:t>
      </w:r>
      <w:r>
        <w:rPr>
          <w:rFonts w:ascii="仿宋" w:eastAsia="仿宋_GB2312" w:hAnsi="仿宋" w:cs="宋体" w:hint="eastAsia"/>
          <w:color w:val="000000"/>
          <w:sz w:val="20"/>
          <w:szCs w:val="21"/>
          <w:u w:val="single"/>
        </w:rPr>
        <w:t>乙对此涉案产品特征是否有要补充的？</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办案人员</w:t>
      </w:r>
      <w:r>
        <w:rPr>
          <w:rFonts w:ascii="黑体" w:eastAsia="黑体" w:hAnsi="黑体" w:cs="宋体" w:hint="eastAsia"/>
          <w:color w:val="000000"/>
          <w:sz w:val="20"/>
          <w:szCs w:val="21"/>
          <w:u w:val="single"/>
        </w:rPr>
        <w:t>乙：</w:t>
      </w:r>
      <w:r>
        <w:rPr>
          <w:rFonts w:ascii="仿宋" w:eastAsia="仿宋_GB2312" w:hAnsi="仿宋" w:cs="宋体" w:hint="eastAsia"/>
          <w:color w:val="000000"/>
          <w:sz w:val="20"/>
          <w:szCs w:val="21"/>
          <w:u w:val="single"/>
        </w:rPr>
        <w:t>（实际情况记录文本）此涉案产品特征与侵权专利需要对比的特征已经描述得很清楚了，</w:t>
      </w:r>
      <w:r>
        <w:rPr>
          <w:rFonts w:ascii="仿宋_GB2312" w:eastAsia="仿宋_GB2312" w:hAnsi="仿宋" w:cs="宋体" w:hint="eastAsia"/>
          <w:color w:val="000000"/>
          <w:sz w:val="20"/>
          <w:szCs w:val="21"/>
          <w:u w:val="single"/>
        </w:rPr>
        <w:t xml:space="preserve">我没什么要补充的。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办案人员</w:t>
      </w:r>
      <w:r>
        <w:rPr>
          <w:rFonts w:ascii="黑体" w:eastAsia="黑体" w:hAnsi="黑体" w:cs="宋体" w:hint="eastAsia"/>
          <w:color w:val="000000"/>
          <w:sz w:val="20"/>
          <w:szCs w:val="21"/>
          <w:u w:val="single"/>
        </w:rPr>
        <w:t>甲</w:t>
      </w:r>
      <w:r>
        <w:rPr>
          <w:rFonts w:ascii="仿宋_GB2312" w:eastAsia="仿宋_GB2312" w:hAnsi="黑体" w:cs="宋体" w:hint="eastAsia"/>
          <w:color w:val="000000"/>
          <w:sz w:val="20"/>
          <w:szCs w:val="21"/>
          <w:u w:val="single"/>
        </w:rPr>
        <w:t>：</w:t>
      </w:r>
      <w:r>
        <w:rPr>
          <w:rFonts w:ascii="仿宋_GB2312" w:eastAsia="仿宋_GB2312" w:hAnsi="仿宋" w:cs="宋体" w:hint="eastAsia"/>
          <w:color w:val="000000"/>
          <w:sz w:val="20"/>
          <w:szCs w:val="21"/>
          <w:u w:val="single"/>
        </w:rPr>
        <w:t xml:space="preserve">（固定格式文本）C某对以上涉案产品的特征有什么异议没有？                      </w:t>
      </w:r>
    </w:p>
    <w:p w:rsidR="00800760" w:rsidRDefault="00235733">
      <w:pPr>
        <w:ind w:firstLineChars="0" w:firstLine="0"/>
        <w:outlineLvl w:val="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bookmarkStart w:id="9379" w:name="_Toc229225680"/>
      <w:r>
        <w:rPr>
          <w:rFonts w:ascii="黑体" w:eastAsia="黑体" w:hAnsi="黑体" w:cs="宋体" w:hint="eastAsia"/>
          <w:color w:val="000000"/>
          <w:sz w:val="20"/>
          <w:szCs w:val="21"/>
          <w:u w:val="single"/>
        </w:rPr>
        <w:t>C某</w:t>
      </w:r>
      <w:r>
        <w:rPr>
          <w:rFonts w:ascii="仿宋_GB2312" w:eastAsia="仿宋_GB2312" w:hAnsi="黑体" w:cs="宋体" w:hint="eastAsia"/>
          <w:color w:val="000000"/>
          <w:sz w:val="20"/>
          <w:szCs w:val="21"/>
          <w:u w:val="single"/>
        </w:rPr>
        <w:t>：</w:t>
      </w:r>
      <w:r>
        <w:rPr>
          <w:rFonts w:ascii="仿宋_GB2312" w:eastAsia="仿宋_GB2312" w:hAnsi="仿宋" w:cs="宋体" w:hint="eastAsia"/>
          <w:color w:val="000000"/>
          <w:sz w:val="20"/>
          <w:szCs w:val="21"/>
          <w:u w:val="single"/>
        </w:rPr>
        <w:t>（实际情况记录文本）没有。</w:t>
      </w:r>
      <w:bookmarkEnd w:id="9379"/>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办案人员</w:t>
      </w:r>
      <w:r>
        <w:rPr>
          <w:rFonts w:ascii="黑体" w:eastAsia="黑体" w:hAnsi="黑体" w:cs="宋体" w:hint="eastAsia"/>
          <w:color w:val="000000"/>
          <w:sz w:val="20"/>
          <w:szCs w:val="21"/>
          <w:u w:val="single"/>
        </w:rPr>
        <w:t>甲</w:t>
      </w:r>
      <w:r>
        <w:rPr>
          <w:rFonts w:ascii="仿宋_GB2312" w:eastAsia="仿宋_GB2312" w:hAnsi="黑体" w:cs="宋体" w:hint="eastAsia"/>
          <w:color w:val="000000"/>
          <w:sz w:val="20"/>
          <w:szCs w:val="21"/>
          <w:u w:val="single"/>
        </w:rPr>
        <w:t>：</w:t>
      </w:r>
      <w:r>
        <w:rPr>
          <w:rFonts w:ascii="仿宋_GB2312" w:eastAsia="仿宋_GB2312" w:hAnsi="仿宋" w:cs="宋体" w:hint="eastAsia"/>
          <w:color w:val="000000"/>
          <w:sz w:val="20"/>
          <w:szCs w:val="21"/>
          <w:u w:val="single"/>
        </w:rPr>
        <w:t xml:space="preserve">（固定格式文本）D某对以上涉案产品的特征有什么异议吗？                       </w:t>
      </w:r>
    </w:p>
    <w:p w:rsidR="00800760" w:rsidRDefault="00235733">
      <w:pPr>
        <w:ind w:firstLineChars="0" w:firstLine="0"/>
        <w:outlineLvl w:val="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bookmarkStart w:id="9380" w:name="_Toc229225681"/>
      <w:r>
        <w:rPr>
          <w:rFonts w:ascii="黑体" w:eastAsia="黑体" w:hAnsi="黑体" w:cs="宋体" w:hint="eastAsia"/>
          <w:color w:val="000000"/>
          <w:sz w:val="20"/>
          <w:szCs w:val="21"/>
          <w:u w:val="single"/>
        </w:rPr>
        <w:t>D某</w:t>
      </w:r>
      <w:r>
        <w:rPr>
          <w:rFonts w:ascii="仿宋_GB2312" w:eastAsia="仿宋_GB2312" w:hAnsi="黑体" w:cs="宋体" w:hint="eastAsia"/>
          <w:color w:val="000000"/>
          <w:sz w:val="20"/>
          <w:szCs w:val="21"/>
          <w:u w:val="single"/>
        </w:rPr>
        <w:t>：</w:t>
      </w:r>
      <w:r>
        <w:rPr>
          <w:rFonts w:ascii="仿宋_GB2312" w:eastAsia="仿宋_GB2312" w:hAnsi="仿宋" w:cs="宋体" w:hint="eastAsia"/>
          <w:color w:val="000000"/>
          <w:sz w:val="20"/>
          <w:szCs w:val="21"/>
          <w:u w:val="single"/>
        </w:rPr>
        <w:t>（实际情况记录文本）没有。</w:t>
      </w:r>
      <w:bookmarkEnd w:id="9380"/>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（当事人看过无异议，请抄写：以上内容已阅，情况属实。）                               </w:t>
      </w:r>
    </w:p>
    <w:p w:rsidR="00800760" w:rsidRDefault="00C22A7B">
      <w:pPr>
        <w:ind w:firstLineChars="0" w:firstLine="0"/>
        <w:rPr>
          <w:rFonts w:ascii="仿宋_GB2312" w:eastAsia="仿宋_GB2312" w:hAnsi="仿宋" w:cs="宋体"/>
          <w:color w:val="000000"/>
          <w:sz w:val="20"/>
          <w:szCs w:val="21"/>
          <w:u w:val="single"/>
        </w:rPr>
      </w:pPr>
      <w:r>
        <w:rPr>
          <w:rFonts w:ascii="仿宋" w:eastAsia="仿宋_GB2312" w:hAnsi="仿宋" w:cs="宋体"/>
          <w:color w:val="000000"/>
          <w:sz w:val="20"/>
          <w:szCs w:val="21"/>
          <w:u w:val="single"/>
          <w:lang w:eastAsia="en-US"/>
        </w:rPr>
        <w:fldChar w:fldCharType="begin"/>
      </w:r>
      <w:r w:rsidR="00235733">
        <w:rPr>
          <w:rFonts w:ascii="仿宋" w:eastAsia="仿宋_GB2312" w:hAnsi="仿宋" w:cs="宋体"/>
          <w:color w:val="000000"/>
          <w:sz w:val="20"/>
          <w:szCs w:val="21"/>
          <w:u w:val="single"/>
        </w:rPr>
        <w:instrText xml:space="preserve"> </w:instrText>
      </w:r>
      <w:r w:rsidR="00235733">
        <w:rPr>
          <w:rFonts w:ascii="仿宋" w:eastAsia="仿宋_GB2312" w:hAnsi="仿宋" w:cs="宋体" w:hint="eastAsia"/>
          <w:color w:val="000000"/>
          <w:sz w:val="20"/>
          <w:szCs w:val="21"/>
          <w:u w:val="single"/>
        </w:rPr>
        <w:instrText xml:space="preserve">LINK </w:instrText>
      </w:r>
      <w:r w:rsidR="00235733">
        <w:rPr>
          <w:rFonts w:ascii="仿宋" w:eastAsia="仿宋_GB2312" w:hAnsi="仿宋" w:cs="宋体"/>
          <w:color w:val="000000"/>
          <w:sz w:val="20"/>
          <w:szCs w:val="21"/>
          <w:u w:val="single"/>
        </w:rPr>
        <w:instrText>Word.Document.12 C:\\Users\\lizao\\Desktop\\</w:instrText>
      </w:r>
      <w:r w:rsidR="00235733">
        <w:rPr>
          <w:rFonts w:ascii="仿宋" w:eastAsia="仿宋_GB2312" w:hAnsi="仿宋" w:cs="宋体"/>
          <w:color w:val="000000"/>
          <w:sz w:val="20"/>
          <w:szCs w:val="21"/>
          <w:u w:val="single"/>
        </w:rPr>
        <w:instrText>专利侵权行政办案笔录参考文本</w:instrText>
      </w:r>
      <w:r w:rsidR="00235733">
        <w:rPr>
          <w:rFonts w:ascii="仿宋" w:eastAsia="仿宋_GB2312" w:hAnsi="仿宋" w:cs="宋体"/>
          <w:color w:val="000000"/>
          <w:sz w:val="20"/>
          <w:szCs w:val="21"/>
          <w:u w:val="single"/>
        </w:rPr>
        <w:instrText xml:space="preserve">.docx OLE_LINK1 </w:instrText>
      </w:r>
      <w:r w:rsidR="00235733">
        <w:rPr>
          <w:rFonts w:ascii="仿宋" w:eastAsia="仿宋_GB2312" w:hAnsi="仿宋" w:cs="宋体" w:hint="eastAsia"/>
          <w:color w:val="000000"/>
          <w:sz w:val="20"/>
          <w:szCs w:val="21"/>
          <w:u w:val="single"/>
        </w:rPr>
        <w:instrText>\a \r</w:instrText>
      </w:r>
      <w:r w:rsidR="00235733">
        <w:rPr>
          <w:rFonts w:ascii="仿宋" w:eastAsia="仿宋_GB2312" w:hAnsi="仿宋" w:cs="宋体"/>
          <w:color w:val="000000"/>
          <w:sz w:val="20"/>
          <w:szCs w:val="21"/>
          <w:u w:val="single"/>
        </w:rPr>
        <w:instrText xml:space="preserve">  \* MERGEFORMAT </w:instrText>
      </w:r>
      <w:r>
        <w:rPr>
          <w:rFonts w:ascii="仿宋" w:eastAsia="仿宋_GB2312" w:hAnsi="仿宋" w:cs="宋体"/>
          <w:color w:val="000000"/>
          <w:sz w:val="20"/>
          <w:szCs w:val="21"/>
          <w:u w:val="single"/>
          <w:lang w:eastAsia="en-US"/>
        </w:rPr>
        <w:fldChar w:fldCharType="separate"/>
      </w:r>
      <w:r w:rsidR="00235733">
        <w:rPr>
          <w:rFonts w:ascii="仿宋" w:eastAsia="仿宋_GB2312" w:hAnsi="仿宋" w:cs="宋体"/>
          <w:color w:val="000000"/>
          <w:sz w:val="20"/>
          <w:szCs w:val="21"/>
          <w:u w:val="single"/>
        </w:rPr>
        <w:t xml:space="preserve">    </w:t>
      </w:r>
      <w:r>
        <w:rPr>
          <w:rFonts w:ascii="仿宋" w:eastAsia="仿宋_GB2312" w:hAnsi="仿宋" w:cs="宋体"/>
          <w:color w:val="000000"/>
          <w:sz w:val="20"/>
          <w:szCs w:val="21"/>
          <w:u w:val="single"/>
          <w:lang w:eastAsia="en-US"/>
        </w:rPr>
        <w:fldChar w:fldCharType="end"/>
      </w:r>
      <w:r w:rsidR="00235733">
        <w:rPr>
          <w:rFonts w:ascii="仿宋" w:eastAsia="仿宋_GB2312" w:hAnsi="仿宋" w:cs="宋体" w:hint="eastAsia"/>
          <w:color w:val="000000"/>
          <w:sz w:val="20"/>
          <w:szCs w:val="21"/>
          <w:u w:val="single"/>
        </w:rPr>
        <w:t>抄写处：</w:t>
      </w:r>
      <w:r w:rsidR="00235733">
        <w:rPr>
          <w:rFonts w:ascii="华文行楷" w:eastAsia="华文行楷" w:hAnsi="仿宋" w:cs="宋体" w:hint="eastAsia"/>
          <w:color w:val="000000"/>
          <w:sz w:val="20"/>
          <w:szCs w:val="21"/>
          <w:u w:val="single"/>
        </w:rPr>
        <w:t>以上内容已阅，情况属实。</w:t>
      </w:r>
      <w:r w:rsidR="00235733">
        <w:rPr>
          <w:rFonts w:ascii="Ink Free" w:eastAsia="华文行楷" w:hAnsi="Ink Free" w:cs="宋体"/>
          <w:b/>
          <w:color w:val="000000"/>
          <w:sz w:val="20"/>
          <w:szCs w:val="21"/>
          <w:u w:val="single"/>
        </w:rPr>
        <w:t>C</w:t>
      </w:r>
      <w:r w:rsidR="00235733">
        <w:rPr>
          <w:rFonts w:ascii="华文行楷" w:eastAsia="华文行楷" w:hAnsi="仿宋" w:cs="宋体" w:hint="eastAsia"/>
          <w:color w:val="000000"/>
          <w:sz w:val="20"/>
          <w:szCs w:val="21"/>
          <w:u w:val="single"/>
        </w:rPr>
        <w:t>某</w:t>
      </w:r>
      <w:r w:rsidR="00235733">
        <w:rPr>
          <w:rFonts w:ascii="仿宋_GB2312" w:eastAsia="仿宋_GB2312" w:hAnsi="仿宋" w:cs="宋体" w:hint="eastAsia"/>
          <w:color w:val="000000"/>
          <w:sz w:val="20"/>
          <w:szCs w:val="21"/>
          <w:u w:val="single"/>
        </w:rPr>
        <w:t xml:space="preserve">                                                </w:t>
      </w:r>
    </w:p>
    <w:p w:rsidR="00800760" w:rsidRDefault="00235733">
      <w:pPr>
        <w:ind w:firstLineChars="0" w:firstLine="0"/>
        <w:outlineLvl w:val="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bookmarkStart w:id="9381" w:name="_Toc229225682"/>
      <w:r>
        <w:rPr>
          <w:rFonts w:ascii="仿宋_GB2312" w:eastAsia="仿宋_GB2312" w:hAnsi="仿宋" w:cs="宋体" w:hint="eastAsia"/>
          <w:color w:val="000000"/>
          <w:sz w:val="20"/>
          <w:szCs w:val="21"/>
          <w:u w:val="single"/>
        </w:rPr>
        <w:t>（以下空白）</w:t>
      </w:r>
      <w:bookmarkEnd w:id="9381"/>
      <w:r>
        <w:rPr>
          <w:rFonts w:ascii="仿宋_GB2312" w:eastAsia="仿宋_GB2312" w:hAnsi="仿宋" w:cs="宋体" w:hint="eastAsia"/>
          <w:color w:val="000000"/>
          <w:sz w:val="20"/>
          <w:szCs w:val="21"/>
          <w:u w:val="single"/>
        </w:rPr>
        <w:t xml:space="preserve">                                                                        </w:t>
      </w:r>
    </w:p>
    <w:p w:rsidR="00800760" w:rsidRDefault="00235733">
      <w:pPr>
        <w:ind w:firstLineChars="0" w:firstLine="0"/>
        <w:jc w:val="right"/>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当事人（签字）：</w:t>
      </w:r>
      <w:r>
        <w:rPr>
          <w:rFonts w:ascii="仿宋" w:eastAsia="仿宋_GB2312" w:hAnsi="仿宋" w:cs="宋体" w:hint="eastAsia"/>
          <w:color w:val="000000"/>
          <w:sz w:val="20"/>
          <w:szCs w:val="21"/>
          <w:u w:val="single"/>
        </w:rPr>
        <w:t xml:space="preserve"> </w:t>
      </w:r>
      <w:r>
        <w:rPr>
          <w:rFonts w:ascii="Ink Free" w:eastAsia="华文行楷" w:hAnsi="Ink Free" w:cs="宋体"/>
          <w:b/>
          <w:color w:val="000000"/>
          <w:sz w:val="20"/>
          <w:szCs w:val="21"/>
          <w:u w:val="single"/>
        </w:rPr>
        <w:t>C</w:t>
      </w:r>
      <w:r>
        <w:rPr>
          <w:rFonts w:ascii="华文行楷" w:eastAsia="华文行楷" w:hAnsi="仿宋" w:cs="宋体" w:hint="eastAsia"/>
          <w:color w:val="000000"/>
          <w:sz w:val="20"/>
          <w:szCs w:val="21"/>
          <w:u w:val="single"/>
        </w:rPr>
        <w:t>某</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jc w:val="right"/>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见证人（签字）：</w:t>
      </w:r>
      <w:r>
        <w:rPr>
          <w:rFonts w:ascii="仿宋" w:eastAsia="仿宋_GB2312" w:hAnsi="仿宋" w:cs="宋体" w:hint="eastAsia"/>
          <w:color w:val="000000"/>
          <w:sz w:val="20"/>
          <w:szCs w:val="21"/>
          <w:u w:val="single"/>
        </w:rPr>
        <w:t xml:space="preserve"> </w:t>
      </w:r>
      <w:r>
        <w:rPr>
          <w:rFonts w:ascii="华文行楷" w:eastAsia="华文行楷" w:hAnsi="仿宋" w:cs="宋体" w:hint="eastAsia"/>
          <w:color w:val="000000"/>
          <w:sz w:val="20"/>
          <w:szCs w:val="21"/>
          <w:u w:val="single"/>
        </w:rPr>
        <w:t>D某</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jc w:val="right"/>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调查人员（签字）</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办案人员</w:t>
      </w:r>
      <w:r>
        <w:rPr>
          <w:rFonts w:ascii="华文行楷" w:eastAsia="华文行楷" w:hAnsi="仿宋" w:cs="宋体" w:hint="eastAsia"/>
          <w:color w:val="000000"/>
          <w:sz w:val="20"/>
          <w:szCs w:val="21"/>
          <w:u w:val="single"/>
        </w:rPr>
        <w:t>甲</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jc w:val="right"/>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办案人员</w:t>
      </w:r>
      <w:r>
        <w:rPr>
          <w:rFonts w:ascii="华文行楷" w:eastAsia="华文行楷" w:hAnsi="仿宋" w:cs="宋体" w:hint="eastAsia"/>
          <w:color w:val="000000"/>
          <w:sz w:val="20"/>
          <w:szCs w:val="21"/>
          <w:u w:val="single"/>
        </w:rPr>
        <w:t>乙</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800760">
      <w:pPr>
        <w:ind w:firstLineChars="0" w:firstLine="0"/>
        <w:rPr>
          <w:rFonts w:ascii="仿宋_GB2312" w:eastAsia="仿宋_GB2312" w:hAnsi="仿宋" w:cs="宋体"/>
          <w:color w:val="000000"/>
          <w:sz w:val="20"/>
          <w:szCs w:val="21"/>
          <w:u w:val="single"/>
        </w:rPr>
      </w:pPr>
    </w:p>
    <w:p w:rsidR="00800760" w:rsidRDefault="00800760">
      <w:pPr>
        <w:ind w:firstLineChars="0" w:firstLine="0"/>
        <w:rPr>
          <w:rFonts w:ascii="仿宋_GB2312" w:eastAsia="仿宋_GB2312" w:hAnsi="仿宋" w:cs="宋体"/>
          <w:color w:val="000000"/>
          <w:sz w:val="20"/>
          <w:szCs w:val="21"/>
          <w:u w:val="single"/>
        </w:rPr>
      </w:pPr>
    </w:p>
    <w:p w:rsidR="00800760" w:rsidRDefault="00800760">
      <w:pPr>
        <w:ind w:firstLineChars="0" w:firstLine="0"/>
        <w:rPr>
          <w:rFonts w:ascii="仿宋_GB2312" w:eastAsia="仿宋_GB2312" w:hAnsi="仿宋" w:cs="宋体"/>
          <w:color w:val="000000"/>
          <w:sz w:val="20"/>
          <w:szCs w:val="21"/>
          <w:u w:val="single"/>
        </w:rPr>
      </w:pPr>
    </w:p>
    <w:p w:rsidR="00800760" w:rsidRDefault="00800760">
      <w:pPr>
        <w:ind w:firstLineChars="0" w:firstLine="0"/>
        <w:rPr>
          <w:rFonts w:ascii="仿宋_GB2312" w:eastAsia="仿宋_GB2312" w:hAnsi="仿宋" w:cs="宋体"/>
          <w:color w:val="000000"/>
          <w:sz w:val="20"/>
          <w:szCs w:val="21"/>
          <w:u w:val="single"/>
        </w:rPr>
      </w:pPr>
    </w:p>
    <w:p w:rsidR="00800760" w:rsidRDefault="00800760">
      <w:pPr>
        <w:spacing w:line="240" w:lineRule="auto"/>
        <w:ind w:firstLineChars="0" w:firstLine="0"/>
        <w:jc w:val="center"/>
        <w:rPr>
          <w:rFonts w:ascii="仿宋" w:eastAsia="仿宋_GB2312" w:hAnsi="仿宋" w:cs="宋体"/>
          <w:color w:val="000000"/>
          <w:sz w:val="32"/>
          <w:szCs w:val="32"/>
        </w:rPr>
      </w:pPr>
    </w:p>
    <w:p w:rsidR="00800760" w:rsidRDefault="00800760">
      <w:pPr>
        <w:spacing w:line="240" w:lineRule="auto"/>
        <w:ind w:firstLineChars="0" w:firstLine="0"/>
        <w:rPr>
          <w:rFonts w:ascii="仿宋" w:eastAsia="仿宋_GB2312" w:hAnsi="仿宋" w:cs="宋体"/>
          <w:color w:val="000000"/>
          <w:sz w:val="32"/>
          <w:szCs w:val="32"/>
        </w:rPr>
      </w:pPr>
    </w:p>
    <w:p w:rsidR="00800760" w:rsidRDefault="00235733">
      <w:pPr>
        <w:spacing w:line="660" w:lineRule="exact"/>
        <w:ind w:firstLineChars="0" w:firstLine="641"/>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重大专利侵权纠纷行政裁决现场检查笔录</w:t>
      </w:r>
    </w:p>
    <w:p w:rsidR="00800760" w:rsidRDefault="00235733">
      <w:pPr>
        <w:spacing w:line="360" w:lineRule="auto"/>
        <w:ind w:firstLineChars="0" w:firstLine="0"/>
        <w:jc w:val="center"/>
        <w:rPr>
          <w:rFonts w:ascii="仿宋_GB2312" w:eastAsia="仿宋_GB2312" w:hAnsi="仿宋"/>
          <w:color w:val="000000"/>
          <w:sz w:val="20"/>
          <w:szCs w:val="21"/>
        </w:rPr>
      </w:pPr>
      <w:r>
        <w:rPr>
          <w:rFonts w:ascii="仿宋_GB2312" w:eastAsia="仿宋_GB2312" w:hAnsi="仿宋" w:hint="eastAsia"/>
          <w:color w:val="000000"/>
          <w:sz w:val="20"/>
          <w:szCs w:val="21"/>
        </w:rPr>
        <w:t xml:space="preserve">                                          案号：国知保裁字〔20××〕×号</w:t>
      </w:r>
    </w:p>
    <w:p w:rsidR="00800760" w:rsidRDefault="00800760">
      <w:pPr>
        <w:spacing w:line="360" w:lineRule="auto"/>
        <w:ind w:firstLineChars="0" w:firstLine="0"/>
        <w:rPr>
          <w:rFonts w:ascii="宋体" w:hAnsi="宋体"/>
          <w:color w:val="000000"/>
          <w:sz w:val="20"/>
          <w:szCs w:val="21"/>
        </w:rPr>
      </w:pP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时间：</w:t>
      </w:r>
      <w:r>
        <w:rPr>
          <w:rFonts w:ascii="仿宋_GB2312" w:eastAsia="仿宋_GB2312" w:hAnsi="仿宋" w:hint="eastAsia"/>
          <w:color w:val="000000"/>
          <w:sz w:val="20"/>
          <w:szCs w:val="21"/>
          <w:u w:val="single"/>
        </w:rPr>
        <w:t xml:space="preserve">20××年××月××日××时××分至××月××日××时××分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地点：</w:t>
      </w:r>
      <w:r>
        <w:rPr>
          <w:rFonts w:ascii="仿宋_GB2312" w:eastAsia="仿宋_GB2312" w:hAnsi="仿宋" w:hint="eastAsia"/>
          <w:color w:val="000000"/>
          <w:sz w:val="20"/>
          <w:szCs w:val="21"/>
          <w:u w:val="single"/>
        </w:rPr>
        <w:t xml:space="preserve">××省××市××街××号A公司生产车间                                            </w:t>
      </w:r>
    </w:p>
    <w:p w:rsidR="00800760" w:rsidRDefault="00235733">
      <w:pPr>
        <w:spacing w:line="360" w:lineRule="auto"/>
        <w:ind w:firstLineChars="0" w:firstLine="0"/>
        <w:rPr>
          <w:rFonts w:ascii="黑体" w:eastAsia="黑体" w:hAnsi="黑体"/>
          <w:color w:val="000000"/>
          <w:sz w:val="20"/>
          <w:szCs w:val="21"/>
          <w:u w:val="single"/>
        </w:rPr>
      </w:pPr>
      <w:r>
        <w:rPr>
          <w:rFonts w:ascii="黑体" w:eastAsia="黑体" w:hAnsi="黑体" w:hint="eastAsia"/>
          <w:color w:val="000000"/>
          <w:sz w:val="20"/>
          <w:szCs w:val="21"/>
          <w:u w:val="single"/>
        </w:rPr>
        <w:t xml:space="preserve">人员：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姓名：</w:t>
      </w:r>
      <w:r>
        <w:rPr>
          <w:rFonts w:ascii="仿宋_GB2312" w:eastAsia="仿宋_GB2312" w:hAnsi="仿宋" w:hint="eastAsia"/>
          <w:color w:val="000000"/>
          <w:sz w:val="20"/>
          <w:szCs w:val="21"/>
          <w:u w:val="single"/>
        </w:rPr>
        <w:t xml:space="preserve">办案人员甲   </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部门：</w:t>
      </w:r>
      <w:r>
        <w:rPr>
          <w:rFonts w:ascii="仿宋_GB2312"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职务：</w:t>
      </w:r>
      <w:r>
        <w:rPr>
          <w:rFonts w:ascii="仿宋_GB2312"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姓名：</w:t>
      </w:r>
      <w:r>
        <w:rPr>
          <w:rFonts w:ascii="仿宋_GB2312" w:eastAsia="仿宋_GB2312" w:hAnsi="仿宋" w:hint="eastAsia"/>
          <w:color w:val="000000"/>
          <w:sz w:val="20"/>
          <w:szCs w:val="21"/>
          <w:u w:val="single"/>
        </w:rPr>
        <w:t xml:space="preserve">办案人员乙    </w:t>
      </w:r>
      <w:r>
        <w:rPr>
          <w:rFonts w:ascii="黑体" w:eastAsia="黑体" w:hAnsi="黑体" w:hint="eastAsia"/>
          <w:color w:val="000000"/>
          <w:sz w:val="20"/>
          <w:szCs w:val="21"/>
          <w:u w:val="single"/>
        </w:rPr>
        <w:t>单位：</w:t>
      </w:r>
      <w:r>
        <w:rPr>
          <w:rFonts w:ascii="仿宋_GB2312" w:eastAsia="仿宋_GB2312" w:hAnsi="仿宋" w:hint="eastAsia"/>
          <w:color w:val="000000"/>
          <w:sz w:val="20"/>
          <w:szCs w:val="21"/>
          <w:u w:val="single"/>
        </w:rPr>
        <w:t xml:space="preserve">                     </w:t>
      </w:r>
      <w:r>
        <w:rPr>
          <w:rFonts w:ascii="黑体" w:eastAsia="黑体" w:hAnsi="黑体" w:hint="eastAsia"/>
          <w:color w:val="000000"/>
          <w:sz w:val="20"/>
          <w:szCs w:val="21"/>
          <w:u w:val="single"/>
        </w:rPr>
        <w:t>职务：</w:t>
      </w:r>
      <w:r>
        <w:rPr>
          <w:rFonts w:ascii="仿宋_GB2312"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黑体" w:eastAsia="黑体" w:hAnsi="黑体"/>
          <w:color w:val="000000"/>
          <w:sz w:val="20"/>
          <w:szCs w:val="21"/>
          <w:u w:val="single"/>
        </w:rPr>
      </w:pPr>
      <w:r>
        <w:rPr>
          <w:rFonts w:ascii="黑体" w:eastAsia="黑体" w:hAnsi="黑体" w:hint="eastAsia"/>
          <w:color w:val="000000"/>
          <w:sz w:val="20"/>
          <w:szCs w:val="21"/>
          <w:u w:val="single"/>
        </w:rPr>
        <w:t>当事人：</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姓名：</w:t>
      </w:r>
      <w:r>
        <w:rPr>
          <w:rFonts w:ascii="仿宋" w:eastAsia="仿宋_GB2312" w:hAnsi="仿宋" w:hint="eastAsia"/>
          <w:color w:val="000000"/>
          <w:sz w:val="20"/>
          <w:szCs w:val="21"/>
          <w:u w:val="single"/>
        </w:rPr>
        <w:t>C</w:t>
      </w:r>
      <w:r>
        <w:rPr>
          <w:rFonts w:ascii="仿宋" w:eastAsia="仿宋_GB2312" w:hAnsi="仿宋" w:hint="eastAsia"/>
          <w:color w:val="000000"/>
          <w:sz w:val="20"/>
          <w:szCs w:val="21"/>
          <w:u w:val="single"/>
        </w:rPr>
        <w:t>某</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单位：</w:t>
      </w:r>
      <w:r>
        <w:rPr>
          <w:rFonts w:ascii="仿宋" w:eastAsia="仿宋_GB2312" w:hAnsi="仿宋" w:hint="eastAsia"/>
          <w:color w:val="000000"/>
          <w:sz w:val="20"/>
          <w:szCs w:val="21"/>
          <w:u w:val="single"/>
        </w:rPr>
        <w:t>B</w:t>
      </w:r>
      <w:r>
        <w:rPr>
          <w:rFonts w:ascii="仿宋" w:eastAsia="仿宋_GB2312" w:hAnsi="仿宋" w:hint="eastAsia"/>
          <w:color w:val="000000"/>
          <w:sz w:val="20"/>
          <w:szCs w:val="21"/>
          <w:u w:val="single"/>
        </w:rPr>
        <w:t>公司</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身份证号:</w:t>
      </w:r>
      <w:r>
        <w:rPr>
          <w:rFonts w:ascii="仿宋" w:eastAsia="仿宋_GB2312" w:hAnsi="仿宋" w:hint="eastAsia"/>
          <w:color w:val="000000"/>
          <w:sz w:val="20"/>
          <w:szCs w:val="21"/>
          <w:u w:val="single"/>
        </w:rPr>
        <w:t>（略）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职务：</w:t>
      </w:r>
      <w:r>
        <w:rPr>
          <w:rFonts w:ascii="仿宋" w:eastAsia="仿宋_GB2312" w:hAnsi="仿宋" w:hint="eastAsia"/>
          <w:color w:val="000000"/>
          <w:sz w:val="20"/>
          <w:szCs w:val="21"/>
          <w:u w:val="single"/>
        </w:rPr>
        <w:t>主任</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住所：</w:t>
      </w:r>
      <w:r>
        <w:rPr>
          <w:rFonts w:ascii="仿宋" w:eastAsia="仿宋_GB2312" w:hAnsi="仿宋" w:hint="eastAsia"/>
          <w:color w:val="000000"/>
          <w:sz w:val="20"/>
          <w:szCs w:val="21"/>
          <w:u w:val="single"/>
        </w:rPr>
        <w:t>××省××市××街××号</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电话：</w:t>
      </w:r>
      <w:r>
        <w:rPr>
          <w:rFonts w:ascii="仿宋" w:eastAsia="仿宋_GB2312" w:hAnsi="仿宋" w:hint="eastAsia"/>
          <w:color w:val="000000"/>
          <w:sz w:val="20"/>
          <w:szCs w:val="21"/>
          <w:u w:val="single"/>
        </w:rPr>
        <w:t>×××××××××</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黑体" w:eastAsia="黑体" w:hAnsi="黑体"/>
          <w:color w:val="000000"/>
          <w:sz w:val="20"/>
          <w:szCs w:val="21"/>
          <w:u w:val="single"/>
        </w:rPr>
      </w:pPr>
      <w:r>
        <w:rPr>
          <w:rFonts w:ascii="黑体" w:eastAsia="黑体" w:hAnsi="黑体" w:hint="eastAsia"/>
          <w:color w:val="000000"/>
          <w:sz w:val="20"/>
          <w:szCs w:val="21"/>
          <w:u w:val="single"/>
        </w:rPr>
        <w:t>见证人：</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姓名：</w:t>
      </w:r>
      <w:r>
        <w:rPr>
          <w:rFonts w:ascii="仿宋" w:eastAsia="仿宋_GB2312" w:hAnsi="仿宋" w:hint="eastAsia"/>
          <w:color w:val="000000"/>
          <w:sz w:val="20"/>
          <w:szCs w:val="21"/>
          <w:u w:val="single"/>
        </w:rPr>
        <w:t>D</w:t>
      </w:r>
      <w:r>
        <w:rPr>
          <w:rFonts w:ascii="仿宋" w:eastAsia="仿宋_GB2312" w:hAnsi="仿宋" w:hint="eastAsia"/>
          <w:color w:val="000000"/>
          <w:sz w:val="20"/>
          <w:szCs w:val="21"/>
          <w:u w:val="single"/>
        </w:rPr>
        <w:t>某</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单位：</w:t>
      </w:r>
      <w:r>
        <w:rPr>
          <w:rFonts w:ascii="仿宋" w:eastAsia="仿宋_GB2312" w:hAnsi="仿宋" w:hint="eastAsia"/>
          <w:color w:val="000000"/>
          <w:sz w:val="20"/>
          <w:szCs w:val="21"/>
          <w:u w:val="single"/>
        </w:rPr>
        <w:t>××经侦支队</w:t>
      </w: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身份证号：</w:t>
      </w:r>
      <w:r>
        <w:rPr>
          <w:rFonts w:ascii="仿宋" w:eastAsia="仿宋_GB2312" w:hAnsi="仿宋" w:hint="eastAsia"/>
          <w:color w:val="000000"/>
          <w:sz w:val="20"/>
          <w:szCs w:val="21"/>
          <w:u w:val="single"/>
        </w:rPr>
        <w:t>（略）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黑体" w:eastAsia="黑体" w:hAnsi="黑体" w:hint="eastAsia"/>
          <w:color w:val="000000"/>
          <w:sz w:val="20"/>
          <w:szCs w:val="21"/>
          <w:u w:val="single"/>
        </w:rPr>
        <w:t>职务</w:t>
      </w:r>
      <w:r>
        <w:rPr>
          <w:rFonts w:ascii="仿宋_GB2312" w:eastAsia="仿宋_GB2312" w:hAnsi="黑体" w:hint="eastAsia"/>
          <w:color w:val="000000"/>
          <w:sz w:val="20"/>
          <w:szCs w:val="21"/>
          <w:u w:val="single"/>
        </w:rPr>
        <w:t>：</w:t>
      </w:r>
      <w:r>
        <w:rPr>
          <w:rFonts w:ascii="仿宋_GB2312" w:eastAsia="仿宋_GB2312" w:hAnsi="仿宋" w:hint="eastAsia"/>
          <w:color w:val="000000"/>
          <w:sz w:val="20"/>
          <w:szCs w:val="21"/>
          <w:u w:val="single"/>
        </w:rPr>
        <w:t xml:space="preserve">科员      </w:t>
      </w:r>
      <w:r>
        <w:rPr>
          <w:rFonts w:ascii="黑体" w:eastAsia="黑体" w:hAnsi="黑体" w:hint="eastAsia"/>
          <w:color w:val="000000"/>
          <w:sz w:val="20"/>
          <w:szCs w:val="21"/>
          <w:u w:val="single"/>
        </w:rPr>
        <w:t>住所</w:t>
      </w:r>
      <w:r>
        <w:rPr>
          <w:rFonts w:ascii="仿宋_GB2312" w:eastAsia="仿宋_GB2312" w:hAnsi="黑体" w:hint="eastAsia"/>
          <w:color w:val="000000"/>
          <w:sz w:val="20"/>
          <w:szCs w:val="21"/>
          <w:u w:val="single"/>
        </w:rPr>
        <w:t>：</w:t>
      </w:r>
      <w:r>
        <w:rPr>
          <w:rFonts w:ascii="仿宋_GB2312" w:eastAsia="仿宋_GB2312" w:hAnsi="仿宋" w:hint="eastAsia"/>
          <w:color w:val="000000"/>
          <w:sz w:val="20"/>
          <w:szCs w:val="21"/>
          <w:u w:val="single"/>
        </w:rPr>
        <w:t xml:space="preserve"> ××省××市××街××号     </w:t>
      </w:r>
      <w:r>
        <w:rPr>
          <w:rFonts w:ascii="黑体" w:eastAsia="黑体" w:hAnsi="黑体" w:hint="eastAsia"/>
          <w:color w:val="000000"/>
          <w:sz w:val="20"/>
          <w:szCs w:val="21"/>
          <w:u w:val="single"/>
        </w:rPr>
        <w:t>电话</w:t>
      </w:r>
      <w:r>
        <w:rPr>
          <w:rFonts w:ascii="仿宋_GB2312" w:eastAsia="仿宋_GB2312" w:hAnsi="黑体" w:hint="eastAsia"/>
          <w:color w:val="000000"/>
          <w:sz w:val="20"/>
          <w:szCs w:val="21"/>
          <w:u w:val="single"/>
        </w:rPr>
        <w:t>：</w:t>
      </w: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黑体" w:eastAsia="黑体" w:hAnsi="黑体"/>
          <w:color w:val="000000"/>
          <w:sz w:val="20"/>
          <w:szCs w:val="21"/>
          <w:u w:val="single"/>
        </w:rPr>
      </w:pPr>
      <w:r>
        <w:rPr>
          <w:rFonts w:ascii="黑体" w:eastAsia="黑体" w:hAnsi="黑体" w:hint="eastAsia"/>
          <w:color w:val="000000"/>
          <w:sz w:val="20"/>
          <w:szCs w:val="21"/>
          <w:u w:val="single"/>
        </w:rPr>
        <w:t xml:space="preserve">记录：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_GB2312" w:eastAsia="仿宋_GB2312" w:hAnsi="仿宋" w:hint="eastAsia"/>
          <w:color w:val="000000"/>
          <w:sz w:val="20"/>
          <w:szCs w:val="21"/>
          <w:u w:val="single"/>
        </w:rPr>
        <w:t xml:space="preserve">（固定格式与实际情况记录相结合文本）你好。我们是×××，执法证号是××××；办案人员乙，执法证号是××××。这是我们的执法证件。这位是××经侦支队D某，来作个见证。上次过来时已经向你们提出来作现场检查，希望你们能配合我们作现场检查。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C某：</w:t>
      </w:r>
      <w:r>
        <w:rPr>
          <w:rFonts w:ascii="仿宋" w:eastAsia="仿宋_GB2312" w:hAnsi="仿宋" w:hint="eastAsia"/>
          <w:color w:val="000000"/>
          <w:sz w:val="20"/>
          <w:szCs w:val="21"/>
          <w:u w:val="single"/>
        </w:rPr>
        <w:t>（实际情况记录文本）好的，我尽量配合。请大家随我来，涉案产品在仓库。</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（实际情况记录文本）这是涉案产品吗？目前库存共有多少？</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C某：</w:t>
      </w:r>
      <w:r>
        <w:rPr>
          <w:rFonts w:ascii="仿宋" w:eastAsia="仿宋_GB2312" w:hAnsi="仿宋" w:hint="eastAsia"/>
          <w:color w:val="000000"/>
          <w:sz w:val="20"/>
          <w:szCs w:val="21"/>
          <w:u w:val="single"/>
        </w:rPr>
        <w:t>（实际情况记录文本）目前库存共有×台。</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（固定格式文本）我们需要对涉案产品的技术特征进行现场检查，并且相关记录需要你签字。</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C某：</w:t>
      </w:r>
      <w:r>
        <w:rPr>
          <w:rFonts w:ascii="仿宋" w:eastAsia="仿宋_GB2312" w:hAnsi="仿宋" w:hint="eastAsia"/>
          <w:color w:val="000000"/>
          <w:sz w:val="20"/>
          <w:szCs w:val="21"/>
          <w:u w:val="single"/>
        </w:rPr>
        <w:t>（实际情况记录文本）可以，不过检查情况需要给我们留一份。</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（实际情况记录文本）可以。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（实际情况记录文本）这是涉案产品，有以下技术特征：（具体内容略）办案人员乙对此涉案产品特征是否有要补充的？</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办案人员乙：</w:t>
      </w:r>
      <w:r>
        <w:rPr>
          <w:rFonts w:ascii="仿宋" w:eastAsia="仿宋_GB2312" w:hAnsi="仿宋" w:hint="eastAsia"/>
          <w:color w:val="000000"/>
          <w:sz w:val="20"/>
          <w:szCs w:val="21"/>
          <w:u w:val="single"/>
        </w:rPr>
        <w:t>（实际情况记录文本）此涉案产品特征与侵权专利需要对比的特征已经描述得很清楚了，</w:t>
      </w:r>
      <w:r>
        <w:rPr>
          <w:rFonts w:ascii="仿宋_GB2312" w:eastAsia="仿宋_GB2312" w:hAnsi="仿宋" w:hint="eastAsia"/>
          <w:color w:val="000000"/>
          <w:sz w:val="20"/>
          <w:szCs w:val="21"/>
          <w:u w:val="single"/>
        </w:rPr>
        <w:t xml:space="preserve">我没什么要补充的。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_GB2312" w:eastAsia="仿宋_GB2312" w:hAnsi="黑体" w:hint="eastAsia"/>
          <w:color w:val="000000"/>
          <w:sz w:val="20"/>
          <w:szCs w:val="21"/>
          <w:u w:val="single"/>
        </w:rPr>
        <w:t>：</w:t>
      </w:r>
      <w:r>
        <w:rPr>
          <w:rFonts w:ascii="仿宋_GB2312" w:eastAsia="仿宋_GB2312" w:hAnsi="仿宋" w:hint="eastAsia"/>
          <w:color w:val="000000"/>
          <w:sz w:val="20"/>
          <w:szCs w:val="21"/>
          <w:u w:val="single"/>
        </w:rPr>
        <w:t xml:space="preserve">（固定格式文本）C某对以上涉案产品的特征有什么异议没有？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黑体" w:eastAsia="黑体" w:hAnsi="黑体" w:hint="eastAsia"/>
          <w:color w:val="000000"/>
          <w:sz w:val="20"/>
          <w:szCs w:val="21"/>
          <w:u w:val="single"/>
        </w:rPr>
        <w:t>C某</w:t>
      </w:r>
      <w:r>
        <w:rPr>
          <w:rFonts w:ascii="仿宋_GB2312" w:eastAsia="仿宋_GB2312" w:hAnsi="黑体" w:hint="eastAsia"/>
          <w:color w:val="000000"/>
          <w:sz w:val="20"/>
          <w:szCs w:val="21"/>
          <w:u w:val="single"/>
        </w:rPr>
        <w:t>：</w:t>
      </w:r>
      <w:r>
        <w:rPr>
          <w:rFonts w:ascii="仿宋_GB2312" w:eastAsia="仿宋_GB2312" w:hAnsi="仿宋" w:hint="eastAsia"/>
          <w:color w:val="000000"/>
          <w:sz w:val="20"/>
          <w:szCs w:val="21"/>
          <w:u w:val="single"/>
        </w:rPr>
        <w:t xml:space="preserve">（实际情况记录文本）没有。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_GB2312" w:eastAsia="仿宋_GB2312" w:hAnsi="黑体" w:hint="eastAsia"/>
          <w:color w:val="000000"/>
          <w:sz w:val="20"/>
          <w:szCs w:val="21"/>
          <w:u w:val="single"/>
        </w:rPr>
        <w:t>：</w:t>
      </w:r>
      <w:r>
        <w:rPr>
          <w:rFonts w:ascii="仿宋_GB2312" w:eastAsia="仿宋_GB2312" w:hAnsi="仿宋" w:hint="eastAsia"/>
          <w:color w:val="000000"/>
          <w:sz w:val="20"/>
          <w:szCs w:val="21"/>
          <w:u w:val="single"/>
        </w:rPr>
        <w:t xml:space="preserve">（固定格式文本）D某对以上涉案产品的特征有什么异议吗？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黑体" w:eastAsia="黑体" w:hAnsi="黑体" w:hint="eastAsia"/>
          <w:color w:val="000000"/>
          <w:sz w:val="20"/>
          <w:szCs w:val="21"/>
          <w:u w:val="single"/>
        </w:rPr>
        <w:t>D某</w:t>
      </w:r>
      <w:r>
        <w:rPr>
          <w:rFonts w:ascii="仿宋_GB2312" w:eastAsia="仿宋_GB2312" w:hAnsi="黑体" w:hint="eastAsia"/>
          <w:color w:val="000000"/>
          <w:sz w:val="20"/>
          <w:szCs w:val="21"/>
          <w:u w:val="single"/>
        </w:rPr>
        <w:t>：</w:t>
      </w:r>
      <w:r>
        <w:rPr>
          <w:rFonts w:ascii="仿宋_GB2312" w:eastAsia="仿宋_GB2312" w:hAnsi="仿宋" w:hint="eastAsia"/>
          <w:color w:val="000000"/>
          <w:sz w:val="20"/>
          <w:szCs w:val="21"/>
          <w:u w:val="single"/>
        </w:rPr>
        <w:t xml:space="preserve">（实际情况记录文本）没有。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（当事人看过无异议，请抄写：以上内容已阅，情况属实。）                               </w:t>
      </w:r>
    </w:p>
    <w:p w:rsidR="00800760" w:rsidRDefault="00C22A7B">
      <w:pPr>
        <w:spacing w:line="360" w:lineRule="auto"/>
        <w:ind w:firstLineChars="0" w:firstLine="0"/>
        <w:rPr>
          <w:rFonts w:ascii="仿宋_GB2312" w:eastAsia="仿宋_GB2312" w:hAnsi="仿宋"/>
          <w:color w:val="000000"/>
          <w:sz w:val="20"/>
          <w:szCs w:val="21"/>
          <w:u w:val="single"/>
        </w:rPr>
      </w:pPr>
      <w:r>
        <w:rPr>
          <w:rFonts w:ascii="仿宋" w:eastAsia="仿宋_GB2312" w:hAnsi="仿宋"/>
          <w:color w:val="000000"/>
          <w:sz w:val="20"/>
          <w:szCs w:val="21"/>
          <w:u w:val="single"/>
          <w:lang w:eastAsia="en-US"/>
        </w:rPr>
        <w:fldChar w:fldCharType="begin"/>
      </w:r>
      <w:r w:rsidR="00235733">
        <w:rPr>
          <w:rFonts w:ascii="仿宋" w:eastAsia="仿宋_GB2312" w:hAnsi="仿宋"/>
          <w:color w:val="000000"/>
          <w:sz w:val="20"/>
          <w:szCs w:val="21"/>
          <w:u w:val="single"/>
        </w:rPr>
        <w:instrText xml:space="preserve"> </w:instrText>
      </w:r>
      <w:r w:rsidR="00235733">
        <w:rPr>
          <w:rFonts w:ascii="仿宋" w:eastAsia="仿宋_GB2312" w:hAnsi="仿宋" w:hint="eastAsia"/>
          <w:color w:val="000000"/>
          <w:sz w:val="20"/>
          <w:szCs w:val="21"/>
          <w:u w:val="single"/>
        </w:rPr>
        <w:instrText xml:space="preserve">LINK </w:instrText>
      </w:r>
      <w:r w:rsidR="00235733">
        <w:rPr>
          <w:rFonts w:ascii="仿宋" w:eastAsia="仿宋_GB2312" w:hAnsi="仿宋"/>
          <w:color w:val="000000"/>
          <w:sz w:val="20"/>
          <w:szCs w:val="21"/>
          <w:u w:val="single"/>
        </w:rPr>
        <w:instrText>Word.Document.12 C:\\Users\\lizao\\Desktop\\</w:instrText>
      </w:r>
      <w:r w:rsidR="00235733">
        <w:rPr>
          <w:rFonts w:ascii="仿宋" w:eastAsia="仿宋_GB2312" w:hAnsi="仿宋"/>
          <w:color w:val="000000"/>
          <w:sz w:val="20"/>
          <w:szCs w:val="21"/>
          <w:u w:val="single"/>
        </w:rPr>
        <w:instrText>专利侵权行政办案笔录参考文本</w:instrText>
      </w:r>
      <w:r w:rsidR="00235733">
        <w:rPr>
          <w:rFonts w:ascii="仿宋" w:eastAsia="仿宋_GB2312" w:hAnsi="仿宋"/>
          <w:color w:val="000000"/>
          <w:sz w:val="20"/>
          <w:szCs w:val="21"/>
          <w:u w:val="single"/>
        </w:rPr>
        <w:instrText xml:space="preserve">.docx OLE_LINK1 </w:instrText>
      </w:r>
      <w:r w:rsidR="00235733">
        <w:rPr>
          <w:rFonts w:ascii="仿宋" w:eastAsia="仿宋_GB2312" w:hAnsi="仿宋" w:hint="eastAsia"/>
          <w:color w:val="000000"/>
          <w:sz w:val="20"/>
          <w:szCs w:val="21"/>
          <w:u w:val="single"/>
        </w:rPr>
        <w:instrText>\a \r</w:instrText>
      </w:r>
      <w:r w:rsidR="00235733">
        <w:rPr>
          <w:rFonts w:ascii="仿宋" w:eastAsia="仿宋_GB2312" w:hAnsi="仿宋"/>
          <w:color w:val="000000"/>
          <w:sz w:val="20"/>
          <w:szCs w:val="21"/>
          <w:u w:val="single"/>
        </w:rPr>
        <w:instrText xml:space="preserve">  \* MERGEFORMAT </w:instrText>
      </w:r>
      <w:r>
        <w:rPr>
          <w:rFonts w:ascii="仿宋" w:eastAsia="仿宋_GB2312" w:hAnsi="仿宋"/>
          <w:color w:val="000000"/>
          <w:sz w:val="20"/>
          <w:szCs w:val="21"/>
          <w:u w:val="single"/>
          <w:lang w:eastAsia="en-US"/>
        </w:rPr>
        <w:fldChar w:fldCharType="separate"/>
      </w:r>
      <w:r w:rsidR="00235733">
        <w:rPr>
          <w:rFonts w:ascii="仿宋" w:eastAsia="仿宋_GB2312" w:hAnsi="仿宋"/>
          <w:color w:val="000000"/>
          <w:sz w:val="20"/>
          <w:szCs w:val="21"/>
          <w:u w:val="single"/>
        </w:rPr>
        <w:t xml:space="preserve">    </w:t>
      </w:r>
      <w:r>
        <w:rPr>
          <w:rFonts w:ascii="仿宋" w:eastAsia="仿宋_GB2312" w:hAnsi="仿宋"/>
          <w:color w:val="000000"/>
          <w:sz w:val="20"/>
          <w:szCs w:val="21"/>
          <w:u w:val="single"/>
          <w:lang w:eastAsia="en-US"/>
        </w:rPr>
        <w:fldChar w:fldCharType="end"/>
      </w:r>
      <w:r w:rsidR="00235733">
        <w:rPr>
          <w:rFonts w:ascii="仿宋" w:eastAsia="仿宋_GB2312" w:hAnsi="仿宋" w:hint="eastAsia"/>
          <w:color w:val="000000"/>
          <w:sz w:val="20"/>
          <w:szCs w:val="21"/>
          <w:u w:val="single"/>
        </w:rPr>
        <w:t>抄写处：</w:t>
      </w:r>
      <w:r w:rsidR="00235733">
        <w:rPr>
          <w:rFonts w:ascii="华文行楷" w:eastAsia="华文行楷" w:hAnsi="仿宋" w:hint="eastAsia"/>
          <w:color w:val="000000"/>
          <w:sz w:val="20"/>
          <w:szCs w:val="21"/>
          <w:u w:val="single"/>
        </w:rPr>
        <w:t>以上内容已阅，情况属实。</w:t>
      </w:r>
      <w:r w:rsidR="00235733">
        <w:rPr>
          <w:rFonts w:ascii="Ink Free" w:eastAsia="华文行楷" w:hAnsi="Ink Free"/>
          <w:b/>
          <w:color w:val="000000"/>
          <w:sz w:val="20"/>
          <w:szCs w:val="21"/>
          <w:u w:val="single"/>
        </w:rPr>
        <w:t>C</w:t>
      </w:r>
      <w:r w:rsidR="00235733">
        <w:rPr>
          <w:rFonts w:ascii="华文行楷" w:eastAsia="华文行楷" w:hAnsi="仿宋" w:hint="eastAsia"/>
          <w:color w:val="000000"/>
          <w:sz w:val="20"/>
          <w:szCs w:val="21"/>
          <w:u w:val="single"/>
        </w:rPr>
        <w:t>某</w:t>
      </w:r>
      <w:r w:rsidR="00235733">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（以下空白）                                                                        </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当事人（签字）：</w:t>
      </w:r>
      <w:r>
        <w:rPr>
          <w:rFonts w:ascii="仿宋" w:eastAsia="仿宋_GB2312" w:hAnsi="仿宋" w:hint="eastAsia"/>
          <w:color w:val="000000"/>
          <w:sz w:val="20"/>
          <w:szCs w:val="21"/>
          <w:u w:val="single"/>
        </w:rPr>
        <w:t xml:space="preserve"> </w:t>
      </w:r>
      <w:r>
        <w:rPr>
          <w:rFonts w:ascii="Ink Free" w:eastAsia="华文行楷" w:hAnsi="Ink Free"/>
          <w:b/>
          <w:color w:val="000000"/>
          <w:sz w:val="20"/>
          <w:szCs w:val="21"/>
          <w:u w:val="single"/>
        </w:rPr>
        <w:t>C</w:t>
      </w:r>
      <w:r>
        <w:rPr>
          <w:rFonts w:ascii="华文行楷" w:eastAsia="华文行楷" w:hAnsi="仿宋" w:hint="eastAsia"/>
          <w:color w:val="000000"/>
          <w:sz w:val="20"/>
          <w:szCs w:val="21"/>
          <w:u w:val="single"/>
        </w:rPr>
        <w:t>某</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见证人（签字）：</w:t>
      </w:r>
      <w:r>
        <w:rPr>
          <w:rFonts w:ascii="仿宋" w:eastAsia="仿宋_GB2312" w:hAnsi="仿宋" w:hint="eastAsia"/>
          <w:color w:val="000000"/>
          <w:sz w:val="20"/>
          <w:szCs w:val="21"/>
          <w:u w:val="single"/>
        </w:rPr>
        <w:t xml:space="preserve"> </w:t>
      </w:r>
      <w:r>
        <w:rPr>
          <w:rFonts w:ascii="华文行楷" w:eastAsia="华文行楷" w:hAnsi="仿宋" w:hint="eastAsia"/>
          <w:color w:val="000000"/>
          <w:sz w:val="20"/>
          <w:szCs w:val="21"/>
          <w:u w:val="single"/>
        </w:rPr>
        <w:t>D某</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检查人员（签字）</w:t>
      </w:r>
      <w:r>
        <w:rPr>
          <w:rFonts w:ascii="仿宋" w:eastAsia="仿宋_GB2312" w:hAnsi="仿宋" w:hint="eastAsia"/>
          <w:color w:val="000000"/>
          <w:sz w:val="20"/>
          <w:szCs w:val="21"/>
          <w:u w:val="single"/>
        </w:rPr>
        <w:t>：</w:t>
      </w:r>
      <w:r>
        <w:rPr>
          <w:rFonts w:ascii="华文行楷" w:eastAsia="华文行楷" w:hAnsi="仿宋" w:hint="eastAsia"/>
          <w:color w:val="000000"/>
          <w:sz w:val="20"/>
          <w:szCs w:val="21"/>
          <w:u w:val="single"/>
        </w:rPr>
        <w:t>办案人员甲</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华文行楷" w:eastAsia="华文行楷" w:hAnsi="仿宋" w:hint="eastAsia"/>
          <w:color w:val="000000"/>
          <w:sz w:val="20"/>
          <w:szCs w:val="21"/>
          <w:u w:val="single"/>
        </w:rPr>
        <w:t>办案人员乙</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800760">
      <w:pPr>
        <w:spacing w:line="360" w:lineRule="auto"/>
        <w:ind w:firstLineChars="0" w:firstLine="0"/>
        <w:rPr>
          <w:rFonts w:ascii="仿宋_GB2312" w:eastAsia="仿宋_GB2312" w:hAnsi="仿宋"/>
          <w:color w:val="000000"/>
          <w:sz w:val="20"/>
          <w:szCs w:val="21"/>
          <w:u w:val="single"/>
        </w:rPr>
      </w:pPr>
    </w:p>
    <w:p w:rsidR="00800760" w:rsidRDefault="00235733">
      <w:pPr>
        <w:spacing w:line="240" w:lineRule="auto"/>
        <w:ind w:firstLineChars="0" w:firstLine="0"/>
        <w:jc w:val="center"/>
        <w:rPr>
          <w:rFonts w:ascii="仿宋" w:eastAsia="仿宋_GB2312" w:hAnsi="仿宋" w:cs="宋体"/>
          <w:color w:val="000000"/>
          <w:sz w:val="32"/>
          <w:szCs w:val="32"/>
        </w:rPr>
      </w:pPr>
      <w:r>
        <w:rPr>
          <w:rFonts w:ascii="仿宋" w:eastAsia="仿宋_GB2312" w:hAnsi="仿宋"/>
          <w:color w:val="000000"/>
          <w:sz w:val="32"/>
          <w:szCs w:val="32"/>
        </w:rPr>
        <w:br w:type="page"/>
      </w:r>
    </w:p>
    <w:p w:rsidR="00800760" w:rsidRDefault="00235733">
      <w:pPr>
        <w:spacing w:line="240" w:lineRule="auto"/>
        <w:ind w:firstLineChars="0" w:firstLine="0"/>
        <w:jc w:val="center"/>
        <w:rPr>
          <w:rFonts w:ascii="仿宋" w:eastAsia="仿宋_GB2312" w:hAnsi="仿宋" w:cs="宋体"/>
          <w:color w:val="000000"/>
          <w:sz w:val="32"/>
          <w:szCs w:val="32"/>
        </w:rPr>
      </w:pPr>
      <w:r>
        <w:rPr>
          <w:rFonts w:ascii="仿宋" w:eastAsia="仿宋_GB2312" w:hAnsi="仿宋" w:cs="宋体" w:hint="eastAsia"/>
          <w:color w:val="000000"/>
          <w:sz w:val="32"/>
          <w:szCs w:val="32"/>
        </w:rPr>
        <w:t>×××知识产权局</w:t>
      </w:r>
    </w:p>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bookmarkStart w:id="9382" w:name="_Toc26909531"/>
      <w:r>
        <w:rPr>
          <w:rFonts w:ascii="方正小标宋_GBK" w:eastAsia="方正小标宋_GBK" w:hAnsi="宋体" w:hint="eastAsia"/>
          <w:color w:val="000000"/>
          <w:spacing w:val="6"/>
          <w:sz w:val="36"/>
          <w:szCs w:val="36"/>
        </w:rPr>
        <w:t>专利侵权纠纷行政裁决案件审理笔录</w:t>
      </w:r>
      <w:bookmarkEnd w:id="9382"/>
    </w:p>
    <w:p w:rsidR="00800760" w:rsidRDefault="00235733">
      <w:pPr>
        <w:spacing w:line="240" w:lineRule="auto"/>
        <w:ind w:firstLineChars="0" w:firstLine="0"/>
        <w:jc w:val="center"/>
        <w:rPr>
          <w:rFonts w:ascii="仿宋_GB2312" w:eastAsia="仿宋_GB2312" w:hAnsi="仿宋" w:cs="宋体"/>
          <w:color w:val="000000"/>
          <w:sz w:val="20"/>
          <w:szCs w:val="21"/>
        </w:rPr>
      </w:pPr>
      <w:r>
        <w:rPr>
          <w:rFonts w:ascii="仿宋_GB2312" w:eastAsia="仿宋_GB2312" w:hAnsi="仿宋" w:cs="宋体" w:hint="eastAsia"/>
          <w:color w:val="000000"/>
          <w:sz w:val="20"/>
          <w:szCs w:val="21"/>
        </w:rPr>
        <w:t xml:space="preserve">                                             案号：××知法裁字〔20××〕×号</w:t>
      </w:r>
    </w:p>
    <w:p w:rsidR="00800760" w:rsidRDefault="00800760">
      <w:pPr>
        <w:spacing w:line="240" w:lineRule="auto"/>
        <w:ind w:firstLineChars="0" w:firstLine="0"/>
        <w:rPr>
          <w:rFonts w:ascii="宋体" w:hAnsi="宋体" w:cs="宋体"/>
          <w:color w:val="000000"/>
          <w:sz w:val="20"/>
          <w:szCs w:val="21"/>
        </w:rPr>
      </w:pP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案由：</w:t>
      </w:r>
      <w:r>
        <w:rPr>
          <w:rFonts w:ascii="仿宋_GB2312" w:eastAsia="仿宋_GB2312" w:hAnsi="仿宋" w:cs="宋体" w:hint="eastAsia"/>
          <w:color w:val="000000"/>
          <w:sz w:val="20"/>
          <w:szCs w:val="21"/>
          <w:u w:val="single"/>
        </w:rPr>
        <w:t xml:space="preserve">A公司与B公司间的实用新型专利侵权纠纷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请求人：</w:t>
      </w:r>
      <w:r>
        <w:rPr>
          <w:rFonts w:ascii="仿宋_GB2312" w:eastAsia="仿宋_GB2312" w:hAnsi="仿宋" w:cs="宋体" w:hint="eastAsia"/>
          <w:color w:val="000000"/>
          <w:sz w:val="20"/>
          <w:szCs w:val="21"/>
          <w:u w:val="single"/>
        </w:rPr>
        <w:t xml:space="preserve">A公司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请求人代理人：</w:t>
      </w:r>
      <w:r>
        <w:rPr>
          <w:rFonts w:ascii="仿宋_GB2312" w:eastAsia="仿宋_GB2312" w:hAnsi="仿宋" w:cs="宋体" w:hint="eastAsia"/>
          <w:color w:val="000000"/>
          <w:sz w:val="20"/>
          <w:szCs w:val="21"/>
          <w:u w:val="single"/>
        </w:rPr>
        <w:t xml:space="preserve">C某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被请求人：</w:t>
      </w:r>
      <w:r>
        <w:rPr>
          <w:rFonts w:ascii="仿宋_GB2312" w:eastAsia="仿宋_GB2312" w:hAnsi="仿宋" w:cs="宋体" w:hint="eastAsia"/>
          <w:color w:val="000000"/>
          <w:sz w:val="20"/>
          <w:szCs w:val="21"/>
          <w:u w:val="single"/>
        </w:rPr>
        <w:t xml:space="preserve">B公司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被请求人代理人：</w:t>
      </w:r>
      <w:r>
        <w:rPr>
          <w:rFonts w:ascii="仿宋_GB2312" w:eastAsia="仿宋_GB2312" w:hAnsi="仿宋" w:cs="宋体" w:hint="eastAsia"/>
          <w:color w:val="000000"/>
          <w:sz w:val="20"/>
          <w:szCs w:val="21"/>
          <w:u w:val="single"/>
        </w:rPr>
        <w:t xml:space="preserve">D某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审理时间：</w:t>
      </w:r>
      <w:r>
        <w:rPr>
          <w:rFonts w:ascii="仿宋_GB2312" w:eastAsia="仿宋_GB2312" w:hAnsi="仿宋" w:cs="宋体" w:hint="eastAsia"/>
          <w:color w:val="000000"/>
          <w:sz w:val="20"/>
          <w:szCs w:val="21"/>
          <w:u w:val="single"/>
        </w:rPr>
        <w:t xml:space="preserve">20××年××月××日××时××分至××时××分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审理地点：</w:t>
      </w:r>
      <w:r>
        <w:rPr>
          <w:rFonts w:ascii="仿宋_GB2312" w:eastAsia="仿宋_GB2312" w:hAnsi="仿宋" w:cs="宋体" w:hint="eastAsia"/>
          <w:color w:val="000000"/>
          <w:sz w:val="20"/>
          <w:szCs w:val="21"/>
          <w:u w:val="single"/>
        </w:rPr>
        <w:t xml:space="preserve">×××知识产权局审理庭                                                        </w:t>
      </w:r>
    </w:p>
    <w:p w:rsidR="00800760" w:rsidRDefault="00235733">
      <w:pPr>
        <w:ind w:firstLineChars="0" w:firstLine="0"/>
        <w:rPr>
          <w:rFonts w:ascii="仿宋" w:eastAsia="仿宋_GB2312" w:hAnsi="仿宋" w:cs="宋体"/>
          <w:color w:val="000000"/>
          <w:sz w:val="20"/>
          <w:szCs w:val="21"/>
          <w:u w:val="single"/>
        </w:rPr>
      </w:pPr>
      <w:r>
        <w:rPr>
          <w:rFonts w:ascii="黑体" w:eastAsia="黑体" w:hAnsi="黑体" w:cs="宋体" w:hint="eastAsia"/>
          <w:color w:val="000000"/>
          <w:sz w:val="20"/>
          <w:szCs w:val="21"/>
          <w:u w:val="single"/>
        </w:rPr>
        <w:t>主持人：</w:t>
      </w:r>
      <w:r>
        <w:rPr>
          <w:rFonts w:ascii="仿宋_GB2312" w:eastAsia="仿宋_GB2312" w:hAnsi="仿宋" w:cs="宋体" w:hint="eastAsia"/>
          <w:color w:val="000000"/>
          <w:sz w:val="20"/>
          <w:szCs w:val="21"/>
          <w:u w:val="single"/>
        </w:rPr>
        <w:t xml:space="preserve">办案人员甲                                                                          </w:t>
      </w:r>
    </w:p>
    <w:p w:rsidR="00800760" w:rsidRDefault="00235733">
      <w:pPr>
        <w:ind w:firstLineChars="0" w:firstLine="0"/>
        <w:rPr>
          <w:rFonts w:ascii="仿宋" w:eastAsia="仿宋_GB2312" w:hAnsi="仿宋" w:cs="宋体"/>
          <w:color w:val="000000"/>
          <w:sz w:val="20"/>
          <w:szCs w:val="21"/>
          <w:u w:val="single"/>
        </w:rPr>
      </w:pPr>
      <w:r>
        <w:rPr>
          <w:rFonts w:ascii="黑体" w:eastAsia="黑体" w:hAnsi="黑体" w:cs="宋体" w:hint="eastAsia"/>
          <w:color w:val="000000"/>
          <w:sz w:val="20"/>
          <w:szCs w:val="21"/>
          <w:u w:val="single"/>
        </w:rPr>
        <w:t>审理人员：</w:t>
      </w:r>
      <w:r>
        <w:rPr>
          <w:rFonts w:ascii="仿宋_GB2312" w:eastAsia="仿宋_GB2312" w:hAnsi="仿宋" w:cs="宋体" w:hint="eastAsia"/>
          <w:color w:val="000000"/>
          <w:sz w:val="20"/>
          <w:szCs w:val="21"/>
          <w:u w:val="single"/>
        </w:rPr>
        <w:t xml:space="preserve">办案人员甲  办案人员乙  办案人员丙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书记员：</w:t>
      </w:r>
      <w:r>
        <w:rPr>
          <w:rFonts w:ascii="仿宋_GB2312" w:eastAsia="仿宋_GB2312" w:hAnsi="仿宋" w:cs="宋体" w:hint="eastAsia"/>
          <w:color w:val="000000"/>
          <w:sz w:val="20"/>
          <w:szCs w:val="21"/>
          <w:u w:val="single"/>
        </w:rPr>
        <w:t xml:space="preserve">办案人员丁                                                                          </w:t>
      </w:r>
    </w:p>
    <w:p w:rsidR="00800760" w:rsidRDefault="00235733">
      <w:pPr>
        <w:ind w:firstLineChars="0" w:firstLine="0"/>
        <w:rPr>
          <w:rFonts w:ascii="仿宋" w:eastAsia="仿宋_GB2312" w:hAnsi="仿宋" w:cs="宋体"/>
          <w:color w:val="000000"/>
          <w:sz w:val="20"/>
          <w:szCs w:val="21"/>
          <w:u w:val="single"/>
        </w:rPr>
      </w:pPr>
      <w:r>
        <w:rPr>
          <w:rFonts w:ascii="黑体" w:eastAsia="黑体" w:hAnsi="黑体" w:cs="宋体" w:hint="eastAsia"/>
          <w:color w:val="000000"/>
          <w:sz w:val="20"/>
          <w:szCs w:val="21"/>
          <w:u w:val="single"/>
        </w:rPr>
        <w:t>审理记录：</w:t>
      </w:r>
      <w:r>
        <w:rPr>
          <w:rFonts w:ascii="仿宋" w:eastAsia="仿宋_GB2312" w:hAnsi="仿宋" w:cs="宋体" w:hint="eastAsia"/>
          <w:color w:val="000000"/>
          <w:sz w:val="20"/>
          <w:szCs w:val="21"/>
          <w:u w:val="single"/>
        </w:rPr>
        <w:t>（以下笔录中合议组长简称“审”，请求人简称“请”，被请求人简称“被”）</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固定格式与实际情况记录相结合文本）根据《</w:t>
      </w:r>
      <w:r>
        <w:rPr>
          <w:rFonts w:ascii="仿宋_GB2312" w:eastAsia="仿宋_GB2312" w:hAnsi="仿宋" w:cs="宋体"/>
          <w:color w:val="000000"/>
          <w:sz w:val="20"/>
          <w:szCs w:val="21"/>
          <w:u w:val="single"/>
        </w:rPr>
        <w:t>专利纠纷行政裁决和调解办法</w:t>
      </w:r>
      <w:r>
        <w:rPr>
          <w:rFonts w:ascii="仿宋" w:eastAsia="仿宋_GB2312" w:hAnsi="仿宋" w:cs="宋体" w:hint="eastAsia"/>
          <w:color w:val="000000"/>
          <w:sz w:val="20"/>
          <w:szCs w:val="21"/>
          <w:u w:val="single"/>
        </w:rPr>
        <w:t>》第二十六条的规定，××</w:t>
      </w:r>
      <w:r>
        <w:rPr>
          <w:rFonts w:ascii="仿宋_GB2312" w:eastAsia="仿宋_GB2312" w:hAnsi="仿宋" w:cs="宋体" w:hint="eastAsia"/>
          <w:color w:val="000000"/>
          <w:sz w:val="20"/>
          <w:szCs w:val="21"/>
          <w:u w:val="single"/>
        </w:rPr>
        <w:t xml:space="preserve">×知识产权局决定今天在这里就A公司与B公司之间的专利名称为“××××××”(专利号：ZL.×××××××××××.×)的专利侵权纠纷案进行审理，现在开庭。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首先，核实参加审理的当事人的身份。 请求人是否到场？请向合议组报告你的姓名，并出示有效身份证件。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请求人：</w:t>
      </w:r>
      <w:r>
        <w:rPr>
          <w:rFonts w:ascii="仿宋_GB2312" w:eastAsia="仿宋_GB2312" w:hAnsi="仿宋" w:cs="宋体" w:hint="eastAsia"/>
          <w:color w:val="000000"/>
          <w:sz w:val="20"/>
          <w:szCs w:val="21"/>
          <w:u w:val="single"/>
        </w:rPr>
        <w:t xml:space="preserve">（实际情况记录文本）A公司。（请求人为个人的记录姓名、身份证号等）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（固定格式文本）请求人是否委托代理人？代理人是否到庭？请依次向合议组报告各自的姓名、工作单位、职务、代理权限，并出示有效身份证件及授权委托书。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（实际情况记录文本）委托代理人C某，身份证号:（略）在A公司任技术经理，现住××省××市××街××号，代理权限见委托书。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（固定格式文本）被请求人是否到场？请向合议组报告你的姓名、职务并出示有效身份证件。</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被请求人：</w:t>
      </w:r>
      <w:r>
        <w:rPr>
          <w:rFonts w:ascii="仿宋_GB2312" w:eastAsia="仿宋_GB2312" w:hAnsi="仿宋" w:cs="宋体" w:hint="eastAsia"/>
          <w:color w:val="000000"/>
          <w:sz w:val="20"/>
          <w:szCs w:val="21"/>
          <w:u w:val="single"/>
        </w:rPr>
        <w:t xml:space="preserve">（实际情况记录文本）B公司。（被请求人为个人的应记录姓名、身份证号等）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（固定格式文本）被请求人是否委托代理人？委托代理人是否到庭？请报告你的姓名、工作单位、职务、代理权限，并出示有效身份证件及授权委托书。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（实际情况记录文本）被请求人的委托代理人D某，身份证号:（略），在B公司任技术经理，现住××省××市××街××号，代理权限见委托书。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（固定格式文本）请求人对参加审理的被请求人及其代理人的身份有无异议？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（实际情况记录文本）没有异议。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固定格式文本）被请求人对参加审理的请求人及其代理人的身份有无异议？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（实际情况记录文本）没有异议。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固定格式文本）双方当事人及其代理人符合法律规定，可以参加审理。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现在宣读审理纪律：所有参加人员关闭通信设备;未经允许不得拍照、录音、摄像；不得随意走动，当事人发言应当征得合议组组长同意；旁听者无发言权，不得向参加审理的当事人传递有关信息。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以上庭审纪律请求人是否清楚？</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 w:eastAsia="仿宋_GB2312" w:hAnsi="仿宋" w:cs="宋体" w:hint="eastAsia"/>
          <w:color w:val="000000"/>
          <w:sz w:val="20"/>
          <w:szCs w:val="21"/>
          <w:u w:val="single"/>
        </w:rPr>
        <w:t>（实际情况记录文本）清楚。</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以上庭审纪律被请求人是否清楚？</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（实际情况记录文本）清楚。</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现在宣布当事人的权利：1.当事人有权请求合议组成员及其书记员回避；2.双方当事人有权进行和解；3.当事人有权请求出具过证言的证人就其证言出庭作证，并请求实物演示；4.当事人有权进行辩论；5.请求人有权撤回请求。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现在宣布当事人的义务：1.应当遵守审理纪律，维护审理的秩序；2.发言应当征得合议组组长同意，任何一方当事人不得打断另一方当事人的发言；3.辩论中应当摆事实、讲道理；4.发言和辩论仅限于合议组指定的与审理案件有关的范围；5.当事人对自己提出的主张有举证责任，反驳对方主张的，应当说明理由；6.审理期间，未经合议组许可不得中途退庭，请求人中途退庭的，按撤回请求处理；被请求人中途退庭的，合议组可以缺席审理。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请求人是否清楚？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实际情况记录文本）清楚。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固定格式文本）被请求人是否清楚？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（实际情况记录文本）清楚。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（固定格式与实际情况记录相结合文本）本案由我局的</w:t>
      </w:r>
      <w:r>
        <w:rPr>
          <w:rFonts w:ascii="仿宋_GB2312" w:eastAsia="仿宋_GB2312" w:hAnsi="仿宋" w:cs="宋体" w:hint="eastAsia"/>
          <w:color w:val="000000"/>
          <w:sz w:val="20"/>
          <w:szCs w:val="21"/>
          <w:u w:val="single"/>
        </w:rPr>
        <w:t>办案人员</w:t>
      </w:r>
      <w:r>
        <w:rPr>
          <w:rFonts w:ascii="仿宋" w:eastAsia="仿宋_GB2312" w:hAnsi="仿宋" w:cs="宋体" w:hint="eastAsia"/>
          <w:color w:val="000000"/>
          <w:sz w:val="20"/>
          <w:szCs w:val="21"/>
          <w:u w:val="single"/>
        </w:rPr>
        <w:t>甲、</w:t>
      </w:r>
      <w:r>
        <w:rPr>
          <w:rFonts w:ascii="仿宋_GB2312" w:eastAsia="仿宋_GB2312" w:hAnsi="仿宋" w:cs="宋体" w:hint="eastAsia"/>
          <w:color w:val="000000"/>
          <w:sz w:val="20"/>
          <w:szCs w:val="21"/>
          <w:u w:val="single"/>
        </w:rPr>
        <w:t>办案人员</w:t>
      </w:r>
      <w:r>
        <w:rPr>
          <w:rFonts w:ascii="仿宋" w:eastAsia="仿宋_GB2312" w:hAnsi="仿宋" w:cs="宋体" w:hint="eastAsia"/>
          <w:color w:val="000000"/>
          <w:sz w:val="20"/>
          <w:szCs w:val="21"/>
          <w:u w:val="single"/>
        </w:rPr>
        <w:t>乙、</w:t>
      </w:r>
      <w:r>
        <w:rPr>
          <w:rFonts w:ascii="仿宋_GB2312" w:eastAsia="仿宋_GB2312" w:hAnsi="仿宋" w:cs="宋体" w:hint="eastAsia"/>
          <w:color w:val="000000"/>
          <w:sz w:val="20"/>
          <w:szCs w:val="21"/>
          <w:u w:val="single"/>
        </w:rPr>
        <w:t>办案人员</w:t>
      </w:r>
      <w:r>
        <w:rPr>
          <w:rFonts w:ascii="仿宋" w:eastAsia="仿宋_GB2312" w:hAnsi="仿宋" w:cs="宋体" w:hint="eastAsia"/>
          <w:color w:val="000000"/>
          <w:sz w:val="20"/>
          <w:szCs w:val="21"/>
          <w:u w:val="single"/>
        </w:rPr>
        <w:t>丙三人组成合议组，</w:t>
      </w:r>
      <w:r>
        <w:rPr>
          <w:rFonts w:ascii="仿宋_GB2312" w:eastAsia="仿宋_GB2312" w:hAnsi="仿宋" w:cs="宋体" w:hint="eastAsia"/>
          <w:color w:val="000000"/>
          <w:sz w:val="20"/>
          <w:szCs w:val="21"/>
          <w:u w:val="single"/>
        </w:rPr>
        <w:t>办案人员</w:t>
      </w:r>
      <w:r>
        <w:rPr>
          <w:rFonts w:ascii="仿宋" w:eastAsia="仿宋_GB2312" w:hAnsi="仿宋" w:cs="宋体" w:hint="eastAsia"/>
          <w:color w:val="000000"/>
          <w:sz w:val="20"/>
          <w:szCs w:val="21"/>
          <w:u w:val="single"/>
        </w:rPr>
        <w:t>丁负责记录。根据《</w:t>
      </w:r>
      <w:r>
        <w:rPr>
          <w:rFonts w:ascii="仿宋_GB2312" w:eastAsia="仿宋_GB2312" w:hAnsi="仿宋" w:cs="宋体"/>
          <w:color w:val="000000"/>
          <w:sz w:val="20"/>
          <w:szCs w:val="21"/>
          <w:u w:val="single"/>
        </w:rPr>
        <w:t>专利纠纷行政裁决和调解办法</w:t>
      </w:r>
      <w:r>
        <w:rPr>
          <w:rFonts w:ascii="仿宋" w:eastAsia="仿宋_GB2312" w:hAnsi="仿宋" w:cs="宋体" w:hint="eastAsia"/>
          <w:color w:val="000000"/>
          <w:sz w:val="20"/>
          <w:szCs w:val="21"/>
          <w:u w:val="single"/>
        </w:rPr>
        <w:t>》第五条的规定，双方当事人对合议组组成人员有权提出回避申请。如申请，请说明理由。请求人是否申请回避？若申请请说明理由。</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（实际情况记录文本）不申请。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固定格式文本）被请求人？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（实际情况记录文本）不申请。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（固定格式文本）现在由请求人简要陈述其请求事项、事实理由和法律依据。</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（实际情况记录文本）详细内容见请求书（略）。我们以权利要求×主张自己的权利。      </w:t>
      </w:r>
    </w:p>
    <w:p w:rsidR="00800760" w:rsidRDefault="00235733">
      <w:pPr>
        <w:ind w:firstLineChars="0" w:firstLine="0"/>
        <w:rPr>
          <w:rFonts w:ascii="仿宋"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（说明：一般情况下，主持人要引导请求人以递交的请求书内容为主进行陈述，便于书记员记录）               </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（固定格式文本）被请求人答辩，对请求人的请求是否提出异议，讲明具体事实和理由，并简要陈述证据。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（实际情况记录文本）详细内容见答辩书（略）。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（说明：一般情况下，主持人要引导被请求人以递交的答辩书内容为主进行陈述，便于书记员记录）</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（固定格式文本）现在由请求人陈述你（公司）的专利是何时申请、何时授权、目前法律状态、专利保护范围等专利基本情况。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（实际情况记录文本）我们的专利是××××年××月××日申请，××××年××月××日授权，目前的法律状态为有效专利，专利保护范围（略）。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（固定格式文本）现在由请求人陈述你（公司）是在何时何地发现被请求人实施涉嫌专利侵权行为。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 w:eastAsia="仿宋_GB2312" w:hAnsi="仿宋" w:cs="宋体" w:hint="eastAsia"/>
          <w:color w:val="000000"/>
          <w:sz w:val="20"/>
          <w:szCs w:val="21"/>
          <w:u w:val="single"/>
        </w:rPr>
        <w:t>（实际情况记录文本）</w:t>
      </w:r>
      <w:r>
        <w:rPr>
          <w:rFonts w:ascii="仿宋" w:eastAsia="仿宋_GB2312" w:hAnsi="仿宋" w:cs="宋体" w:hint="eastAsia"/>
          <w:color w:val="000000"/>
          <w:sz w:val="20"/>
          <w:szCs w:val="21"/>
          <w:u w:val="single"/>
        </w:rPr>
        <w:t>20</w:t>
      </w:r>
      <w:r>
        <w:rPr>
          <w:rFonts w:ascii="仿宋" w:eastAsia="仿宋_GB2312" w:hAnsi="仿宋" w:cs="宋体" w:hint="eastAsia"/>
          <w:color w:val="000000"/>
          <w:sz w:val="20"/>
          <w:szCs w:val="21"/>
          <w:u w:val="single"/>
        </w:rPr>
        <w:t>××年××月××日在××市××企业的车间里发现的。</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（固定格式文本）现在由请求人对被控产品是否落入涉案专利权的保护范围，进行对比分析。</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现在由被请求人陈述你的姓名或公司名称、成立时间、电话、住址、经营范围等基本情况。</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（实际情况记录文本）公司名称为B公司，成立于××××年××月××日，联系电话：××××××××，位于××省××市××街××号，主要经营×××××。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（固定格式文本）请问被请求人，我们的调查笔录上签字的人员与你（公司）是何种关系？</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（实际情况记录文本）是我公司的生产车间主任。</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（固定格式文本）请问被请求人，请求人刚才提供的被控产品（样品、照片等）是否由你（公司）生产（使用、销售）的？</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（实际情况记录文本）是。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（固定格式文本）请问被请求人是何时开始制造（使用、销售）的？以及生产数量、库存数</w:t>
      </w:r>
      <w:r>
        <w:rPr>
          <w:rFonts w:ascii="仿宋_GB2312" w:eastAsia="仿宋_GB2312" w:hAnsi="仿宋" w:cs="宋体" w:hint="eastAsia"/>
          <w:color w:val="000000"/>
          <w:sz w:val="20"/>
          <w:szCs w:val="21"/>
          <w:u w:val="single"/>
        </w:rPr>
        <w:t xml:space="preserve">量、研发（生产）成本（进货价格）及销售的情况？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（固定格式文本）请问被请求人制造该产品模具数量、时间，货物首次上市时间、存放地点？</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（固定格式文本）请被请求人对其产品是否落入涉案专利权保护范围行对比分析，并说明理</w:t>
      </w:r>
      <w:r>
        <w:rPr>
          <w:rFonts w:ascii="仿宋_GB2312" w:eastAsia="仿宋_GB2312" w:hAnsi="仿宋" w:cs="宋体" w:hint="eastAsia"/>
          <w:color w:val="000000"/>
          <w:sz w:val="20"/>
          <w:szCs w:val="21"/>
          <w:u w:val="single"/>
        </w:rPr>
        <w:t xml:space="preserve">由。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（固定格式文本）被请求人是否有其他证据证明不侵权，说明理由。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（固定格式文本）请请求人提交证据，并说明证据来源、要证明的事实与理由。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（固定格式文本）被请求人对请求人提交的证据是否有异议，并说明理由。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（固定格式文本）请被请求人提交证据，并说明证据来源、要证明的事实与理由。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（固定格式文本）请求人对被请求人提交的证据是否有异议，并说明理由。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（固定格式文本）请问请求人对我们办案人员调查笔录内容及取得的证据有无异议？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（固定格式文本）请问被请求人对我们</w:t>
      </w:r>
      <w:r>
        <w:rPr>
          <w:rFonts w:ascii="仿宋_GB2312" w:eastAsia="仿宋_GB2312" w:hAnsi="仿宋" w:cs="宋体" w:hint="eastAsia"/>
          <w:color w:val="000000"/>
          <w:sz w:val="20"/>
          <w:szCs w:val="21"/>
          <w:u w:val="single"/>
        </w:rPr>
        <w:t>办案人员</w:t>
      </w:r>
      <w:r>
        <w:rPr>
          <w:rFonts w:ascii="仿宋" w:eastAsia="仿宋_GB2312" w:hAnsi="仿宋" w:cs="宋体" w:hint="eastAsia"/>
          <w:color w:val="000000"/>
          <w:sz w:val="20"/>
          <w:szCs w:val="21"/>
          <w:u w:val="single"/>
        </w:rPr>
        <w:t>调查笔录内容及取得的证据有无异议？</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（固定格式与实际情况记录相结合文本）根据案件的情况，我们将请求人保护的权利要求×分成×个技术特征与被请求人的涉案产品进行对比，现在由请求人说明自己的观点。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固定格式文本）现在由被请求人说明自己的观点。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（固定格式文本）休庭10分钟。                                                    </w:t>
      </w:r>
    </w:p>
    <w:p w:rsidR="00800760" w:rsidRDefault="00235733">
      <w:pPr>
        <w:ind w:firstLineChars="0" w:firstLine="0"/>
        <w:outlineLvl w:val="0"/>
        <w:rPr>
          <w:rFonts w:ascii="仿宋" w:eastAsia="仿宋_GB2312" w:hAnsi="仿宋" w:cs="宋体"/>
          <w:color w:val="000000"/>
          <w:sz w:val="20"/>
          <w:szCs w:val="21"/>
          <w:u w:val="single"/>
        </w:rPr>
      </w:pPr>
      <w:bookmarkStart w:id="9383" w:name="_Toc229225683"/>
      <w:r>
        <w:rPr>
          <w:rFonts w:ascii="仿宋" w:eastAsia="仿宋_GB2312" w:hAnsi="仿宋" w:cs="宋体" w:hint="eastAsia"/>
          <w:color w:val="000000"/>
          <w:sz w:val="20"/>
          <w:szCs w:val="21"/>
          <w:u w:val="single"/>
        </w:rPr>
        <w:t>（说明：休庭的主要目的是合议组研究确认本案焦点，也可以不休庭直接确认本案焦点）</w:t>
      </w:r>
      <w:bookmarkEnd w:id="9383"/>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（固定格式与实际情况记录相结合文本）围绕刚才请求人与被请求人分别作的对比分析和提供的证据及其质证，其中双方当事人都认同其中的×个技术特征相同，本合议组认为：本案争论的焦</w:t>
      </w:r>
      <w:r>
        <w:rPr>
          <w:rFonts w:ascii="仿宋_GB2312" w:eastAsia="仿宋_GB2312" w:hAnsi="仿宋" w:cs="宋体" w:hint="eastAsia"/>
          <w:color w:val="000000"/>
          <w:sz w:val="20"/>
          <w:szCs w:val="21"/>
          <w:u w:val="single"/>
        </w:rPr>
        <w:t xml:space="preserve">点为（具体内容略），请求人是否有异议？有异议请说明理由。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（实际情况记录文本）没有异议。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固定格式文本）被请求人是否有异议？有异议请说明理由。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实际情况记录文本）没有异议。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（固定格式与实际情况记录相结合文本）现在，由当事人双方围绕本案争论焦点×××进行辩论，现在由请求人发言。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（固定格式文本）现在由被请求人发言。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 w:eastAsia="仿宋_GB2312" w:hAnsi="仿宋" w:cs="宋体" w:hint="eastAsia"/>
          <w:color w:val="000000"/>
          <w:sz w:val="20"/>
          <w:szCs w:val="21"/>
          <w:u w:val="single"/>
        </w:rPr>
        <w:t>（固定格式文本）刚才请求人和被请求人就自己的论点分别作了举证阐述，双方当事人还有其他要补充的证据或者意见吗？（就请求人或被请求人的举证观点进行再次确认）</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（固定格式文本）先由请求人作最后意见陈述。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（固定格式文本）由被请求人作最后意见陈述。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（固定格式文本）请问双方当事人是否同意调解？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请：</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被：</w:t>
      </w:r>
      <w:r>
        <w:rPr>
          <w:rFonts w:ascii="仿宋" w:eastAsia="仿宋_GB2312" w:hAnsi="仿宋" w:cs="宋体" w:hint="eastAsia"/>
          <w:color w:val="000000"/>
          <w:sz w:val="20"/>
          <w:szCs w:val="21"/>
          <w:u w:val="single"/>
        </w:rPr>
        <w:t>（</w:t>
      </w:r>
      <w:r>
        <w:rPr>
          <w:rFonts w:ascii="仿宋_GB2312" w:eastAsia="仿宋_GB2312" w:hAnsi="仿宋" w:cs="宋体" w:hint="eastAsia"/>
          <w:color w:val="000000"/>
          <w:sz w:val="20"/>
          <w:szCs w:val="21"/>
          <w:u w:val="single"/>
        </w:rPr>
        <w:t xml:space="preserve">实际情况记录文本）（内容略）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审：</w:t>
      </w:r>
      <w:r>
        <w:rPr>
          <w:rFonts w:ascii="仿宋_GB2312" w:eastAsia="仿宋_GB2312" w:hAnsi="仿宋" w:cs="宋体" w:hint="eastAsia"/>
          <w:color w:val="000000"/>
          <w:sz w:val="20"/>
          <w:szCs w:val="21"/>
          <w:u w:val="single"/>
        </w:rPr>
        <w:t xml:space="preserve">（固定格式文本）庭审结束，请双方当事人在认真阅读审理笔录无误后签字确认。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（双方当事人看后无异议，请抄写：上述内容已阅，与我所述内容一致。）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（抄写处）</w:t>
      </w:r>
      <w:r>
        <w:rPr>
          <w:rFonts w:ascii="华文行楷" w:eastAsia="华文行楷" w:hAnsi="仿宋" w:cs="宋体" w:hint="eastAsia"/>
          <w:color w:val="000000"/>
          <w:sz w:val="20"/>
          <w:szCs w:val="21"/>
          <w:u w:val="single"/>
        </w:rPr>
        <w:t>上述内容已阅，与我所述内容一致。</w:t>
      </w: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 xml:space="preserve">                                         </w:t>
      </w:r>
    </w:p>
    <w:p w:rsidR="00800760" w:rsidRDefault="00235733">
      <w:pPr>
        <w:ind w:firstLineChars="0" w:firstLine="0"/>
        <w:jc w:val="right"/>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请求人（签字）：</w:t>
      </w:r>
      <w:r>
        <w:rPr>
          <w:rFonts w:ascii="Ink Free" w:eastAsia="华文行楷" w:hAnsi="Ink Free" w:cs="宋体"/>
          <w:b/>
          <w:color w:val="000000"/>
          <w:sz w:val="20"/>
          <w:szCs w:val="21"/>
          <w:u w:val="single"/>
        </w:rPr>
        <w:t>A</w:t>
      </w:r>
      <w:r>
        <w:rPr>
          <w:rFonts w:ascii="华文行楷" w:eastAsia="华文行楷" w:hAnsi="仿宋" w:cs="宋体" w:hint="eastAsia"/>
          <w:color w:val="000000"/>
          <w:sz w:val="20"/>
          <w:szCs w:val="21"/>
          <w:u w:val="single"/>
        </w:rPr>
        <w:t>公司</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jc w:val="right"/>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请求人代理人（签字）：</w:t>
      </w:r>
      <w:r>
        <w:rPr>
          <w:rFonts w:ascii="仿宋" w:eastAsia="仿宋_GB2312" w:hAnsi="仿宋" w:cs="宋体" w:hint="eastAsia"/>
          <w:color w:val="000000"/>
          <w:sz w:val="20"/>
          <w:szCs w:val="21"/>
          <w:u w:val="single"/>
        </w:rPr>
        <w:t xml:space="preserve"> </w:t>
      </w:r>
      <w:r>
        <w:rPr>
          <w:rFonts w:ascii="Ink Free" w:eastAsia="华文行楷" w:hAnsi="Ink Free" w:cs="宋体"/>
          <w:b/>
          <w:color w:val="000000"/>
          <w:sz w:val="20"/>
          <w:szCs w:val="21"/>
          <w:u w:val="single"/>
        </w:rPr>
        <w:t>C</w:t>
      </w:r>
      <w:r>
        <w:rPr>
          <w:rFonts w:ascii="华文行楷" w:eastAsia="华文行楷" w:hAnsi="仿宋" w:cs="宋体" w:hint="eastAsia"/>
          <w:color w:val="000000"/>
          <w:sz w:val="20"/>
          <w:szCs w:val="21"/>
          <w:u w:val="single"/>
        </w:rPr>
        <w:t>某</w:t>
      </w: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（抄写处）</w:t>
      </w:r>
      <w:r>
        <w:rPr>
          <w:rFonts w:ascii="华文行楷" w:eastAsia="华文行楷" w:hAnsi="仿宋" w:cs="宋体" w:hint="eastAsia"/>
          <w:color w:val="000000"/>
          <w:sz w:val="20"/>
          <w:szCs w:val="21"/>
          <w:u w:val="single"/>
        </w:rPr>
        <w:t>上述内容已阅，与我所述内容一致。</w:t>
      </w: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被请求人（签字）：</w:t>
      </w:r>
      <w:r>
        <w:rPr>
          <w:rFonts w:ascii="华文行楷" w:eastAsia="华文行楷" w:hAnsi="仿宋" w:cs="宋体" w:hint="eastAsia"/>
          <w:color w:val="000000"/>
          <w:sz w:val="20"/>
          <w:szCs w:val="21"/>
          <w:u w:val="single"/>
        </w:rPr>
        <w:t>B公司</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被请求人代理人（签字）：</w:t>
      </w:r>
      <w:r>
        <w:rPr>
          <w:rFonts w:ascii="仿宋" w:eastAsia="仿宋_GB2312" w:hAnsi="仿宋" w:cs="宋体" w:hint="eastAsia"/>
          <w:color w:val="000000"/>
          <w:sz w:val="20"/>
          <w:szCs w:val="21"/>
          <w:u w:val="single"/>
        </w:rPr>
        <w:t xml:space="preserve"> </w:t>
      </w:r>
      <w:r>
        <w:rPr>
          <w:rFonts w:ascii="华文行楷" w:eastAsia="华文行楷" w:hAnsi="仿宋" w:cs="宋体" w:hint="eastAsia"/>
          <w:color w:val="000000"/>
          <w:sz w:val="20"/>
          <w:szCs w:val="21"/>
          <w:u w:val="single"/>
        </w:rPr>
        <w:t>D某</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合议组成员（签字）：</w:t>
      </w:r>
      <w:r>
        <w:rPr>
          <w:rFonts w:ascii="华文行楷" w:eastAsia="华文行楷" w:hAnsi="仿宋" w:cs="宋体" w:hint="eastAsia"/>
          <w:color w:val="000000"/>
          <w:sz w:val="20"/>
          <w:szCs w:val="21"/>
          <w:u w:val="single"/>
        </w:rPr>
        <w:t>办案人员甲</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jc w:val="right"/>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r>
        <w:rPr>
          <w:rFonts w:ascii="华文行楷" w:eastAsia="华文行楷" w:hAnsi="仿宋" w:cs="宋体" w:hint="eastAsia"/>
          <w:color w:val="000000"/>
          <w:sz w:val="20"/>
          <w:szCs w:val="21"/>
          <w:u w:val="single"/>
        </w:rPr>
        <w:t>办案人员乙</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jc w:val="right"/>
        <w:rPr>
          <w:rFonts w:ascii="仿宋_GB2312" w:eastAsia="仿宋_GB2312" w:hAnsi="宋体" w:cs="宋体"/>
          <w:color w:val="000000"/>
          <w:sz w:val="20"/>
          <w:szCs w:val="21"/>
        </w:rPr>
      </w:pPr>
      <w:r>
        <w:rPr>
          <w:rFonts w:ascii="仿宋_GB2312" w:eastAsia="仿宋_GB2312" w:hAnsi="仿宋" w:cs="宋体" w:hint="eastAsia"/>
          <w:color w:val="000000"/>
          <w:sz w:val="20"/>
          <w:szCs w:val="21"/>
          <w:u w:val="single"/>
        </w:rPr>
        <w:t xml:space="preserve">                                                </w:t>
      </w:r>
      <w:r>
        <w:rPr>
          <w:rFonts w:ascii="华文行楷" w:eastAsia="华文行楷" w:hAnsi="仿宋" w:cs="宋体" w:hint="eastAsia"/>
          <w:color w:val="000000"/>
          <w:sz w:val="20"/>
          <w:szCs w:val="21"/>
          <w:u w:val="single"/>
        </w:rPr>
        <w:t>办案人员丙</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spacing w:line="660" w:lineRule="exact"/>
        <w:ind w:firstLineChars="0" w:firstLine="0"/>
        <w:jc w:val="center"/>
        <w:rPr>
          <w:rFonts w:ascii="方正小标宋简体" w:eastAsia="方正小标宋简体" w:hAnsi="宋体"/>
          <w:color w:val="000000"/>
          <w:spacing w:val="6"/>
          <w:sz w:val="36"/>
          <w:szCs w:val="36"/>
        </w:rPr>
      </w:pPr>
      <w:r>
        <w:rPr>
          <w:rFonts w:ascii="仿宋" w:eastAsia="仿宋_GB2312" w:hAnsi="仿宋" w:cs="宋体"/>
          <w:color w:val="000000"/>
          <w:sz w:val="32"/>
          <w:szCs w:val="32"/>
        </w:rPr>
        <w:br w:type="page"/>
      </w:r>
      <w:r>
        <w:rPr>
          <w:rFonts w:ascii="方正小标宋简体" w:eastAsia="方正小标宋简体" w:hAnsi="宋体" w:hint="eastAsia"/>
          <w:color w:val="000000"/>
          <w:spacing w:val="6"/>
          <w:sz w:val="36"/>
          <w:szCs w:val="36"/>
        </w:rPr>
        <w:t>重大专利侵权纠纷行政裁决审理笔录</w:t>
      </w:r>
    </w:p>
    <w:p w:rsidR="00800760" w:rsidRDefault="00235733">
      <w:pPr>
        <w:spacing w:line="360" w:lineRule="auto"/>
        <w:ind w:firstLineChars="0" w:firstLine="0"/>
        <w:jc w:val="center"/>
        <w:rPr>
          <w:rFonts w:ascii="仿宋_GB2312" w:eastAsia="仿宋_GB2312" w:hAnsi="仿宋"/>
          <w:color w:val="000000"/>
          <w:sz w:val="20"/>
          <w:szCs w:val="21"/>
        </w:rPr>
      </w:pPr>
      <w:r>
        <w:rPr>
          <w:rFonts w:ascii="仿宋_GB2312" w:eastAsia="仿宋_GB2312" w:hAnsi="仿宋" w:hint="eastAsia"/>
          <w:color w:val="000000"/>
          <w:sz w:val="20"/>
          <w:szCs w:val="21"/>
        </w:rPr>
        <w:t xml:space="preserve">                                             案号：国知保裁字〔20××〕×号</w:t>
      </w:r>
    </w:p>
    <w:p w:rsidR="00800760" w:rsidRDefault="00800760">
      <w:pPr>
        <w:spacing w:line="360" w:lineRule="auto"/>
        <w:ind w:firstLineChars="0" w:firstLine="0"/>
        <w:rPr>
          <w:rFonts w:ascii="宋体" w:hAnsi="宋体"/>
          <w:color w:val="000000"/>
          <w:sz w:val="20"/>
          <w:szCs w:val="21"/>
        </w:rPr>
      </w:pP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案由：</w:t>
      </w:r>
      <w:r>
        <w:rPr>
          <w:rFonts w:ascii="仿宋_GB2312" w:eastAsia="仿宋_GB2312" w:hAnsi="仿宋" w:hint="eastAsia"/>
          <w:color w:val="000000"/>
          <w:sz w:val="20"/>
          <w:szCs w:val="21"/>
          <w:u w:val="single"/>
        </w:rPr>
        <w:t xml:space="preserve">A公司与B公司间的实用新型专利侵权纠纷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请求人：</w:t>
      </w:r>
      <w:r>
        <w:rPr>
          <w:rFonts w:ascii="仿宋_GB2312" w:eastAsia="仿宋_GB2312" w:hAnsi="仿宋" w:hint="eastAsia"/>
          <w:color w:val="000000"/>
          <w:sz w:val="20"/>
          <w:szCs w:val="21"/>
          <w:u w:val="single"/>
        </w:rPr>
        <w:t xml:space="preserve">A公司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请求人代理人：</w:t>
      </w:r>
      <w:r>
        <w:rPr>
          <w:rFonts w:ascii="仿宋_GB2312" w:eastAsia="仿宋_GB2312" w:hAnsi="仿宋" w:hint="eastAsia"/>
          <w:color w:val="000000"/>
          <w:sz w:val="20"/>
          <w:szCs w:val="21"/>
          <w:u w:val="single"/>
        </w:rPr>
        <w:t xml:space="preserve">C某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被请求人：</w:t>
      </w:r>
      <w:r>
        <w:rPr>
          <w:rFonts w:ascii="仿宋_GB2312" w:eastAsia="仿宋_GB2312" w:hAnsi="仿宋" w:hint="eastAsia"/>
          <w:color w:val="000000"/>
          <w:sz w:val="20"/>
          <w:szCs w:val="21"/>
          <w:u w:val="single"/>
        </w:rPr>
        <w:t xml:space="preserve">B公司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被请求人代理人：</w:t>
      </w:r>
      <w:r>
        <w:rPr>
          <w:rFonts w:ascii="仿宋_GB2312" w:eastAsia="仿宋_GB2312" w:hAnsi="仿宋" w:hint="eastAsia"/>
          <w:color w:val="000000"/>
          <w:sz w:val="20"/>
          <w:szCs w:val="21"/>
          <w:u w:val="single"/>
        </w:rPr>
        <w:t xml:space="preserve">D某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审理时间：</w:t>
      </w:r>
      <w:r>
        <w:rPr>
          <w:rFonts w:ascii="仿宋_GB2312" w:eastAsia="仿宋_GB2312" w:hAnsi="仿宋" w:hint="eastAsia"/>
          <w:color w:val="000000"/>
          <w:sz w:val="20"/>
          <w:szCs w:val="21"/>
          <w:u w:val="single"/>
        </w:rPr>
        <w:t xml:space="preserve">20××年××月××日××时××分至××时××分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审理地点：</w:t>
      </w:r>
      <w:r>
        <w:rPr>
          <w:rFonts w:ascii="仿宋_GB2312" w:eastAsia="仿宋_GB2312" w:hAnsi="仿宋" w:hint="eastAsia"/>
          <w:color w:val="000000"/>
          <w:sz w:val="20"/>
          <w:szCs w:val="21"/>
          <w:u w:val="single"/>
        </w:rPr>
        <w:t xml:space="preserve">×××    审理庭                                                        </w:t>
      </w:r>
    </w:p>
    <w:p w:rsidR="00800760" w:rsidRDefault="00235733">
      <w:pPr>
        <w:spacing w:line="360" w:lineRule="auto"/>
        <w:ind w:firstLineChars="0" w:firstLine="0"/>
        <w:rPr>
          <w:rFonts w:ascii="仿宋" w:eastAsia="仿宋_GB2312" w:hAnsi="仿宋"/>
          <w:color w:val="000000"/>
          <w:sz w:val="20"/>
          <w:szCs w:val="21"/>
          <w:u w:val="single"/>
        </w:rPr>
      </w:pPr>
      <w:r>
        <w:rPr>
          <w:rFonts w:ascii="黑体" w:eastAsia="黑体" w:hAnsi="黑体" w:hint="eastAsia"/>
          <w:color w:val="000000"/>
          <w:sz w:val="20"/>
          <w:szCs w:val="21"/>
          <w:u w:val="single"/>
        </w:rPr>
        <w:t>主持人：</w:t>
      </w:r>
      <w:r>
        <w:rPr>
          <w:rFonts w:ascii="仿宋_GB2312" w:eastAsia="仿宋_GB2312" w:hAnsi="仿宋" w:hint="eastAsia"/>
          <w:color w:val="000000"/>
          <w:sz w:val="20"/>
          <w:szCs w:val="21"/>
          <w:u w:val="single"/>
        </w:rPr>
        <w:t xml:space="preserve">办案人员甲                                                                          </w:t>
      </w:r>
    </w:p>
    <w:p w:rsidR="00800760" w:rsidRDefault="00235733">
      <w:pPr>
        <w:spacing w:line="360" w:lineRule="auto"/>
        <w:ind w:firstLineChars="0" w:firstLine="0"/>
        <w:rPr>
          <w:rFonts w:ascii="仿宋" w:eastAsia="仿宋_GB2312" w:hAnsi="仿宋"/>
          <w:color w:val="000000"/>
          <w:sz w:val="20"/>
          <w:szCs w:val="21"/>
          <w:u w:val="single"/>
        </w:rPr>
      </w:pPr>
      <w:r>
        <w:rPr>
          <w:rFonts w:ascii="黑体" w:eastAsia="黑体" w:hAnsi="黑体" w:hint="eastAsia"/>
          <w:color w:val="000000"/>
          <w:sz w:val="20"/>
          <w:szCs w:val="21"/>
          <w:u w:val="single"/>
        </w:rPr>
        <w:t>审理人员：</w:t>
      </w:r>
      <w:r>
        <w:rPr>
          <w:rFonts w:ascii="仿宋_GB2312" w:eastAsia="仿宋_GB2312" w:hAnsi="仿宋" w:hint="eastAsia"/>
          <w:color w:val="000000"/>
          <w:sz w:val="20"/>
          <w:szCs w:val="21"/>
          <w:u w:val="single"/>
        </w:rPr>
        <w:t xml:space="preserve">办案人员甲  办案人员乙  办案人员丙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书记员：</w:t>
      </w:r>
      <w:r>
        <w:rPr>
          <w:rFonts w:ascii="仿宋_GB2312" w:eastAsia="仿宋_GB2312" w:hAnsi="仿宋" w:hint="eastAsia"/>
          <w:color w:val="000000"/>
          <w:sz w:val="20"/>
          <w:szCs w:val="21"/>
          <w:u w:val="single"/>
        </w:rPr>
        <w:t xml:space="preserve">办案人员丁                                                                          </w:t>
      </w:r>
    </w:p>
    <w:p w:rsidR="00800760" w:rsidRDefault="00235733">
      <w:pPr>
        <w:spacing w:line="360" w:lineRule="auto"/>
        <w:ind w:firstLineChars="0" w:firstLine="0"/>
        <w:rPr>
          <w:rFonts w:ascii="仿宋" w:eastAsia="仿宋_GB2312" w:hAnsi="仿宋"/>
          <w:color w:val="000000"/>
          <w:sz w:val="20"/>
          <w:szCs w:val="21"/>
          <w:u w:val="single"/>
        </w:rPr>
      </w:pPr>
      <w:r>
        <w:rPr>
          <w:rFonts w:ascii="黑体" w:eastAsia="黑体" w:hAnsi="黑体" w:hint="eastAsia"/>
          <w:color w:val="000000"/>
          <w:sz w:val="20"/>
          <w:szCs w:val="21"/>
          <w:u w:val="single"/>
        </w:rPr>
        <w:t>审理记录：</w:t>
      </w:r>
      <w:r>
        <w:rPr>
          <w:rFonts w:ascii="仿宋" w:eastAsia="仿宋_GB2312" w:hAnsi="仿宋" w:hint="eastAsia"/>
          <w:color w:val="000000"/>
          <w:sz w:val="20"/>
          <w:szCs w:val="21"/>
          <w:u w:val="single"/>
        </w:rPr>
        <w:t>（以下笔录中合议组长简称“审”，请求人简称“请”，被请求人简称“被”）</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固定格式与实际情况记录相结合文本</w:t>
      </w:r>
      <w:r>
        <w:rPr>
          <w:rFonts w:ascii="仿宋_GB2312" w:eastAsia="仿宋_GB2312" w:hAnsi="仿宋" w:hint="eastAsia"/>
          <w:color w:val="000000"/>
          <w:sz w:val="20"/>
          <w:szCs w:val="21"/>
          <w:u w:val="single"/>
        </w:rPr>
        <w:t>）根据</w:t>
      </w:r>
      <w:r>
        <w:rPr>
          <w:rFonts w:ascii="仿宋" w:eastAsia="仿宋_GB2312" w:hAnsi="仿宋" w:cs="宋体" w:hint="eastAsia"/>
          <w:color w:val="000000"/>
          <w:sz w:val="20"/>
          <w:szCs w:val="21"/>
          <w:u w:val="single"/>
        </w:rPr>
        <w:t>《</w:t>
      </w:r>
      <w:r>
        <w:rPr>
          <w:rFonts w:ascii="仿宋_GB2312" w:eastAsia="仿宋_GB2312" w:hAnsi="仿宋" w:cs="宋体"/>
          <w:color w:val="000000"/>
          <w:sz w:val="20"/>
          <w:szCs w:val="21"/>
          <w:u w:val="single"/>
        </w:rPr>
        <w:t>专利纠纷行政裁决和调解办法</w:t>
      </w:r>
      <w:r>
        <w:rPr>
          <w:rFonts w:ascii="仿宋" w:eastAsia="仿宋_GB2312" w:hAnsi="仿宋" w:cs="宋体" w:hint="eastAsia"/>
          <w:color w:val="000000"/>
          <w:sz w:val="20"/>
          <w:szCs w:val="21"/>
          <w:u w:val="single"/>
        </w:rPr>
        <w:t>》第二十六条</w:t>
      </w:r>
      <w:r>
        <w:rPr>
          <w:rFonts w:ascii="仿宋_GB2312" w:eastAsia="仿宋_GB2312" w:hAnsi="仿宋" w:hint="eastAsia"/>
          <w:color w:val="000000"/>
          <w:sz w:val="20"/>
          <w:szCs w:val="21"/>
          <w:u w:val="single"/>
        </w:rPr>
        <w:t>的规</w:t>
      </w:r>
      <w:r>
        <w:rPr>
          <w:rFonts w:ascii="仿宋" w:eastAsia="仿宋_GB2312" w:hAnsi="仿宋" w:hint="eastAsia"/>
          <w:color w:val="000000"/>
          <w:sz w:val="20"/>
          <w:szCs w:val="21"/>
          <w:u w:val="single"/>
        </w:rPr>
        <w:t>定，国家</w:t>
      </w:r>
      <w:r>
        <w:rPr>
          <w:rFonts w:ascii="仿宋_GB2312" w:eastAsia="仿宋_GB2312" w:hAnsi="仿宋" w:hint="eastAsia"/>
          <w:color w:val="000000"/>
          <w:sz w:val="20"/>
          <w:szCs w:val="21"/>
          <w:u w:val="single"/>
        </w:rPr>
        <w:t xml:space="preserve">知识产权局决定今天在这里就A公司与B公司之间的专利名称为“××××××”(专利号：ZL.×××××××××××.×)的专利侵权纠纷案进行审理，现在开庭。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首先，核实参加审理的当事人的身份。 请求人是否到场？请向合议组报告你的姓名，并出示有效身份证件。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请求人：</w:t>
      </w:r>
      <w:r>
        <w:rPr>
          <w:rFonts w:ascii="仿宋_GB2312" w:eastAsia="仿宋_GB2312" w:hAnsi="仿宋" w:hint="eastAsia"/>
          <w:color w:val="000000"/>
          <w:sz w:val="20"/>
          <w:szCs w:val="21"/>
          <w:u w:val="single"/>
        </w:rPr>
        <w:t xml:space="preserve">（实际情况记录文本）A公司。（请求人为个人的记录姓名、身份证号等）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（固定格式文本）请求人是否委托代理人？代理人是否到庭？请依次向合议组报告各自的姓名、工作单位、职务、代理权限，并出示有效身份证件及授权委托书。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（实际情况记录文本）委托代理人C某，身份证号:（略）在A公司任技术经理，现住××省××市××街××号，代理权限见委托书。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（固定格式文本）被请求人是否到场？请向合议组报告你的姓名、职务并出示有效身份证件。</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被请求人：</w:t>
      </w:r>
      <w:r>
        <w:rPr>
          <w:rFonts w:ascii="仿宋_GB2312" w:eastAsia="仿宋_GB2312" w:hAnsi="仿宋" w:hint="eastAsia"/>
          <w:color w:val="000000"/>
          <w:sz w:val="20"/>
          <w:szCs w:val="21"/>
          <w:u w:val="single"/>
        </w:rPr>
        <w:t xml:space="preserve">（实际情况记录文本）B公司。（被请求人为个人的应记录姓名、身份证号等）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（固定格式文本）被请求人是否委托代理人？委托代理人是否到庭？请报告你的姓名、工作单位、职务、代理权限，并出示有效身份证件及授权委托书。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（实际情况记录文本）被请求人的委托代理人D某，身份证号:（略），在B公司任技术经理，现住××省××市××街××号，代理权限见委托书。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（固定格式文本）请求人对参加审理的被请求人及其代理人的身份有无异议？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（实际情况记录文本）没有异议。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固定格式文本）被请求人对参加审理的请求人及其代理人的身份有无异议？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（实际情况记录文本）没有异议。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固定格式文本）双方当事人及其代理人符合法律规定，可以参加审理。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现在宣读审理纪律：所有参加人员关闭通信设备;未经允许不得拍照、录音、摄像；不得随意走动，当事人发言应当征得合议组组长同意；旁听者无发言权，不得向参加审理的当事人传递有关信息。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以上庭审纪律请求人是否清楚？</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 w:eastAsia="仿宋_GB2312" w:hAnsi="仿宋" w:hint="eastAsia"/>
          <w:color w:val="000000"/>
          <w:sz w:val="20"/>
          <w:szCs w:val="21"/>
          <w:u w:val="single"/>
        </w:rPr>
        <w:t>（实际情况记录文本）清楚。</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以上庭审纪律被请求人是否清楚？</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（实际情况记录文本）清楚。</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现在宣布当事人的权利：1.当事人有权请求合议组成员及其书记员回避；2.双方当事人有权进行和解；3.当事人有权请求出具过证言的证人就其证言出庭作证，并请求实物演示；4.当事人有权进行辩论；5.请求人有权撤回请求。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现在宣布当事人的义务：1.应当遵守审理纪律，维护审理的秩序；2.发言应当征得合议组组长同意，任何一方当事人不得打断另一方当事人的发言；3.辩论中应当摆事实、讲道理；4.发言和辩论仅限于合议组指定的与审理案件有关的范围；5.当事人对自己提出的主张有举证责任，反驳对方主张的，应当说明理由；6.审理期间，未经合议组许可不得中途退庭，请求人中途退庭的，按撤回请求处理；被请求人中途退庭的，合议组可以缺席审理。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请求人是否清楚？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实际情况记录文本）清楚。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固定格式文本）被请求人是否清楚？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（实际情况记录文本）清楚。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（固定格式与实际情况记录相结合文本）本案由我局的办案人员甲、办案人员乙、办案人员丙三人组成合议组，办案人员丁负责记录。根据</w:t>
      </w:r>
      <w:r>
        <w:rPr>
          <w:rFonts w:ascii="仿宋" w:eastAsia="仿宋_GB2312" w:hAnsi="仿宋" w:cs="宋体" w:hint="eastAsia"/>
          <w:color w:val="000000"/>
          <w:sz w:val="20"/>
          <w:szCs w:val="21"/>
          <w:u w:val="single"/>
        </w:rPr>
        <w:t>《</w:t>
      </w:r>
      <w:r>
        <w:rPr>
          <w:rFonts w:ascii="仿宋_GB2312" w:eastAsia="仿宋_GB2312" w:hAnsi="仿宋" w:cs="宋体"/>
          <w:color w:val="000000"/>
          <w:sz w:val="20"/>
          <w:szCs w:val="21"/>
          <w:u w:val="single"/>
        </w:rPr>
        <w:t>专利纠纷行政裁决和调解办法</w:t>
      </w:r>
      <w:r>
        <w:rPr>
          <w:rFonts w:ascii="仿宋" w:eastAsia="仿宋_GB2312" w:hAnsi="仿宋" w:cs="宋体" w:hint="eastAsia"/>
          <w:color w:val="000000"/>
          <w:sz w:val="20"/>
          <w:szCs w:val="21"/>
          <w:u w:val="single"/>
        </w:rPr>
        <w:t>》第五条的</w:t>
      </w:r>
      <w:r>
        <w:rPr>
          <w:rFonts w:ascii="仿宋" w:eastAsia="仿宋_GB2312" w:hAnsi="仿宋" w:hint="eastAsia"/>
          <w:color w:val="000000"/>
          <w:sz w:val="20"/>
          <w:szCs w:val="21"/>
          <w:u w:val="single"/>
        </w:rPr>
        <w:t>规定，双方当事人对合议组组成人员有权提出回避申请。如申请，请说明理由。请求人是否申请回避？若申请请说明理由。</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（实际情况记录文本）不申请。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固定格式文本）被请求人？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（实际情况记录文本）不申请。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（固定格式文本）现在由请求人简要陈述其请求事项、事实理由和法律依据。</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（实际情况记录文本）详细内容见请求书（略）。我们以权利要求×主张自己的权利。      </w:t>
      </w:r>
    </w:p>
    <w:p w:rsidR="00800760" w:rsidRDefault="00235733">
      <w:pPr>
        <w:spacing w:line="360" w:lineRule="auto"/>
        <w:ind w:firstLineChars="0" w:firstLine="0"/>
        <w:rPr>
          <w:rFonts w:ascii="仿宋" w:eastAsia="仿宋_GB2312" w:hAnsi="仿宋"/>
          <w:color w:val="000000"/>
          <w:sz w:val="20"/>
          <w:szCs w:val="21"/>
          <w:u w:val="single"/>
        </w:rPr>
      </w:pPr>
      <w:r>
        <w:rPr>
          <w:rFonts w:ascii="仿宋_GB2312" w:eastAsia="仿宋_GB2312" w:hAnsi="仿宋" w:hint="eastAsia"/>
          <w:color w:val="000000"/>
          <w:sz w:val="20"/>
          <w:szCs w:val="21"/>
          <w:u w:val="single"/>
        </w:rPr>
        <w:t xml:space="preserve">（说明：一般情况下，主持人要引导请求人以递交的请求书内容为主进行陈述，便于书记员记录）               </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（固定格式文本）被请求人答辩，对请求人的请求是否提出异议，讲明具体事实和理由，并简要陈述证据。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（实际情况记录文本）详细内容见答辩书（略）。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（说明：一般情况下，主持人要引导被请求人以递交的答辩书内容为主进行陈述，便于书记员记录）</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（固定格式文本）现在由请求人陈述你（公司）的专利是何时申请、何时授权、目前法律状态、专利保护范围等专利基本情况。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（实际情况记录文本）我们的专利是××××年××月××日申请，××××年××月××日授权，目前的法律状态为有效专利，专利保护范围（略）。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（固定格式文本）现在由请求人陈述你（公司）是在何时何地发现被请求人实施涉嫌专利侵权行为。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 w:eastAsia="仿宋_GB2312" w:hAnsi="仿宋" w:hint="eastAsia"/>
          <w:color w:val="000000"/>
          <w:sz w:val="20"/>
          <w:szCs w:val="21"/>
          <w:u w:val="single"/>
        </w:rPr>
        <w:t>（实际情况记录文本）</w:t>
      </w:r>
      <w:r>
        <w:rPr>
          <w:rFonts w:ascii="仿宋" w:eastAsia="仿宋_GB2312" w:hAnsi="仿宋" w:hint="eastAsia"/>
          <w:color w:val="000000"/>
          <w:sz w:val="20"/>
          <w:szCs w:val="21"/>
          <w:u w:val="single"/>
        </w:rPr>
        <w:t>20</w:t>
      </w:r>
      <w:r>
        <w:rPr>
          <w:rFonts w:ascii="仿宋" w:eastAsia="仿宋_GB2312" w:hAnsi="仿宋" w:hint="eastAsia"/>
          <w:color w:val="000000"/>
          <w:sz w:val="20"/>
          <w:szCs w:val="21"/>
          <w:u w:val="single"/>
        </w:rPr>
        <w:t>××年××月××日在××市××企业的车间里发现的。</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（固定格式文本）现在由请求人对被控产品是否落入涉案专利权的保护范围，进行对比分析。</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现在由被请求人陈述你的姓名或公司名称、成立时间、电话、住址、经营范围等基本情况。</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（实际情况记录文本）公司名称为B公司，成立于××××年××月××日，联系电话：××××××××，位于××省××市××街××号，主要经营×××××。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（固定格式文本）请问被请求人，我们的调查笔录上签字的人员与你（公司）是何种关系？</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（实际情况记录文本）是我公司的生产车间主任。</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（固定格式文本）请问被请求人，请求人刚才提供的被控产品（样品、照片等）是否由你（公司）生产（使用、销售）的？</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（实际情况记录文本）是。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（固定格式文本）请问被请求人是何时开始制造（使用、销售）的？以及生产数量、库存数</w:t>
      </w:r>
      <w:r>
        <w:rPr>
          <w:rFonts w:ascii="仿宋_GB2312" w:eastAsia="仿宋_GB2312" w:hAnsi="仿宋" w:hint="eastAsia"/>
          <w:color w:val="000000"/>
          <w:sz w:val="20"/>
          <w:szCs w:val="21"/>
          <w:u w:val="single"/>
        </w:rPr>
        <w:t xml:space="preserve">量、研发（生产）成本（进货价格）及销售的情况？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（固定格式文本）请问被请求人制造该产品模具数量、时间，货物首次上市时间、存放地点？</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（固定格式文本）请被请求人对其产品是否落入涉案专利权保护范围行对比分析，并说明理</w:t>
      </w:r>
      <w:r>
        <w:rPr>
          <w:rFonts w:ascii="仿宋_GB2312" w:eastAsia="仿宋_GB2312" w:hAnsi="仿宋" w:hint="eastAsia"/>
          <w:color w:val="000000"/>
          <w:sz w:val="20"/>
          <w:szCs w:val="21"/>
          <w:u w:val="single"/>
        </w:rPr>
        <w:t xml:space="preserve">由。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（固定格式文本）被请求人是否有其他证据证明不侵权，说明理由。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（固定格式文本）请请求人提交证据，并说明证据来源、要证明的事实与理由。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（固定格式文本）被请求人对请求人提交的证据是否有异议，并说明理由。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（固定格式文本）请被请求人提交证据，并说明证据来源、要证明的事实与理由。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（固定格式文本）请求人对被请求人提交的证据是否有异议，并说明理由。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（固定格式文本）请问请求人对我们办案人员调查笔录内容及取得的证据有无异议？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（固定格式文本）请问被请求人对我们办案人员调查笔录内容及取得的证据有无异议？</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（固定格式与实际情况记录相结合文本）根据案件的情况，我们将请求人保护的权利要求×分成×个技术特征与被请求人的涉案产品进行对比，现在由请求人说明自己的观点。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固定格式文本）现在由被请求人说明自己的观点。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（固定格式文本）休庭10分钟。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（说明：休庭的主要目的是合议组研究确认本案焦点，也可以不休庭直接确认本案焦点）</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（固定格式与实际情况记录相结合文本）围绕刚才请求人与被请求人分别作的对比分析和提供的证据及其质证，其中双方当事人都认同其中的×个技术特征相同，本合议组认为：本案争论的焦</w:t>
      </w:r>
      <w:r>
        <w:rPr>
          <w:rFonts w:ascii="仿宋_GB2312" w:eastAsia="仿宋_GB2312" w:hAnsi="仿宋" w:hint="eastAsia"/>
          <w:color w:val="000000"/>
          <w:sz w:val="20"/>
          <w:szCs w:val="21"/>
          <w:u w:val="single"/>
        </w:rPr>
        <w:t xml:space="preserve">点为（具体内容略），请求人是否有异议？有异议请说明理由。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（实际情况记录文本）没有异议。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固定格式文本）被请求人是否有异议？有异议请说明理由。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实际情况记录文本）没有异议。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（固定格式与实际情况记录相结合文本）现在，由当事人双方围绕本案争论焦点×××进行辩论，现在由请求人发言。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（固定格式文本）现在由被请求人发言。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 w:eastAsia="仿宋_GB2312" w:hAnsi="仿宋" w:hint="eastAsia"/>
          <w:color w:val="000000"/>
          <w:sz w:val="20"/>
          <w:szCs w:val="21"/>
          <w:u w:val="single"/>
        </w:rPr>
        <w:t>（固定格式文本）刚才请求人和被请求人就自己的论点分别作了举证阐述，双方当事人还有其他要补充的证据或者意见吗？（就请求人或被请求人的举证观点进行再次确认）</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（固定格式文本）先由请求人作最后意见陈述。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（固定格式文本）由被请求人作最后意见陈述。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（固定格式文本）请问双方当事人是否同意调解？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请：</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被：</w:t>
      </w:r>
      <w:r>
        <w:rPr>
          <w:rFonts w:ascii="仿宋" w:eastAsia="仿宋_GB2312" w:hAnsi="仿宋" w:hint="eastAsia"/>
          <w:color w:val="000000"/>
          <w:sz w:val="20"/>
          <w:szCs w:val="21"/>
          <w:u w:val="single"/>
        </w:rPr>
        <w:t>（</w:t>
      </w:r>
      <w:r>
        <w:rPr>
          <w:rFonts w:ascii="仿宋_GB2312" w:eastAsia="仿宋_GB2312" w:hAnsi="仿宋" w:hint="eastAsia"/>
          <w:color w:val="000000"/>
          <w:sz w:val="20"/>
          <w:szCs w:val="21"/>
          <w:u w:val="single"/>
        </w:rPr>
        <w:t xml:space="preserve">实际情况记录文本）（内容略）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审：</w:t>
      </w:r>
      <w:r>
        <w:rPr>
          <w:rFonts w:ascii="仿宋_GB2312" w:eastAsia="仿宋_GB2312" w:hAnsi="仿宋" w:hint="eastAsia"/>
          <w:color w:val="000000"/>
          <w:sz w:val="20"/>
          <w:szCs w:val="21"/>
          <w:u w:val="single"/>
        </w:rPr>
        <w:t xml:space="preserve">（固定格式文本）庭审结束，请双方当事人在认真阅读审理笔录无误后签字确认。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（双方当事人看后无异议，请抄写：上述内容已阅，与我所述内容一致。）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（抄写处）</w:t>
      </w:r>
      <w:r>
        <w:rPr>
          <w:rFonts w:ascii="华文行楷" w:eastAsia="华文行楷" w:hAnsi="仿宋" w:hint="eastAsia"/>
          <w:color w:val="000000"/>
          <w:sz w:val="20"/>
          <w:szCs w:val="21"/>
          <w:u w:val="single"/>
        </w:rPr>
        <w:t>上述内容已阅，与我所述内容一致。</w:t>
      </w:r>
      <w:r>
        <w:rPr>
          <w:rFonts w:ascii="仿宋" w:eastAsia="仿宋_GB2312" w:hAnsi="仿宋" w:hint="eastAsia"/>
          <w:color w:val="000000"/>
          <w:sz w:val="20"/>
          <w:szCs w:val="21"/>
          <w:u w:val="single"/>
        </w:rPr>
        <w:t xml:space="preserve"> </w:t>
      </w: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请求人（签字）：</w:t>
      </w:r>
      <w:r>
        <w:rPr>
          <w:rFonts w:ascii="Ink Free" w:eastAsia="华文行楷" w:hAnsi="Ink Free"/>
          <w:b/>
          <w:color w:val="000000"/>
          <w:sz w:val="20"/>
          <w:szCs w:val="21"/>
          <w:u w:val="single"/>
        </w:rPr>
        <w:t>A</w:t>
      </w:r>
      <w:r>
        <w:rPr>
          <w:rFonts w:ascii="华文行楷" w:eastAsia="华文行楷" w:hAnsi="仿宋" w:hint="eastAsia"/>
          <w:color w:val="000000"/>
          <w:sz w:val="20"/>
          <w:szCs w:val="21"/>
          <w:u w:val="single"/>
        </w:rPr>
        <w:t>公司</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请求人代理人（签字）：</w:t>
      </w:r>
      <w:r>
        <w:rPr>
          <w:rFonts w:ascii="仿宋" w:eastAsia="仿宋_GB2312" w:hAnsi="仿宋" w:hint="eastAsia"/>
          <w:color w:val="000000"/>
          <w:sz w:val="20"/>
          <w:szCs w:val="21"/>
          <w:u w:val="single"/>
        </w:rPr>
        <w:t xml:space="preserve"> </w:t>
      </w:r>
      <w:r>
        <w:rPr>
          <w:rFonts w:ascii="Ink Free" w:eastAsia="华文行楷" w:hAnsi="Ink Free"/>
          <w:b/>
          <w:color w:val="000000"/>
          <w:sz w:val="20"/>
          <w:szCs w:val="21"/>
          <w:u w:val="single"/>
        </w:rPr>
        <w:t>C</w:t>
      </w:r>
      <w:r>
        <w:rPr>
          <w:rFonts w:ascii="华文行楷" w:eastAsia="华文行楷" w:hAnsi="仿宋" w:hint="eastAsia"/>
          <w:color w:val="000000"/>
          <w:sz w:val="20"/>
          <w:szCs w:val="21"/>
          <w:u w:val="single"/>
        </w:rPr>
        <w:t>某</w:t>
      </w:r>
      <w:r>
        <w:rPr>
          <w:rFonts w:ascii="仿宋" w:eastAsia="仿宋_GB2312" w:hAnsi="仿宋" w:hint="eastAsia"/>
          <w:color w:val="000000"/>
          <w:sz w:val="20"/>
          <w:szCs w:val="21"/>
          <w:u w:val="single"/>
        </w:rPr>
        <w:t xml:space="preserve"> </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（抄写处）</w:t>
      </w:r>
      <w:r>
        <w:rPr>
          <w:rFonts w:ascii="华文行楷" w:eastAsia="华文行楷" w:hAnsi="仿宋" w:hint="eastAsia"/>
          <w:color w:val="000000"/>
          <w:sz w:val="20"/>
          <w:szCs w:val="21"/>
          <w:u w:val="single"/>
        </w:rPr>
        <w:t>上述内容已阅，与我所述内容一致。</w:t>
      </w: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被请求人（签字）：</w:t>
      </w:r>
      <w:r>
        <w:rPr>
          <w:rFonts w:ascii="华文行楷" w:eastAsia="华文行楷" w:hAnsi="仿宋" w:hint="eastAsia"/>
          <w:color w:val="000000"/>
          <w:sz w:val="20"/>
          <w:szCs w:val="21"/>
          <w:u w:val="single"/>
        </w:rPr>
        <w:t>B公司</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被请求人代理人（签字）：</w:t>
      </w:r>
      <w:r>
        <w:rPr>
          <w:rFonts w:ascii="仿宋" w:eastAsia="仿宋_GB2312" w:hAnsi="仿宋" w:hint="eastAsia"/>
          <w:color w:val="000000"/>
          <w:sz w:val="20"/>
          <w:szCs w:val="21"/>
          <w:u w:val="single"/>
        </w:rPr>
        <w:t xml:space="preserve"> </w:t>
      </w:r>
      <w:r>
        <w:rPr>
          <w:rFonts w:ascii="华文行楷" w:eastAsia="华文行楷" w:hAnsi="仿宋" w:hint="eastAsia"/>
          <w:color w:val="000000"/>
          <w:sz w:val="20"/>
          <w:szCs w:val="21"/>
          <w:u w:val="single"/>
        </w:rPr>
        <w:t>D某</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合议组成员（签字）：</w:t>
      </w:r>
      <w:r>
        <w:rPr>
          <w:rFonts w:ascii="华文行楷" w:eastAsia="华文行楷" w:hAnsi="仿宋" w:hint="eastAsia"/>
          <w:color w:val="000000"/>
          <w:sz w:val="20"/>
          <w:szCs w:val="21"/>
          <w:u w:val="single"/>
        </w:rPr>
        <w:t>办案人员甲</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r>
        <w:rPr>
          <w:rFonts w:ascii="华文行楷" w:eastAsia="华文行楷" w:hAnsi="仿宋" w:hint="eastAsia"/>
          <w:color w:val="000000"/>
          <w:sz w:val="20"/>
          <w:szCs w:val="21"/>
          <w:u w:val="single"/>
        </w:rPr>
        <w:t>办案人员乙</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jc w:val="right"/>
        <w:rPr>
          <w:rFonts w:ascii="仿宋_GB2312" w:eastAsia="仿宋_GB2312" w:hAnsi="宋体"/>
          <w:color w:val="000000"/>
          <w:sz w:val="20"/>
          <w:szCs w:val="21"/>
        </w:rPr>
      </w:pPr>
      <w:r>
        <w:rPr>
          <w:rFonts w:ascii="仿宋_GB2312" w:eastAsia="仿宋_GB2312" w:hAnsi="仿宋" w:hint="eastAsia"/>
          <w:color w:val="000000"/>
          <w:sz w:val="20"/>
          <w:szCs w:val="21"/>
          <w:u w:val="single"/>
        </w:rPr>
        <w:t xml:space="preserve">                                              </w:t>
      </w:r>
      <w:r>
        <w:rPr>
          <w:rFonts w:ascii="华文行楷" w:eastAsia="华文行楷" w:hAnsi="仿宋" w:hint="eastAsia"/>
          <w:color w:val="000000"/>
          <w:sz w:val="20"/>
          <w:szCs w:val="21"/>
          <w:u w:val="single"/>
        </w:rPr>
        <w:t>办案人员丙</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240" w:lineRule="auto"/>
        <w:ind w:firstLineChars="0" w:firstLine="0"/>
        <w:rPr>
          <w:rFonts w:ascii="仿宋" w:eastAsia="仿宋_GB2312" w:hAnsi="仿宋" w:cs="宋体"/>
          <w:color w:val="000000"/>
          <w:sz w:val="32"/>
          <w:szCs w:val="32"/>
        </w:rPr>
      </w:pPr>
      <w:r>
        <w:rPr>
          <w:rFonts w:ascii="仿宋" w:eastAsia="仿宋_GB2312" w:hAnsi="仿宋"/>
          <w:color w:val="000000"/>
          <w:sz w:val="32"/>
          <w:szCs w:val="32"/>
        </w:rPr>
        <w:br w:type="page"/>
      </w:r>
    </w:p>
    <w:p w:rsidR="00800760" w:rsidRDefault="00235733">
      <w:pPr>
        <w:spacing w:line="240" w:lineRule="auto"/>
        <w:ind w:firstLineChars="0" w:firstLine="0"/>
        <w:jc w:val="center"/>
        <w:rPr>
          <w:rFonts w:ascii="仿宋" w:eastAsia="仿宋_GB2312" w:hAnsi="仿宋" w:cs="宋体"/>
          <w:color w:val="000000"/>
          <w:sz w:val="32"/>
          <w:szCs w:val="32"/>
        </w:rPr>
      </w:pPr>
      <w:r>
        <w:rPr>
          <w:rFonts w:ascii="仿宋" w:eastAsia="仿宋_GB2312" w:hAnsi="仿宋" w:cs="宋体" w:hint="eastAsia"/>
          <w:color w:val="000000"/>
          <w:sz w:val="32"/>
          <w:szCs w:val="32"/>
        </w:rPr>
        <w:t>×××知识产权局</w:t>
      </w:r>
    </w:p>
    <w:p w:rsidR="00800760" w:rsidRDefault="00235733" w:rsidP="00C22A7B">
      <w:pPr>
        <w:spacing w:beforeLines="50" w:afterLines="50"/>
        <w:ind w:firstLineChars="0" w:firstLine="0"/>
        <w:jc w:val="center"/>
        <w:rPr>
          <w:rFonts w:ascii="方正小标宋_GBK" w:eastAsia="方正小标宋_GBK" w:hAnsi="宋体"/>
          <w:color w:val="000000"/>
          <w:spacing w:val="6"/>
          <w:sz w:val="36"/>
          <w:szCs w:val="36"/>
        </w:rPr>
      </w:pPr>
      <w:bookmarkStart w:id="9384" w:name="_Toc26909532"/>
      <w:r>
        <w:rPr>
          <w:rFonts w:ascii="方正小标宋_GBK" w:eastAsia="方正小标宋_GBK" w:hAnsi="宋体" w:hint="eastAsia"/>
          <w:color w:val="000000"/>
          <w:spacing w:val="6"/>
          <w:sz w:val="36"/>
          <w:szCs w:val="36"/>
        </w:rPr>
        <w:t>专利侵权纠纷行政裁决案件合议笔录</w:t>
      </w:r>
      <w:bookmarkEnd w:id="9384"/>
    </w:p>
    <w:p w:rsidR="00800760" w:rsidRDefault="00235733">
      <w:pPr>
        <w:spacing w:line="240" w:lineRule="auto"/>
        <w:ind w:firstLineChars="0" w:firstLine="0"/>
        <w:jc w:val="center"/>
        <w:rPr>
          <w:rFonts w:ascii="仿宋" w:eastAsia="仿宋_GB2312" w:hAnsi="仿宋" w:cs="宋体"/>
          <w:color w:val="000000"/>
          <w:sz w:val="20"/>
          <w:szCs w:val="21"/>
        </w:rPr>
      </w:pPr>
      <w:r>
        <w:rPr>
          <w:rFonts w:ascii="仿宋" w:eastAsia="仿宋_GB2312" w:hAnsi="仿宋" w:cs="宋体" w:hint="eastAsia"/>
          <w:color w:val="000000"/>
          <w:sz w:val="20"/>
          <w:szCs w:val="21"/>
        </w:rPr>
        <w:t xml:space="preserve">                                               </w:t>
      </w:r>
      <w:r>
        <w:rPr>
          <w:rFonts w:ascii="仿宋" w:eastAsia="仿宋_GB2312" w:hAnsi="仿宋" w:cs="宋体" w:hint="eastAsia"/>
          <w:color w:val="000000"/>
          <w:sz w:val="20"/>
          <w:szCs w:val="21"/>
        </w:rPr>
        <w:t>案号：××知法裁字〔</w:t>
      </w:r>
      <w:r>
        <w:rPr>
          <w:rFonts w:ascii="仿宋" w:eastAsia="仿宋_GB2312" w:hAnsi="仿宋" w:cs="宋体" w:hint="eastAsia"/>
          <w:color w:val="000000"/>
          <w:sz w:val="20"/>
          <w:szCs w:val="21"/>
        </w:rPr>
        <w:t>20</w:t>
      </w:r>
      <w:r>
        <w:rPr>
          <w:rFonts w:ascii="仿宋" w:eastAsia="仿宋_GB2312" w:hAnsi="仿宋" w:cs="宋体" w:hint="eastAsia"/>
          <w:color w:val="000000"/>
          <w:sz w:val="20"/>
          <w:szCs w:val="21"/>
        </w:rPr>
        <w:t>××〕×号</w:t>
      </w:r>
    </w:p>
    <w:p w:rsidR="00800760" w:rsidRDefault="00800760">
      <w:pPr>
        <w:spacing w:line="240" w:lineRule="auto"/>
        <w:ind w:firstLineChars="0" w:firstLine="0"/>
        <w:rPr>
          <w:rFonts w:ascii="宋体" w:hAnsi="宋体" w:cs="宋体"/>
          <w:color w:val="000000"/>
          <w:sz w:val="20"/>
          <w:szCs w:val="21"/>
        </w:rPr>
      </w:pP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案由：</w:t>
      </w:r>
      <w:r>
        <w:rPr>
          <w:rFonts w:ascii="仿宋_GB2312" w:eastAsia="仿宋_GB2312" w:hAnsi="仿宋" w:cs="宋体" w:hint="eastAsia"/>
          <w:color w:val="000000"/>
          <w:sz w:val="20"/>
          <w:szCs w:val="21"/>
          <w:u w:val="single"/>
        </w:rPr>
        <w:t xml:space="preserve">A公司与B公司间的实用新型专利侵权纠纷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专利名称：</w:t>
      </w: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专利号：</w:t>
      </w:r>
      <w:r>
        <w:rPr>
          <w:rFonts w:ascii="仿宋_GB2312" w:eastAsia="仿宋_GB2312" w:hAnsi="仿宋" w:cs="宋体" w:hint="eastAsia"/>
          <w:color w:val="000000"/>
          <w:sz w:val="20"/>
          <w:szCs w:val="21"/>
          <w:u w:val="single"/>
        </w:rPr>
        <w:t xml:space="preserve">ZL×××××××××××.×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专利权人：</w:t>
      </w:r>
      <w:r>
        <w:rPr>
          <w:rFonts w:ascii="仿宋_GB2312" w:eastAsia="仿宋_GB2312" w:hAnsi="仿宋" w:cs="宋体" w:hint="eastAsia"/>
          <w:color w:val="000000"/>
          <w:sz w:val="20"/>
          <w:szCs w:val="21"/>
          <w:u w:val="single"/>
        </w:rPr>
        <w:t xml:space="preserve">A公司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请求人：</w:t>
      </w:r>
      <w:r>
        <w:rPr>
          <w:rFonts w:ascii="仿宋_GB2312" w:eastAsia="仿宋_GB2312" w:hAnsi="仿宋" w:cs="宋体" w:hint="eastAsia"/>
          <w:color w:val="000000"/>
          <w:sz w:val="20"/>
          <w:szCs w:val="21"/>
          <w:u w:val="single"/>
        </w:rPr>
        <w:t xml:space="preserve">A公司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被请求人：</w:t>
      </w:r>
      <w:r>
        <w:rPr>
          <w:rFonts w:ascii="仿宋_GB2312" w:eastAsia="仿宋_GB2312" w:hAnsi="仿宋" w:cs="宋体" w:hint="eastAsia"/>
          <w:color w:val="000000"/>
          <w:sz w:val="20"/>
          <w:szCs w:val="21"/>
          <w:u w:val="single"/>
        </w:rPr>
        <w:t xml:space="preserve">B公司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合议组长：</w:t>
      </w:r>
      <w:r>
        <w:rPr>
          <w:rFonts w:ascii="仿宋_GB2312" w:eastAsia="仿宋_GB2312" w:hAnsi="仿宋" w:cs="宋体" w:hint="eastAsia"/>
          <w:color w:val="000000"/>
          <w:sz w:val="20"/>
          <w:szCs w:val="21"/>
          <w:u w:val="single"/>
        </w:rPr>
        <w:t xml:space="preserve">办案甲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合议组成员：</w:t>
      </w:r>
      <w:r>
        <w:rPr>
          <w:rFonts w:ascii="仿宋_GB2312" w:eastAsia="仿宋_GB2312" w:hAnsi="仿宋" w:cs="宋体" w:hint="eastAsia"/>
          <w:color w:val="000000"/>
          <w:sz w:val="20"/>
          <w:szCs w:val="21"/>
          <w:u w:val="single"/>
        </w:rPr>
        <w:t xml:space="preserve">办案甲   办案乙   办案法丙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书记员：</w:t>
      </w:r>
      <w:r>
        <w:rPr>
          <w:rFonts w:ascii="仿宋_GB2312" w:eastAsia="仿宋_GB2312" w:hAnsi="仿宋" w:cs="宋体" w:hint="eastAsia"/>
          <w:color w:val="000000"/>
          <w:sz w:val="20"/>
          <w:szCs w:val="21"/>
          <w:u w:val="single"/>
        </w:rPr>
        <w:t xml:space="preserve">办案丁（也可由本案办案人员担任）                                                </w:t>
      </w:r>
    </w:p>
    <w:p w:rsidR="00800760" w:rsidRDefault="00235733">
      <w:pPr>
        <w:ind w:firstLineChars="0" w:firstLine="0"/>
        <w:rPr>
          <w:rFonts w:ascii="仿宋_GB2312" w:eastAsia="仿宋_GB2312" w:hAnsi="仿宋" w:cs="宋体"/>
          <w:color w:val="000000"/>
          <w:sz w:val="20"/>
          <w:szCs w:val="21"/>
          <w:u w:val="single"/>
        </w:rPr>
      </w:pPr>
      <w:r>
        <w:rPr>
          <w:rFonts w:ascii="黑体" w:eastAsia="黑体" w:hAnsi="黑体" w:cs="宋体" w:hint="eastAsia"/>
          <w:color w:val="000000"/>
          <w:sz w:val="20"/>
          <w:szCs w:val="21"/>
          <w:u w:val="single"/>
        </w:rPr>
        <w:t>合议时间：</w:t>
      </w:r>
      <w:r>
        <w:rPr>
          <w:rFonts w:ascii="仿宋_GB2312" w:eastAsia="仿宋_GB2312" w:hAnsi="仿宋" w:cs="宋体" w:hint="eastAsia"/>
          <w:color w:val="000000"/>
          <w:sz w:val="20"/>
          <w:szCs w:val="21"/>
          <w:u w:val="single"/>
        </w:rPr>
        <w:t xml:space="preserve">20××年××月××日××时××分至××时××分                                </w:t>
      </w:r>
    </w:p>
    <w:p w:rsidR="00800760" w:rsidRDefault="00235733">
      <w:pPr>
        <w:ind w:firstLineChars="0" w:firstLine="0"/>
        <w:rPr>
          <w:rFonts w:ascii="黑体" w:eastAsia="黑体" w:hAnsi="黑体" w:cs="宋体"/>
          <w:color w:val="000000"/>
          <w:sz w:val="20"/>
          <w:szCs w:val="21"/>
          <w:u w:val="single"/>
        </w:rPr>
      </w:pPr>
      <w:r>
        <w:rPr>
          <w:rFonts w:ascii="黑体" w:eastAsia="黑体" w:hAnsi="黑体" w:cs="宋体" w:hint="eastAsia"/>
          <w:color w:val="000000"/>
          <w:sz w:val="20"/>
          <w:szCs w:val="21"/>
          <w:u w:val="single"/>
        </w:rPr>
        <w:t xml:space="preserve">合议笔录：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_GB2312"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（固定格式文本）根据《专利纠纷行政裁决和调解办法》第二十五条：合议组应当对案件认定的事实、证据、法律责任、适用法律、处理结果进行全面合议。</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合议组合议案件，实行少数服从多数的原则。合议应当制作笔录，由合议组成员签字。合议中的不同意见，应当如实记入笔录。</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我们前期对本案的调查与口头审理工作已经结束，现在我们根据《专利纠纷行政裁决和调解办法》第二十五条要求进行合议。现在由案件承办人办案乙介绍案情。</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乙：</w:t>
      </w:r>
      <w:r>
        <w:rPr>
          <w:rFonts w:ascii="仿宋" w:eastAsia="仿宋_GB2312" w:hAnsi="仿宋" w:cs="宋体" w:hint="eastAsia"/>
          <w:color w:val="000000"/>
          <w:sz w:val="20"/>
          <w:szCs w:val="21"/>
          <w:u w:val="single"/>
        </w:rPr>
        <w:t>（固定格式与实际情况记录相结合文本）我给大家介绍一下本案的具体情况（具体内容略）。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（固定格式与实际情况记录相结合文本）首先，我们对案件中所述的证据的合法性、关联</w:t>
      </w:r>
      <w:r>
        <w:rPr>
          <w:rFonts w:ascii="仿宋_GB2312" w:eastAsia="仿宋_GB2312" w:hAnsi="仿宋" w:cs="宋体" w:hint="eastAsia"/>
          <w:color w:val="000000"/>
          <w:sz w:val="20"/>
          <w:szCs w:val="21"/>
          <w:u w:val="single"/>
        </w:rPr>
        <w:t xml:space="preserve">性、真实性进行合议，确定案中所述的证据是否被采信。我认为，证据一所提供的专利证书复印件、国家知识产权局的年费缴费收据，在国家知识产权局网站查实核对后，该专利权的法律状态在有效期内，专利权人与请求人是一致的，被请求人也对证据一给予了认可，我们应当予以采信，请求人有权对被请求人提起专利侵权纠处理请求，可以根据专利证书中提到的权利要求书及说明书内容进行侵权判定。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（说明：此处主要内容是对证据的“三性”进行合议；针对证据一进行合议，并发表自己的观点）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乙：</w:t>
      </w:r>
      <w:r>
        <w:rPr>
          <w:rFonts w:ascii="仿宋_GB2312" w:eastAsia="仿宋_GB2312" w:hAnsi="仿宋" w:cs="宋体" w:hint="eastAsia"/>
          <w:color w:val="000000"/>
          <w:sz w:val="20"/>
          <w:szCs w:val="21"/>
          <w:u w:val="single"/>
        </w:rPr>
        <w:t>（实际情况记录文本）对证据一我同意</w:t>
      </w:r>
      <w:r>
        <w:rPr>
          <w:rFonts w:ascii="仿宋" w:eastAsia="仿宋_GB2312" w:hAnsi="仿宋" w:cs="宋体" w:hint="eastAsia"/>
          <w:color w:val="000000"/>
          <w:sz w:val="20"/>
          <w:szCs w:val="21"/>
          <w:u w:val="single"/>
        </w:rPr>
        <w:t>办案</w:t>
      </w:r>
      <w:r>
        <w:rPr>
          <w:rFonts w:ascii="仿宋_GB2312" w:eastAsia="仿宋_GB2312" w:hAnsi="仿宋" w:cs="宋体" w:hint="eastAsia"/>
          <w:color w:val="000000"/>
          <w:sz w:val="20"/>
          <w:szCs w:val="21"/>
          <w:u w:val="single"/>
        </w:rPr>
        <w:t xml:space="preserve">甲的观点。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丙：</w:t>
      </w:r>
      <w:r>
        <w:rPr>
          <w:rFonts w:ascii="仿宋_GB2312" w:eastAsia="仿宋_GB2312" w:hAnsi="仿宋" w:cs="宋体" w:hint="eastAsia"/>
          <w:color w:val="000000"/>
          <w:sz w:val="20"/>
          <w:szCs w:val="21"/>
          <w:u w:val="single"/>
        </w:rPr>
        <w:t>（实际情况记录文本）对证据一我同意</w:t>
      </w:r>
      <w:r>
        <w:rPr>
          <w:rFonts w:ascii="仿宋" w:eastAsia="仿宋_GB2312" w:hAnsi="仿宋" w:cs="宋体" w:hint="eastAsia"/>
          <w:color w:val="000000"/>
          <w:sz w:val="20"/>
          <w:szCs w:val="21"/>
          <w:u w:val="single"/>
        </w:rPr>
        <w:t>办案</w:t>
      </w:r>
      <w:r>
        <w:rPr>
          <w:rFonts w:ascii="仿宋_GB2312" w:eastAsia="仿宋_GB2312" w:hAnsi="仿宋" w:cs="宋体" w:hint="eastAsia"/>
          <w:color w:val="000000"/>
          <w:sz w:val="20"/>
          <w:szCs w:val="21"/>
          <w:u w:val="single"/>
        </w:rPr>
        <w:t xml:space="preserve">甲的观点。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（实际情况记录文本）对证据一大家的意见是一致的。下面我们对证据二进行合议。（具</w:t>
      </w:r>
      <w:r>
        <w:rPr>
          <w:rFonts w:ascii="仿宋_GB2312" w:eastAsia="仿宋_GB2312" w:hAnsi="仿宋" w:cs="宋体" w:hint="eastAsia"/>
          <w:color w:val="000000"/>
          <w:sz w:val="20"/>
          <w:szCs w:val="21"/>
          <w:u w:val="single"/>
        </w:rPr>
        <w:t xml:space="preserve">体内容略）                                                                              </w:t>
      </w:r>
    </w:p>
    <w:p w:rsidR="00800760" w:rsidRDefault="00235733">
      <w:pPr>
        <w:ind w:firstLineChars="0" w:firstLine="0"/>
        <w:outlineLvl w:val="0"/>
        <w:rPr>
          <w:rFonts w:ascii="仿宋" w:eastAsia="仿宋_GB2312" w:hAnsi="仿宋" w:cs="宋体"/>
          <w:color w:val="000000"/>
          <w:sz w:val="20"/>
          <w:szCs w:val="21"/>
          <w:u w:val="single"/>
        </w:rPr>
      </w:pPr>
      <w:bookmarkStart w:id="9385" w:name="_Toc229225684"/>
      <w:r>
        <w:rPr>
          <w:rFonts w:ascii="仿宋" w:eastAsia="仿宋_GB2312" w:hAnsi="仿宋" w:cs="宋体" w:hint="eastAsia"/>
          <w:color w:val="000000"/>
          <w:sz w:val="20"/>
          <w:szCs w:val="21"/>
          <w:u w:val="single"/>
        </w:rPr>
        <w:t>（说明：此处主要内容是对证据一的合议结论；对证据二进行合议，并发表自己的观点）</w:t>
      </w:r>
      <w:bookmarkEnd w:id="9385"/>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乙：</w:t>
      </w:r>
      <w:r>
        <w:rPr>
          <w:rFonts w:ascii="仿宋_GB2312" w:eastAsia="仿宋_GB2312" w:hAnsi="仿宋" w:cs="宋体" w:hint="eastAsia"/>
          <w:color w:val="000000"/>
          <w:sz w:val="20"/>
          <w:szCs w:val="21"/>
          <w:u w:val="single"/>
        </w:rPr>
        <w:t>（实际情况记录文本）对证据二我同意</w:t>
      </w:r>
      <w:r>
        <w:rPr>
          <w:rFonts w:ascii="仿宋" w:eastAsia="仿宋_GB2312" w:hAnsi="仿宋" w:cs="宋体" w:hint="eastAsia"/>
          <w:color w:val="000000"/>
          <w:sz w:val="20"/>
          <w:szCs w:val="21"/>
          <w:u w:val="single"/>
        </w:rPr>
        <w:t>办案</w:t>
      </w:r>
      <w:r>
        <w:rPr>
          <w:rFonts w:ascii="仿宋_GB2312" w:eastAsia="仿宋_GB2312" w:hAnsi="仿宋" w:cs="宋体" w:hint="eastAsia"/>
          <w:color w:val="000000"/>
          <w:sz w:val="20"/>
          <w:szCs w:val="21"/>
          <w:u w:val="single"/>
        </w:rPr>
        <w:t xml:space="preserve">甲的观点。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丙：</w:t>
      </w:r>
      <w:r>
        <w:rPr>
          <w:rFonts w:ascii="仿宋_GB2312" w:eastAsia="仿宋_GB2312" w:hAnsi="仿宋" w:cs="宋体" w:hint="eastAsia"/>
          <w:color w:val="000000"/>
          <w:sz w:val="20"/>
          <w:szCs w:val="21"/>
          <w:u w:val="single"/>
        </w:rPr>
        <w:t>（实际情况记录文本）对证据二我同意</w:t>
      </w:r>
      <w:r>
        <w:rPr>
          <w:rFonts w:ascii="仿宋" w:eastAsia="仿宋_GB2312" w:hAnsi="仿宋" w:cs="宋体" w:hint="eastAsia"/>
          <w:color w:val="000000"/>
          <w:sz w:val="20"/>
          <w:szCs w:val="21"/>
          <w:u w:val="single"/>
        </w:rPr>
        <w:t>办案</w:t>
      </w:r>
      <w:r>
        <w:rPr>
          <w:rFonts w:ascii="仿宋_GB2312" w:eastAsia="仿宋_GB2312" w:hAnsi="仿宋" w:cs="宋体" w:hint="eastAsia"/>
          <w:color w:val="000000"/>
          <w:sz w:val="20"/>
          <w:szCs w:val="21"/>
          <w:u w:val="single"/>
        </w:rPr>
        <w:t xml:space="preserve">甲的观点。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（实际情况记录文本）对证据二大家的意见是一致的。下面我们对证据三进行合议。（具</w:t>
      </w:r>
      <w:r>
        <w:rPr>
          <w:rFonts w:ascii="仿宋_GB2312" w:eastAsia="仿宋_GB2312" w:hAnsi="仿宋" w:cs="宋体" w:hint="eastAsia"/>
          <w:color w:val="000000"/>
          <w:sz w:val="20"/>
          <w:szCs w:val="21"/>
          <w:u w:val="single"/>
        </w:rPr>
        <w:t xml:space="preserve">体内容略）                                                                              </w:t>
      </w:r>
    </w:p>
    <w:p w:rsidR="00800760" w:rsidRDefault="00235733">
      <w:pPr>
        <w:ind w:firstLineChars="0" w:firstLine="0"/>
        <w:outlineLvl w:val="0"/>
        <w:rPr>
          <w:rFonts w:ascii="仿宋" w:eastAsia="仿宋_GB2312" w:hAnsi="仿宋" w:cs="宋体"/>
          <w:color w:val="000000"/>
          <w:sz w:val="20"/>
          <w:szCs w:val="21"/>
          <w:u w:val="single"/>
        </w:rPr>
      </w:pPr>
      <w:bookmarkStart w:id="9386" w:name="_Toc229225685"/>
      <w:r>
        <w:rPr>
          <w:rFonts w:ascii="仿宋" w:eastAsia="仿宋_GB2312" w:hAnsi="仿宋" w:cs="宋体" w:hint="eastAsia"/>
          <w:color w:val="000000"/>
          <w:sz w:val="20"/>
          <w:szCs w:val="21"/>
          <w:u w:val="single"/>
        </w:rPr>
        <w:t>（说明：此处主要内容是对证据二的合议结论；对证据三进行合议，并发表自己的观点）</w:t>
      </w:r>
      <w:bookmarkEnd w:id="9386"/>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乙：</w:t>
      </w:r>
      <w:r>
        <w:rPr>
          <w:rFonts w:ascii="仿宋" w:eastAsia="仿宋_GB2312" w:hAnsi="仿宋" w:cs="宋体" w:hint="eastAsia"/>
          <w:color w:val="000000"/>
          <w:sz w:val="20"/>
          <w:szCs w:val="21"/>
          <w:u w:val="single"/>
        </w:rPr>
        <w:t>（实际情况记录文本）（此处说明理由，具体内容略）因此说，对证据三我同意办案甲的观点，不予采信。</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丙：</w:t>
      </w:r>
      <w:r>
        <w:rPr>
          <w:rFonts w:ascii="仿宋" w:eastAsia="仿宋_GB2312" w:hAnsi="仿宋" w:cs="宋体" w:hint="eastAsia"/>
          <w:color w:val="000000"/>
          <w:sz w:val="20"/>
          <w:szCs w:val="21"/>
          <w:u w:val="single"/>
        </w:rPr>
        <w:t>（实际情况记录文本）对证据三我同意办案甲、办案乙的观点。</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（实际情况记录文本）对证据三大家的意见是一致的，不予采信。现在我们来合议一下经过我们调查取得的涉案产品实物照片及照片上所示的技术特征能否采信。（具体内容略）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（说明：此处主要内容是对证据三的合议结论；对办案人员调查取得的证据进行合议，并发表自己的观点）</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乙：</w:t>
      </w:r>
      <w:r>
        <w:rPr>
          <w:rFonts w:ascii="仿宋" w:eastAsia="仿宋_GB2312" w:hAnsi="仿宋" w:cs="宋体" w:hint="eastAsia"/>
          <w:color w:val="000000"/>
          <w:sz w:val="20"/>
          <w:szCs w:val="21"/>
          <w:u w:val="single"/>
        </w:rPr>
        <w:t>（实际情况记录文本）对于我们调查取得的证据我同意办案甲的观点，应当予以采信。</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丙：</w:t>
      </w:r>
      <w:r>
        <w:rPr>
          <w:rFonts w:ascii="仿宋" w:eastAsia="仿宋_GB2312" w:hAnsi="仿宋" w:cs="宋体" w:hint="eastAsia"/>
          <w:color w:val="000000"/>
          <w:sz w:val="20"/>
          <w:szCs w:val="21"/>
          <w:u w:val="single"/>
        </w:rPr>
        <w:t>（实际情况记录文本）所述的证据是我们到现场调查取得的证据，且双方当事人都予以认可，应当予以采信。</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甲：</w:t>
      </w:r>
      <w:r>
        <w:rPr>
          <w:rFonts w:ascii="仿宋" w:eastAsia="仿宋_GB2312" w:hAnsi="仿宋" w:cs="宋体" w:hint="eastAsia"/>
          <w:color w:val="000000"/>
          <w:sz w:val="20"/>
          <w:szCs w:val="21"/>
          <w:u w:val="single"/>
        </w:rPr>
        <w:t>（实际情况记录文本）在证据一、证据二以及我们调查取得的证据予以采信的情况下，我们用权利要求书所记载的技术特征与涉案产品上的技术特征进行对比分析，来确定涉案产品是否落入了权利要求书的保护范围。（具体内容略）</w:t>
      </w:r>
      <w:r>
        <w:rPr>
          <w:rFonts w:ascii="仿宋" w:eastAsia="仿宋_GB2312" w:hAnsi="仿宋" w:cs="宋体" w:hint="eastAsia"/>
          <w:color w:val="000000"/>
          <w:sz w:val="20"/>
          <w:szCs w:val="21"/>
          <w:u w:val="single"/>
        </w:rPr>
        <w:t xml:space="preserve">                                                 </w:t>
      </w:r>
    </w:p>
    <w:p w:rsidR="00800760" w:rsidRDefault="00235733">
      <w:pPr>
        <w:ind w:firstLineChars="0" w:firstLine="0"/>
        <w:outlineLvl w:val="0"/>
        <w:rPr>
          <w:rFonts w:ascii="仿宋" w:eastAsia="仿宋_GB2312" w:hAnsi="仿宋" w:cs="宋体"/>
          <w:color w:val="000000"/>
          <w:sz w:val="20"/>
          <w:szCs w:val="21"/>
          <w:u w:val="single"/>
        </w:rPr>
      </w:pPr>
      <w:bookmarkStart w:id="9387" w:name="_Toc229225686"/>
      <w:r>
        <w:rPr>
          <w:rFonts w:ascii="仿宋" w:eastAsia="仿宋_GB2312" w:hAnsi="仿宋" w:cs="宋体" w:hint="eastAsia"/>
          <w:color w:val="000000"/>
          <w:sz w:val="20"/>
          <w:szCs w:val="21"/>
          <w:u w:val="single"/>
        </w:rPr>
        <w:t>（说明：此处内容为确定证据可以采信后，进行技术特征对比并说明自己的观点）</w:t>
      </w:r>
      <w:bookmarkEnd w:id="9387"/>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乙：</w:t>
      </w:r>
      <w:r>
        <w:rPr>
          <w:rFonts w:ascii="仿宋" w:eastAsia="仿宋_GB2312" w:hAnsi="仿宋" w:cs="宋体" w:hint="eastAsia"/>
          <w:color w:val="000000"/>
          <w:sz w:val="20"/>
          <w:szCs w:val="21"/>
          <w:u w:val="single"/>
        </w:rPr>
        <w:t>（实际情况记录文本）我不同意办案甲的看法，理由如下（具体内容略）。</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办案</w:t>
      </w:r>
      <w:r>
        <w:rPr>
          <w:rFonts w:ascii="黑体" w:eastAsia="黑体" w:hAnsi="黑体" w:cs="宋体" w:hint="eastAsia"/>
          <w:color w:val="000000"/>
          <w:sz w:val="20"/>
          <w:szCs w:val="21"/>
          <w:u w:val="single"/>
        </w:rPr>
        <w:t>丙：</w:t>
      </w:r>
      <w:r>
        <w:rPr>
          <w:rFonts w:ascii="仿宋" w:eastAsia="仿宋_GB2312" w:hAnsi="仿宋" w:cs="宋体" w:hint="eastAsia"/>
          <w:color w:val="000000"/>
          <w:sz w:val="20"/>
          <w:szCs w:val="21"/>
          <w:u w:val="single"/>
        </w:rPr>
        <w:t>（实际情况记录文本）案中所述的两个不同的技术特征是我们在口头审理当中争论的焦点，我认为二者属于等同的技术特征，我同意办案甲的观点，实际上是惯用技术置换，适用于《专利纠纷行政裁决和调解办法》第三十九条全面覆盖原则，根据《中华人民共和国专利法》第六十五条规定，被请求人生产销售的涉案产品落入了请求人的专利保护范围；再加上被请求人在口头审理过程中陈述的制造的涉案产品主要目的是通过销售取得经济效益，根据《中华人民共和国专利法》第十一条规定，未经请求人许可，被请求人以生产经营为目的制造销售了涉案产品，被请求人侵犯了请求人的专利权。</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办案甲：</w:t>
      </w:r>
      <w:r>
        <w:rPr>
          <w:rFonts w:ascii="仿宋" w:eastAsia="仿宋_GB2312" w:hAnsi="仿宋" w:cs="宋体" w:hint="eastAsia"/>
          <w:color w:val="000000"/>
          <w:sz w:val="20"/>
          <w:szCs w:val="21"/>
          <w:u w:val="single"/>
        </w:rPr>
        <w:t>（固定格式与实际情况记录相结合文本）因乙的意见不同，合议组合议案件，实行少数服从多数的原则对案件涉及的证据是否采信、事实是否认定及理由是否成立等进行表决。我们的争议在于技术特征×和技术特征×，刚才我已经讲明了我对技术特征×和技术特征×的看法了，我认为二者是构成等同的，涉案产品是侵权行为。根据《</w:t>
      </w:r>
      <w:r>
        <w:rPr>
          <w:rFonts w:ascii="仿宋_GB2312" w:eastAsia="仿宋_GB2312" w:hAnsi="仿宋" w:cs="宋体"/>
          <w:color w:val="000000"/>
          <w:sz w:val="20"/>
          <w:szCs w:val="21"/>
          <w:u w:val="single"/>
        </w:rPr>
        <w:t>专利纠纷行政裁决和调解办法</w:t>
      </w:r>
      <w:r>
        <w:rPr>
          <w:rFonts w:ascii="仿宋" w:eastAsia="仿宋_GB2312" w:hAnsi="仿宋" w:cs="宋体" w:hint="eastAsia"/>
          <w:color w:val="000000"/>
          <w:sz w:val="20"/>
          <w:szCs w:val="21"/>
          <w:u w:val="single"/>
        </w:rPr>
        <w:t>》第三十二条规定，应当责令被请求人立即停止制造、销售涉案产品并销毁涉案产品。</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办案乙：</w:t>
      </w:r>
      <w:r>
        <w:rPr>
          <w:rFonts w:ascii="仿宋" w:eastAsia="仿宋_GB2312" w:hAnsi="仿宋" w:cs="宋体" w:hint="eastAsia"/>
          <w:color w:val="000000"/>
          <w:sz w:val="20"/>
          <w:szCs w:val="21"/>
          <w:u w:val="single"/>
        </w:rPr>
        <w:t>我不同意</w:t>
      </w:r>
      <w:r>
        <w:rPr>
          <w:rFonts w:ascii="黑体" w:eastAsia="黑体" w:hAnsi="黑体" w:cs="宋体" w:hint="eastAsia"/>
          <w:color w:val="000000"/>
          <w:sz w:val="20"/>
          <w:szCs w:val="21"/>
          <w:u w:val="single"/>
        </w:rPr>
        <w:t>办案</w:t>
      </w:r>
      <w:r>
        <w:rPr>
          <w:rFonts w:ascii="仿宋" w:eastAsia="仿宋_GB2312" w:hAnsi="仿宋" w:cs="宋体" w:hint="eastAsia"/>
          <w:color w:val="000000"/>
          <w:sz w:val="20"/>
          <w:szCs w:val="21"/>
          <w:u w:val="single"/>
        </w:rPr>
        <w:t>甲的看法，我坚持自己的看法，技术特征×和技术特征×不构成等同，我认为涉案产品不侵权。</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办案丙：</w:t>
      </w:r>
      <w:r>
        <w:rPr>
          <w:rFonts w:ascii="仿宋" w:eastAsia="仿宋_GB2312" w:hAnsi="仿宋" w:cs="宋体" w:hint="eastAsia"/>
          <w:color w:val="000000"/>
          <w:sz w:val="20"/>
          <w:szCs w:val="21"/>
          <w:u w:val="single"/>
        </w:rPr>
        <w:t>我同意</w:t>
      </w:r>
      <w:r>
        <w:rPr>
          <w:rFonts w:ascii="黑体" w:eastAsia="黑体" w:hAnsi="黑体" w:cs="宋体" w:hint="eastAsia"/>
          <w:color w:val="000000"/>
          <w:sz w:val="20"/>
          <w:szCs w:val="21"/>
          <w:u w:val="single"/>
        </w:rPr>
        <w:t>办案</w:t>
      </w:r>
      <w:r>
        <w:rPr>
          <w:rFonts w:ascii="仿宋" w:eastAsia="仿宋_GB2312" w:hAnsi="仿宋" w:cs="宋体" w:hint="eastAsia"/>
          <w:color w:val="000000"/>
          <w:sz w:val="20"/>
          <w:szCs w:val="21"/>
          <w:u w:val="single"/>
        </w:rPr>
        <w:t>甲的意见，认为技术特征×和技术特征×是构成等同的，涉案产品是侵权产品。</w:t>
      </w:r>
      <w:r>
        <w:rPr>
          <w:rFonts w:ascii="仿宋" w:eastAsia="仿宋_GB2312" w:hAnsi="仿宋" w:cs="宋体" w:hint="eastAsia"/>
          <w:color w:val="000000"/>
          <w:sz w:val="20"/>
          <w:szCs w:val="21"/>
          <w:u w:val="single"/>
        </w:rPr>
        <w:t xml:space="preserve">                                                                                    </w:t>
      </w:r>
    </w:p>
    <w:p w:rsidR="00800760" w:rsidRDefault="00235733">
      <w:pPr>
        <w:ind w:firstLineChars="0" w:firstLine="0"/>
        <w:outlineLvl w:val="0"/>
        <w:rPr>
          <w:rFonts w:ascii="仿宋" w:eastAsia="仿宋_GB2312" w:hAnsi="仿宋" w:cs="宋体"/>
          <w:color w:val="000000"/>
          <w:sz w:val="20"/>
          <w:szCs w:val="21"/>
          <w:u w:val="single"/>
        </w:rPr>
      </w:pPr>
      <w:bookmarkStart w:id="9388" w:name="_Toc229225687"/>
      <w:r>
        <w:rPr>
          <w:rFonts w:ascii="仿宋" w:eastAsia="仿宋_GB2312" w:hAnsi="仿宋" w:cs="宋体" w:hint="eastAsia"/>
          <w:color w:val="000000"/>
          <w:sz w:val="20"/>
          <w:szCs w:val="21"/>
          <w:u w:val="single"/>
        </w:rPr>
        <w:t>（说明：此处内容为形成的认定侵权意见，并根据《</w:t>
      </w:r>
      <w:r>
        <w:rPr>
          <w:rFonts w:ascii="仿宋_GB2312" w:eastAsia="仿宋_GB2312" w:hAnsi="仿宋" w:cs="宋体"/>
          <w:color w:val="000000"/>
          <w:sz w:val="20"/>
          <w:szCs w:val="21"/>
          <w:u w:val="single"/>
        </w:rPr>
        <w:t>专利纠纷行政裁决和调解办法</w:t>
      </w:r>
      <w:r>
        <w:rPr>
          <w:rFonts w:ascii="仿宋" w:eastAsia="仿宋_GB2312" w:hAnsi="仿宋" w:cs="宋体" w:hint="eastAsia"/>
          <w:color w:val="000000"/>
          <w:sz w:val="20"/>
          <w:szCs w:val="21"/>
          <w:u w:val="single"/>
        </w:rPr>
        <w:t>》规定确定处理意见）</w:t>
      </w:r>
      <w:bookmarkEnd w:id="9388"/>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办案乙：</w:t>
      </w:r>
      <w:r>
        <w:rPr>
          <w:rFonts w:ascii="仿宋" w:eastAsia="仿宋_GB2312" w:hAnsi="仿宋" w:cs="宋体" w:hint="eastAsia"/>
          <w:color w:val="000000"/>
          <w:sz w:val="20"/>
          <w:szCs w:val="21"/>
          <w:u w:val="single"/>
        </w:rPr>
        <w:t>（实际情况记录文本）我坚持我的意见，不同意。</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办案丙：</w:t>
      </w:r>
      <w:r>
        <w:rPr>
          <w:rFonts w:ascii="仿宋" w:eastAsia="仿宋_GB2312" w:hAnsi="仿宋" w:cs="宋体" w:hint="eastAsia"/>
          <w:color w:val="000000"/>
          <w:sz w:val="20"/>
          <w:szCs w:val="21"/>
          <w:u w:val="single"/>
        </w:rPr>
        <w:t>（实际情况记录文本）同意。</w:t>
      </w:r>
      <w:r>
        <w:rPr>
          <w:rFonts w:ascii="仿宋"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办案甲：</w:t>
      </w:r>
      <w:r>
        <w:rPr>
          <w:rFonts w:ascii="仿宋" w:eastAsia="仿宋_GB2312" w:hAnsi="仿宋" w:cs="宋体" w:hint="eastAsia"/>
          <w:color w:val="000000"/>
          <w:sz w:val="20"/>
          <w:szCs w:val="21"/>
          <w:u w:val="single"/>
        </w:rPr>
        <w:t>（固定格式与实际情况记录相结合文本）经过合议，我与</w:t>
      </w:r>
      <w:r>
        <w:rPr>
          <w:rFonts w:ascii="黑体" w:eastAsia="黑体" w:hAnsi="黑体" w:cs="宋体" w:hint="eastAsia"/>
          <w:color w:val="000000"/>
          <w:sz w:val="20"/>
          <w:szCs w:val="21"/>
          <w:u w:val="single"/>
        </w:rPr>
        <w:t>办案</w:t>
      </w:r>
      <w:r>
        <w:rPr>
          <w:rFonts w:ascii="仿宋" w:eastAsia="仿宋_GB2312" w:hAnsi="仿宋" w:cs="宋体" w:hint="eastAsia"/>
          <w:color w:val="000000"/>
          <w:sz w:val="20"/>
          <w:szCs w:val="21"/>
          <w:u w:val="single"/>
        </w:rPr>
        <w:t>丙认为被请求人生产销售</w:t>
      </w:r>
      <w:r>
        <w:rPr>
          <w:rFonts w:ascii="仿宋_GB2312" w:eastAsia="仿宋_GB2312" w:hAnsi="仿宋" w:cs="宋体" w:hint="eastAsia"/>
          <w:color w:val="000000"/>
          <w:sz w:val="20"/>
          <w:szCs w:val="21"/>
          <w:u w:val="single"/>
        </w:rPr>
        <w:t>的涉案产品侵犯了请求人的专利权，应当责令被请求人立即停止生产销售涉案产品并销毁涉案产品；而</w:t>
      </w:r>
      <w:r>
        <w:rPr>
          <w:rFonts w:ascii="黑体" w:eastAsia="黑体" w:hAnsi="黑体" w:cs="宋体" w:hint="eastAsia"/>
          <w:color w:val="000000"/>
          <w:sz w:val="20"/>
          <w:szCs w:val="21"/>
          <w:u w:val="single"/>
        </w:rPr>
        <w:t>办案</w:t>
      </w:r>
      <w:r>
        <w:rPr>
          <w:rFonts w:ascii="仿宋_GB2312" w:eastAsia="仿宋_GB2312" w:hAnsi="仿宋" w:cs="宋体" w:hint="eastAsia"/>
          <w:color w:val="000000"/>
          <w:sz w:val="20"/>
          <w:szCs w:val="21"/>
          <w:u w:val="single"/>
        </w:rPr>
        <w:t xml:space="preserve">乙认为涉案产品与权利要求书中的技术特征×和技术特征×是不同，认为不构成侵权。根据少数服从多数的原则，合议组认为涉案产品是侵权的。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（说明：此处内容为形成结论性处理结果 ）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lang w:val="en-US"/>
        </w:rPr>
        <w:t xml:space="preserve">      </w:t>
      </w: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rPr>
        <w:t>合议组成员（签字）：</w:t>
      </w:r>
      <w:r>
        <w:rPr>
          <w:rFonts w:ascii="黑体" w:eastAsia="黑体" w:hAnsi="黑体" w:cs="宋体" w:hint="eastAsia"/>
          <w:color w:val="000000"/>
          <w:sz w:val="20"/>
          <w:szCs w:val="21"/>
          <w:u w:val="single"/>
        </w:rPr>
        <w:t>办案</w:t>
      </w:r>
      <w:r>
        <w:rPr>
          <w:rFonts w:ascii="华文行楷" w:eastAsia="华文行楷" w:hAnsi="仿宋" w:cs="宋体" w:hint="eastAsia"/>
          <w:color w:val="000000"/>
          <w:sz w:val="20"/>
          <w:szCs w:val="21"/>
          <w:u w:val="single"/>
        </w:rPr>
        <w:t>甲</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jc w:val="right"/>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lang w:val="en-US"/>
        </w:rPr>
        <w:t xml:space="preserve">         </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办案</w:t>
      </w:r>
      <w:r>
        <w:rPr>
          <w:rFonts w:ascii="华文行楷" w:eastAsia="华文行楷" w:hAnsi="仿宋" w:cs="宋体" w:hint="eastAsia"/>
          <w:color w:val="000000"/>
          <w:sz w:val="20"/>
          <w:szCs w:val="21"/>
          <w:u w:val="single"/>
        </w:rPr>
        <w:t>乙</w:t>
      </w:r>
      <w:r>
        <w:rPr>
          <w:rFonts w:ascii="仿宋_GB2312" w:eastAsia="仿宋_GB2312" w:hAnsi="仿宋" w:cs="宋体" w:hint="eastAsia"/>
          <w:color w:val="000000"/>
          <w:sz w:val="20"/>
          <w:szCs w:val="21"/>
          <w:u w:val="single"/>
        </w:rPr>
        <w:t xml:space="preserve">    20××年××月××日 </w:t>
      </w:r>
    </w:p>
    <w:p w:rsidR="00800760" w:rsidRDefault="00235733">
      <w:pPr>
        <w:ind w:firstLineChars="0" w:firstLine="0"/>
        <w:jc w:val="right"/>
        <w:rPr>
          <w:rFonts w:ascii="仿宋_GB2312" w:eastAsia="仿宋_GB2312" w:hAnsi="仿宋" w:cs="宋体"/>
          <w:color w:val="000000"/>
          <w:sz w:val="20"/>
          <w:szCs w:val="21"/>
          <w:u w:val="single"/>
        </w:rPr>
      </w:pPr>
      <w:r>
        <w:rPr>
          <w:rFonts w:ascii="仿宋" w:eastAsia="仿宋_GB2312" w:hAnsi="仿宋" w:cs="宋体" w:hint="eastAsia"/>
          <w:color w:val="000000"/>
          <w:sz w:val="20"/>
          <w:szCs w:val="21"/>
          <w:u w:val="single"/>
        </w:rPr>
        <w:t xml:space="preserve">  </w:t>
      </w:r>
      <w:r>
        <w:rPr>
          <w:rFonts w:ascii="仿宋" w:eastAsia="仿宋_GB2312" w:hAnsi="仿宋" w:cs="宋体" w:hint="eastAsia"/>
          <w:color w:val="000000"/>
          <w:sz w:val="20"/>
          <w:szCs w:val="21"/>
          <w:u w:val="single"/>
          <w:lang w:val="en-US"/>
        </w:rPr>
        <w:t xml:space="preserve">        </w:t>
      </w:r>
      <w:r>
        <w:rPr>
          <w:rFonts w:ascii="仿宋" w:eastAsia="仿宋_GB2312" w:hAnsi="仿宋" w:cs="宋体" w:hint="eastAsia"/>
          <w:color w:val="000000"/>
          <w:sz w:val="20"/>
          <w:szCs w:val="21"/>
          <w:u w:val="single"/>
        </w:rPr>
        <w:t xml:space="preserve">                                           </w:t>
      </w:r>
      <w:r>
        <w:rPr>
          <w:rFonts w:ascii="黑体" w:eastAsia="黑体" w:hAnsi="黑体" w:cs="宋体" w:hint="eastAsia"/>
          <w:color w:val="000000"/>
          <w:sz w:val="20"/>
          <w:szCs w:val="21"/>
          <w:u w:val="single"/>
        </w:rPr>
        <w:t>办案</w:t>
      </w:r>
      <w:r>
        <w:rPr>
          <w:rFonts w:ascii="华文行楷" w:eastAsia="华文行楷" w:hAnsi="仿宋" w:cs="宋体" w:hint="eastAsia"/>
          <w:color w:val="000000"/>
          <w:sz w:val="20"/>
          <w:szCs w:val="21"/>
          <w:u w:val="single"/>
        </w:rPr>
        <w:t>丙</w:t>
      </w:r>
      <w:r>
        <w:rPr>
          <w:rFonts w:ascii="仿宋_GB2312" w:eastAsia="仿宋_GB2312" w:hAnsi="仿宋" w:cs="宋体" w:hint="eastAsia"/>
          <w:color w:val="000000"/>
          <w:sz w:val="20"/>
          <w:szCs w:val="21"/>
          <w:u w:val="single"/>
        </w:rPr>
        <w:t xml:space="preserve">    20××年××月××日</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235733">
      <w:pPr>
        <w:ind w:firstLineChars="0" w:firstLine="0"/>
        <w:rPr>
          <w:rFonts w:ascii="仿宋_GB2312" w:eastAsia="仿宋_GB2312" w:hAnsi="仿宋" w:cs="宋体"/>
          <w:color w:val="000000"/>
          <w:sz w:val="20"/>
          <w:szCs w:val="21"/>
          <w:u w:val="single"/>
        </w:rPr>
      </w:pPr>
      <w:r>
        <w:rPr>
          <w:rFonts w:ascii="仿宋_GB2312" w:eastAsia="仿宋_GB2312" w:hAnsi="仿宋" w:cs="宋体" w:hint="eastAsia"/>
          <w:color w:val="000000"/>
          <w:sz w:val="20"/>
          <w:szCs w:val="21"/>
          <w:u w:val="single"/>
        </w:rPr>
        <w:t xml:space="preserve">                                                                                       </w:t>
      </w:r>
    </w:p>
    <w:p w:rsidR="00800760" w:rsidRDefault="00800760">
      <w:pPr>
        <w:spacing w:line="240" w:lineRule="auto"/>
        <w:ind w:firstLineChars="0" w:firstLine="0"/>
        <w:rPr>
          <w:sz w:val="20"/>
        </w:rPr>
      </w:pPr>
      <w:bookmarkStart w:id="9389" w:name="bookmark165"/>
      <w:bookmarkEnd w:id="9389"/>
    </w:p>
    <w:p w:rsidR="00800760" w:rsidRDefault="00235733">
      <w:pPr>
        <w:spacing w:line="360" w:lineRule="auto"/>
        <w:ind w:firstLineChars="0" w:firstLine="640"/>
        <w:jc w:val="center"/>
        <w:rPr>
          <w:rFonts w:ascii="方正小标宋简体" w:eastAsia="方正小标宋简体" w:hAnsi="宋体"/>
          <w:color w:val="000000"/>
          <w:spacing w:val="6"/>
          <w:sz w:val="36"/>
          <w:szCs w:val="36"/>
        </w:rPr>
      </w:pPr>
      <w:r>
        <w:rPr>
          <w:rFonts w:ascii="方正小标宋简体" w:eastAsia="方正小标宋简体" w:hAnsi="宋体" w:hint="eastAsia"/>
          <w:color w:val="000000"/>
          <w:spacing w:val="6"/>
          <w:sz w:val="36"/>
          <w:szCs w:val="36"/>
        </w:rPr>
        <w:t>重大专利侵权纠纷行政裁决合议笔录</w:t>
      </w:r>
    </w:p>
    <w:p w:rsidR="00800760" w:rsidRDefault="00235733">
      <w:pPr>
        <w:spacing w:line="360" w:lineRule="auto"/>
        <w:ind w:firstLineChars="0" w:firstLine="0"/>
        <w:jc w:val="center"/>
        <w:rPr>
          <w:rFonts w:ascii="仿宋" w:eastAsia="仿宋_GB2312" w:hAnsi="仿宋"/>
          <w:color w:val="000000"/>
          <w:sz w:val="20"/>
          <w:szCs w:val="21"/>
        </w:rPr>
      </w:pPr>
      <w:r>
        <w:rPr>
          <w:rFonts w:ascii="仿宋" w:eastAsia="仿宋_GB2312" w:hAnsi="仿宋" w:hint="eastAsia"/>
          <w:color w:val="000000"/>
          <w:sz w:val="20"/>
          <w:szCs w:val="21"/>
        </w:rPr>
        <w:t xml:space="preserve">                                               </w:t>
      </w:r>
      <w:r>
        <w:rPr>
          <w:rFonts w:ascii="仿宋" w:eastAsia="仿宋_GB2312" w:hAnsi="仿宋" w:hint="eastAsia"/>
          <w:color w:val="000000"/>
          <w:sz w:val="20"/>
          <w:szCs w:val="21"/>
        </w:rPr>
        <w:t>案号：国知保裁字〔</w:t>
      </w:r>
      <w:r>
        <w:rPr>
          <w:rFonts w:ascii="仿宋" w:eastAsia="仿宋_GB2312" w:hAnsi="仿宋" w:hint="eastAsia"/>
          <w:color w:val="000000"/>
          <w:sz w:val="20"/>
          <w:szCs w:val="21"/>
        </w:rPr>
        <w:t>20</w:t>
      </w:r>
      <w:r>
        <w:rPr>
          <w:rFonts w:ascii="仿宋" w:eastAsia="仿宋_GB2312" w:hAnsi="仿宋" w:hint="eastAsia"/>
          <w:color w:val="000000"/>
          <w:sz w:val="20"/>
          <w:szCs w:val="21"/>
        </w:rPr>
        <w:t>××〕×号</w:t>
      </w:r>
    </w:p>
    <w:p w:rsidR="00800760" w:rsidRDefault="00800760">
      <w:pPr>
        <w:spacing w:line="360" w:lineRule="auto"/>
        <w:ind w:firstLineChars="0" w:firstLine="0"/>
        <w:rPr>
          <w:rFonts w:ascii="宋体" w:hAnsi="宋体"/>
          <w:color w:val="000000"/>
          <w:sz w:val="20"/>
          <w:szCs w:val="21"/>
        </w:rPr>
      </w:pP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案由：</w:t>
      </w:r>
      <w:r>
        <w:rPr>
          <w:rFonts w:ascii="仿宋_GB2312" w:eastAsia="仿宋_GB2312" w:hAnsi="仿宋" w:hint="eastAsia"/>
          <w:color w:val="000000"/>
          <w:sz w:val="20"/>
          <w:szCs w:val="21"/>
          <w:u w:val="single"/>
        </w:rPr>
        <w:t xml:space="preserve">A公司与B公司间的实用新型专利侵权纠纷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专利名称：</w:t>
      </w: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专利号：</w:t>
      </w:r>
      <w:r>
        <w:rPr>
          <w:rFonts w:ascii="仿宋_GB2312" w:eastAsia="仿宋_GB2312" w:hAnsi="仿宋" w:hint="eastAsia"/>
          <w:color w:val="000000"/>
          <w:sz w:val="20"/>
          <w:szCs w:val="21"/>
          <w:u w:val="single"/>
        </w:rPr>
        <w:t xml:space="preserve">ZL×××××××××××.×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专利权人：</w:t>
      </w:r>
      <w:r>
        <w:rPr>
          <w:rFonts w:ascii="仿宋_GB2312" w:eastAsia="仿宋_GB2312" w:hAnsi="仿宋" w:hint="eastAsia"/>
          <w:color w:val="000000"/>
          <w:sz w:val="20"/>
          <w:szCs w:val="21"/>
          <w:u w:val="single"/>
        </w:rPr>
        <w:t xml:space="preserve">A公司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请求人：</w:t>
      </w:r>
      <w:r>
        <w:rPr>
          <w:rFonts w:ascii="仿宋_GB2312" w:eastAsia="仿宋_GB2312" w:hAnsi="仿宋" w:hint="eastAsia"/>
          <w:color w:val="000000"/>
          <w:sz w:val="20"/>
          <w:szCs w:val="21"/>
          <w:u w:val="single"/>
        </w:rPr>
        <w:t xml:space="preserve">A公司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被请求人：</w:t>
      </w:r>
      <w:r>
        <w:rPr>
          <w:rFonts w:ascii="仿宋_GB2312" w:eastAsia="仿宋_GB2312" w:hAnsi="仿宋" w:hint="eastAsia"/>
          <w:color w:val="000000"/>
          <w:sz w:val="20"/>
          <w:szCs w:val="21"/>
          <w:u w:val="single"/>
        </w:rPr>
        <w:t xml:space="preserve">B公司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合议组长：</w:t>
      </w:r>
      <w:r>
        <w:rPr>
          <w:rFonts w:ascii="仿宋_GB2312" w:eastAsia="仿宋_GB2312" w:hAnsi="仿宋" w:hint="eastAsia"/>
          <w:color w:val="000000"/>
          <w:sz w:val="20"/>
          <w:szCs w:val="21"/>
          <w:u w:val="single"/>
        </w:rPr>
        <w:t xml:space="preserve">办案人员甲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合议组成员：</w:t>
      </w:r>
      <w:r>
        <w:rPr>
          <w:rFonts w:ascii="仿宋_GB2312" w:eastAsia="仿宋_GB2312" w:hAnsi="仿宋" w:hint="eastAsia"/>
          <w:color w:val="000000"/>
          <w:sz w:val="20"/>
          <w:szCs w:val="21"/>
          <w:u w:val="single"/>
        </w:rPr>
        <w:t xml:space="preserve">办案人员甲   办案人员乙   办案人员丙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书记员：</w:t>
      </w:r>
      <w:r>
        <w:rPr>
          <w:rFonts w:ascii="仿宋_GB2312" w:eastAsia="仿宋_GB2312" w:hAnsi="仿宋" w:hint="eastAsia"/>
          <w:color w:val="000000"/>
          <w:sz w:val="20"/>
          <w:szCs w:val="21"/>
          <w:u w:val="single"/>
        </w:rPr>
        <w:t xml:space="preserve">办案人员丁（也可由本案办案人员担任）                                                </w:t>
      </w:r>
    </w:p>
    <w:p w:rsidR="00800760" w:rsidRDefault="00235733">
      <w:pPr>
        <w:spacing w:line="360" w:lineRule="auto"/>
        <w:ind w:firstLineChars="0" w:firstLine="0"/>
        <w:rPr>
          <w:rFonts w:ascii="仿宋_GB2312" w:eastAsia="仿宋_GB2312" w:hAnsi="仿宋"/>
          <w:color w:val="000000"/>
          <w:sz w:val="20"/>
          <w:szCs w:val="21"/>
          <w:u w:val="single"/>
        </w:rPr>
      </w:pPr>
      <w:r>
        <w:rPr>
          <w:rFonts w:ascii="黑体" w:eastAsia="黑体" w:hAnsi="黑体" w:hint="eastAsia"/>
          <w:color w:val="000000"/>
          <w:sz w:val="20"/>
          <w:szCs w:val="21"/>
          <w:u w:val="single"/>
        </w:rPr>
        <w:t>合议时间：</w:t>
      </w:r>
      <w:r>
        <w:rPr>
          <w:rFonts w:ascii="仿宋_GB2312" w:eastAsia="仿宋_GB2312" w:hAnsi="仿宋" w:hint="eastAsia"/>
          <w:color w:val="000000"/>
          <w:sz w:val="20"/>
          <w:szCs w:val="21"/>
          <w:u w:val="single"/>
        </w:rPr>
        <w:t xml:space="preserve">20××年××月××日××时××分至××时××分                                </w:t>
      </w:r>
    </w:p>
    <w:p w:rsidR="00800760" w:rsidRDefault="00235733">
      <w:pPr>
        <w:spacing w:line="360" w:lineRule="auto"/>
        <w:ind w:firstLineChars="0" w:firstLine="0"/>
        <w:rPr>
          <w:rFonts w:ascii="黑体" w:eastAsia="黑体" w:hAnsi="黑体"/>
          <w:color w:val="000000"/>
          <w:sz w:val="20"/>
          <w:szCs w:val="21"/>
          <w:u w:val="single"/>
        </w:rPr>
      </w:pPr>
      <w:r>
        <w:rPr>
          <w:rFonts w:ascii="黑体" w:eastAsia="黑体" w:hAnsi="黑体" w:hint="eastAsia"/>
          <w:color w:val="000000"/>
          <w:sz w:val="20"/>
          <w:szCs w:val="21"/>
          <w:u w:val="single"/>
        </w:rPr>
        <w:t xml:space="preserve">合议笔录：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（固定格式文本）我们前期对本案的调查与口头审理工作已经结束，现在我们进行合议。现在由案件承办人办案人员乙介绍案情。</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办案人员乙：</w:t>
      </w:r>
      <w:r>
        <w:rPr>
          <w:rFonts w:ascii="仿宋" w:eastAsia="仿宋_GB2312" w:hAnsi="仿宋" w:hint="eastAsia"/>
          <w:color w:val="000000"/>
          <w:sz w:val="20"/>
          <w:szCs w:val="21"/>
          <w:u w:val="single"/>
        </w:rPr>
        <w:t>（固定格式与实际情况记录相结合文本）我给大家介绍一下本案的具体情况（具体内容略）。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（固定格式与实际情况记录相结合文本）首先，我们对案件中所述的证据的合法性、关联</w:t>
      </w:r>
      <w:r>
        <w:rPr>
          <w:rFonts w:ascii="仿宋_GB2312" w:eastAsia="仿宋_GB2312" w:hAnsi="仿宋" w:hint="eastAsia"/>
          <w:color w:val="000000"/>
          <w:sz w:val="20"/>
          <w:szCs w:val="21"/>
          <w:u w:val="single"/>
        </w:rPr>
        <w:t xml:space="preserve">性、真实性进行合议，确定案中所述的证据是否被采信。我认为，证据一所提供的专利证书复印件、国家知识产权局的年费缴费收据，在国家知识产权局网站查实核对后，该专利权的法律状态在有效期内，专利权人与请求人是一致的，被请求人也对证据一给予了认可，我们应当予以采信，请求人有权对被请求人提起专利侵权纠处理请求，可以根据专利证书中提到的权利要求书及说明书内容进行侵权判定。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（说明：此处主要内容是对证据的“三性”进行合议；针对证据一进行合议，并发表自己的观点）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办案人员乙：</w:t>
      </w:r>
      <w:r>
        <w:rPr>
          <w:rFonts w:ascii="仿宋_GB2312" w:eastAsia="仿宋_GB2312" w:hAnsi="仿宋" w:hint="eastAsia"/>
          <w:color w:val="000000"/>
          <w:sz w:val="20"/>
          <w:szCs w:val="21"/>
          <w:u w:val="single"/>
        </w:rPr>
        <w:t xml:space="preserve">（实际情况记录文本）对证据一我同意办案人员甲的观点。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办案人员丙：</w:t>
      </w:r>
      <w:r>
        <w:rPr>
          <w:rFonts w:ascii="仿宋_GB2312" w:eastAsia="仿宋_GB2312" w:hAnsi="仿宋" w:hint="eastAsia"/>
          <w:color w:val="000000"/>
          <w:sz w:val="20"/>
          <w:szCs w:val="21"/>
          <w:u w:val="single"/>
        </w:rPr>
        <w:t xml:space="preserve">（实际情况记录文本）对证据一我同意办案人员甲的观点。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（实际情况记录文本）对证据一大家的意见是一致的。下面我们对证据二进行合议。（具</w:t>
      </w:r>
      <w:r>
        <w:rPr>
          <w:rFonts w:ascii="仿宋_GB2312" w:eastAsia="仿宋_GB2312" w:hAnsi="仿宋" w:hint="eastAsia"/>
          <w:color w:val="000000"/>
          <w:sz w:val="20"/>
          <w:szCs w:val="21"/>
          <w:u w:val="single"/>
        </w:rPr>
        <w:t xml:space="preserve">体内容略）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（说明：此处主要内容是对证据一的合议结论；对证据二进行合议，并发表自己的观点）</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办案人员乙：</w:t>
      </w:r>
      <w:r>
        <w:rPr>
          <w:rFonts w:ascii="仿宋_GB2312" w:eastAsia="仿宋_GB2312" w:hAnsi="仿宋" w:hint="eastAsia"/>
          <w:color w:val="000000"/>
          <w:sz w:val="20"/>
          <w:szCs w:val="21"/>
          <w:u w:val="single"/>
        </w:rPr>
        <w:t xml:space="preserve">（实际情况记录文本）对证据二我同意办案人员甲的观点。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办案人员丙：</w:t>
      </w:r>
      <w:r>
        <w:rPr>
          <w:rFonts w:ascii="仿宋_GB2312" w:eastAsia="仿宋_GB2312" w:hAnsi="仿宋" w:hint="eastAsia"/>
          <w:color w:val="000000"/>
          <w:sz w:val="20"/>
          <w:szCs w:val="21"/>
          <w:u w:val="single"/>
        </w:rPr>
        <w:t xml:space="preserve">（实际情况记录文本）对证据二我同意办案人员甲的观点。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（实际情况记录文本）对证据二大家的意见是一致的。下面我们对证据三进行合议。（具</w:t>
      </w:r>
      <w:r>
        <w:rPr>
          <w:rFonts w:ascii="仿宋_GB2312" w:eastAsia="仿宋_GB2312" w:hAnsi="仿宋" w:hint="eastAsia"/>
          <w:color w:val="000000"/>
          <w:sz w:val="20"/>
          <w:szCs w:val="21"/>
          <w:u w:val="single"/>
        </w:rPr>
        <w:t xml:space="preserve">体内容略）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（说明：此处主要内容是对证据二的合议结论；对证据三进行合议，并发表自己的观点）</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办案人员乙：</w:t>
      </w:r>
      <w:r>
        <w:rPr>
          <w:rFonts w:ascii="仿宋" w:eastAsia="仿宋_GB2312" w:hAnsi="仿宋" w:hint="eastAsia"/>
          <w:color w:val="000000"/>
          <w:sz w:val="20"/>
          <w:szCs w:val="21"/>
          <w:u w:val="single"/>
        </w:rPr>
        <w:t>（实际情况记录文本）（此处说明理由，具体内容略）因此说，对证据三我同意办案人员甲的观点，不予采信。</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办案人员丙：</w:t>
      </w:r>
      <w:r>
        <w:rPr>
          <w:rFonts w:ascii="仿宋" w:eastAsia="仿宋_GB2312" w:hAnsi="仿宋" w:hint="eastAsia"/>
          <w:color w:val="000000"/>
          <w:sz w:val="20"/>
          <w:szCs w:val="21"/>
          <w:u w:val="single"/>
        </w:rPr>
        <w:t>（实际情况记录文本）对证据三我同意办案人员甲、办案人员乙的观点。</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（实际情况记录文本）对证据三大家的意见是一致的，不予采信。现在我们来合议一下经过我们调查取得的涉案产品实物照片及照片上所示的技术特征能否采信。（具体内容略）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（说明：此处主要内容是对证据三的合议结论；对办案人员调查取得的证据进行合议，并发表自己的观点）</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办案人员乙：</w:t>
      </w:r>
      <w:r>
        <w:rPr>
          <w:rFonts w:ascii="仿宋" w:eastAsia="仿宋_GB2312" w:hAnsi="仿宋" w:hint="eastAsia"/>
          <w:color w:val="000000"/>
          <w:sz w:val="20"/>
          <w:szCs w:val="21"/>
          <w:u w:val="single"/>
        </w:rPr>
        <w:t>（实际情况记录文本）对于我们调查取得的证据我同意办案人员甲的观点，应当予以采信。</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办案人员丙：</w:t>
      </w:r>
      <w:r>
        <w:rPr>
          <w:rFonts w:ascii="仿宋" w:eastAsia="仿宋_GB2312" w:hAnsi="仿宋" w:hint="eastAsia"/>
          <w:color w:val="000000"/>
          <w:sz w:val="20"/>
          <w:szCs w:val="21"/>
          <w:u w:val="single"/>
        </w:rPr>
        <w:t>（实际情况记录文本）所述的证据是我们到现场调查取得的证据，且双方当事人都予以认可，应当予以采信。</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实际情况记录文本）在证据一、证据二以及我们调查取得的证据予以采信的情况下，我们用权利要求书所记载的技术特征与涉案产品上的技术特征进行对比分析，来确定涉案产品是否落入了权利要求书的保护范围。（具体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（说明：此处内容为确定证据可以采信后，进行技术特征对比并说明自己的观点）</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办案人员乙：</w:t>
      </w:r>
      <w:r>
        <w:rPr>
          <w:rFonts w:ascii="仿宋" w:eastAsia="仿宋_GB2312" w:hAnsi="仿宋" w:hint="eastAsia"/>
          <w:color w:val="000000"/>
          <w:sz w:val="20"/>
          <w:szCs w:val="21"/>
          <w:u w:val="single"/>
        </w:rPr>
        <w:t>（实际情况记录文本）我不同意办案人员甲的看法，理由如下（具体内容略）。</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办案人员丙：</w:t>
      </w:r>
      <w:r>
        <w:rPr>
          <w:rFonts w:ascii="仿宋" w:eastAsia="仿宋_GB2312" w:hAnsi="仿宋" w:hint="eastAsia"/>
          <w:color w:val="000000"/>
          <w:sz w:val="20"/>
          <w:szCs w:val="21"/>
          <w:u w:val="single"/>
        </w:rPr>
        <w:t>（实际情况记录文本）案中所述的两个不同的技术特征是我们在口头审理当中争论的焦点，我认为二者属于等同的技术特征，我同意办案人员甲的观点，实际上是惯用技术置换，适用于全面覆盖原则，根据《中华人民共和国专利法》第五十九条规定，被请求人生产销售的涉案产品落入了请求人的专利保护范围；再加上被请求人在口头审理过程中陈述的制造的涉案产品主要目的是通过销售取得经济效益，根据《中华人民共和国专利法》第十一条规定，未经请求人许可，被请求人以生产经营为目的制造销售了涉案产品，被请求人侵犯了请求人的专利权。</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固定格式与实际情况记录相结合文本）因乙的意见不同，合议组合议案件，实行少数服从多数的原则对案件涉及的证据是否采信、事实是否认定及理由是否成立等进行表决。我们的争议在于技术特征×和技术特征×，刚才我已经讲明了我对技术特征×和技术特征×的看法了，我认为二者是构成等同的，涉案产品是侵权行为。根据</w:t>
      </w:r>
      <w:r>
        <w:rPr>
          <w:rFonts w:ascii="仿宋" w:eastAsia="仿宋_GB2312" w:hAnsi="仿宋" w:cs="宋体" w:hint="eastAsia"/>
          <w:color w:val="000000"/>
          <w:sz w:val="20"/>
          <w:szCs w:val="21"/>
          <w:u w:val="single"/>
        </w:rPr>
        <w:t>《专利纠纷行政裁决和调解办法》第三十二条</w:t>
      </w:r>
      <w:r>
        <w:rPr>
          <w:rFonts w:ascii="仿宋" w:eastAsia="仿宋_GB2312" w:hAnsi="仿宋" w:hint="eastAsia"/>
          <w:color w:val="000000"/>
          <w:sz w:val="20"/>
          <w:szCs w:val="21"/>
          <w:u w:val="single"/>
        </w:rPr>
        <w:t>规定，应当责令被请求人立即停止制造、销售涉案产品并销毁涉案产品。</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办案人员乙：</w:t>
      </w:r>
      <w:r>
        <w:rPr>
          <w:rFonts w:ascii="仿宋" w:eastAsia="仿宋_GB2312" w:hAnsi="仿宋" w:hint="eastAsia"/>
          <w:color w:val="000000"/>
          <w:sz w:val="20"/>
          <w:szCs w:val="21"/>
          <w:u w:val="single"/>
        </w:rPr>
        <w:t>我不同意办案人员甲的看法，我坚持自己的看法，技术特征×和技术特征×不构成等同，我认为涉案产品不侵权。</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办案人员丙：</w:t>
      </w:r>
      <w:r>
        <w:rPr>
          <w:rFonts w:ascii="仿宋" w:eastAsia="仿宋_GB2312" w:hAnsi="仿宋" w:hint="eastAsia"/>
          <w:color w:val="000000"/>
          <w:sz w:val="20"/>
          <w:szCs w:val="21"/>
          <w:u w:val="single"/>
        </w:rPr>
        <w:t>我同意办案人员甲的意见，认为技术特征×和技术特征×是构成等同的，涉案产品是侵权产品。</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（说明：此处内容为形成的认定侵权意见，并根据</w:t>
      </w:r>
      <w:r>
        <w:rPr>
          <w:rFonts w:ascii="仿宋" w:eastAsia="仿宋_GB2312" w:hAnsi="仿宋" w:cs="宋体" w:hint="eastAsia"/>
          <w:color w:val="000000"/>
          <w:sz w:val="20"/>
          <w:szCs w:val="21"/>
          <w:u w:val="single"/>
        </w:rPr>
        <w:t>《专利纠纷行政裁决和调解办法》</w:t>
      </w:r>
      <w:r>
        <w:rPr>
          <w:rFonts w:ascii="仿宋" w:eastAsia="仿宋_GB2312" w:hAnsi="仿宋" w:hint="eastAsia"/>
          <w:color w:val="000000"/>
          <w:sz w:val="20"/>
          <w:szCs w:val="21"/>
          <w:u w:val="single"/>
        </w:rPr>
        <w:t>规定确定处理意见）</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办案人员乙：</w:t>
      </w:r>
      <w:r>
        <w:rPr>
          <w:rFonts w:ascii="仿宋" w:eastAsia="仿宋_GB2312" w:hAnsi="仿宋" w:hint="eastAsia"/>
          <w:color w:val="000000"/>
          <w:sz w:val="20"/>
          <w:szCs w:val="21"/>
          <w:u w:val="single"/>
        </w:rPr>
        <w:t>（实际情况记录文本）我坚持我的意见，不同意。</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办案人员丙：</w:t>
      </w:r>
      <w:r>
        <w:rPr>
          <w:rFonts w:ascii="仿宋" w:eastAsia="仿宋_GB2312" w:hAnsi="仿宋" w:hint="eastAsia"/>
          <w:color w:val="000000"/>
          <w:sz w:val="20"/>
          <w:szCs w:val="21"/>
          <w:u w:val="single"/>
        </w:rPr>
        <w:t>（实际情况记录文本）同意。</w:t>
      </w:r>
      <w:r>
        <w:rPr>
          <w:rFonts w:ascii="仿宋"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黑体" w:eastAsia="黑体" w:hAnsi="黑体" w:hint="eastAsia"/>
          <w:color w:val="000000"/>
          <w:sz w:val="20"/>
          <w:szCs w:val="21"/>
          <w:u w:val="single"/>
        </w:rPr>
        <w:t>办案人员甲：</w:t>
      </w:r>
      <w:r>
        <w:rPr>
          <w:rFonts w:ascii="仿宋" w:eastAsia="仿宋_GB2312" w:hAnsi="仿宋" w:hint="eastAsia"/>
          <w:color w:val="000000"/>
          <w:sz w:val="20"/>
          <w:szCs w:val="21"/>
          <w:u w:val="single"/>
        </w:rPr>
        <w:t>（固定格式与实际情况记录相结合文本）经过合议，我与办案人员丙认为被请求人生产销售</w:t>
      </w:r>
      <w:r>
        <w:rPr>
          <w:rFonts w:ascii="仿宋_GB2312" w:eastAsia="仿宋_GB2312" w:hAnsi="仿宋" w:hint="eastAsia"/>
          <w:color w:val="000000"/>
          <w:sz w:val="20"/>
          <w:szCs w:val="21"/>
          <w:u w:val="single"/>
        </w:rPr>
        <w:t xml:space="preserve">的涉案产品侵犯了请求人的专利权，应当责令被请求人立即停止生产销售涉案产品并销毁涉案产品；而办案人员乙认为涉案产品与权利要求书中的技术特征×和技术特征×是不同，认为不构成侵权。根据少数服从多数的原则，合议组认为涉案产品是侵权的。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（说明：此处内容为形成结论性处理结果 ）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仿宋" w:eastAsia="仿宋_GB2312" w:hAnsi="仿宋" w:hint="eastAsia"/>
          <w:color w:val="000000"/>
          <w:sz w:val="20"/>
          <w:szCs w:val="21"/>
          <w:u w:val="single"/>
        </w:rPr>
        <w:t>合议组成员（签字）：</w:t>
      </w:r>
      <w:r>
        <w:rPr>
          <w:rFonts w:ascii="华文行楷" w:eastAsia="华文行楷" w:hAnsi="仿宋" w:hint="eastAsia"/>
          <w:color w:val="000000"/>
          <w:sz w:val="20"/>
          <w:szCs w:val="21"/>
          <w:u w:val="single"/>
        </w:rPr>
        <w:t>办案人员甲</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华文行楷" w:eastAsia="华文行楷" w:hAnsi="仿宋" w:hint="eastAsia"/>
          <w:color w:val="000000"/>
          <w:sz w:val="20"/>
          <w:szCs w:val="21"/>
          <w:u w:val="single"/>
        </w:rPr>
        <w:t>办案人员乙</w:t>
      </w:r>
      <w:r>
        <w:rPr>
          <w:rFonts w:ascii="仿宋_GB2312" w:eastAsia="仿宋_GB2312" w:hAnsi="仿宋" w:hint="eastAsia"/>
          <w:color w:val="000000"/>
          <w:sz w:val="20"/>
          <w:szCs w:val="21"/>
          <w:u w:val="single"/>
        </w:rPr>
        <w:t xml:space="preserve">     20××年××月××日 </w:t>
      </w:r>
    </w:p>
    <w:p w:rsidR="00800760" w:rsidRDefault="00235733">
      <w:pPr>
        <w:spacing w:line="360" w:lineRule="auto"/>
        <w:ind w:firstLineChars="0" w:firstLine="0"/>
        <w:jc w:val="right"/>
        <w:rPr>
          <w:rFonts w:ascii="仿宋_GB2312" w:eastAsia="仿宋_GB2312" w:hAnsi="仿宋"/>
          <w:color w:val="000000"/>
          <w:sz w:val="20"/>
          <w:szCs w:val="21"/>
          <w:u w:val="single"/>
        </w:rPr>
      </w:pPr>
      <w:r>
        <w:rPr>
          <w:rFonts w:ascii="仿宋" w:eastAsia="仿宋_GB2312" w:hAnsi="仿宋" w:hint="eastAsia"/>
          <w:color w:val="000000"/>
          <w:sz w:val="20"/>
          <w:szCs w:val="21"/>
          <w:u w:val="single"/>
        </w:rPr>
        <w:t xml:space="preserve">                                                </w:t>
      </w:r>
      <w:r>
        <w:rPr>
          <w:rFonts w:ascii="华文行楷" w:eastAsia="华文行楷" w:hAnsi="仿宋" w:hint="eastAsia"/>
          <w:color w:val="000000"/>
          <w:sz w:val="20"/>
          <w:szCs w:val="21"/>
          <w:u w:val="single"/>
        </w:rPr>
        <w:t>办案人员丙</w:t>
      </w:r>
      <w:r>
        <w:rPr>
          <w:rFonts w:ascii="仿宋_GB2312" w:eastAsia="仿宋_GB2312" w:hAnsi="仿宋" w:hint="eastAsia"/>
          <w:color w:val="000000"/>
          <w:sz w:val="20"/>
          <w:szCs w:val="21"/>
          <w:u w:val="single"/>
        </w:rPr>
        <w:t xml:space="preserve">     20××年××月××日</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235733">
      <w:pPr>
        <w:spacing w:line="360" w:lineRule="auto"/>
        <w:ind w:firstLineChars="0" w:firstLine="0"/>
        <w:rPr>
          <w:rFonts w:ascii="仿宋_GB2312" w:eastAsia="仿宋_GB2312" w:hAnsi="仿宋"/>
          <w:color w:val="000000"/>
          <w:sz w:val="20"/>
          <w:szCs w:val="21"/>
          <w:u w:val="single"/>
        </w:rPr>
      </w:pPr>
      <w:r>
        <w:rPr>
          <w:rFonts w:ascii="仿宋_GB2312" w:eastAsia="仿宋_GB2312" w:hAnsi="仿宋" w:hint="eastAsia"/>
          <w:color w:val="000000"/>
          <w:sz w:val="20"/>
          <w:szCs w:val="21"/>
          <w:u w:val="single"/>
        </w:rPr>
        <w:t xml:space="preserve">                                                                                        </w:t>
      </w:r>
    </w:p>
    <w:p w:rsidR="00800760" w:rsidRDefault="00800760">
      <w:pPr>
        <w:ind w:firstLineChars="0" w:firstLine="0"/>
      </w:pPr>
    </w:p>
    <w:sectPr w:rsidR="00800760" w:rsidSect="008175D7">
      <w:headerReference w:type="even" r:id="rId110"/>
      <w:footerReference w:type="even" r:id="rId111"/>
      <w:footerReference w:type="default" r:id="rId112"/>
      <w:headerReference w:type="first" r:id="rId113"/>
      <w:footerReference w:type="first" r:id="rId114"/>
      <w:pgSz w:w="11906" w:h="16838"/>
      <w:pgMar w:top="1440" w:right="1800" w:bottom="1440" w:left="1800" w:header="431" w:footer="969"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DEC" w:rsidRDefault="003D6DEC">
      <w:pPr>
        <w:spacing w:line="240" w:lineRule="auto"/>
      </w:pPr>
      <w:r>
        <w:separator/>
      </w:r>
    </w:p>
  </w:endnote>
  <w:endnote w:type="continuationSeparator" w:id="0">
    <w:p w:rsidR="003D6DEC" w:rsidRDefault="003D6DE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小标宋_GBK">
    <w:panose1 w:val="02000000000000000000"/>
    <w:charset w:val="86"/>
    <w:family w:val="auto"/>
    <w:pitch w:val="variable"/>
    <w:sig w:usb0="A00002BF" w:usb1="38CF7CFA" w:usb2="00082016" w:usb3="00000000" w:csb0="00040001"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方正仿宋简体">
    <w:panose1 w:val="02000000000000000000"/>
    <w:charset w:val="86"/>
    <w:family w:val="auto"/>
    <w:pitch w:val="variable"/>
    <w:sig w:usb0="A00002BF" w:usb1="184F6CFA" w:usb2="00000012" w:usb3="00000000" w:csb0="00040001" w:csb1="00000000"/>
  </w:font>
  <w:font w:name="仿宋_GB2312">
    <w:panose1 w:val="02010609030101010101"/>
    <w:charset w:val="86"/>
    <w:family w:val="modern"/>
    <w:pitch w:val="fixed"/>
    <w:sig w:usb0="00000001" w:usb1="080E0000" w:usb2="00000010" w:usb3="00000000" w:csb0="00040000" w:csb1="00000000"/>
  </w:font>
  <w:font w:name="MingLiU_HKSCS">
    <w:panose1 w:val="02020500000000000000"/>
    <w:charset w:val="88"/>
    <w:family w:val="roman"/>
    <w:pitch w:val="variable"/>
    <w:sig w:usb0="A00002FF" w:usb1="3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等线">
    <w:altName w:val="Arial Unicode MS"/>
    <w:charset w:val="86"/>
    <w:family w:val="auto"/>
    <w:pitch w:val="default"/>
    <w:sig w:usb0="00000000" w:usb1="38CF7CFA" w:usb2="00000016" w:usb3="00000000" w:csb0="0004000F" w:csb1="00000000"/>
  </w:font>
  <w:font w:name="等线 Light">
    <w:charset w:val="86"/>
    <w:family w:val="auto"/>
    <w:pitch w:val="default"/>
    <w:sig w:usb0="A00002BF" w:usb1="38CF7CFA" w:usb2="00000016" w:usb3="00000000" w:csb0="0004000F" w:csb1="00000000"/>
  </w:font>
  <w:font w:name="Microsoft YaHei UI">
    <w:charset w:val="86"/>
    <w:family w:val="swiss"/>
    <w:pitch w:val="default"/>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Nimbus Roman No9 L">
    <w:altName w:val="华文中宋"/>
    <w:charset w:val="00"/>
    <w:family w:val="auto"/>
    <w:pitch w:val="default"/>
    <w:sig w:usb0="00000000" w:usb1="00000000" w:usb2="00000000" w:usb3="00000000" w:csb0="00040001" w:csb1="00000000"/>
  </w:font>
  <w:font w:name="Cambria Math">
    <w:panose1 w:val="02040503050406030204"/>
    <w:charset w:val="00"/>
    <w:family w:val="roman"/>
    <w:pitch w:val="variable"/>
    <w:sig w:usb0="E00002FF" w:usb1="420024FF" w:usb2="00000000" w:usb3="00000000" w:csb0="0000019F" w:csb1="00000000"/>
  </w:font>
  <w:font w:name="华文隶书">
    <w:panose1 w:val="02010800040101010101"/>
    <w:charset w:val="86"/>
    <w:family w:val="auto"/>
    <w:pitch w:val="variable"/>
    <w:sig w:usb0="00000001" w:usb1="080F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HTJ-PK74820000537-Identity-H">
    <w:altName w:val="仿宋"/>
    <w:charset w:val="00"/>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 w:name="Microsoft JhengHei">
    <w:panose1 w:val="020B0604030504040204"/>
    <w:charset w:val="88"/>
    <w:family w:val="swiss"/>
    <w:pitch w:val="variable"/>
    <w:sig w:usb0="00000087" w:usb1="288F40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华文行楷">
    <w:panose1 w:val="02010800040101010101"/>
    <w:charset w:val="86"/>
    <w:family w:val="auto"/>
    <w:pitch w:val="variable"/>
    <w:sig w:usb0="00000001" w:usb1="080F0000" w:usb2="00000010" w:usb3="00000000" w:csb0="00040000" w:csb1="00000000"/>
  </w:font>
  <w:font w:name="Ink Free">
    <w:altName w:val="Courier New"/>
    <w:charset w:val="00"/>
    <w:family w:val="script"/>
    <w:pitch w:val="default"/>
    <w:sig w:usb0="00000001" w:usb1="4000000A"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7774D">
    <w:pPr>
      <w:pStyle w:val="a9"/>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22A7B">
    <w:pPr>
      <w:pStyle w:val="a9"/>
      <w:ind w:firstLineChars="0" w:firstLine="0"/>
      <w:jc w:val="center"/>
    </w:pPr>
    <w:fldSimple w:instr=" PAGE  \* MERGEFORMAT ">
      <w:r w:rsidR="002D3E33">
        <w:rPr>
          <w:noProof/>
        </w:rPr>
        <w:t>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4470"/>
      <w:docPartObj>
        <w:docPartGallery w:val="Page Numbers (Bottom of Page)"/>
        <w:docPartUnique/>
      </w:docPartObj>
    </w:sdtPr>
    <w:sdtContent>
      <w:p w:rsidR="00C7774D" w:rsidRDefault="00C22A7B" w:rsidP="000F470B">
        <w:pPr>
          <w:pStyle w:val="a9"/>
          <w:ind w:firstLine="360"/>
          <w:jc w:val="center"/>
        </w:pPr>
        <w:fldSimple w:instr=" PAGE   \* MERGEFORMAT ">
          <w:r w:rsidR="00257EF4" w:rsidRPr="00257EF4">
            <w:rPr>
              <w:noProof/>
              <w:lang w:val="zh-CN"/>
            </w:rPr>
            <w:t>371</w:t>
          </w:r>
        </w:fldSimple>
      </w:p>
    </w:sdtContent>
  </w:sdt>
  <w:p w:rsidR="00C7774D" w:rsidRDefault="00C7774D">
    <w:pPr>
      <w:pStyle w:val="a9"/>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22A7B">
    <w:pPr>
      <w:pStyle w:val="a9"/>
      <w:ind w:firstLine="360"/>
      <w:jc w:val="center"/>
    </w:pPr>
    <w:fldSimple w:instr=" PAGE  \* MERGEFORMAT ">
      <w:r w:rsidR="00257EF4">
        <w:rPr>
          <w:noProof/>
        </w:rPr>
        <w:t>194</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22A7B">
    <w:pPr>
      <w:pStyle w:val="a9"/>
      <w:ind w:firstLine="360"/>
      <w:jc w:val="center"/>
    </w:pPr>
    <w:fldSimple w:instr=" PAGE  \* MERGEFORMAT ">
      <w:r w:rsidR="00257EF4">
        <w:rPr>
          <w:noProof/>
        </w:rPr>
        <w:t>280</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80"/>
    </w:sdtPr>
    <w:sdtEndPr>
      <w:rPr>
        <w:sz w:val="18"/>
        <w:szCs w:val="18"/>
      </w:rPr>
    </w:sdtEndPr>
    <w:sdtContent>
      <w:sdt>
        <w:sdtPr>
          <w:rPr>
            <w:lang w:eastAsia="en-US"/>
          </w:rPr>
          <w:id w:val="19104581"/>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359</w:t>
            </w:r>
            <w:r w:rsidR="00C22A7B">
              <w:rPr>
                <w:b/>
                <w:sz w:val="24"/>
                <w:szCs w:val="24"/>
                <w:lang w:eastAsia="en-US"/>
              </w:rPr>
              <w:fldChar w:fldCharType="end"/>
            </w:r>
          </w:p>
        </w:sdtContent>
      </w:sdt>
    </w:sdtContent>
  </w:sdt>
  <w:p w:rsidR="00C7774D" w:rsidRDefault="00C7774D">
    <w:pPr>
      <w:snapToGrid w:val="0"/>
      <w:ind w:firstLine="360"/>
      <w:rPr>
        <w:sz w:val="18"/>
        <w:szCs w:val="18"/>
        <w:lang w:eastAsia="en-US"/>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82"/>
    </w:sdtPr>
    <w:sdtEndPr>
      <w:rPr>
        <w:sz w:val="18"/>
        <w:szCs w:val="18"/>
      </w:rPr>
    </w:sdtEndPr>
    <w:sdtContent>
      <w:sdt>
        <w:sdtPr>
          <w:rPr>
            <w:lang w:eastAsia="en-US"/>
          </w:rPr>
          <w:id w:val="19104583"/>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361</w:t>
            </w:r>
            <w:r w:rsidR="00C22A7B">
              <w:rPr>
                <w:b/>
                <w:sz w:val="24"/>
                <w:szCs w:val="24"/>
                <w:lang w:eastAsia="en-US"/>
              </w:rPr>
              <w:fldChar w:fldCharType="end"/>
            </w:r>
          </w:p>
        </w:sdtContent>
      </w:sdt>
    </w:sdtContent>
  </w:sdt>
  <w:p w:rsidR="00C7774D" w:rsidRDefault="00C7774D">
    <w:pPr>
      <w:spacing w:line="176" w:lineRule="auto"/>
      <w:ind w:left="7550" w:firstLineChars="0" w:firstLine="0"/>
      <w:rPr>
        <w:rFonts w:eastAsia="Times New Roman"/>
        <w:sz w:val="18"/>
        <w:szCs w:val="18"/>
        <w:lang w:eastAsia="en-US"/>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84"/>
    </w:sdtPr>
    <w:sdtEndPr>
      <w:rPr>
        <w:sz w:val="18"/>
        <w:szCs w:val="18"/>
      </w:rPr>
    </w:sdtEndPr>
    <w:sdtContent>
      <w:sdt>
        <w:sdtPr>
          <w:rPr>
            <w:lang w:eastAsia="en-US"/>
          </w:rPr>
          <w:id w:val="19104585"/>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362</w:t>
            </w:r>
            <w:r w:rsidR="00C22A7B">
              <w:rPr>
                <w:b/>
                <w:sz w:val="24"/>
                <w:szCs w:val="24"/>
                <w:lang w:eastAsia="en-US"/>
              </w:rPr>
              <w:fldChar w:fldCharType="end"/>
            </w:r>
          </w:p>
        </w:sdtContent>
      </w:sdt>
    </w:sdtContent>
  </w:sdt>
  <w:p w:rsidR="00C7774D" w:rsidRDefault="00C7774D">
    <w:pPr>
      <w:spacing w:before="1" w:line="174" w:lineRule="auto"/>
      <w:ind w:left="119" w:firstLineChars="0" w:firstLine="0"/>
      <w:rPr>
        <w:rFonts w:ascii="宋体" w:hAnsi="宋体" w:cs="宋体"/>
        <w:sz w:val="20"/>
        <w:lang w:eastAsia="en-US"/>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86"/>
    </w:sdtPr>
    <w:sdtEndPr>
      <w:rPr>
        <w:sz w:val="18"/>
        <w:szCs w:val="18"/>
      </w:rPr>
    </w:sdtEndPr>
    <w:sdtContent>
      <w:sdt>
        <w:sdtPr>
          <w:rPr>
            <w:lang w:eastAsia="en-US"/>
          </w:rPr>
          <w:id w:val="19104587"/>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363</w:t>
            </w:r>
            <w:r w:rsidR="00C22A7B">
              <w:rPr>
                <w:b/>
                <w:sz w:val="24"/>
                <w:szCs w:val="24"/>
                <w:lang w:eastAsia="en-US"/>
              </w:rPr>
              <w:fldChar w:fldCharType="end"/>
            </w:r>
          </w:p>
        </w:sdtContent>
      </w:sdt>
    </w:sdtContent>
  </w:sdt>
  <w:p w:rsidR="00C7774D" w:rsidRDefault="00C7774D">
    <w:pPr>
      <w:spacing w:before="1" w:line="174" w:lineRule="auto"/>
      <w:ind w:left="7559" w:firstLineChars="0" w:firstLine="0"/>
      <w:rPr>
        <w:rFonts w:ascii="宋体" w:hAnsi="宋体" w:cs="宋体"/>
        <w:sz w:val="20"/>
        <w:lang w:eastAsia="en-US"/>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88"/>
    </w:sdtPr>
    <w:sdtEndPr>
      <w:rPr>
        <w:sz w:val="18"/>
        <w:szCs w:val="18"/>
      </w:rPr>
    </w:sdtEndPr>
    <w:sdtContent>
      <w:sdt>
        <w:sdtPr>
          <w:rPr>
            <w:lang w:eastAsia="en-US"/>
          </w:rPr>
          <w:id w:val="19104589"/>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365</w:t>
            </w:r>
            <w:r w:rsidR="00C22A7B">
              <w:rPr>
                <w:b/>
                <w:sz w:val="24"/>
                <w:szCs w:val="24"/>
                <w:lang w:eastAsia="en-US"/>
              </w:rPr>
              <w:fldChar w:fldCharType="end"/>
            </w:r>
          </w:p>
        </w:sdtContent>
      </w:sdt>
    </w:sdtContent>
  </w:sdt>
  <w:p w:rsidR="00C7774D" w:rsidRDefault="00C7774D">
    <w:pPr>
      <w:spacing w:line="174" w:lineRule="auto"/>
      <w:ind w:left="7560" w:firstLineChars="0" w:firstLine="0"/>
      <w:rPr>
        <w:rFonts w:eastAsia="Times New Roman"/>
        <w:sz w:val="15"/>
        <w:szCs w:val="15"/>
        <w:lang w:eastAsia="en-US"/>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90"/>
    </w:sdtPr>
    <w:sdtEndPr>
      <w:rPr>
        <w:sz w:val="18"/>
        <w:szCs w:val="18"/>
      </w:rPr>
    </w:sdtEndPr>
    <w:sdtContent>
      <w:sdt>
        <w:sdtPr>
          <w:rPr>
            <w:lang w:eastAsia="en-US"/>
          </w:rPr>
          <w:id w:val="19104591"/>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367</w:t>
            </w:r>
            <w:r w:rsidR="00C22A7B">
              <w:rPr>
                <w:b/>
                <w:sz w:val="24"/>
                <w:szCs w:val="24"/>
                <w:lang w:eastAsia="en-US"/>
              </w:rPr>
              <w:fldChar w:fldCharType="end"/>
            </w:r>
          </w:p>
        </w:sdtContent>
      </w:sdt>
    </w:sdtContent>
  </w:sdt>
  <w:p w:rsidR="00C7774D" w:rsidRDefault="00C7774D">
    <w:pPr>
      <w:spacing w:line="174" w:lineRule="auto"/>
      <w:ind w:left="7570" w:firstLineChars="0" w:firstLine="0"/>
      <w:rPr>
        <w:rFonts w:eastAsia="Times New Roman"/>
        <w:sz w:val="15"/>
        <w:szCs w:val="15"/>
        <w:lang w:eastAsia="en-US"/>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92"/>
    </w:sdtPr>
    <w:sdtEndPr>
      <w:rPr>
        <w:sz w:val="18"/>
        <w:szCs w:val="18"/>
      </w:rPr>
    </w:sdtEndPr>
    <w:sdtContent>
      <w:sdt>
        <w:sdtPr>
          <w:rPr>
            <w:lang w:eastAsia="en-US"/>
          </w:rPr>
          <w:id w:val="19104593"/>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368</w:t>
            </w:r>
            <w:r w:rsidR="00C22A7B">
              <w:rPr>
                <w:b/>
                <w:sz w:val="24"/>
                <w:szCs w:val="24"/>
                <w:lang w:eastAsia="en-US"/>
              </w:rPr>
              <w:fldChar w:fldCharType="end"/>
            </w:r>
          </w:p>
        </w:sdtContent>
      </w:sdt>
    </w:sdtContent>
  </w:sdt>
  <w:p w:rsidR="00C7774D" w:rsidRDefault="00C7774D">
    <w:pPr>
      <w:spacing w:line="174" w:lineRule="auto"/>
      <w:ind w:left="119" w:firstLineChars="0" w:firstLine="0"/>
      <w:rPr>
        <w:rFonts w:eastAsia="Times New Roman"/>
        <w:sz w:val="15"/>
        <w:szCs w:val="15"/>
        <w:lang w:eastAsia="en-US"/>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94"/>
    </w:sdtPr>
    <w:sdtEndPr>
      <w:rPr>
        <w:sz w:val="18"/>
        <w:szCs w:val="18"/>
      </w:rPr>
    </w:sdtEndPr>
    <w:sdtContent>
      <w:sdt>
        <w:sdtPr>
          <w:rPr>
            <w:lang w:eastAsia="en-US"/>
          </w:rPr>
          <w:id w:val="19104595"/>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369</w:t>
            </w:r>
            <w:r w:rsidR="00C22A7B">
              <w:rPr>
                <w:b/>
                <w:sz w:val="24"/>
                <w:szCs w:val="24"/>
                <w:lang w:eastAsia="en-US"/>
              </w:rPr>
              <w:fldChar w:fldCharType="end"/>
            </w:r>
          </w:p>
        </w:sdtContent>
      </w:sdt>
    </w:sdtContent>
  </w:sdt>
  <w:p w:rsidR="00C7774D" w:rsidRDefault="00C7774D">
    <w:pPr>
      <w:spacing w:line="175" w:lineRule="auto"/>
      <w:ind w:left="7550" w:firstLineChars="0" w:firstLine="0"/>
      <w:rPr>
        <w:rFonts w:ascii="宋体" w:hAnsi="宋体" w:cs="宋体"/>
        <w:sz w:val="22"/>
        <w:szCs w:val="22"/>
        <w:lang w:eastAsia="en-US"/>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96"/>
    </w:sdtPr>
    <w:sdtEndPr>
      <w:rPr>
        <w:sz w:val="18"/>
        <w:szCs w:val="18"/>
      </w:rPr>
    </w:sdtEndPr>
    <w:sdtContent>
      <w:sdt>
        <w:sdtPr>
          <w:rPr>
            <w:lang w:eastAsia="en-US"/>
          </w:rPr>
          <w:id w:val="19104597"/>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384</w:t>
            </w:r>
            <w:r w:rsidR="00C22A7B">
              <w:rPr>
                <w:b/>
                <w:sz w:val="24"/>
                <w:szCs w:val="24"/>
                <w:lang w:eastAsia="en-US"/>
              </w:rPr>
              <w:fldChar w:fldCharType="end"/>
            </w:r>
          </w:p>
        </w:sdtContent>
      </w:sdt>
    </w:sdtContent>
  </w:sdt>
  <w:p w:rsidR="00C7774D" w:rsidRDefault="00C7774D">
    <w:pPr>
      <w:spacing w:line="174" w:lineRule="auto"/>
      <w:ind w:left="110" w:firstLineChars="0" w:firstLine="0"/>
      <w:rPr>
        <w:rFonts w:eastAsia="Times New Roman"/>
        <w:sz w:val="15"/>
        <w:szCs w:val="15"/>
        <w:lang w:eastAsia="en-US"/>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598"/>
    </w:sdtPr>
    <w:sdtEndPr>
      <w:rPr>
        <w:sz w:val="18"/>
        <w:szCs w:val="18"/>
      </w:rPr>
    </w:sdtEndPr>
    <w:sdtContent>
      <w:sdt>
        <w:sdtPr>
          <w:rPr>
            <w:lang w:eastAsia="en-US"/>
          </w:rPr>
          <w:id w:val="19104599"/>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385</w:t>
            </w:r>
            <w:r w:rsidR="00C22A7B">
              <w:rPr>
                <w:b/>
                <w:sz w:val="24"/>
                <w:szCs w:val="24"/>
                <w:lang w:eastAsia="en-US"/>
              </w:rPr>
              <w:fldChar w:fldCharType="end"/>
            </w:r>
          </w:p>
        </w:sdtContent>
      </w:sdt>
    </w:sdtContent>
  </w:sdt>
  <w:p w:rsidR="00C7774D" w:rsidRDefault="00C7774D">
    <w:pPr>
      <w:spacing w:line="174" w:lineRule="auto"/>
      <w:ind w:left="7560" w:firstLineChars="0" w:firstLine="0"/>
      <w:rPr>
        <w:rFonts w:eastAsia="Times New Roman"/>
        <w:sz w:val="15"/>
        <w:szCs w:val="15"/>
        <w:lang w:eastAsia="en-US"/>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eastAsia="en-US"/>
      </w:rPr>
      <w:id w:val="19104600"/>
    </w:sdtPr>
    <w:sdtEndPr>
      <w:rPr>
        <w:sz w:val="18"/>
        <w:szCs w:val="18"/>
      </w:rPr>
    </w:sdtEndPr>
    <w:sdtContent>
      <w:sdt>
        <w:sdtPr>
          <w:rPr>
            <w:lang w:eastAsia="en-US"/>
          </w:rPr>
          <w:id w:val="19104601"/>
        </w:sdtPr>
        <w:sdtEndPr>
          <w:rPr>
            <w:sz w:val="18"/>
            <w:szCs w:val="18"/>
          </w:rPr>
        </w:sdtEndPr>
        <w:sdtContent>
          <w:p w:rsidR="00C7774D" w:rsidRDefault="00C7774D">
            <w:pPr>
              <w:snapToGrid w:val="0"/>
              <w:jc w:val="center"/>
              <w:rPr>
                <w:sz w:val="18"/>
                <w:szCs w:val="18"/>
                <w:lang w:eastAsia="en-US"/>
              </w:rPr>
            </w:pPr>
            <w:r>
              <w:rPr>
                <w:sz w:val="18"/>
                <w:szCs w:val="18"/>
                <w:lang w:val="zh-CN" w:eastAsia="en-US"/>
              </w:rPr>
              <w:t xml:space="preserve"> </w:t>
            </w:r>
            <w:r w:rsidR="00C22A7B">
              <w:rPr>
                <w:b/>
                <w:sz w:val="24"/>
                <w:szCs w:val="24"/>
                <w:lang w:eastAsia="en-US"/>
              </w:rPr>
              <w:fldChar w:fldCharType="begin"/>
            </w:r>
            <w:r>
              <w:rPr>
                <w:b/>
                <w:sz w:val="18"/>
                <w:szCs w:val="18"/>
                <w:lang w:eastAsia="en-US"/>
              </w:rPr>
              <w:instrText>PAGE</w:instrText>
            </w:r>
            <w:r w:rsidR="00C22A7B">
              <w:rPr>
                <w:b/>
                <w:sz w:val="24"/>
                <w:szCs w:val="24"/>
                <w:lang w:eastAsia="en-US"/>
              </w:rPr>
              <w:fldChar w:fldCharType="separate"/>
            </w:r>
            <w:r w:rsidR="00257EF4">
              <w:rPr>
                <w:b/>
                <w:noProof/>
                <w:sz w:val="18"/>
                <w:szCs w:val="18"/>
                <w:lang w:eastAsia="en-US"/>
              </w:rPr>
              <w:t>419</w:t>
            </w:r>
            <w:r w:rsidR="00C22A7B">
              <w:rPr>
                <w:b/>
                <w:sz w:val="24"/>
                <w:szCs w:val="24"/>
                <w:lang w:eastAsia="en-US"/>
              </w:rPr>
              <w:fldChar w:fldCharType="end"/>
            </w:r>
          </w:p>
        </w:sdtContent>
      </w:sdt>
    </w:sdtContent>
  </w:sdt>
  <w:p w:rsidR="00C7774D" w:rsidRDefault="00C7774D">
    <w:pPr>
      <w:spacing w:line="174" w:lineRule="auto"/>
      <w:ind w:left="7550" w:firstLineChars="0" w:firstLine="0"/>
      <w:rPr>
        <w:rFonts w:eastAsia="Times New Roman"/>
        <w:sz w:val="15"/>
        <w:szCs w:val="15"/>
        <w:lang w:eastAsia="en-US"/>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7774D">
    <w:pPr>
      <w:pStyle w:val="a9"/>
      <w:ind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5907"/>
    </w:sdtPr>
    <w:sdtContent>
      <w:p w:rsidR="00C7774D" w:rsidRDefault="00C22A7B">
        <w:pPr>
          <w:pStyle w:val="a9"/>
          <w:ind w:firstLine="360"/>
          <w:jc w:val="center"/>
        </w:pPr>
        <w:r w:rsidRPr="00C22A7B">
          <w:fldChar w:fldCharType="begin"/>
        </w:r>
        <w:r w:rsidR="00C7774D">
          <w:instrText xml:space="preserve"> PAGE   \* MERGEFORMAT </w:instrText>
        </w:r>
        <w:r w:rsidRPr="00C22A7B">
          <w:fldChar w:fldCharType="separate"/>
        </w:r>
        <w:r w:rsidR="00257EF4" w:rsidRPr="00257EF4">
          <w:rPr>
            <w:noProof/>
            <w:lang w:val="zh-CN"/>
          </w:rPr>
          <w:t>447</w:t>
        </w:r>
        <w:r>
          <w:rPr>
            <w:lang w:val="zh-CN"/>
          </w:rPr>
          <w:fldChar w:fldCharType="end"/>
        </w:r>
      </w:p>
    </w:sdtContent>
  </w:sdt>
  <w:p w:rsidR="00C7774D" w:rsidRDefault="00C7774D">
    <w:pPr>
      <w:pStyle w:val="a9"/>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7774D">
    <w:pPr>
      <w:pStyle w:val="a9"/>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DEC" w:rsidRDefault="003D6DEC">
      <w:r>
        <w:separator/>
      </w:r>
    </w:p>
  </w:footnote>
  <w:footnote w:type="continuationSeparator" w:id="0">
    <w:p w:rsidR="003D6DEC" w:rsidRDefault="003D6D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7774D" w:rsidP="00492CC5">
    <w:pPr>
      <w:pStyle w:val="aa"/>
      <w:pBdr>
        <w:bottom w:val="none" w:sz="0" w:space="0" w:color="auto"/>
      </w:pBd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7774D" w:rsidP="00492CC5">
    <w:pPr>
      <w:pStyle w:val="aa"/>
      <w:pBdr>
        <w:bottom w:val="none" w:sz="0" w:space="0" w:color="auto"/>
      </w:pBdr>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Pr="00C7774D" w:rsidRDefault="00C7774D" w:rsidP="00C7774D">
    <w:pPr>
      <w:pStyle w:val="aa"/>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7774D">
    <w:pPr>
      <w:pStyle w:val="aa"/>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7774D">
    <w:pPr>
      <w:pStyle w:val="aa"/>
      <w:ind w:firstLine="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74D" w:rsidRDefault="00C7774D">
    <w:pPr>
      <w:pStyle w:val="aa"/>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CB69B"/>
    <w:multiLevelType w:val="singleLevel"/>
    <w:tmpl w:val="11ECB69B"/>
    <w:lvl w:ilvl="0">
      <w:start w:val="1"/>
      <w:numFmt w:val="decimal"/>
      <w:suff w:val="space"/>
      <w:lvlText w:val="%1."/>
      <w:lvlJc w:val="left"/>
    </w:lvl>
  </w:abstractNum>
  <w:abstractNum w:abstractNumId="1">
    <w:nsid w:val="16ED63DA"/>
    <w:multiLevelType w:val="singleLevel"/>
    <w:tmpl w:val="16ED63DA"/>
    <w:lvl w:ilvl="0">
      <w:start w:val="3"/>
      <w:numFmt w:val="chineseCounting"/>
      <w:suff w:val="nothing"/>
      <w:lvlText w:val="（%1）"/>
      <w:lvlJc w:val="left"/>
      <w:rPr>
        <w:rFonts w:hint="eastAsia"/>
      </w:rPr>
    </w:lvl>
  </w:abstractNum>
  <w:abstractNum w:abstractNumId="2">
    <w:nsid w:val="2F2261FE"/>
    <w:multiLevelType w:val="multilevel"/>
    <w:tmpl w:val="2F2261FE"/>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EE05FB6"/>
    <w:multiLevelType w:val="multilevel"/>
    <w:tmpl w:val="3EE05FB6"/>
    <w:lvl w:ilvl="0">
      <w:start w:val="3"/>
      <w:numFmt w:val="decimalEnclosedCircle"/>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6079535D"/>
    <w:multiLevelType w:val="singleLevel"/>
    <w:tmpl w:val="6079535D"/>
    <w:lvl w:ilvl="0">
      <w:start w:val="1"/>
      <w:numFmt w:val="decimal"/>
      <w:suff w:val="space"/>
      <w:lvlText w:val="%1."/>
      <w:lvlJc w:val="left"/>
    </w:lvl>
  </w:abstractNum>
  <w:abstractNum w:abstractNumId="5">
    <w:nsid w:val="66772119"/>
    <w:multiLevelType w:val="multilevel"/>
    <w:tmpl w:val="66772119"/>
    <w:lvl w:ilvl="0">
      <w:start w:val="1"/>
      <w:numFmt w:val="decimalEnclosedCircle"/>
      <w:lvlText w:val="%1"/>
      <w:lvlJc w:val="left"/>
      <w:pPr>
        <w:ind w:left="360" w:hanging="360"/>
      </w:pPr>
      <w:rPr>
        <w:rFonts w:asci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9"/>
  <w:bordersDoNotSurroundHeader/>
  <w:bordersDoNotSurroundFooter/>
  <w:hideSpellingErrors/>
  <w:revisionView w:markup="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6A029A6F00009BB4" w:val=" "/>
  </w:docVars>
  <w:rsids>
    <w:rsidRoot w:val="00C0543B"/>
    <w:rsid w:val="00004E83"/>
    <w:rsid w:val="00022A9D"/>
    <w:rsid w:val="00083C6C"/>
    <w:rsid w:val="000954FC"/>
    <w:rsid w:val="000A3CB5"/>
    <w:rsid w:val="000B2495"/>
    <w:rsid w:val="000E3170"/>
    <w:rsid w:val="000F470B"/>
    <w:rsid w:val="0010347E"/>
    <w:rsid w:val="001172D7"/>
    <w:rsid w:val="00130FD8"/>
    <w:rsid w:val="00144708"/>
    <w:rsid w:val="0014697A"/>
    <w:rsid w:val="00167EF5"/>
    <w:rsid w:val="00180BF0"/>
    <w:rsid w:val="001B5AAD"/>
    <w:rsid w:val="001C1DBB"/>
    <w:rsid w:val="001D152F"/>
    <w:rsid w:val="001D42AE"/>
    <w:rsid w:val="001D78FD"/>
    <w:rsid w:val="00200D4E"/>
    <w:rsid w:val="002017C2"/>
    <w:rsid w:val="00205678"/>
    <w:rsid w:val="002211F8"/>
    <w:rsid w:val="00226B43"/>
    <w:rsid w:val="00235733"/>
    <w:rsid w:val="002536A3"/>
    <w:rsid w:val="00257EF4"/>
    <w:rsid w:val="00261883"/>
    <w:rsid w:val="002948B2"/>
    <w:rsid w:val="002B0A83"/>
    <w:rsid w:val="002B4D46"/>
    <w:rsid w:val="002B6D44"/>
    <w:rsid w:val="002B72CF"/>
    <w:rsid w:val="002C0BDD"/>
    <w:rsid w:val="002C4AE4"/>
    <w:rsid w:val="002D3E33"/>
    <w:rsid w:val="002D688C"/>
    <w:rsid w:val="002E0EDC"/>
    <w:rsid w:val="0034142B"/>
    <w:rsid w:val="003458A6"/>
    <w:rsid w:val="00347BEB"/>
    <w:rsid w:val="003856C2"/>
    <w:rsid w:val="003C2CFA"/>
    <w:rsid w:val="003C36E4"/>
    <w:rsid w:val="003C4FF5"/>
    <w:rsid w:val="003D3112"/>
    <w:rsid w:val="003D6DEC"/>
    <w:rsid w:val="003F48F4"/>
    <w:rsid w:val="00437148"/>
    <w:rsid w:val="00441924"/>
    <w:rsid w:val="00486C8A"/>
    <w:rsid w:val="00492BA3"/>
    <w:rsid w:val="00492CC5"/>
    <w:rsid w:val="0049447B"/>
    <w:rsid w:val="004A7723"/>
    <w:rsid w:val="004C3CD8"/>
    <w:rsid w:val="004D6A9A"/>
    <w:rsid w:val="004D7AAF"/>
    <w:rsid w:val="004F4967"/>
    <w:rsid w:val="004F5438"/>
    <w:rsid w:val="00504DAE"/>
    <w:rsid w:val="005170C2"/>
    <w:rsid w:val="005174A8"/>
    <w:rsid w:val="005177DD"/>
    <w:rsid w:val="00524BF7"/>
    <w:rsid w:val="005303D3"/>
    <w:rsid w:val="00532B43"/>
    <w:rsid w:val="00536123"/>
    <w:rsid w:val="00545851"/>
    <w:rsid w:val="00590572"/>
    <w:rsid w:val="00592842"/>
    <w:rsid w:val="005A0B3B"/>
    <w:rsid w:val="005D693C"/>
    <w:rsid w:val="005E676F"/>
    <w:rsid w:val="005F2AF0"/>
    <w:rsid w:val="00613722"/>
    <w:rsid w:val="00613DAF"/>
    <w:rsid w:val="0066593D"/>
    <w:rsid w:val="00676A71"/>
    <w:rsid w:val="0069044A"/>
    <w:rsid w:val="006967ED"/>
    <w:rsid w:val="006A3B2C"/>
    <w:rsid w:val="006A5A86"/>
    <w:rsid w:val="006A6A0A"/>
    <w:rsid w:val="006B31EC"/>
    <w:rsid w:val="006D3361"/>
    <w:rsid w:val="00730AFA"/>
    <w:rsid w:val="00731089"/>
    <w:rsid w:val="0074369D"/>
    <w:rsid w:val="00750FFF"/>
    <w:rsid w:val="0076209C"/>
    <w:rsid w:val="007A46B7"/>
    <w:rsid w:val="007B390C"/>
    <w:rsid w:val="007C1ACF"/>
    <w:rsid w:val="007F1794"/>
    <w:rsid w:val="00800760"/>
    <w:rsid w:val="008175D7"/>
    <w:rsid w:val="00817672"/>
    <w:rsid w:val="008256F2"/>
    <w:rsid w:val="00846D16"/>
    <w:rsid w:val="00850A93"/>
    <w:rsid w:val="00852F64"/>
    <w:rsid w:val="0085315B"/>
    <w:rsid w:val="00880427"/>
    <w:rsid w:val="00885A51"/>
    <w:rsid w:val="008A220E"/>
    <w:rsid w:val="008C396A"/>
    <w:rsid w:val="008D1C54"/>
    <w:rsid w:val="008D3C98"/>
    <w:rsid w:val="008E119B"/>
    <w:rsid w:val="008F1E02"/>
    <w:rsid w:val="0093771D"/>
    <w:rsid w:val="00953898"/>
    <w:rsid w:val="00960A14"/>
    <w:rsid w:val="0099273B"/>
    <w:rsid w:val="00994B8C"/>
    <w:rsid w:val="00995566"/>
    <w:rsid w:val="009C1B85"/>
    <w:rsid w:val="009D7968"/>
    <w:rsid w:val="009D7BBF"/>
    <w:rsid w:val="009F5E1C"/>
    <w:rsid w:val="00A12270"/>
    <w:rsid w:val="00A1551D"/>
    <w:rsid w:val="00A22B1A"/>
    <w:rsid w:val="00A26DB0"/>
    <w:rsid w:val="00A53515"/>
    <w:rsid w:val="00A942EA"/>
    <w:rsid w:val="00AA61B8"/>
    <w:rsid w:val="00AA6E5D"/>
    <w:rsid w:val="00AC359A"/>
    <w:rsid w:val="00AC7EF0"/>
    <w:rsid w:val="00AD6BC3"/>
    <w:rsid w:val="00AE2336"/>
    <w:rsid w:val="00B01B33"/>
    <w:rsid w:val="00B02451"/>
    <w:rsid w:val="00B30D69"/>
    <w:rsid w:val="00B57B64"/>
    <w:rsid w:val="00B720CD"/>
    <w:rsid w:val="00B91574"/>
    <w:rsid w:val="00B91C6D"/>
    <w:rsid w:val="00BA7733"/>
    <w:rsid w:val="00BB5B4E"/>
    <w:rsid w:val="00BC683B"/>
    <w:rsid w:val="00C02DEE"/>
    <w:rsid w:val="00C0543B"/>
    <w:rsid w:val="00C22A7B"/>
    <w:rsid w:val="00C273DA"/>
    <w:rsid w:val="00C36912"/>
    <w:rsid w:val="00C51016"/>
    <w:rsid w:val="00C536D3"/>
    <w:rsid w:val="00C564BB"/>
    <w:rsid w:val="00C57DC8"/>
    <w:rsid w:val="00C72A7A"/>
    <w:rsid w:val="00C7774D"/>
    <w:rsid w:val="00C833B9"/>
    <w:rsid w:val="00CA1FD4"/>
    <w:rsid w:val="00CC079A"/>
    <w:rsid w:val="00CD0362"/>
    <w:rsid w:val="00CD3F96"/>
    <w:rsid w:val="00CD7CC9"/>
    <w:rsid w:val="00D02522"/>
    <w:rsid w:val="00D22942"/>
    <w:rsid w:val="00D2667D"/>
    <w:rsid w:val="00D46D89"/>
    <w:rsid w:val="00D80530"/>
    <w:rsid w:val="00D95046"/>
    <w:rsid w:val="00DC3A0E"/>
    <w:rsid w:val="00DC42C3"/>
    <w:rsid w:val="00DD278F"/>
    <w:rsid w:val="00DE6A66"/>
    <w:rsid w:val="00E0701A"/>
    <w:rsid w:val="00E455AB"/>
    <w:rsid w:val="00E91EB6"/>
    <w:rsid w:val="00E9471D"/>
    <w:rsid w:val="00EA0E6B"/>
    <w:rsid w:val="00EB4B51"/>
    <w:rsid w:val="00ED02D7"/>
    <w:rsid w:val="00F01059"/>
    <w:rsid w:val="00F52034"/>
    <w:rsid w:val="00F56327"/>
    <w:rsid w:val="00FD53D5"/>
    <w:rsid w:val="00FE538F"/>
    <w:rsid w:val="00FF6FE8"/>
    <w:rsid w:val="01830099"/>
    <w:rsid w:val="03D575A8"/>
    <w:rsid w:val="11EB1CF1"/>
    <w:rsid w:val="39674039"/>
    <w:rsid w:val="58893182"/>
    <w:rsid w:val="63FB7197"/>
    <w:rsid w:val="75575F1C"/>
    <w:rsid w:val="773F310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unhideWhenUsed="0" w:qFormat="1"/>
    <w:lsdException w:name="heading 3" w:uiPriority="9" w:unhideWhenUsed="0" w:qFormat="1"/>
    <w:lsdException w:name="heading 4" w:uiPriority="9" w:unhideWhenUsed="0" w:qFormat="1"/>
    <w:lsdException w:name="heading 5" w:uiPriority="9" w:unhideWhenUsed="0" w:qFormat="1"/>
    <w:lsdException w:name="heading 6" w:unhideWhenUsed="0" w:qFormat="1"/>
    <w:lsdException w:name="heading 7" w:uiPriority="0" w:unhideWhenUsed="0"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unhideWhenUsed="0" w:qFormat="1"/>
    <w:lsdException w:name="toc 3" w:uiPriority="39" w:unhideWhenUsed="0" w:qFormat="1"/>
    <w:lsdException w:name="toc 4" w:uiPriority="39" w:unhideWhenUsed="0" w:qFormat="1"/>
    <w:lsdException w:name="toc 5" w:uiPriority="39" w:unhideWhenUsed="0"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qFormat="1"/>
    <w:lsdException w:name="annotation text" w:qFormat="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uiPriority="0" w:qFormat="1"/>
    <w:lsdException w:name="annotation reference"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unhideWhenUsed="0"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qFormat="1"/>
    <w:lsdException w:name="Body Text Indent 3" w:semiHidden="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qFormat="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800760"/>
    <w:pPr>
      <w:spacing w:line="336" w:lineRule="auto"/>
      <w:ind w:firstLineChars="200" w:firstLine="420"/>
    </w:pPr>
    <w:rPr>
      <w:rFonts w:ascii="Times New Roman" w:eastAsia="宋体" w:hAnsi="Times New Roman" w:cs="Times New Roman"/>
      <w:sz w:val="21"/>
      <w:lang w:val="en-GB"/>
    </w:rPr>
  </w:style>
  <w:style w:type="paragraph" w:styleId="1">
    <w:name w:val="heading 1"/>
    <w:basedOn w:val="a"/>
    <w:next w:val="a"/>
    <w:link w:val="1Char"/>
    <w:uiPriority w:val="9"/>
    <w:qFormat/>
    <w:rsid w:val="00800760"/>
    <w:pPr>
      <w:widowControl w:val="0"/>
      <w:shd w:val="clear" w:color="auto" w:fill="FFFFFF"/>
      <w:topLinePunct/>
      <w:spacing w:before="100" w:beforeAutospacing="1" w:after="100" w:afterAutospacing="1"/>
      <w:ind w:firstLine="744"/>
      <w:jc w:val="center"/>
      <w:outlineLvl w:val="0"/>
    </w:pPr>
    <w:rPr>
      <w:rFonts w:eastAsia="黑体" w:cs="Arial"/>
      <w:color w:val="000000"/>
      <w:spacing w:val="6"/>
      <w:kern w:val="2"/>
      <w:sz w:val="36"/>
      <w:szCs w:val="36"/>
    </w:rPr>
  </w:style>
  <w:style w:type="paragraph" w:styleId="2">
    <w:name w:val="heading 2"/>
    <w:basedOn w:val="a"/>
    <w:next w:val="a"/>
    <w:link w:val="2Char"/>
    <w:uiPriority w:val="9"/>
    <w:qFormat/>
    <w:rsid w:val="00800760"/>
    <w:pPr>
      <w:keepNext/>
      <w:widowControl w:val="0"/>
      <w:spacing w:before="120" w:after="120"/>
      <w:jc w:val="center"/>
      <w:outlineLvl w:val="1"/>
    </w:pPr>
    <w:rPr>
      <w:rFonts w:ascii="黑体" w:eastAsia="黑体" w:hAnsi="黑体" w:cs="Arial"/>
      <w:spacing w:val="6"/>
      <w:kern w:val="16"/>
      <w:sz w:val="28"/>
      <w:szCs w:val="28"/>
    </w:rPr>
  </w:style>
  <w:style w:type="paragraph" w:styleId="3">
    <w:name w:val="heading 3"/>
    <w:basedOn w:val="a"/>
    <w:next w:val="a"/>
    <w:link w:val="3Char"/>
    <w:uiPriority w:val="9"/>
    <w:qFormat/>
    <w:rsid w:val="00800760"/>
    <w:pPr>
      <w:keepNext/>
      <w:widowControl w:val="0"/>
      <w:spacing w:beforeLines="100" w:after="120"/>
      <w:ind w:firstLine="200"/>
      <w:outlineLvl w:val="2"/>
    </w:pPr>
    <w:rPr>
      <w:rFonts w:ascii="黑体" w:eastAsia="黑体" w:hAnsi="黑体" w:cs="Arial"/>
      <w:spacing w:val="6"/>
      <w:kern w:val="2"/>
      <w:szCs w:val="21"/>
      <w:lang w:val="en-US"/>
    </w:rPr>
  </w:style>
  <w:style w:type="paragraph" w:styleId="4">
    <w:name w:val="heading 4"/>
    <w:basedOn w:val="a"/>
    <w:next w:val="a"/>
    <w:link w:val="4Char"/>
    <w:uiPriority w:val="9"/>
    <w:qFormat/>
    <w:rsid w:val="00800760"/>
    <w:pPr>
      <w:keepNext/>
      <w:widowControl w:val="0"/>
      <w:topLinePunct/>
      <w:adjustRightInd w:val="0"/>
      <w:snapToGrid w:val="0"/>
      <w:spacing w:beforeLines="100"/>
      <w:outlineLvl w:val="3"/>
    </w:pPr>
    <w:rPr>
      <w:rFonts w:ascii="黑体" w:eastAsia="黑体" w:hAnsi="黑体"/>
      <w:spacing w:val="6"/>
      <w:kern w:val="2"/>
      <w:szCs w:val="21"/>
    </w:rPr>
  </w:style>
  <w:style w:type="paragraph" w:styleId="5">
    <w:name w:val="heading 5"/>
    <w:basedOn w:val="a"/>
    <w:next w:val="a"/>
    <w:link w:val="5Char"/>
    <w:uiPriority w:val="9"/>
    <w:qFormat/>
    <w:rsid w:val="00800760"/>
    <w:pPr>
      <w:keepNext/>
      <w:topLinePunct/>
      <w:spacing w:beforeLines="50"/>
      <w:outlineLvl w:val="4"/>
    </w:pPr>
    <w:rPr>
      <w:rFonts w:eastAsia="黑体"/>
    </w:rPr>
  </w:style>
  <w:style w:type="paragraph" w:styleId="6">
    <w:name w:val="heading 6"/>
    <w:basedOn w:val="a"/>
    <w:next w:val="a"/>
    <w:link w:val="6Char"/>
    <w:uiPriority w:val="99"/>
    <w:qFormat/>
    <w:rsid w:val="00800760"/>
    <w:pPr>
      <w:keepNext/>
      <w:outlineLvl w:val="5"/>
    </w:pPr>
    <w:rPr>
      <w:b/>
      <w:bCs/>
      <w:sz w:val="16"/>
      <w:szCs w:val="16"/>
    </w:rPr>
  </w:style>
  <w:style w:type="paragraph" w:styleId="7">
    <w:name w:val="heading 7"/>
    <w:basedOn w:val="a"/>
    <w:next w:val="a"/>
    <w:link w:val="7Char"/>
    <w:qFormat/>
    <w:rsid w:val="00800760"/>
    <w:pPr>
      <w:keepNext/>
      <w:keepLines/>
      <w:widowControl w:val="0"/>
      <w:spacing w:beforeLines="100" w:afterLines="100"/>
      <w:jc w:val="center"/>
      <w:outlineLvl w:val="6"/>
    </w:pPr>
    <w:rPr>
      <w:rFonts w:ascii="方正小标宋_GBK" w:eastAsia="方正小标宋_GBK" w:hAnsi="宋体" w:cs="Arial"/>
      <w:kern w:val="2"/>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rsid w:val="00800760"/>
    <w:pPr>
      <w:widowControl w:val="0"/>
      <w:ind w:leftChars="1200" w:left="2520"/>
      <w:jc w:val="both"/>
    </w:pPr>
    <w:rPr>
      <w:rFonts w:ascii="Calibri" w:hAnsi="Calibri"/>
      <w:kern w:val="2"/>
      <w:szCs w:val="22"/>
      <w:lang w:val="en-US"/>
    </w:rPr>
  </w:style>
  <w:style w:type="paragraph" w:styleId="a3">
    <w:name w:val="Document Map"/>
    <w:basedOn w:val="a"/>
    <w:link w:val="Char"/>
    <w:uiPriority w:val="99"/>
    <w:unhideWhenUsed/>
    <w:qFormat/>
    <w:rsid w:val="00800760"/>
    <w:rPr>
      <w:rFonts w:ascii="宋体"/>
      <w:sz w:val="18"/>
      <w:szCs w:val="18"/>
    </w:rPr>
  </w:style>
  <w:style w:type="paragraph" w:styleId="a4">
    <w:name w:val="annotation text"/>
    <w:basedOn w:val="a"/>
    <w:link w:val="Char0"/>
    <w:uiPriority w:val="99"/>
    <w:unhideWhenUsed/>
    <w:qFormat/>
    <w:rsid w:val="00800760"/>
  </w:style>
  <w:style w:type="paragraph" w:styleId="a5">
    <w:name w:val="Body Text"/>
    <w:basedOn w:val="a"/>
    <w:link w:val="Char1"/>
    <w:unhideWhenUsed/>
    <w:qFormat/>
    <w:rsid w:val="00800760"/>
    <w:pPr>
      <w:spacing w:after="120"/>
    </w:pPr>
  </w:style>
  <w:style w:type="paragraph" w:styleId="50">
    <w:name w:val="toc 5"/>
    <w:basedOn w:val="a"/>
    <w:next w:val="a"/>
    <w:uiPriority w:val="39"/>
    <w:qFormat/>
    <w:rsid w:val="00800760"/>
    <w:pPr>
      <w:tabs>
        <w:tab w:val="right" w:leader="middleDot" w:pos="9248"/>
      </w:tabs>
      <w:spacing w:line="440" w:lineRule="exact"/>
      <w:ind w:leftChars="400" w:left="800"/>
    </w:pPr>
    <w:rPr>
      <w:color w:val="000000"/>
      <w:szCs w:val="21"/>
    </w:rPr>
  </w:style>
  <w:style w:type="paragraph" w:styleId="30">
    <w:name w:val="toc 3"/>
    <w:basedOn w:val="a"/>
    <w:next w:val="a"/>
    <w:autoRedefine/>
    <w:uiPriority w:val="39"/>
    <w:qFormat/>
    <w:rsid w:val="00800760"/>
    <w:pPr>
      <w:widowControl w:val="0"/>
      <w:tabs>
        <w:tab w:val="right" w:leader="middleDot" w:pos="8315"/>
      </w:tabs>
      <w:spacing w:line="440" w:lineRule="exact"/>
      <w:ind w:left="442"/>
    </w:pPr>
    <w:rPr>
      <w:rFonts w:asciiTheme="majorBidi" w:eastAsia="楷体_GB2312" w:hAnsiTheme="majorBidi" w:cstheme="majorBidi"/>
      <w:szCs w:val="21"/>
      <w:lang w:val="en-US"/>
    </w:rPr>
  </w:style>
  <w:style w:type="paragraph" w:styleId="a6">
    <w:name w:val="Plain Text"/>
    <w:basedOn w:val="a"/>
    <w:link w:val="Char2"/>
    <w:qFormat/>
    <w:rsid w:val="00800760"/>
    <w:pPr>
      <w:widowControl w:val="0"/>
      <w:jc w:val="both"/>
    </w:pPr>
    <w:rPr>
      <w:rFonts w:ascii="宋体" w:hAnsi="Courier New" w:cs="Courier New"/>
      <w:kern w:val="2"/>
      <w:szCs w:val="21"/>
      <w:lang w:val="en-US"/>
    </w:rPr>
  </w:style>
  <w:style w:type="paragraph" w:styleId="8">
    <w:name w:val="toc 8"/>
    <w:basedOn w:val="a"/>
    <w:next w:val="a"/>
    <w:uiPriority w:val="39"/>
    <w:unhideWhenUsed/>
    <w:qFormat/>
    <w:rsid w:val="00800760"/>
    <w:pPr>
      <w:widowControl w:val="0"/>
      <w:ind w:leftChars="1400" w:left="2940"/>
      <w:jc w:val="both"/>
    </w:pPr>
    <w:rPr>
      <w:rFonts w:ascii="Calibri" w:hAnsi="Calibri"/>
      <w:kern w:val="2"/>
      <w:szCs w:val="22"/>
      <w:lang w:val="en-US"/>
    </w:rPr>
  </w:style>
  <w:style w:type="paragraph" w:styleId="a7">
    <w:name w:val="Date"/>
    <w:basedOn w:val="a"/>
    <w:next w:val="a"/>
    <w:link w:val="Char3"/>
    <w:qFormat/>
    <w:rsid w:val="00800760"/>
    <w:pPr>
      <w:ind w:leftChars="2500" w:left="100"/>
    </w:pPr>
  </w:style>
  <w:style w:type="paragraph" w:styleId="20">
    <w:name w:val="Body Text Indent 2"/>
    <w:basedOn w:val="a"/>
    <w:link w:val="2Char0"/>
    <w:uiPriority w:val="99"/>
    <w:unhideWhenUsed/>
    <w:qFormat/>
    <w:rsid w:val="00800760"/>
    <w:pPr>
      <w:spacing w:line="420" w:lineRule="exact"/>
      <w:ind w:left="840"/>
    </w:pPr>
    <w:rPr>
      <w:rFonts w:ascii="宋体"/>
      <w:sz w:val="24"/>
    </w:rPr>
  </w:style>
  <w:style w:type="paragraph" w:styleId="a8">
    <w:name w:val="Balloon Text"/>
    <w:basedOn w:val="a"/>
    <w:link w:val="Char4"/>
    <w:uiPriority w:val="99"/>
    <w:unhideWhenUsed/>
    <w:qFormat/>
    <w:rsid w:val="00800760"/>
    <w:rPr>
      <w:sz w:val="18"/>
      <w:szCs w:val="18"/>
    </w:rPr>
  </w:style>
  <w:style w:type="paragraph" w:styleId="a9">
    <w:name w:val="footer"/>
    <w:basedOn w:val="a"/>
    <w:link w:val="Char5"/>
    <w:uiPriority w:val="99"/>
    <w:unhideWhenUsed/>
    <w:qFormat/>
    <w:rsid w:val="00800760"/>
    <w:pPr>
      <w:tabs>
        <w:tab w:val="center" w:pos="4153"/>
        <w:tab w:val="right" w:pos="8306"/>
      </w:tabs>
      <w:snapToGrid w:val="0"/>
    </w:pPr>
    <w:rPr>
      <w:sz w:val="18"/>
      <w:szCs w:val="18"/>
    </w:rPr>
  </w:style>
  <w:style w:type="paragraph" w:styleId="aa">
    <w:name w:val="header"/>
    <w:basedOn w:val="a"/>
    <w:link w:val="Char6"/>
    <w:uiPriority w:val="99"/>
    <w:unhideWhenUsed/>
    <w:qFormat/>
    <w:rsid w:val="00800760"/>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qFormat/>
    <w:rsid w:val="00800760"/>
    <w:pPr>
      <w:widowControl w:val="0"/>
      <w:tabs>
        <w:tab w:val="right" w:leader="middleDot" w:pos="8315"/>
      </w:tabs>
      <w:spacing w:beforeLines="50" w:line="440" w:lineRule="exact"/>
    </w:pPr>
    <w:rPr>
      <w:rFonts w:asciiTheme="majorBidi" w:eastAsia="黑体" w:hAnsiTheme="majorBidi" w:cstheme="majorBidi"/>
      <w:spacing w:val="6"/>
      <w:szCs w:val="21"/>
      <w:lang w:val="en-US"/>
    </w:rPr>
  </w:style>
  <w:style w:type="paragraph" w:styleId="40">
    <w:name w:val="toc 4"/>
    <w:basedOn w:val="a"/>
    <w:next w:val="a"/>
    <w:uiPriority w:val="39"/>
    <w:qFormat/>
    <w:rsid w:val="00800760"/>
    <w:pPr>
      <w:tabs>
        <w:tab w:val="right" w:leader="middleDot" w:pos="9262"/>
      </w:tabs>
      <w:spacing w:line="440" w:lineRule="exact"/>
      <w:ind w:leftChars="300" w:left="600"/>
    </w:pPr>
    <w:rPr>
      <w:rFonts w:eastAsia="方正仿宋简体"/>
      <w:szCs w:val="21"/>
    </w:rPr>
  </w:style>
  <w:style w:type="paragraph" w:styleId="ab">
    <w:name w:val="footnote text"/>
    <w:basedOn w:val="a"/>
    <w:link w:val="Char7"/>
    <w:unhideWhenUsed/>
    <w:qFormat/>
    <w:rsid w:val="00800760"/>
    <w:pPr>
      <w:snapToGrid w:val="0"/>
    </w:pPr>
    <w:rPr>
      <w:sz w:val="18"/>
    </w:rPr>
  </w:style>
  <w:style w:type="paragraph" w:styleId="60">
    <w:name w:val="toc 6"/>
    <w:basedOn w:val="a"/>
    <w:next w:val="a"/>
    <w:uiPriority w:val="39"/>
    <w:unhideWhenUsed/>
    <w:qFormat/>
    <w:rsid w:val="00800760"/>
    <w:pPr>
      <w:widowControl w:val="0"/>
      <w:ind w:leftChars="1000" w:left="2100"/>
      <w:jc w:val="both"/>
    </w:pPr>
    <w:rPr>
      <w:rFonts w:ascii="Calibri" w:hAnsi="Calibri"/>
      <w:kern w:val="2"/>
      <w:szCs w:val="22"/>
      <w:lang w:val="en-US"/>
    </w:rPr>
  </w:style>
  <w:style w:type="paragraph" w:styleId="21">
    <w:name w:val="toc 2"/>
    <w:basedOn w:val="a"/>
    <w:next w:val="a"/>
    <w:autoRedefine/>
    <w:uiPriority w:val="39"/>
    <w:qFormat/>
    <w:rsid w:val="00800760"/>
    <w:pPr>
      <w:widowControl w:val="0"/>
      <w:tabs>
        <w:tab w:val="right" w:leader="middleDot" w:pos="8315"/>
      </w:tabs>
      <w:spacing w:line="440" w:lineRule="exact"/>
      <w:ind w:left="221"/>
    </w:pPr>
    <w:rPr>
      <w:rFonts w:asciiTheme="majorBidi" w:hAnsiTheme="majorBidi" w:cstheme="majorBidi"/>
      <w:szCs w:val="21"/>
      <w:lang w:val="en-US"/>
    </w:rPr>
  </w:style>
  <w:style w:type="paragraph" w:styleId="9">
    <w:name w:val="toc 9"/>
    <w:basedOn w:val="a"/>
    <w:next w:val="a"/>
    <w:uiPriority w:val="39"/>
    <w:unhideWhenUsed/>
    <w:qFormat/>
    <w:rsid w:val="00800760"/>
    <w:pPr>
      <w:widowControl w:val="0"/>
      <w:ind w:leftChars="1600" w:left="3360"/>
      <w:jc w:val="both"/>
    </w:pPr>
    <w:rPr>
      <w:rFonts w:ascii="Calibri" w:hAnsi="Calibri"/>
      <w:kern w:val="2"/>
      <w:szCs w:val="22"/>
      <w:lang w:val="en-US"/>
    </w:rPr>
  </w:style>
  <w:style w:type="paragraph" w:styleId="ac">
    <w:name w:val="Normal (Web)"/>
    <w:basedOn w:val="a"/>
    <w:uiPriority w:val="99"/>
    <w:qFormat/>
    <w:rsid w:val="00800760"/>
    <w:pPr>
      <w:widowControl w:val="0"/>
      <w:suppressAutoHyphens/>
      <w:spacing w:before="100" w:beforeAutospacing="1" w:after="100" w:afterAutospacing="1"/>
    </w:pPr>
    <w:rPr>
      <w:rFonts w:ascii="Calibri" w:hAnsi="Calibri"/>
      <w:sz w:val="24"/>
      <w:szCs w:val="24"/>
      <w:lang w:val="en-US"/>
    </w:rPr>
  </w:style>
  <w:style w:type="paragraph" w:styleId="ad">
    <w:name w:val="annotation subject"/>
    <w:basedOn w:val="a4"/>
    <w:next w:val="a4"/>
    <w:link w:val="Char8"/>
    <w:uiPriority w:val="99"/>
    <w:unhideWhenUsed/>
    <w:qFormat/>
    <w:rsid w:val="00800760"/>
    <w:rPr>
      <w:b/>
      <w:bCs/>
    </w:rPr>
  </w:style>
  <w:style w:type="table" w:styleId="ae">
    <w:name w:val="Table Grid"/>
    <w:basedOn w:val="a1"/>
    <w:uiPriority w:val="59"/>
    <w:qFormat/>
    <w:rsid w:val="00800760"/>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Strong"/>
    <w:uiPriority w:val="22"/>
    <w:qFormat/>
    <w:rsid w:val="00800760"/>
    <w:rPr>
      <w:b/>
      <w:bCs/>
    </w:rPr>
  </w:style>
  <w:style w:type="character" w:styleId="af0">
    <w:name w:val="page number"/>
    <w:basedOn w:val="a0"/>
    <w:qFormat/>
    <w:rsid w:val="00800760"/>
  </w:style>
  <w:style w:type="character" w:styleId="af1">
    <w:name w:val="FollowedHyperlink"/>
    <w:basedOn w:val="a0"/>
    <w:uiPriority w:val="99"/>
    <w:semiHidden/>
    <w:unhideWhenUsed/>
    <w:rsid w:val="00800760"/>
    <w:rPr>
      <w:color w:val="800080" w:themeColor="followedHyperlink"/>
      <w:u w:val="single"/>
    </w:rPr>
  </w:style>
  <w:style w:type="character" w:styleId="af2">
    <w:name w:val="Hyperlink"/>
    <w:uiPriority w:val="99"/>
    <w:qFormat/>
    <w:rsid w:val="00800760"/>
    <w:rPr>
      <w:color w:val="0000FF"/>
      <w:u w:val="single"/>
    </w:rPr>
  </w:style>
  <w:style w:type="character" w:styleId="af3">
    <w:name w:val="annotation reference"/>
    <w:uiPriority w:val="99"/>
    <w:unhideWhenUsed/>
    <w:qFormat/>
    <w:rsid w:val="00800760"/>
    <w:rPr>
      <w:sz w:val="21"/>
      <w:szCs w:val="21"/>
    </w:rPr>
  </w:style>
  <w:style w:type="character" w:styleId="af4">
    <w:name w:val="footnote reference"/>
    <w:unhideWhenUsed/>
    <w:qFormat/>
    <w:rsid w:val="00800760"/>
    <w:rPr>
      <w:rFonts w:cs="Times New Roman"/>
      <w:vertAlign w:val="superscript"/>
    </w:rPr>
  </w:style>
  <w:style w:type="character" w:customStyle="1" w:styleId="Char6">
    <w:name w:val="页眉 Char"/>
    <w:basedOn w:val="a0"/>
    <w:link w:val="aa"/>
    <w:uiPriority w:val="99"/>
    <w:qFormat/>
    <w:rsid w:val="00800760"/>
    <w:rPr>
      <w:sz w:val="18"/>
      <w:szCs w:val="18"/>
    </w:rPr>
  </w:style>
  <w:style w:type="character" w:customStyle="1" w:styleId="Char5">
    <w:name w:val="页脚 Char"/>
    <w:basedOn w:val="a0"/>
    <w:link w:val="a9"/>
    <w:uiPriority w:val="99"/>
    <w:qFormat/>
    <w:rsid w:val="00800760"/>
    <w:rPr>
      <w:sz w:val="18"/>
      <w:szCs w:val="18"/>
    </w:rPr>
  </w:style>
  <w:style w:type="character" w:customStyle="1" w:styleId="1Char">
    <w:name w:val="标题 1 Char"/>
    <w:basedOn w:val="a0"/>
    <w:link w:val="1"/>
    <w:uiPriority w:val="9"/>
    <w:qFormat/>
    <w:rsid w:val="00800760"/>
    <w:rPr>
      <w:rFonts w:ascii="Times New Roman" w:eastAsia="黑体" w:hAnsi="Times New Roman" w:cs="Arial"/>
      <w:color w:val="000000"/>
      <w:spacing w:val="6"/>
      <w:sz w:val="36"/>
      <w:szCs w:val="36"/>
      <w:shd w:val="clear" w:color="auto" w:fill="FFFFFF"/>
      <w:lang w:val="en-GB"/>
    </w:rPr>
  </w:style>
  <w:style w:type="character" w:customStyle="1" w:styleId="2Char">
    <w:name w:val="标题 2 Char"/>
    <w:basedOn w:val="a0"/>
    <w:link w:val="2"/>
    <w:uiPriority w:val="9"/>
    <w:qFormat/>
    <w:rsid w:val="00800760"/>
    <w:rPr>
      <w:rFonts w:ascii="黑体" w:eastAsia="黑体" w:hAnsi="黑体" w:cs="Arial"/>
      <w:spacing w:val="6"/>
      <w:kern w:val="16"/>
      <w:sz w:val="28"/>
      <w:szCs w:val="28"/>
      <w:lang w:val="en-GB"/>
    </w:rPr>
  </w:style>
  <w:style w:type="character" w:customStyle="1" w:styleId="3Char">
    <w:name w:val="标题 3 Char"/>
    <w:basedOn w:val="a0"/>
    <w:link w:val="3"/>
    <w:uiPriority w:val="9"/>
    <w:qFormat/>
    <w:rsid w:val="00800760"/>
    <w:rPr>
      <w:rFonts w:ascii="黑体" w:eastAsia="黑体" w:hAnsi="黑体" w:cs="Arial"/>
      <w:spacing w:val="6"/>
      <w:szCs w:val="21"/>
    </w:rPr>
  </w:style>
  <w:style w:type="character" w:customStyle="1" w:styleId="4Char">
    <w:name w:val="标题 4 Char"/>
    <w:basedOn w:val="a0"/>
    <w:link w:val="4"/>
    <w:uiPriority w:val="9"/>
    <w:qFormat/>
    <w:rsid w:val="00800760"/>
    <w:rPr>
      <w:rFonts w:ascii="黑体" w:eastAsia="黑体" w:hAnsi="黑体" w:cs="Times New Roman"/>
      <w:spacing w:val="6"/>
      <w:szCs w:val="21"/>
      <w:lang w:val="en-GB"/>
    </w:rPr>
  </w:style>
  <w:style w:type="character" w:customStyle="1" w:styleId="5Char">
    <w:name w:val="标题 5 Char"/>
    <w:basedOn w:val="a0"/>
    <w:link w:val="5"/>
    <w:uiPriority w:val="9"/>
    <w:qFormat/>
    <w:rsid w:val="00800760"/>
    <w:rPr>
      <w:rFonts w:ascii="Times New Roman" w:eastAsia="黑体" w:hAnsi="Times New Roman" w:cs="Times New Roman"/>
      <w:kern w:val="0"/>
      <w:szCs w:val="20"/>
      <w:lang w:val="en-GB"/>
    </w:rPr>
  </w:style>
  <w:style w:type="character" w:customStyle="1" w:styleId="6Char">
    <w:name w:val="标题 6 Char"/>
    <w:basedOn w:val="a0"/>
    <w:link w:val="6"/>
    <w:uiPriority w:val="99"/>
    <w:qFormat/>
    <w:rsid w:val="00800760"/>
    <w:rPr>
      <w:rFonts w:ascii="Times New Roman" w:eastAsia="宋体" w:hAnsi="Times New Roman" w:cs="Times New Roman"/>
      <w:b/>
      <w:bCs/>
      <w:kern w:val="0"/>
      <w:sz w:val="16"/>
      <w:szCs w:val="16"/>
      <w:lang w:val="en-GB"/>
    </w:rPr>
  </w:style>
  <w:style w:type="character" w:customStyle="1" w:styleId="7Char">
    <w:name w:val="标题 7 Char"/>
    <w:basedOn w:val="a0"/>
    <w:link w:val="7"/>
    <w:uiPriority w:val="9"/>
    <w:qFormat/>
    <w:rsid w:val="00800760"/>
    <w:rPr>
      <w:rFonts w:ascii="方正小标宋_GBK" w:eastAsia="方正小标宋_GBK" w:hAnsi="宋体" w:cs="Arial"/>
      <w:sz w:val="36"/>
      <w:szCs w:val="36"/>
    </w:rPr>
  </w:style>
  <w:style w:type="character" w:customStyle="1" w:styleId="Char">
    <w:name w:val="文档结构图 Char"/>
    <w:basedOn w:val="a0"/>
    <w:link w:val="a3"/>
    <w:uiPriority w:val="99"/>
    <w:qFormat/>
    <w:rsid w:val="00800760"/>
    <w:rPr>
      <w:rFonts w:ascii="宋体" w:eastAsia="宋体" w:hAnsi="Times New Roman" w:cs="Times New Roman"/>
      <w:kern w:val="0"/>
      <w:sz w:val="18"/>
      <w:szCs w:val="18"/>
      <w:lang w:val="en-GB"/>
    </w:rPr>
  </w:style>
  <w:style w:type="character" w:customStyle="1" w:styleId="Char0">
    <w:name w:val="批注文字 Char"/>
    <w:basedOn w:val="a0"/>
    <w:link w:val="a4"/>
    <w:uiPriority w:val="99"/>
    <w:qFormat/>
    <w:rsid w:val="00800760"/>
    <w:rPr>
      <w:rFonts w:ascii="Times New Roman" w:eastAsia="宋体" w:hAnsi="Times New Roman" w:cs="Times New Roman"/>
      <w:kern w:val="0"/>
      <w:szCs w:val="20"/>
      <w:lang w:val="en-GB"/>
    </w:rPr>
  </w:style>
  <w:style w:type="character" w:customStyle="1" w:styleId="Char1">
    <w:name w:val="正文文本 Char"/>
    <w:basedOn w:val="a0"/>
    <w:link w:val="a5"/>
    <w:qFormat/>
    <w:rsid w:val="00800760"/>
    <w:rPr>
      <w:rFonts w:ascii="Times New Roman" w:eastAsia="宋体" w:hAnsi="Times New Roman" w:cs="Times New Roman"/>
      <w:kern w:val="0"/>
      <w:szCs w:val="20"/>
      <w:lang w:val="en-GB"/>
    </w:rPr>
  </w:style>
  <w:style w:type="character" w:customStyle="1" w:styleId="Char2">
    <w:name w:val="纯文本 Char"/>
    <w:basedOn w:val="a0"/>
    <w:link w:val="a6"/>
    <w:qFormat/>
    <w:rsid w:val="00800760"/>
    <w:rPr>
      <w:rFonts w:ascii="宋体" w:eastAsia="宋体" w:hAnsi="Courier New" w:cs="Courier New"/>
      <w:szCs w:val="21"/>
    </w:rPr>
  </w:style>
  <w:style w:type="character" w:customStyle="1" w:styleId="Char3">
    <w:name w:val="日期 Char"/>
    <w:basedOn w:val="a0"/>
    <w:link w:val="a7"/>
    <w:qFormat/>
    <w:rsid w:val="00800760"/>
    <w:rPr>
      <w:rFonts w:ascii="Times New Roman" w:eastAsia="宋体" w:hAnsi="Times New Roman" w:cs="Times New Roman"/>
      <w:kern w:val="0"/>
      <w:szCs w:val="20"/>
      <w:lang w:val="en-GB"/>
    </w:rPr>
  </w:style>
  <w:style w:type="character" w:customStyle="1" w:styleId="2Char0">
    <w:name w:val="正文文本缩进 2 Char"/>
    <w:basedOn w:val="a0"/>
    <w:link w:val="20"/>
    <w:uiPriority w:val="99"/>
    <w:qFormat/>
    <w:rsid w:val="00800760"/>
    <w:rPr>
      <w:rFonts w:ascii="宋体" w:eastAsia="宋体" w:hAnsi="Times New Roman" w:cs="Times New Roman"/>
      <w:kern w:val="0"/>
      <w:sz w:val="24"/>
      <w:szCs w:val="20"/>
      <w:lang w:val="en-GB"/>
    </w:rPr>
  </w:style>
  <w:style w:type="character" w:customStyle="1" w:styleId="Char4">
    <w:name w:val="批注框文本 Char"/>
    <w:basedOn w:val="a0"/>
    <w:link w:val="a8"/>
    <w:uiPriority w:val="99"/>
    <w:qFormat/>
    <w:rsid w:val="00800760"/>
    <w:rPr>
      <w:rFonts w:ascii="Times New Roman" w:eastAsia="宋体" w:hAnsi="Times New Roman" w:cs="Times New Roman"/>
      <w:kern w:val="0"/>
      <w:sz w:val="18"/>
      <w:szCs w:val="18"/>
      <w:lang w:val="en-GB"/>
    </w:rPr>
  </w:style>
  <w:style w:type="character" w:customStyle="1" w:styleId="Char7">
    <w:name w:val="脚注文本 Char"/>
    <w:basedOn w:val="a0"/>
    <w:link w:val="ab"/>
    <w:qFormat/>
    <w:rsid w:val="00800760"/>
    <w:rPr>
      <w:rFonts w:ascii="Times New Roman" w:eastAsia="宋体" w:hAnsi="Times New Roman" w:cs="Times New Roman"/>
      <w:kern w:val="0"/>
      <w:sz w:val="18"/>
      <w:szCs w:val="20"/>
      <w:lang w:val="en-GB"/>
    </w:rPr>
  </w:style>
  <w:style w:type="character" w:customStyle="1" w:styleId="Char8">
    <w:name w:val="批注主题 Char"/>
    <w:basedOn w:val="Char0"/>
    <w:link w:val="ad"/>
    <w:uiPriority w:val="99"/>
    <w:qFormat/>
    <w:rsid w:val="00800760"/>
    <w:rPr>
      <w:rFonts w:ascii="Times New Roman" w:eastAsia="宋体" w:hAnsi="Times New Roman" w:cs="Times New Roman"/>
      <w:b/>
      <w:bCs/>
      <w:kern w:val="0"/>
      <w:szCs w:val="20"/>
      <w:lang w:val="en-GB"/>
    </w:rPr>
  </w:style>
  <w:style w:type="character" w:customStyle="1" w:styleId="11">
    <w:name w:val="不明显强调1"/>
    <w:qFormat/>
    <w:rsid w:val="00800760"/>
    <w:rPr>
      <w:rFonts w:ascii="仿宋_GB2312" w:eastAsia="仿宋_GB2312"/>
      <w:sz w:val="32"/>
    </w:rPr>
  </w:style>
  <w:style w:type="paragraph" w:customStyle="1" w:styleId="12">
    <w:name w:val="无间隔1"/>
    <w:basedOn w:val="a"/>
    <w:link w:val="1Char0"/>
    <w:qFormat/>
    <w:rsid w:val="00800760"/>
    <w:pPr>
      <w:widowControl w:val="0"/>
      <w:spacing w:line="520" w:lineRule="exact"/>
      <w:ind w:firstLine="200"/>
      <w:jc w:val="both"/>
    </w:pPr>
    <w:rPr>
      <w:rFonts w:ascii="MingLiU_HKSCS" w:eastAsia="仿宋_GB2312" w:hAnsi="MingLiU_HKSCS" w:cs="MingLiU_HKSCS"/>
      <w:color w:val="000000"/>
      <w:sz w:val="32"/>
      <w:szCs w:val="24"/>
      <w:lang w:val="zh-CN"/>
    </w:rPr>
  </w:style>
  <w:style w:type="paragraph" w:customStyle="1" w:styleId="NoSpacing1">
    <w:name w:val="No Spacing1"/>
    <w:basedOn w:val="a"/>
    <w:qFormat/>
    <w:rsid w:val="00800760"/>
    <w:pPr>
      <w:widowControl w:val="0"/>
      <w:spacing w:line="520" w:lineRule="exact"/>
      <w:ind w:firstLine="200"/>
      <w:jc w:val="both"/>
    </w:pPr>
    <w:rPr>
      <w:rFonts w:ascii="MingLiU_HKSCS" w:eastAsia="仿宋_GB2312" w:hAnsi="MingLiU_HKSCS" w:cs="MingLiU_HKSCS"/>
      <w:color w:val="000000"/>
      <w:sz w:val="32"/>
      <w:szCs w:val="24"/>
      <w:lang w:val="zh-CN"/>
    </w:rPr>
  </w:style>
  <w:style w:type="paragraph" w:customStyle="1" w:styleId="22">
    <w:name w:val="无间隔2"/>
    <w:basedOn w:val="a"/>
    <w:qFormat/>
    <w:rsid w:val="00800760"/>
    <w:pPr>
      <w:widowControl w:val="0"/>
      <w:spacing w:line="520" w:lineRule="exact"/>
      <w:ind w:firstLine="200"/>
      <w:jc w:val="both"/>
    </w:pPr>
    <w:rPr>
      <w:rFonts w:ascii="MingLiU_HKSCS" w:eastAsia="仿宋_GB2312" w:hAnsi="MingLiU_HKSCS" w:cs="MingLiU_HKSCS"/>
      <w:color w:val="000000"/>
      <w:sz w:val="32"/>
      <w:szCs w:val="24"/>
      <w:lang w:val="zh-CN"/>
    </w:rPr>
  </w:style>
  <w:style w:type="paragraph" w:customStyle="1" w:styleId="13">
    <w:name w:val="修订1"/>
    <w:hidden/>
    <w:uiPriority w:val="99"/>
    <w:semiHidden/>
    <w:qFormat/>
    <w:rsid w:val="00800760"/>
    <w:rPr>
      <w:rFonts w:ascii="Times New Roman" w:eastAsia="宋体" w:hAnsi="Times New Roman" w:cs="Times New Roman"/>
      <w:lang w:val="en-GB" w:eastAsia="en-US"/>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0"/>
    <w:qFormat/>
    <w:rsid w:val="00800760"/>
    <w:rPr>
      <w:rFonts w:ascii="PMingLiU" w:eastAsia="PMingLiU" w:hAnsi="PMingLiU" w:cs="PMingLiU"/>
      <w:sz w:val="28"/>
      <w:szCs w:val="28"/>
      <w:shd w:val="clear" w:color="auto" w:fill="FFFFFF"/>
    </w:rPr>
  </w:style>
  <w:style w:type="paragraph" w:customStyle="1" w:styleId="MSGENFONTSTYLENAMETEMPLATEROLELEVELMSGENFONTSTYLENAMEBYROLEHEADING10">
    <w:name w:val="MSG_EN_FONT_STYLE_NAME_TEMPLATE_ROLE_LEVEL MSG_EN_FONT_STYLE_NAME_BY_ROLE_HEADING 1"/>
    <w:basedOn w:val="a"/>
    <w:link w:val="MSGENFONTSTYLENAMETEMPLATEROLELEVELMSGENFONTSTYLENAMEBYROLEHEADING1"/>
    <w:qFormat/>
    <w:rsid w:val="00800760"/>
    <w:pPr>
      <w:widowControl w:val="0"/>
      <w:shd w:val="clear" w:color="auto" w:fill="FFFFFF"/>
      <w:spacing w:after="460" w:line="280" w:lineRule="exact"/>
      <w:jc w:val="center"/>
      <w:outlineLvl w:val="0"/>
    </w:pPr>
    <w:rPr>
      <w:rFonts w:ascii="PMingLiU" w:eastAsia="PMingLiU" w:hAnsi="PMingLiU" w:cs="PMingLiU"/>
      <w:kern w:val="2"/>
      <w:sz w:val="28"/>
      <w:szCs w:val="28"/>
      <w:lang w:val="en-US"/>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qFormat/>
    <w:rsid w:val="00800760"/>
    <w:rPr>
      <w:rFonts w:ascii="PMingLiU" w:eastAsia="PMingLiU" w:hAnsi="PMingLiU" w:cs="PMingLiU"/>
      <w:sz w:val="17"/>
      <w:szCs w:val="17"/>
      <w:shd w:val="clear" w:color="auto" w:fill="FFFFFF"/>
    </w:rPr>
  </w:style>
  <w:style w:type="paragraph" w:customStyle="1" w:styleId="MSGENFONTSTYLENAMETEMPLATEROLENUMBERMSGENFONTSTYLENAMEBYROLETEXT30">
    <w:name w:val="MSG_EN_FONT_STYLE_NAME_TEMPLATE_ROLE_NUMBER MSG_EN_FONT_STYLE_NAME_BY_ROLE_TEXT 3"/>
    <w:basedOn w:val="a"/>
    <w:link w:val="MSGENFONTSTYLENAMETEMPLATEROLENUMBERMSGENFONTSTYLENAMEBYROLETEXT3"/>
    <w:qFormat/>
    <w:rsid w:val="00800760"/>
    <w:pPr>
      <w:widowControl w:val="0"/>
      <w:shd w:val="clear" w:color="auto" w:fill="FFFFFF"/>
      <w:spacing w:before="1860" w:line="170" w:lineRule="exact"/>
      <w:jc w:val="distribute"/>
    </w:pPr>
    <w:rPr>
      <w:rFonts w:ascii="PMingLiU" w:eastAsia="PMingLiU" w:hAnsi="PMingLiU" w:cs="PMingLiU"/>
      <w:kern w:val="2"/>
      <w:sz w:val="17"/>
      <w:szCs w:val="17"/>
      <w:lang w:val="en-US"/>
    </w:rPr>
  </w:style>
  <w:style w:type="character" w:customStyle="1" w:styleId="MSGENFONTSTYLENAMETEMPLATEROLEMSGENFONTSTYLENAMEBYROLETABLECAPTION">
    <w:name w:val="MSG_EN_FONT_STYLE_NAME_TEMPLATE_ROLE MSG_EN_FONT_STYLE_NAME_BY_ROLE_TABLE_CAPTION_"/>
    <w:link w:val="MSGENFONTSTYLENAMETEMPLATEROLEMSGENFONTSTYLENAMEBYROLETABLECAPTION0"/>
    <w:qFormat/>
    <w:rsid w:val="00800760"/>
    <w:rPr>
      <w:rFonts w:ascii="PMingLiU" w:eastAsia="PMingLiU" w:hAnsi="PMingLiU" w:cs="PMingLiU"/>
      <w:sz w:val="18"/>
      <w:szCs w:val="18"/>
      <w:shd w:val="clear" w:color="auto" w:fill="FFFFFF"/>
    </w:rPr>
  </w:style>
  <w:style w:type="paragraph" w:customStyle="1" w:styleId="MSGENFONTSTYLENAMETEMPLATEROLEMSGENFONTSTYLENAMEBYROLETABLECAPTION0">
    <w:name w:val="MSG_EN_FONT_STYLE_NAME_TEMPLATE_ROLE MSG_EN_FONT_STYLE_NAME_BY_ROLE_TABLE_CAPTION"/>
    <w:basedOn w:val="a"/>
    <w:link w:val="MSGENFONTSTYLENAMETEMPLATEROLEMSGENFONTSTYLENAMEBYROLETABLECAPTION"/>
    <w:qFormat/>
    <w:rsid w:val="00800760"/>
    <w:pPr>
      <w:widowControl w:val="0"/>
      <w:shd w:val="clear" w:color="auto" w:fill="FFFFFF"/>
      <w:spacing w:line="180" w:lineRule="exact"/>
    </w:pPr>
    <w:rPr>
      <w:rFonts w:ascii="PMingLiU" w:eastAsia="PMingLiU" w:hAnsi="PMingLiU" w:cs="PMingLiU"/>
      <w:kern w:val="2"/>
      <w:sz w:val="18"/>
      <w:szCs w:val="18"/>
      <w:lang w:val="en-US"/>
    </w:rPr>
  </w:style>
  <w:style w:type="character" w:customStyle="1" w:styleId="Char9">
    <w:name w:val="无间隔 Char"/>
    <w:link w:val="af5"/>
    <w:uiPriority w:val="1"/>
    <w:qFormat/>
    <w:rsid w:val="00800760"/>
    <w:rPr>
      <w:rFonts w:ascii="Calibri" w:hAnsi="Calibri"/>
      <w:sz w:val="22"/>
    </w:rPr>
  </w:style>
  <w:style w:type="paragraph" w:styleId="af5">
    <w:name w:val="No Spacing"/>
    <w:link w:val="Char9"/>
    <w:uiPriority w:val="1"/>
    <w:qFormat/>
    <w:rsid w:val="00800760"/>
    <w:rPr>
      <w:rFonts w:ascii="Calibri" w:hAnsi="Calibri"/>
      <w:kern w:val="2"/>
      <w:sz w:val="22"/>
      <w:szCs w:val="22"/>
    </w:rPr>
  </w:style>
  <w:style w:type="character" w:customStyle="1" w:styleId="MSGENFONTSTYLENAMETEMPLATEROLENUMBERMSGENFONTSTYLENAMEBYROLETABLECAPTION2">
    <w:name w:val="MSG_EN_FONT_STYLE_NAME_TEMPLATE_ROLE_NUMBER MSG_EN_FONT_STYLE_NAME_BY_ROLE_TABLE_CAPTION 2_"/>
    <w:link w:val="MSGENFONTSTYLENAMETEMPLATEROLENUMBERMSGENFONTSTYLENAMEBYROLETABLECAPTION20"/>
    <w:qFormat/>
    <w:rsid w:val="00800760"/>
    <w:rPr>
      <w:rFonts w:ascii="PMingLiU" w:eastAsia="PMingLiU" w:hAnsi="PMingLiU"/>
      <w:sz w:val="18"/>
      <w:szCs w:val="18"/>
      <w:shd w:val="clear" w:color="auto" w:fill="FFFFFF"/>
    </w:rPr>
  </w:style>
  <w:style w:type="paragraph" w:customStyle="1" w:styleId="MSGENFONTSTYLENAMETEMPLATEROLENUMBERMSGENFONTSTYLENAMEBYROLETABLECAPTION20">
    <w:name w:val="MSG_EN_FONT_STYLE_NAME_TEMPLATE_ROLE_NUMBER MSG_EN_FONT_STYLE_NAME_BY_ROLE_TABLE_CAPTION 2"/>
    <w:basedOn w:val="a"/>
    <w:link w:val="MSGENFONTSTYLENAMETEMPLATEROLENUMBERMSGENFONTSTYLENAMEBYROLETABLECAPTION2"/>
    <w:qFormat/>
    <w:rsid w:val="00800760"/>
    <w:pPr>
      <w:widowControl w:val="0"/>
      <w:shd w:val="clear" w:color="auto" w:fill="FFFFFF"/>
      <w:spacing w:line="180" w:lineRule="exact"/>
    </w:pPr>
    <w:rPr>
      <w:rFonts w:ascii="PMingLiU" w:eastAsia="PMingLiU" w:hAnsi="PMingLiU" w:cstheme="minorBidi"/>
      <w:kern w:val="2"/>
      <w:sz w:val="18"/>
      <w:szCs w:val="18"/>
      <w:shd w:val="clear" w:color="auto" w:fill="FFFFFF"/>
      <w:lang w:val="en-US"/>
    </w:rPr>
  </w:style>
  <w:style w:type="paragraph" w:customStyle="1" w:styleId="af6">
    <w:name w:val="案例"/>
    <w:basedOn w:val="22"/>
    <w:qFormat/>
    <w:rsid w:val="00800760"/>
    <w:pPr>
      <w:keepNext/>
      <w:spacing w:beforeLines="50" w:line="336" w:lineRule="auto"/>
    </w:pPr>
    <w:rPr>
      <w:rFonts w:ascii="黑体" w:eastAsia="黑体" w:hAnsi="黑体"/>
      <w:color w:val="auto"/>
      <w:sz w:val="21"/>
      <w:szCs w:val="21"/>
    </w:rPr>
  </w:style>
  <w:style w:type="paragraph" w:customStyle="1" w:styleId="fulltext-wraptitle">
    <w:name w:val="fulltext-wrap_title"/>
    <w:basedOn w:val="a"/>
    <w:qFormat/>
    <w:rsid w:val="00800760"/>
    <w:pPr>
      <w:jc w:val="center"/>
    </w:pPr>
    <w:rPr>
      <w:sz w:val="30"/>
      <w:szCs w:val="30"/>
      <w:lang w:val="en-US"/>
    </w:rPr>
  </w:style>
  <w:style w:type="paragraph" w:customStyle="1" w:styleId="p4">
    <w:name w:val="p4"/>
    <w:basedOn w:val="a"/>
    <w:uiPriority w:val="99"/>
    <w:qFormat/>
    <w:rsid w:val="00800760"/>
    <w:pPr>
      <w:spacing w:before="100" w:beforeAutospacing="1" w:after="100" w:afterAutospacing="1"/>
    </w:pPr>
    <w:rPr>
      <w:rFonts w:ascii="宋体" w:hAnsi="宋体" w:cs="宋体"/>
      <w:sz w:val="24"/>
      <w:szCs w:val="24"/>
      <w:lang w:val="en-US"/>
    </w:rPr>
  </w:style>
  <w:style w:type="character" w:customStyle="1" w:styleId="MSGENFONTSTYLENAMETEMPLATEROLENUMBERMSGENFONTSTYLENAMEBYROLETEXT2">
    <w:name w:val="MSG_EN_FONT_STYLE_NAME_TEMPLATE_ROLE_NUMBER MSG_EN_FONT_STYLE_NAME_BY_ROLE_TEXT 2_"/>
    <w:qFormat/>
    <w:rsid w:val="00800760"/>
    <w:rPr>
      <w:rFonts w:ascii="PMingLiU" w:eastAsia="PMingLiU" w:hAnsi="PMingLiU" w:cs="PMingLiU"/>
      <w:sz w:val="18"/>
      <w:szCs w:val="18"/>
      <w:u w:val="none"/>
    </w:rPr>
  </w:style>
  <w:style w:type="character" w:customStyle="1" w:styleId="MSGENFONTSTYLENAMETEMPLATEROLENUMBERMSGENFONTSTYLENAMEBYROLETEXT2MSGENFONTSTYLEMODIFERNAMEPMingLiU">
    <w:name w:val="MSG_EN_FONT_STYLE_NAME_TEMPLATE_ROLE_NUMBER MSG_EN_FONT_STYLE_NAME_BY_ROLE_TEXT 2 + MSG_EN_FONT_STYLE_MODIFER_NAME PMingLiU"/>
    <w:qFormat/>
    <w:rsid w:val="00800760"/>
    <w:rPr>
      <w:rFonts w:ascii="PMingLiU" w:eastAsia="PMingLiU" w:hAnsi="PMingLiU" w:cs="PMingLiU"/>
      <w:color w:val="000000"/>
      <w:spacing w:val="0"/>
      <w:w w:val="100"/>
      <w:position w:val="0"/>
      <w:sz w:val="18"/>
      <w:szCs w:val="18"/>
      <w:u w:val="none"/>
      <w:lang w:val="zh-CN" w:eastAsia="zh-CN" w:bidi="zh-CN"/>
    </w:rPr>
  </w:style>
  <w:style w:type="character" w:customStyle="1" w:styleId="MSGENFONTSTYLENAMETEMPLATEROLENUMBERMSGENFONTSTYLENAMEBYROLETEXT20">
    <w:name w:val="MSG_EN_FONT_STYLE_NAME_TEMPLATE_ROLE_NUMBER MSG_EN_FONT_STYLE_NAME_BY_ROLE_TEXT 2"/>
    <w:qFormat/>
    <w:rsid w:val="00800760"/>
    <w:rPr>
      <w:rFonts w:ascii="PMingLiU" w:eastAsia="PMingLiU" w:hAnsi="PMingLiU" w:cs="PMingLiU"/>
      <w:color w:val="000000"/>
      <w:spacing w:val="0"/>
      <w:w w:val="100"/>
      <w:position w:val="0"/>
      <w:sz w:val="18"/>
      <w:szCs w:val="18"/>
      <w:u w:val="none"/>
      <w:lang w:val="zh-CN" w:eastAsia="zh-CN" w:bidi="zh-CN"/>
    </w:rPr>
  </w:style>
  <w:style w:type="character" w:customStyle="1" w:styleId="MSGENFONTSTYLENAMETEMPLATEROLENUMBERMSGENFONTSTYLENAMEBYROLETEXT3MSGENFONTSTYLEMODIFERSIZE95">
    <w:name w:val="MSG_EN_FONT_STYLE_NAME_TEMPLATE_ROLE_NUMBER MSG_EN_FONT_STYLE_NAME_BY_ROLE_TEXT 3 + MSG_EN_FONT_STYLE_MODIFER_SIZE 9.5"/>
    <w:qFormat/>
    <w:rsid w:val="00800760"/>
    <w:rPr>
      <w:rFonts w:ascii="Arial" w:eastAsia="Arial" w:hAnsi="Arial" w:cs="Arial"/>
      <w:color w:val="000000"/>
      <w:spacing w:val="0"/>
      <w:w w:val="100"/>
      <w:position w:val="0"/>
      <w:sz w:val="19"/>
      <w:szCs w:val="19"/>
      <w:u w:val="none"/>
      <w:shd w:val="clear" w:color="auto" w:fill="FFFFFF"/>
      <w:lang w:val="en-US" w:eastAsia="en-US" w:bidi="en-US"/>
    </w:rPr>
  </w:style>
  <w:style w:type="paragraph" w:customStyle="1" w:styleId="TOC1">
    <w:name w:val="TOC 标题1"/>
    <w:basedOn w:val="1"/>
    <w:next w:val="a"/>
    <w:uiPriority w:val="99"/>
    <w:qFormat/>
    <w:rsid w:val="00800760"/>
    <w:pPr>
      <w:keepLines/>
      <w:spacing w:before="480" w:line="276" w:lineRule="auto"/>
      <w:jc w:val="left"/>
      <w:outlineLvl w:val="9"/>
    </w:pPr>
    <w:rPr>
      <w:rFonts w:ascii="Cambria" w:eastAsia="宋体" w:hAnsi="Cambria" w:cs="Cambria"/>
      <w:color w:val="365F91"/>
      <w:sz w:val="28"/>
      <w:szCs w:val="28"/>
      <w:lang w:val="en-US"/>
    </w:rPr>
  </w:style>
  <w:style w:type="paragraph" w:customStyle="1" w:styleId="p0">
    <w:name w:val="p0"/>
    <w:basedOn w:val="a"/>
    <w:qFormat/>
    <w:rsid w:val="00800760"/>
    <w:pPr>
      <w:spacing w:before="100" w:beforeAutospacing="1" w:after="100" w:afterAutospacing="1"/>
    </w:pPr>
    <w:rPr>
      <w:rFonts w:ascii="宋体" w:hAnsi="宋体" w:cs="宋体"/>
      <w:sz w:val="24"/>
      <w:szCs w:val="24"/>
      <w:lang w:val="en-US"/>
    </w:rPr>
  </w:style>
  <w:style w:type="paragraph" w:customStyle="1" w:styleId="14">
    <w:name w:val="正文1"/>
    <w:link w:val="1Char1"/>
    <w:qFormat/>
    <w:rsid w:val="00800760"/>
    <w:pPr>
      <w:spacing w:line="2897" w:lineRule="atLeast"/>
      <w:jc w:val="both"/>
      <w:textAlignment w:val="baseline"/>
    </w:pPr>
    <w:rPr>
      <w:rFonts w:ascii="Times New Roman" w:eastAsia="仿宋_GB2312" w:hAnsi="Times New Roman" w:cs="Times New Roman"/>
      <w:color w:val="000000"/>
      <w:sz w:val="31"/>
      <w:u w:color="000000"/>
    </w:rPr>
  </w:style>
  <w:style w:type="paragraph" w:customStyle="1" w:styleId="15">
    <w:name w:val="列出段落1"/>
    <w:basedOn w:val="a"/>
    <w:qFormat/>
    <w:rsid w:val="00800760"/>
    <w:pPr>
      <w:widowControl w:val="0"/>
      <w:jc w:val="both"/>
    </w:pPr>
    <w:rPr>
      <w:rFonts w:ascii="Calibri" w:hAnsi="Calibri"/>
      <w:kern w:val="2"/>
      <w:szCs w:val="22"/>
      <w:lang w:val="en-US"/>
    </w:rPr>
  </w:style>
  <w:style w:type="paragraph" w:customStyle="1" w:styleId="MSGENFONTSTYLENAMETEMPLATEROLENUMBERMSGENFONTSTYLENAMEBYROLETEXT21">
    <w:name w:val="MSG_EN_FONT_STYLE_NAME_TEMPLATE_ROLE_NUMBER MSG_EN_FONT_STYLE_NAME_BY_ROLE_TEXT 21"/>
    <w:basedOn w:val="a"/>
    <w:qFormat/>
    <w:rsid w:val="00800760"/>
    <w:pPr>
      <w:widowControl w:val="0"/>
      <w:shd w:val="clear" w:color="auto" w:fill="FFFFFF"/>
      <w:spacing w:before="1060" w:line="317" w:lineRule="exact"/>
      <w:ind w:hanging="680"/>
      <w:jc w:val="distribute"/>
    </w:pPr>
    <w:rPr>
      <w:rFonts w:ascii="PMingLiU" w:eastAsia="PMingLiU" w:hAnsi="PMingLiU" w:cs="PMingLiU"/>
      <w:color w:val="000000"/>
      <w:sz w:val="18"/>
      <w:szCs w:val="18"/>
      <w:lang w:val="zh-CN" w:bidi="zh-CN"/>
    </w:rPr>
  </w:style>
  <w:style w:type="character" w:customStyle="1" w:styleId="MSGENFONTSTYLENAMETEMPLATEROLENUMBERMSGENFONTSTYLENAMEBYROLETEXT2Exact">
    <w:name w:val="MSG_EN_FONT_STYLE_NAME_TEMPLATE_ROLE_NUMBER MSG_EN_FONT_STYLE_NAME_BY_ROLE_TEXT 2 Exact"/>
    <w:qFormat/>
    <w:rsid w:val="00800760"/>
    <w:rPr>
      <w:rFonts w:ascii="PMingLiU" w:eastAsia="PMingLiU" w:hAnsi="PMingLiU" w:cs="PMingLiU"/>
      <w:sz w:val="20"/>
      <w:szCs w:val="20"/>
      <w:u w:val="none"/>
    </w:rPr>
  </w:style>
  <w:style w:type="character" w:customStyle="1" w:styleId="MSGENFONTSTYLENAMETEMPLATEROLENUMBERMSGENFONTSTYLENAMEBYROLETEXT3MSGENFONTSTYLEMODIFERSIZE10">
    <w:name w:val="MSG_EN_FONT_STYLE_NAME_TEMPLATE_ROLE_NUMBER MSG_EN_FONT_STYLE_NAME_BY_ROLE_TEXT 3 + MSG_EN_FONT_STYLE_MODIFER_SIZE 10"/>
    <w:qFormat/>
    <w:rsid w:val="00800760"/>
    <w:rPr>
      <w:rFonts w:ascii="Times New Roman" w:eastAsia="Times New Roman" w:hAnsi="Times New Roman" w:cs="Times New Roman"/>
      <w:color w:val="000000"/>
      <w:spacing w:val="0"/>
      <w:w w:val="100"/>
      <w:position w:val="0"/>
      <w:sz w:val="20"/>
      <w:szCs w:val="20"/>
      <w:u w:val="none"/>
      <w:shd w:val="clear" w:color="auto" w:fill="FFFFFF"/>
      <w:lang w:val="en-US" w:eastAsia="en-US" w:bidi="en-US"/>
    </w:rPr>
  </w:style>
  <w:style w:type="paragraph" w:customStyle="1" w:styleId="msonospacing0">
    <w:name w:val="msonospacing"/>
    <w:basedOn w:val="a"/>
    <w:qFormat/>
    <w:rsid w:val="00800760"/>
    <w:pPr>
      <w:widowControl w:val="0"/>
      <w:spacing w:line="520" w:lineRule="exact"/>
      <w:ind w:firstLine="200"/>
      <w:jc w:val="both"/>
    </w:pPr>
    <w:rPr>
      <w:rFonts w:ascii="MingLiU_HKSCS" w:eastAsia="仿宋_GB2312" w:hAnsi="宋体" w:cs="MingLiU_HKSCS"/>
      <w:color w:val="000000"/>
      <w:sz w:val="32"/>
      <w:szCs w:val="24"/>
      <w:lang w:val="zh-CN" w:bidi="zh-CN"/>
    </w:rPr>
  </w:style>
  <w:style w:type="paragraph" w:customStyle="1" w:styleId="Chara">
    <w:name w:val="Char"/>
    <w:basedOn w:val="a"/>
    <w:qFormat/>
    <w:rsid w:val="00800760"/>
    <w:pPr>
      <w:widowControl w:val="0"/>
      <w:jc w:val="both"/>
    </w:pPr>
    <w:rPr>
      <w:kern w:val="2"/>
      <w:szCs w:val="24"/>
      <w:lang w:val="en-US"/>
    </w:rPr>
  </w:style>
  <w:style w:type="paragraph" w:styleId="af7">
    <w:name w:val="List Paragraph"/>
    <w:basedOn w:val="a"/>
    <w:uiPriority w:val="34"/>
    <w:qFormat/>
    <w:rsid w:val="00800760"/>
  </w:style>
  <w:style w:type="paragraph" w:customStyle="1" w:styleId="-11">
    <w:name w:val="彩色底纹 - 强调文字颜色 11"/>
    <w:uiPriority w:val="99"/>
    <w:semiHidden/>
    <w:qFormat/>
    <w:rsid w:val="00800760"/>
    <w:rPr>
      <w:rFonts w:ascii="Times New Roman" w:eastAsia="宋体" w:hAnsi="Times New Roman" w:cs="Times New Roman"/>
      <w:lang w:val="en-GB" w:eastAsia="en-US"/>
    </w:rPr>
  </w:style>
  <w:style w:type="paragraph" w:customStyle="1" w:styleId="div">
    <w:name w:val="div"/>
    <w:basedOn w:val="a"/>
    <w:qFormat/>
    <w:rsid w:val="00800760"/>
    <w:pPr>
      <w:textAlignment w:val="baseline"/>
    </w:pPr>
    <w:rPr>
      <w:sz w:val="24"/>
      <w:szCs w:val="24"/>
      <w:lang w:val="en-US"/>
    </w:rPr>
  </w:style>
  <w:style w:type="character" w:customStyle="1" w:styleId="fulltext-wrapfulltexta">
    <w:name w:val="fulltext-wrap_fulltext_a"/>
    <w:basedOn w:val="a0"/>
    <w:qFormat/>
    <w:rsid w:val="00800760"/>
    <w:rPr>
      <w:color w:val="218FC4"/>
    </w:rPr>
  </w:style>
  <w:style w:type="character" w:customStyle="1" w:styleId="16">
    <w:name w:val="明显参考1"/>
    <w:basedOn w:val="a0"/>
    <w:uiPriority w:val="32"/>
    <w:qFormat/>
    <w:rsid w:val="00800760"/>
    <w:rPr>
      <w:b/>
      <w:bCs/>
      <w:smallCaps/>
      <w:color w:val="C0504D"/>
      <w:spacing w:val="5"/>
      <w:u w:val="single"/>
    </w:rPr>
  </w:style>
  <w:style w:type="character" w:customStyle="1" w:styleId="fulltext-wrapnavtiao">
    <w:name w:val="fulltext-wrap_navtiao"/>
    <w:basedOn w:val="a0"/>
    <w:qFormat/>
    <w:rsid w:val="00800760"/>
    <w:rPr>
      <w:b/>
      <w:bCs/>
    </w:rPr>
  </w:style>
  <w:style w:type="character" w:customStyle="1" w:styleId="23">
    <w:name w:val="不明显强调2"/>
    <w:qFormat/>
    <w:rsid w:val="00800760"/>
    <w:rPr>
      <w:rFonts w:ascii="仿宋_GB2312" w:eastAsia="仿宋_GB2312"/>
      <w:sz w:val="32"/>
    </w:rPr>
  </w:style>
  <w:style w:type="paragraph" w:customStyle="1" w:styleId="TOC2">
    <w:name w:val="TOC 标题2"/>
    <w:basedOn w:val="1"/>
    <w:next w:val="a"/>
    <w:uiPriority w:val="99"/>
    <w:qFormat/>
    <w:rsid w:val="00800760"/>
    <w:pPr>
      <w:keepLines/>
      <w:spacing w:before="480" w:line="276" w:lineRule="auto"/>
      <w:jc w:val="left"/>
      <w:outlineLvl w:val="9"/>
    </w:pPr>
    <w:rPr>
      <w:rFonts w:ascii="Cambria" w:eastAsia="宋体" w:hAnsi="Cambria" w:cs="Cambria"/>
      <w:color w:val="365F91"/>
      <w:sz w:val="28"/>
      <w:szCs w:val="28"/>
      <w:lang w:val="en-US"/>
    </w:rPr>
  </w:style>
  <w:style w:type="paragraph" w:customStyle="1" w:styleId="24">
    <w:name w:val="正文2"/>
    <w:qFormat/>
    <w:rsid w:val="00800760"/>
    <w:pPr>
      <w:spacing w:line="2897" w:lineRule="atLeast"/>
      <w:jc w:val="both"/>
      <w:textAlignment w:val="baseline"/>
    </w:pPr>
    <w:rPr>
      <w:rFonts w:ascii="Times New Roman" w:eastAsia="仿宋_GB2312" w:hAnsi="Times New Roman" w:cs="Times New Roman"/>
      <w:color w:val="000000"/>
      <w:sz w:val="31"/>
      <w:u w:color="000000"/>
    </w:rPr>
  </w:style>
  <w:style w:type="paragraph" w:customStyle="1" w:styleId="25">
    <w:name w:val="列出段落2"/>
    <w:basedOn w:val="a"/>
    <w:qFormat/>
    <w:rsid w:val="00800760"/>
    <w:pPr>
      <w:widowControl w:val="0"/>
      <w:jc w:val="both"/>
    </w:pPr>
    <w:rPr>
      <w:rFonts w:ascii="Calibri" w:hAnsi="Calibri"/>
      <w:kern w:val="2"/>
      <w:szCs w:val="22"/>
      <w:lang w:val="en-US"/>
    </w:rPr>
  </w:style>
  <w:style w:type="character" w:customStyle="1" w:styleId="Char10">
    <w:name w:val="脚注文本 Char1"/>
    <w:basedOn w:val="a0"/>
    <w:uiPriority w:val="99"/>
    <w:qFormat/>
    <w:rsid w:val="00800760"/>
    <w:rPr>
      <w:rFonts w:ascii="Calibri" w:eastAsia="宋体" w:hAnsi="Calibri" w:cs="Times New Roman"/>
      <w:sz w:val="18"/>
      <w:szCs w:val="18"/>
    </w:rPr>
  </w:style>
  <w:style w:type="paragraph" w:customStyle="1" w:styleId="TableText">
    <w:name w:val="Table Text"/>
    <w:basedOn w:val="a"/>
    <w:semiHidden/>
    <w:qFormat/>
    <w:rsid w:val="00800760"/>
    <w:pPr>
      <w:kinsoku w:val="0"/>
      <w:autoSpaceDE w:val="0"/>
      <w:autoSpaceDN w:val="0"/>
      <w:adjustRightInd w:val="0"/>
      <w:snapToGrid w:val="0"/>
      <w:textAlignment w:val="baseline"/>
    </w:pPr>
    <w:rPr>
      <w:rFonts w:ascii="宋体" w:hAnsi="宋体" w:cs="宋体"/>
      <w:snapToGrid w:val="0"/>
      <w:color w:val="000000"/>
      <w:sz w:val="17"/>
      <w:szCs w:val="17"/>
      <w:lang w:val="en-US"/>
    </w:rPr>
  </w:style>
  <w:style w:type="table" w:customStyle="1" w:styleId="TableNormal">
    <w:name w:val="Table Normal"/>
    <w:unhideWhenUsed/>
    <w:qFormat/>
    <w:rsid w:val="00800760"/>
    <w:rPr>
      <w:rFonts w:ascii="Arial" w:eastAsia="宋体" w:hAnsi="Arial" w:cs="Arial"/>
    </w:rPr>
    <w:tblPr>
      <w:tblCellMar>
        <w:top w:w="0" w:type="dxa"/>
        <w:left w:w="0" w:type="dxa"/>
        <w:bottom w:w="0" w:type="dxa"/>
        <w:right w:w="0" w:type="dxa"/>
      </w:tblCellMar>
    </w:tblPr>
  </w:style>
  <w:style w:type="character" w:customStyle="1" w:styleId="Char11">
    <w:name w:val="批注框文本 Char1"/>
    <w:basedOn w:val="a0"/>
    <w:uiPriority w:val="99"/>
    <w:semiHidden/>
    <w:qFormat/>
    <w:rsid w:val="00800760"/>
    <w:rPr>
      <w:rFonts w:ascii="Times New Roman" w:eastAsia="宋体" w:hAnsi="Times New Roman" w:cs="Times New Roman"/>
      <w:kern w:val="0"/>
      <w:sz w:val="18"/>
      <w:szCs w:val="18"/>
      <w:lang w:val="en-GB" w:eastAsia="en-US"/>
    </w:rPr>
  </w:style>
  <w:style w:type="character" w:customStyle="1" w:styleId="Char12">
    <w:name w:val="批注主题 Char1"/>
    <w:basedOn w:val="Char0"/>
    <w:uiPriority w:val="99"/>
    <w:semiHidden/>
    <w:qFormat/>
    <w:rsid w:val="00800760"/>
    <w:rPr>
      <w:rFonts w:ascii="Times New Roman" w:eastAsia="宋体" w:hAnsi="Times New Roman" w:cs="Times New Roman"/>
      <w:b/>
      <w:bCs/>
      <w:kern w:val="0"/>
      <w:sz w:val="20"/>
      <w:szCs w:val="20"/>
      <w:lang w:val="en-GB" w:eastAsia="en-US"/>
    </w:rPr>
  </w:style>
  <w:style w:type="character" w:customStyle="1" w:styleId="Char13">
    <w:name w:val="文档结构图 Char1"/>
    <w:basedOn w:val="a0"/>
    <w:uiPriority w:val="99"/>
    <w:semiHidden/>
    <w:qFormat/>
    <w:rsid w:val="00800760"/>
    <w:rPr>
      <w:rFonts w:ascii="宋体" w:eastAsia="宋体" w:hAnsi="Times New Roman" w:cs="Times New Roman"/>
      <w:kern w:val="0"/>
      <w:sz w:val="18"/>
      <w:szCs w:val="18"/>
      <w:lang w:val="en-GB" w:eastAsia="en-US"/>
    </w:rPr>
  </w:style>
  <w:style w:type="paragraph" w:customStyle="1" w:styleId="26">
    <w:name w:val="修订2"/>
    <w:hidden/>
    <w:uiPriority w:val="99"/>
    <w:semiHidden/>
    <w:qFormat/>
    <w:rsid w:val="00800760"/>
    <w:rPr>
      <w:rFonts w:ascii="Times New Roman" w:eastAsia="宋体" w:hAnsi="Times New Roman" w:cs="Times New Roman"/>
      <w:lang w:val="en-GB" w:eastAsia="en-US"/>
    </w:rPr>
  </w:style>
  <w:style w:type="character" w:customStyle="1" w:styleId="27">
    <w:name w:val="明显参考2"/>
    <w:basedOn w:val="a0"/>
    <w:uiPriority w:val="32"/>
    <w:qFormat/>
    <w:rsid w:val="00800760"/>
    <w:rPr>
      <w:b/>
      <w:bCs/>
      <w:smallCaps/>
      <w:color w:val="C0504D"/>
      <w:spacing w:val="5"/>
      <w:u w:val="single"/>
    </w:rPr>
  </w:style>
  <w:style w:type="character" w:customStyle="1" w:styleId="af8">
    <w:name w:val="页脚 字符"/>
    <w:uiPriority w:val="99"/>
    <w:qFormat/>
    <w:rsid w:val="00800760"/>
  </w:style>
  <w:style w:type="character" w:customStyle="1" w:styleId="17">
    <w:name w:val="标题 1 字符"/>
    <w:uiPriority w:val="9"/>
    <w:qFormat/>
    <w:rsid w:val="00800760"/>
    <w:rPr>
      <w:rFonts w:ascii="等线" w:eastAsia="等线" w:hAnsi="等线" w:cs="宋体"/>
      <w:b/>
      <w:bCs/>
      <w:kern w:val="44"/>
      <w:sz w:val="44"/>
      <w:szCs w:val="44"/>
      <w:lang w:val="en-US" w:eastAsia="zh-CN" w:bidi="ar-SA"/>
    </w:rPr>
  </w:style>
  <w:style w:type="character" w:customStyle="1" w:styleId="28">
    <w:name w:val="标题 2 字符"/>
    <w:uiPriority w:val="9"/>
    <w:semiHidden/>
    <w:qFormat/>
    <w:rsid w:val="00800760"/>
    <w:rPr>
      <w:rFonts w:ascii="等线 Light" w:eastAsia="等线 Light" w:hAnsi="等线 Light" w:cs="Times New Roman"/>
      <w:b/>
      <w:bCs/>
      <w:kern w:val="2"/>
      <w:sz w:val="32"/>
      <w:szCs w:val="32"/>
      <w:lang w:val="en-US" w:eastAsia="zh-CN" w:bidi="ar-SA"/>
    </w:rPr>
  </w:style>
  <w:style w:type="character" w:customStyle="1" w:styleId="31">
    <w:name w:val="标题 3 字符"/>
    <w:uiPriority w:val="9"/>
    <w:semiHidden/>
    <w:qFormat/>
    <w:rsid w:val="00800760"/>
    <w:rPr>
      <w:rFonts w:ascii="等线" w:eastAsia="等线" w:hAnsi="等线" w:cs="宋体"/>
      <w:b/>
      <w:bCs/>
      <w:kern w:val="2"/>
      <w:sz w:val="32"/>
      <w:szCs w:val="32"/>
      <w:lang w:val="en-US" w:eastAsia="zh-CN" w:bidi="ar-SA"/>
    </w:rPr>
  </w:style>
  <w:style w:type="character" w:customStyle="1" w:styleId="41">
    <w:name w:val="标题 4 字符"/>
    <w:uiPriority w:val="9"/>
    <w:semiHidden/>
    <w:qFormat/>
    <w:rsid w:val="00800760"/>
    <w:rPr>
      <w:rFonts w:ascii="等线 Light" w:eastAsia="等线 Light" w:hAnsi="等线 Light" w:cs="Times New Roman"/>
      <w:b/>
      <w:bCs/>
      <w:kern w:val="2"/>
      <w:sz w:val="28"/>
      <w:szCs w:val="28"/>
      <w:lang w:val="en-US" w:eastAsia="zh-CN" w:bidi="ar-SA"/>
    </w:rPr>
  </w:style>
  <w:style w:type="character" w:customStyle="1" w:styleId="51">
    <w:name w:val="标题 5 字符"/>
    <w:uiPriority w:val="9"/>
    <w:semiHidden/>
    <w:qFormat/>
    <w:rsid w:val="00800760"/>
    <w:rPr>
      <w:rFonts w:ascii="等线" w:eastAsia="等线" w:hAnsi="等线" w:cs="宋体"/>
      <w:b/>
      <w:bCs/>
      <w:kern w:val="2"/>
      <w:sz w:val="28"/>
      <w:szCs w:val="28"/>
      <w:lang w:val="en-US" w:eastAsia="zh-CN" w:bidi="ar-SA"/>
    </w:rPr>
  </w:style>
  <w:style w:type="character" w:customStyle="1" w:styleId="61">
    <w:name w:val="标题 6 字符"/>
    <w:uiPriority w:val="9"/>
    <w:semiHidden/>
    <w:qFormat/>
    <w:rsid w:val="00800760"/>
    <w:rPr>
      <w:rFonts w:ascii="等线 Light" w:eastAsia="等线 Light" w:hAnsi="等线 Light" w:cs="Times New Roman"/>
      <w:b/>
      <w:bCs/>
      <w:kern w:val="2"/>
      <w:sz w:val="24"/>
      <w:szCs w:val="24"/>
      <w:lang w:val="en-US" w:eastAsia="zh-CN" w:bidi="ar-SA"/>
    </w:rPr>
  </w:style>
  <w:style w:type="character" w:customStyle="1" w:styleId="7Char1">
    <w:name w:val="标题 7 Char1"/>
    <w:qFormat/>
    <w:rsid w:val="00800760"/>
    <w:rPr>
      <w:rFonts w:ascii="方正小标宋_GBK" w:eastAsia="方正小标宋_GBK" w:hAnsi="宋体" w:cs="Arial"/>
      <w:sz w:val="36"/>
      <w:szCs w:val="36"/>
    </w:rPr>
  </w:style>
  <w:style w:type="character" w:customStyle="1" w:styleId="af9">
    <w:name w:val="批注框文本 字符"/>
    <w:uiPriority w:val="99"/>
    <w:semiHidden/>
    <w:qFormat/>
    <w:rsid w:val="00800760"/>
    <w:rPr>
      <w:rFonts w:ascii="等线" w:eastAsia="等线" w:hAnsi="等线" w:cs="宋体"/>
      <w:kern w:val="2"/>
      <w:sz w:val="18"/>
      <w:szCs w:val="18"/>
      <w:lang w:val="en-US" w:eastAsia="zh-CN" w:bidi="ar-SA"/>
    </w:rPr>
  </w:style>
  <w:style w:type="character" w:customStyle="1" w:styleId="Char14">
    <w:name w:val="批注文字 Char1"/>
    <w:uiPriority w:val="99"/>
    <w:qFormat/>
    <w:rsid w:val="00800760"/>
    <w:rPr>
      <w:rFonts w:ascii="Times New Roman" w:eastAsia="等线" w:hAnsi="Times New Roman" w:cs="Times New Roman"/>
      <w:lang w:val="en-GB" w:eastAsia="en-US"/>
    </w:rPr>
  </w:style>
  <w:style w:type="character" w:customStyle="1" w:styleId="afa">
    <w:name w:val="批注主题 字符"/>
    <w:uiPriority w:val="99"/>
    <w:semiHidden/>
    <w:qFormat/>
    <w:rsid w:val="00800760"/>
    <w:rPr>
      <w:rFonts w:ascii="Times New Roman" w:eastAsia="等线" w:hAnsi="Times New Roman" w:cs="Times New Roman"/>
      <w:b/>
      <w:bCs/>
      <w:kern w:val="2"/>
      <w:sz w:val="21"/>
      <w:szCs w:val="22"/>
      <w:lang w:val="en-GB" w:eastAsia="en-US" w:bidi="ar-SA"/>
    </w:rPr>
  </w:style>
  <w:style w:type="character" w:customStyle="1" w:styleId="afb">
    <w:name w:val="页眉 字符"/>
    <w:uiPriority w:val="99"/>
    <w:semiHidden/>
    <w:qFormat/>
    <w:rsid w:val="00800760"/>
    <w:rPr>
      <w:rFonts w:ascii="等线" w:eastAsia="等线" w:hAnsi="等线" w:cs="宋体"/>
      <w:kern w:val="2"/>
      <w:sz w:val="18"/>
      <w:szCs w:val="18"/>
      <w:lang w:val="en-US" w:eastAsia="zh-CN" w:bidi="ar-SA"/>
    </w:rPr>
  </w:style>
  <w:style w:type="character" w:customStyle="1" w:styleId="afc">
    <w:name w:val="文档结构图 字符"/>
    <w:uiPriority w:val="99"/>
    <w:semiHidden/>
    <w:qFormat/>
    <w:rsid w:val="00800760"/>
    <w:rPr>
      <w:rFonts w:ascii="Microsoft YaHei UI" w:eastAsia="Microsoft YaHei UI" w:hAnsi="等线" w:cs="宋体"/>
      <w:kern w:val="2"/>
      <w:sz w:val="18"/>
      <w:szCs w:val="18"/>
      <w:lang w:val="en-US" w:eastAsia="zh-CN" w:bidi="ar-SA"/>
    </w:rPr>
  </w:style>
  <w:style w:type="character" w:customStyle="1" w:styleId="2Char1">
    <w:name w:val="正文文本缩进 2 Char1"/>
    <w:uiPriority w:val="99"/>
    <w:qFormat/>
    <w:rsid w:val="00800760"/>
    <w:rPr>
      <w:rFonts w:ascii="宋体" w:eastAsia="等线" w:hAnsi="Times New Roman" w:cs="Times New Roman"/>
      <w:sz w:val="24"/>
      <w:lang w:val="en-GB" w:eastAsia="en-US"/>
    </w:rPr>
  </w:style>
  <w:style w:type="character" w:customStyle="1" w:styleId="afd">
    <w:name w:val="日期 字符"/>
    <w:basedOn w:val="a0"/>
    <w:uiPriority w:val="99"/>
    <w:semiHidden/>
    <w:qFormat/>
    <w:rsid w:val="00800760"/>
    <w:rPr>
      <w:rFonts w:ascii="等线" w:eastAsia="等线" w:hAnsi="等线" w:cs="宋体"/>
      <w:kern w:val="2"/>
      <w:sz w:val="21"/>
      <w:szCs w:val="22"/>
      <w:lang w:val="en-US" w:eastAsia="zh-CN" w:bidi="ar-SA"/>
    </w:rPr>
  </w:style>
  <w:style w:type="character" w:customStyle="1" w:styleId="afe">
    <w:name w:val="纯文本 字符"/>
    <w:uiPriority w:val="99"/>
    <w:semiHidden/>
    <w:qFormat/>
    <w:rsid w:val="00800760"/>
    <w:rPr>
      <w:rFonts w:ascii="宋体" w:eastAsia="等线" w:hAnsi="Courier New" w:cs="Courier New"/>
      <w:kern w:val="2"/>
      <w:sz w:val="21"/>
      <w:szCs w:val="21"/>
      <w:lang w:val="en-US" w:eastAsia="zh-CN" w:bidi="ar-SA"/>
    </w:rPr>
  </w:style>
  <w:style w:type="character" w:customStyle="1" w:styleId="1Char0">
    <w:name w:val="无间隔1 Char"/>
    <w:link w:val="12"/>
    <w:qFormat/>
    <w:rsid w:val="00800760"/>
    <w:rPr>
      <w:rFonts w:ascii="MingLiU_HKSCS" w:eastAsia="仿宋_GB2312" w:hAnsi="MingLiU_HKSCS" w:cs="MingLiU_HKSCS"/>
      <w:color w:val="000000"/>
      <w:kern w:val="0"/>
      <w:sz w:val="32"/>
      <w:szCs w:val="24"/>
      <w:lang w:val="zh-CN"/>
    </w:rPr>
  </w:style>
  <w:style w:type="character" w:customStyle="1" w:styleId="1Char1">
    <w:name w:val="正文1 Char"/>
    <w:link w:val="14"/>
    <w:qFormat/>
    <w:rsid w:val="00800760"/>
    <w:rPr>
      <w:rFonts w:ascii="Times New Roman" w:eastAsia="仿宋_GB2312" w:hAnsi="Times New Roman" w:cs="Times New Roman"/>
      <w:color w:val="000000"/>
      <w:kern w:val="0"/>
      <w:sz w:val="31"/>
      <w:szCs w:val="20"/>
      <w:u w:color="000000"/>
    </w:rPr>
  </w:style>
  <w:style w:type="paragraph" w:customStyle="1" w:styleId="32">
    <w:name w:val="修订3"/>
    <w:hidden/>
    <w:uiPriority w:val="99"/>
    <w:unhideWhenUsed/>
    <w:qFormat/>
    <w:rsid w:val="00800760"/>
    <w:rPr>
      <w:rFonts w:ascii="Times New Roman" w:eastAsia="宋体" w:hAnsi="Times New Roman" w:cs="Times New Roman"/>
      <w:sz w:val="21"/>
      <w:lang w:val="en-GB"/>
    </w:rPr>
  </w:style>
  <w:style w:type="paragraph" w:customStyle="1" w:styleId="310">
    <w:name w:val="修订31"/>
    <w:hidden/>
    <w:uiPriority w:val="99"/>
    <w:unhideWhenUsed/>
    <w:qFormat/>
    <w:rsid w:val="00800760"/>
    <w:rPr>
      <w:rFonts w:ascii="Times New Roman" w:eastAsia="宋体" w:hAnsi="Times New Roman" w:cs="Times New Roman"/>
      <w:sz w:val="21"/>
      <w:lang w:val="en-GB"/>
    </w:rPr>
  </w:style>
  <w:style w:type="paragraph" w:customStyle="1" w:styleId="TOC3">
    <w:name w:val="TOC 标题3"/>
    <w:basedOn w:val="1"/>
    <w:next w:val="a"/>
    <w:uiPriority w:val="39"/>
    <w:semiHidden/>
    <w:unhideWhenUsed/>
    <w:qFormat/>
    <w:rsid w:val="00800760"/>
    <w:pPr>
      <w:keepNext/>
      <w:keepLines/>
      <w:widowControl/>
      <w:shd w:val="clear" w:color="auto" w:fill="auto"/>
      <w:topLinePunct w:val="0"/>
      <w:spacing w:before="480" w:beforeAutospacing="0" w:after="0" w:afterAutospacing="0" w:line="276" w:lineRule="auto"/>
      <w:ind w:firstLineChars="0" w:firstLine="0"/>
      <w:jc w:val="left"/>
      <w:outlineLvl w:val="9"/>
    </w:pPr>
    <w:rPr>
      <w:rFonts w:asciiTheme="majorHAnsi" w:eastAsiaTheme="majorEastAsia" w:hAnsiTheme="majorHAnsi" w:cstheme="majorBidi"/>
      <w:b/>
      <w:bCs/>
      <w:color w:val="365F91" w:themeColor="accent1" w:themeShade="BF"/>
      <w:spacing w:val="0"/>
      <w:kern w:val="0"/>
      <w:sz w:val="28"/>
      <w:szCs w:val="28"/>
      <w:lang w:val="en-US"/>
    </w:rPr>
  </w:style>
  <w:style w:type="paragraph" w:customStyle="1" w:styleId="42">
    <w:name w:val="修订4"/>
    <w:hidden/>
    <w:uiPriority w:val="99"/>
    <w:unhideWhenUsed/>
    <w:rsid w:val="00800760"/>
    <w:rPr>
      <w:rFonts w:ascii="Times New Roman" w:eastAsia="宋体" w:hAnsi="Times New Roman" w:cs="Times New Roman"/>
      <w:sz w:val="21"/>
      <w:lang w:val="en-GB"/>
    </w:rPr>
  </w:style>
  <w:style w:type="character" w:customStyle="1" w:styleId="18">
    <w:name w:val="未处理的提及1"/>
    <w:basedOn w:val="a0"/>
    <w:uiPriority w:val="99"/>
    <w:semiHidden/>
    <w:unhideWhenUsed/>
    <w:rsid w:val="00800760"/>
    <w:rPr>
      <w:color w:val="605E5C"/>
      <w:shd w:val="clear" w:color="auto" w:fill="E1DFDD"/>
    </w:rPr>
  </w:style>
  <w:style w:type="paragraph" w:customStyle="1" w:styleId="NoSpacing11">
    <w:name w:val="No Spacing11"/>
    <w:qFormat/>
    <w:rsid w:val="00800760"/>
    <w:pPr>
      <w:widowControl w:val="0"/>
      <w:spacing w:line="520" w:lineRule="exact"/>
      <w:ind w:firstLineChars="200" w:firstLine="200"/>
      <w:jc w:val="both"/>
    </w:pPr>
    <w:rPr>
      <w:rFonts w:ascii="MingLiU_HKSCS" w:eastAsia="仿宋_GB2312" w:hAnsi="MingLiU_HKSCS" w:cs="MingLiU_HKSCS"/>
      <w:color w:val="000000"/>
      <w:sz w:val="32"/>
      <w:szCs w:val="24"/>
      <w:lang w:val="zh-CN"/>
    </w:rPr>
  </w:style>
  <w:style w:type="paragraph" w:customStyle="1" w:styleId="MSGENFONTSTYLENAMETEMPLATEROLEMSGENFONTSTYLENAMEBYROLERUNNINGTITLE1">
    <w:name w:val="MSG_EN_FONT_STYLE_NAME_TEMPLATE_ROLE MSG_EN_FONT_STYLE_NAME_BY_ROLE_RUNNING_TITLE1"/>
    <w:qFormat/>
    <w:rsid w:val="00800760"/>
    <w:pPr>
      <w:shd w:val="clear" w:color="auto" w:fill="FFFFFF"/>
      <w:spacing w:line="200" w:lineRule="exact"/>
    </w:pPr>
    <w:rPr>
      <w:rFonts w:ascii="Times New Roman" w:eastAsia="宋体" w:hAnsi="Times New Roman" w:cs="Times New Roman"/>
      <w:sz w:val="8"/>
      <w:szCs w:val="8"/>
      <w:lang w:val="en-GB" w:eastAsia="en-US"/>
    </w:rPr>
  </w:style>
  <w:style w:type="character" w:customStyle="1" w:styleId="MSGENFONTSTYLENAMETEMPLATEROLEMSGENFONTSTYLENAMEBYROLETABLEOFCONTENTSMSGENFONTSTYLEMODIFERNAMECourierNew">
    <w:name w:val="MSG_EN_FONT_STYLE_NAME_TEMPLATE_ROLE MSG_EN_FONT_STYLE_NAME_BY_ROLE_TABLE_OF_CONTENTS + MSG_EN_FONT_STYLE_MODIFER_NAME Courier New"/>
    <w:qFormat/>
    <w:rsid w:val="00800760"/>
    <w:rPr>
      <w:rFonts w:ascii="Courier New" w:eastAsia="Courier New" w:hAnsi="Courier New" w:cs="Courier New" w:hint="default"/>
      <w:color w:val="000000"/>
      <w:spacing w:val="0"/>
      <w:w w:val="100"/>
      <w:position w:val="0"/>
      <w:sz w:val="23"/>
      <w:szCs w:val="23"/>
      <w:lang w:val="en-US" w:eastAsia="en-US" w:bidi="en-US"/>
    </w:rPr>
  </w:style>
  <w:style w:type="character" w:customStyle="1" w:styleId="MSGENFONTSTYLENAMETEMPLATEROLEMSGENFONTSTYLENAMEBYROLERUNNINGTITLEMSGENFONTSTYLEMODIFERSIZE85">
    <w:name w:val="MSG_EN_FONT_STYLE_NAME_TEMPLATE_ROLE MSG_EN_FONT_STYLE_NAME_BY_ROLE_RUNNING_TITLE + MSG_EN_FONT_STYLE_MODIFER_SIZE 8.5"/>
    <w:qFormat/>
    <w:rsid w:val="00800760"/>
    <w:rPr>
      <w:b/>
      <w:bCs/>
      <w:color w:val="000000"/>
      <w:spacing w:val="0"/>
      <w:w w:val="100"/>
      <w:position w:val="0"/>
      <w:sz w:val="17"/>
      <w:szCs w:val="17"/>
      <w:lang w:val="zh-CN" w:eastAsia="zh-CN" w:bidi="zh-C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emf"/><Relationship Id="rId21" Type="http://schemas.openxmlformats.org/officeDocument/2006/relationships/image" Target="media/image3.emf"/><Relationship Id="rId42" Type="http://schemas.openxmlformats.org/officeDocument/2006/relationships/image" Target="media/image24.jpeg"/><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image" Target="media/image50.emf"/><Relationship Id="rId84" Type="http://schemas.openxmlformats.org/officeDocument/2006/relationships/hyperlink" Target="javascript:void(0);" TargetMode="External"/><Relationship Id="rId89" Type="http://schemas.openxmlformats.org/officeDocument/2006/relationships/hyperlink" Target="https://zhida.zhihu.com/search?content_id=232142721&amp;content_type=Article&amp;match_order=1&amp;q=%E6%BA%AF%E5%8F%8A%E5%8A%9B&amp;zhida_source=entity" TargetMode="External"/><Relationship Id="rId112" Type="http://schemas.openxmlformats.org/officeDocument/2006/relationships/footer" Target="footer18.xml"/><Relationship Id="rId16" Type="http://schemas.openxmlformats.org/officeDocument/2006/relationships/hyperlink" Target="https://www.pkulaw.com/chl/657ae1bc83599617bdfb.html?way=textSlc" TargetMode="External"/><Relationship Id="rId107" Type="http://schemas.openxmlformats.org/officeDocument/2006/relationships/footer" Target="footer16.xml"/><Relationship Id="rId11" Type="http://schemas.openxmlformats.org/officeDocument/2006/relationships/footer" Target="footer1.xml"/><Relationship Id="rId24" Type="http://schemas.openxmlformats.org/officeDocument/2006/relationships/image" Target="media/image6.emf"/><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jpeg"/><Relationship Id="rId45" Type="http://schemas.openxmlformats.org/officeDocument/2006/relationships/image" Target="media/image27.wmf"/><Relationship Id="rId53" Type="http://schemas.openxmlformats.org/officeDocument/2006/relationships/image" Target="media/image35.emf"/><Relationship Id="rId58" Type="http://schemas.openxmlformats.org/officeDocument/2006/relationships/image" Target="media/image40.jpeg"/><Relationship Id="rId66" Type="http://schemas.openxmlformats.org/officeDocument/2006/relationships/image" Target="media/image48.emf"/><Relationship Id="rId74" Type="http://schemas.openxmlformats.org/officeDocument/2006/relationships/image" Target="media/image56.jpeg"/><Relationship Id="rId79" Type="http://schemas.openxmlformats.org/officeDocument/2006/relationships/image" Target="media/image61.png"/><Relationship Id="rId87" Type="http://schemas.openxmlformats.org/officeDocument/2006/relationships/hyperlink" Target="https://zhida.zhihu.com/search?content_id=232142721&amp;content_type=Article&amp;match_order=1&amp;q=%E4%B8%93%E5%88%A9%E4%BD%BF%E7%94%A8%E8%B4%B9&amp;zhida_source=entity" TargetMode="External"/><Relationship Id="rId102" Type="http://schemas.openxmlformats.org/officeDocument/2006/relationships/footer" Target="footer12.xml"/><Relationship Id="rId110" Type="http://schemas.openxmlformats.org/officeDocument/2006/relationships/header" Target="header5.xml"/><Relationship Id="rId115"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3.jpeg"/><Relationship Id="rId82" Type="http://schemas.openxmlformats.org/officeDocument/2006/relationships/image" Target="media/image64.jpeg"/><Relationship Id="rId90" Type="http://schemas.openxmlformats.org/officeDocument/2006/relationships/hyperlink" Target="https://zhida.zhihu.com/search?content_id=232142721&amp;content_type=Article&amp;match_order=1&amp;q=%E4%B8%93%E5%88%A9%E6%9D%83%E4%BB%B7%E5%80%BC&amp;zhida_source=entity" TargetMode="External"/><Relationship Id="rId95" Type="http://schemas.openxmlformats.org/officeDocument/2006/relationships/footer" Target="footer7.xml"/><Relationship Id="rId19" Type="http://schemas.openxmlformats.org/officeDocument/2006/relationships/image" Target="media/image2.emf"/><Relationship Id="rId14" Type="http://schemas.openxmlformats.org/officeDocument/2006/relationships/footer" Target="footer3.xml"/><Relationship Id="rId22" Type="http://schemas.openxmlformats.org/officeDocument/2006/relationships/image" Target="media/image4.emf"/><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wmf"/><Relationship Id="rId43" Type="http://schemas.openxmlformats.org/officeDocument/2006/relationships/image" Target="media/image25.jpeg"/><Relationship Id="rId48" Type="http://schemas.openxmlformats.org/officeDocument/2006/relationships/image" Target="media/image30.png"/><Relationship Id="rId56" Type="http://schemas.openxmlformats.org/officeDocument/2006/relationships/image" Target="media/image38.emf"/><Relationship Id="rId64" Type="http://schemas.openxmlformats.org/officeDocument/2006/relationships/image" Target="media/image46.wmf"/><Relationship Id="rId69" Type="http://schemas.openxmlformats.org/officeDocument/2006/relationships/image" Target="media/image51.png"/><Relationship Id="rId77" Type="http://schemas.openxmlformats.org/officeDocument/2006/relationships/image" Target="media/image59.png"/><Relationship Id="rId100" Type="http://schemas.openxmlformats.org/officeDocument/2006/relationships/image" Target="media/image68.png"/><Relationship Id="rId105" Type="http://schemas.openxmlformats.org/officeDocument/2006/relationships/header" Target="header4.xml"/><Relationship Id="rId113" Type="http://schemas.openxmlformats.org/officeDocument/2006/relationships/header" Target="header6.xml"/><Relationship Id="rId8" Type="http://schemas.openxmlformats.org/officeDocument/2006/relationships/endnotes" Target="endnotes.xml"/><Relationship Id="rId51" Type="http://schemas.openxmlformats.org/officeDocument/2006/relationships/image" Target="media/image33.png"/><Relationship Id="rId72" Type="http://schemas.openxmlformats.org/officeDocument/2006/relationships/image" Target="media/image54.emf"/><Relationship Id="rId80" Type="http://schemas.openxmlformats.org/officeDocument/2006/relationships/image" Target="media/image62.png"/><Relationship Id="rId85" Type="http://schemas.openxmlformats.org/officeDocument/2006/relationships/hyperlink" Target="https://zhida.zhihu.com/search?content_id=232142721&amp;content_type=Article&amp;match_order=1&amp;q=%E4%B8%93%E5%88%A9%E4%BE%B5%E6%9D%83&amp;zhida_source=entity" TargetMode="External"/><Relationship Id="rId93" Type="http://schemas.openxmlformats.org/officeDocument/2006/relationships/footer" Target="footer6.xml"/><Relationship Id="rId98" Type="http://schemas.openxmlformats.org/officeDocument/2006/relationships/footer" Target="footer9.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file:///D:\My%20Documents\WorkPro%20Files\81b2b6f79587400fbde1b03dd9c996a4\1957092\Files\2025-06\&#31532;&#19977;&#31456;&#31532;&#19968;&#33410;%20617.wps" TargetMode="External"/><Relationship Id="rId25" Type="http://schemas.openxmlformats.org/officeDocument/2006/relationships/image" Target="media/image7.emf"/><Relationship Id="rId33" Type="http://schemas.openxmlformats.org/officeDocument/2006/relationships/image" Target="media/image15.emf"/><Relationship Id="rId38" Type="http://schemas.openxmlformats.org/officeDocument/2006/relationships/image" Target="media/image20.png"/><Relationship Id="rId46" Type="http://schemas.openxmlformats.org/officeDocument/2006/relationships/image" Target="media/image28.wmf"/><Relationship Id="rId59" Type="http://schemas.openxmlformats.org/officeDocument/2006/relationships/image" Target="media/image41.jpeg"/><Relationship Id="rId67" Type="http://schemas.openxmlformats.org/officeDocument/2006/relationships/image" Target="media/image49.jpeg"/><Relationship Id="rId103" Type="http://schemas.openxmlformats.org/officeDocument/2006/relationships/footer" Target="footer13.xml"/><Relationship Id="rId108" Type="http://schemas.openxmlformats.org/officeDocument/2006/relationships/image" Target="media/image69.png"/><Relationship Id="rId116" Type="http://schemas.openxmlformats.org/officeDocument/2006/relationships/theme" Target="theme/theme1.xml"/><Relationship Id="rId20" Type="http://schemas.openxmlformats.org/officeDocument/2006/relationships/hyperlink" Target="https://www.pkulaw.com/chl/417f520f8bcb8de2bdfb.html?way=textSlc" TargetMode="External"/><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jpeg"/><Relationship Id="rId70" Type="http://schemas.openxmlformats.org/officeDocument/2006/relationships/image" Target="media/image52.png"/><Relationship Id="rId75" Type="http://schemas.openxmlformats.org/officeDocument/2006/relationships/image" Target="media/image57.jpeg"/><Relationship Id="rId83" Type="http://schemas.openxmlformats.org/officeDocument/2006/relationships/footer" Target="footer4.xml"/><Relationship Id="rId88" Type="http://schemas.openxmlformats.org/officeDocument/2006/relationships/hyperlink" Target="https://zhida.zhihu.com/search?content_id=232142721&amp;content_type=Article&amp;match_order=1&amp;q=%E4%B8%8D%E6%BA%AF%E5%8F%8A%E6%97%A2%E5%BE%80%E5%8E%9F%E5%88%99&amp;zhida_source=entity" TargetMode="External"/><Relationship Id="rId91" Type="http://schemas.openxmlformats.org/officeDocument/2006/relationships/footer" Target="footer5.xml"/><Relationship Id="rId96" Type="http://schemas.openxmlformats.org/officeDocument/2006/relationships/footer" Target="footer8.xml"/><Relationship Id="rId111" Type="http://schemas.openxmlformats.org/officeDocument/2006/relationships/footer" Target="footer17.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kulaw.com/chl/f006c83f97cdd5e0bdfb.html?way=textSlc" TargetMode="External"/><Relationship Id="rId23" Type="http://schemas.openxmlformats.org/officeDocument/2006/relationships/image" Target="media/image5.emf"/><Relationship Id="rId28" Type="http://schemas.openxmlformats.org/officeDocument/2006/relationships/image" Target="media/image10.png"/><Relationship Id="rId36" Type="http://schemas.openxmlformats.org/officeDocument/2006/relationships/image" Target="media/image18.wmf"/><Relationship Id="rId49" Type="http://schemas.openxmlformats.org/officeDocument/2006/relationships/image" Target="media/image31.emf"/><Relationship Id="rId57" Type="http://schemas.openxmlformats.org/officeDocument/2006/relationships/image" Target="media/image39.emf"/><Relationship Id="rId106" Type="http://schemas.openxmlformats.org/officeDocument/2006/relationships/footer" Target="footer15.xml"/><Relationship Id="rId114" Type="http://schemas.openxmlformats.org/officeDocument/2006/relationships/footer" Target="footer19.xml"/><Relationship Id="rId10" Type="http://schemas.openxmlformats.org/officeDocument/2006/relationships/header" Target="header2.xml"/><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emf"/><Relationship Id="rId60" Type="http://schemas.openxmlformats.org/officeDocument/2006/relationships/image" Target="media/image42.jpeg"/><Relationship Id="rId65" Type="http://schemas.openxmlformats.org/officeDocument/2006/relationships/image" Target="media/image47.wmf"/><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jpeg"/><Relationship Id="rId86" Type="http://schemas.openxmlformats.org/officeDocument/2006/relationships/hyperlink" Target="https://zhida.zhihu.com/search?content_id=232142721&amp;content_type=Article&amp;match_order=1&amp;q=%E4%B8%93%E5%88%A9%E4%BE%B5%E6%9D%83%E7%BA%A0%E7%BA%B7&amp;zhida_source=entity" TargetMode="External"/><Relationship Id="rId94" Type="http://schemas.openxmlformats.org/officeDocument/2006/relationships/image" Target="media/image66.png"/><Relationship Id="rId99" Type="http://schemas.openxmlformats.org/officeDocument/2006/relationships/footer" Target="footer10.xml"/><Relationship Id="rId101" Type="http://schemas.openxmlformats.org/officeDocument/2006/relationships/footer" Target="footer11.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1.jpeg"/><Relationship Id="rId39" Type="http://schemas.openxmlformats.org/officeDocument/2006/relationships/image" Target="media/image21.jpeg"/><Relationship Id="rId109" Type="http://schemas.openxmlformats.org/officeDocument/2006/relationships/image" Target="media/image70.png"/><Relationship Id="rId34" Type="http://schemas.openxmlformats.org/officeDocument/2006/relationships/image" Target="media/image16.emf"/><Relationship Id="rId50" Type="http://schemas.openxmlformats.org/officeDocument/2006/relationships/image" Target="media/image32.emf"/><Relationship Id="rId55" Type="http://schemas.openxmlformats.org/officeDocument/2006/relationships/image" Target="media/image37.png"/><Relationship Id="rId76" Type="http://schemas.openxmlformats.org/officeDocument/2006/relationships/image" Target="media/image58.png"/><Relationship Id="rId97" Type="http://schemas.openxmlformats.org/officeDocument/2006/relationships/image" Target="media/image67.png"/><Relationship Id="rId104" Type="http://schemas.openxmlformats.org/officeDocument/2006/relationships/footer" Target="footer14.xml"/><Relationship Id="rId7" Type="http://schemas.openxmlformats.org/officeDocument/2006/relationships/footnotes" Target="footnotes.xml"/><Relationship Id="rId71" Type="http://schemas.openxmlformats.org/officeDocument/2006/relationships/image" Target="media/image53.emf"/><Relationship Id="rId92" Type="http://schemas.openxmlformats.org/officeDocument/2006/relationships/image" Target="media/image65.png"/><Relationship Id="rId2" Type="http://schemas.openxmlformats.org/officeDocument/2006/relationships/customXml" Target="../customXml/item2.xml"/><Relationship Id="rId29" Type="http://schemas.openxmlformats.org/officeDocument/2006/relationships/image" Target="media/image1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60"/>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9C284F-8DA4-4572-9721-44D2F0776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65990</Words>
  <Characters>376147</Characters>
  <Application>Microsoft Office Word</Application>
  <DocSecurity>0</DocSecurity>
  <Lines>3134</Lines>
  <Paragraphs>882</Paragraphs>
  <ScaleCrop>false</ScaleCrop>
  <Company/>
  <LinksUpToDate>false</LinksUpToDate>
  <CharactersWithSpaces>441255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lixinyu_3</dc:creator>
  <cp:lastModifiedBy>殷彤</cp:lastModifiedBy>
  <cp:revision>2</cp:revision>
  <cp:lastPrinted>2026-05-09T05:22:00Z</cp:lastPrinted>
  <dcterms:created xsi:type="dcterms:W3CDTF">2026-05-12T03:11:00Z</dcterms:created>
  <dcterms:modified xsi:type="dcterms:W3CDTF">2026-05-12T03:11:00Z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eyJoZGlkIjoiOGNhNmY5ZWI4YWZjZjcxOTE4NmFkMTAwNTQzNDA3NzUiLCJ1c2VySWQiOiI0MjkyMTMyODcifQ==</vt:lpwstr>
  </property>
  <property fmtid="{D5CDD505-2E9C-101B-9397-08002B2CF9AE}" pid="3" name="KSOProductBuildVer">
    <vt:lpwstr>2052-12.1.0.25865</vt:lpwstr>
  </property>
  <property fmtid="{D5CDD505-2E9C-101B-9397-08002B2CF9AE}" pid="4" name="ICV">
    <vt:lpwstr>056C3A8E00F74122987697958B5C4E46_13</vt:lpwstr>
  </property>
</Properties>
</file>